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3.xml" ContentType="application/vnd.openxmlformats-officedocument.wordprocessingml.header+xml"/>
  <Override PartName="/word/footer1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8.xml" ContentType="application/vnd.openxmlformats-officedocument.wordprocessingml.header+xml"/>
  <Override PartName="/word/footer2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3.xml" ContentType="application/vnd.openxmlformats-officedocument.wordprocessingml.header+xml"/>
  <Override PartName="/word/footer2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8.xml" ContentType="application/vnd.openxmlformats-officedocument.wordprocessingml.header+xml"/>
  <Override PartName="/word/footer2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3.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68.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73.xml" ContentType="application/vnd.openxmlformats-officedocument.wordprocessingml.header+xml"/>
  <Override PartName="/word/footer3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8.xml" ContentType="application/vnd.openxmlformats-officedocument.wordprocessingml.header+xml"/>
  <Override PartName="/word/footer3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83.xml" ContentType="application/vnd.openxmlformats-officedocument.wordprocessingml.header+xml"/>
  <Override PartName="/word/footer4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91.xml" ContentType="application/vnd.openxmlformats-officedocument.wordprocessingml.header+xml"/>
  <Override PartName="/word/footer4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BC0" w:rsidRPr="004E7B8D" w:rsidRDefault="00E235EC" w:rsidP="004E7B8D">
      <w:pPr>
        <w:pStyle w:val="ARpublicationtitle"/>
      </w:pPr>
      <w:bookmarkStart w:id="0" w:name="_Toc385435062"/>
      <w:bookmarkStart w:id="1" w:name="_Toc394389474"/>
      <w:r w:rsidRPr="004E7B8D">
        <w:rPr>
          <w:lang w:eastAsia="en-AU"/>
        </w:rPr>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7563485" cy="10698480"/>
            <wp:effectExtent l="0" t="0" r="0" b="7620"/>
            <wp:wrapNone/>
            <wp:docPr id="5" name="Picture 5" descr="Crest of the State of Victoria; 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HS Annual Report 2016-17 Cover for web Wor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margin">
              <wp14:pctWidth>0</wp14:pctWidth>
            </wp14:sizeRelH>
            <wp14:sizeRelV relativeFrom="margin">
              <wp14:pctHeight>0</wp14:pctHeight>
            </wp14:sizeRelV>
          </wp:anchor>
        </w:drawing>
      </w:r>
      <w:r w:rsidR="00547593" w:rsidRPr="004E7B8D">
        <w:t>Annual report 2016–17</w:t>
      </w:r>
    </w:p>
    <w:p w:rsidR="000F0BC0" w:rsidRPr="004E7B8D" w:rsidRDefault="000F0BC0" w:rsidP="004E7B8D">
      <w:pPr>
        <w:pStyle w:val="ARpublicationsubtitle"/>
      </w:pPr>
      <w:r w:rsidRPr="004E7B8D">
        <w:t>Victorian Department of Health and Human Services</w:t>
      </w:r>
    </w:p>
    <w:p w:rsidR="00BC1D42" w:rsidRDefault="00BC1D42">
      <w:pPr>
        <w:rPr>
          <w:rFonts w:eastAsia="Times"/>
          <w:sz w:val="20"/>
          <w:szCs w:val="20"/>
        </w:rPr>
        <w:sectPr w:rsidR="00BC1D42" w:rsidSect="00E235EC">
          <w:headerReference w:type="even" r:id="rId10"/>
          <w:headerReference w:type="default" r:id="rId11"/>
          <w:endnotePr>
            <w:numFmt w:val="decimal"/>
          </w:endnotePr>
          <w:pgSz w:w="11900" w:h="16840" w:code="9"/>
          <w:pgMar w:top="5954" w:right="851" w:bottom="680" w:left="1134" w:header="510" w:footer="340" w:gutter="0"/>
          <w:pgNumType w:start="1"/>
          <w:cols w:space="720"/>
          <w:titlePg/>
          <w:docGrid w:linePitch="326"/>
        </w:sectPr>
      </w:pPr>
    </w:p>
    <w:p w:rsidR="0092299C" w:rsidRPr="006F0DB4" w:rsidRDefault="0092299C" w:rsidP="00A21C35">
      <w:pPr>
        <w:spacing w:after="6100" w:line="260" w:lineRule="atLeast"/>
        <w:rPr>
          <w:rFonts w:eastAsia="Times" w:cs="Arial"/>
          <w:sz w:val="20"/>
          <w:szCs w:val="20"/>
        </w:rPr>
      </w:pPr>
    </w:p>
    <w:p w:rsidR="0092299C" w:rsidRPr="006F0DB4" w:rsidRDefault="0092299C" w:rsidP="00A21C35">
      <w:pPr>
        <w:pStyle w:val="ARaccessibilitypara"/>
      </w:pPr>
      <w:r w:rsidRPr="006F0DB4">
        <w:t xml:space="preserve">To receive this publication in an accessible format, </w:t>
      </w:r>
      <w:hyperlink r:id="rId12" w:history="1">
        <w:r w:rsidRPr="00A21C35">
          <w:rPr>
            <w:rStyle w:val="Hyperlink"/>
          </w:rPr>
          <w:t>email corporate reporting</w:t>
        </w:r>
      </w:hyperlink>
      <w:r w:rsidRPr="006F0DB4">
        <w:t xml:space="preserve"> &lt;corporate.reporting@dhhs.vic.gov.au&gt;</w:t>
      </w:r>
      <w:r w:rsidR="007A6AEC">
        <w:t>.</w:t>
      </w:r>
    </w:p>
    <w:p w:rsidR="0092299C" w:rsidRPr="006F0DB4" w:rsidRDefault="0092299C" w:rsidP="007A6AEC">
      <w:pPr>
        <w:pStyle w:val="ARbody"/>
      </w:pPr>
      <w:r w:rsidRPr="006F0DB4">
        <w:t>Authorised and published by the Victorian Government, 1 Treasury Place, Melbourne.</w:t>
      </w:r>
    </w:p>
    <w:p w:rsidR="0092299C" w:rsidRPr="006F0DB4" w:rsidRDefault="0092299C" w:rsidP="007A6AEC">
      <w:pPr>
        <w:pStyle w:val="ARbody"/>
      </w:pPr>
      <w:r w:rsidRPr="006F0DB4">
        <w:t>© State of Victoria, Australia (Department of Health and Human Services</w:t>
      </w:r>
      <w:r>
        <w:t xml:space="preserve">), </w:t>
      </w:r>
      <w:r w:rsidR="00331FFD">
        <w:t>October</w:t>
      </w:r>
      <w:r w:rsidRPr="009A51AF">
        <w:t xml:space="preserve"> 2017.</w:t>
      </w:r>
    </w:p>
    <w:p w:rsidR="0092299C" w:rsidRPr="006F0DB4" w:rsidRDefault="0092299C" w:rsidP="0092299C">
      <w:pPr>
        <w:spacing w:after="120" w:line="260" w:lineRule="atLeast"/>
        <w:rPr>
          <w:rFonts w:eastAsia="Times" w:cs="Arial"/>
          <w:sz w:val="20"/>
          <w:szCs w:val="20"/>
        </w:rPr>
      </w:pPr>
      <w:r w:rsidRPr="006F0DB4">
        <w:rPr>
          <w:rFonts w:eastAsia="Times" w:cs="Arial"/>
          <w:noProof/>
          <w:sz w:val="16"/>
          <w:szCs w:val="16"/>
          <w:lang w:eastAsia="en-AU"/>
        </w:rPr>
        <w:drawing>
          <wp:inline distT="0" distB="0" distL="0" distR="0" wp14:anchorId="5DA881B2" wp14:editId="24847317">
            <wp:extent cx="1233170" cy="425450"/>
            <wp:effectExtent l="0" t="0" r="5080" b="0"/>
            <wp:docPr id="6" name="Picture 6" descr="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170" cy="425450"/>
                    </a:xfrm>
                    <a:prstGeom prst="rect">
                      <a:avLst/>
                    </a:prstGeom>
                    <a:noFill/>
                    <a:ln>
                      <a:noFill/>
                    </a:ln>
                  </pic:spPr>
                </pic:pic>
              </a:graphicData>
            </a:graphic>
          </wp:inline>
        </w:drawing>
      </w:r>
    </w:p>
    <w:p w:rsidR="0092299C" w:rsidRPr="006F0DB4" w:rsidRDefault="0092299C" w:rsidP="0092299C">
      <w:pPr>
        <w:pStyle w:val="ARbody"/>
      </w:pPr>
      <w:r w:rsidRPr="006F0DB4">
        <w:t>With the exception of any images, photographs or brandi</w:t>
      </w:r>
      <w:bookmarkStart w:id="2" w:name="_GoBack"/>
      <w:bookmarkEnd w:id="2"/>
      <w:r w:rsidRPr="006F0DB4">
        <w:t xml:space="preserve">ng (including, but not limited to the Victorian Coat of Arms, the Victorian Government logo or the Department of Health and Human Services logo), this work, </w:t>
      </w:r>
      <w:r w:rsidRPr="00E22B48">
        <w:rPr>
          <w:i/>
        </w:rPr>
        <w:t>Annual report 2016–17: Victorian Department of Health and Human Services</w:t>
      </w:r>
      <w:r w:rsidRPr="006F0DB4">
        <w:t>, is licensed under a Creative Commons Attribution 4.0 licence.</w:t>
      </w:r>
    </w:p>
    <w:p w:rsidR="0092299C" w:rsidRPr="006F0DB4" w:rsidRDefault="0092299C" w:rsidP="0092299C">
      <w:pPr>
        <w:pStyle w:val="ARbody"/>
      </w:pPr>
      <w:r w:rsidRPr="006F0DB4">
        <w:t xml:space="preserve">The terms and conditions of this licence, including disclaimer of warranties and limitation of liability are available at </w:t>
      </w:r>
      <w:hyperlink r:id="rId15" w:history="1">
        <w:r w:rsidRPr="00A21C35">
          <w:rPr>
            <w:rStyle w:val="Hyperlink"/>
          </w:rPr>
          <w:t>Creative Commons Attribution 4.0 International</w:t>
        </w:r>
      </w:hyperlink>
      <w:r w:rsidRPr="006F0DB4">
        <w:t xml:space="preserve"> &lt;https://creativecommons.org/licenses/by/4.0/legalcode&gt;.</w:t>
      </w:r>
    </w:p>
    <w:p w:rsidR="0092299C" w:rsidRPr="006F0DB4" w:rsidRDefault="0092299C" w:rsidP="0092299C">
      <w:pPr>
        <w:pStyle w:val="ARbody"/>
      </w:pPr>
      <w:r w:rsidRPr="006F0DB4">
        <w:t>You are free to reuse the work under that licence, on the condition that you credit the State of Victoria, Australia (Department of Health and Human Services) as the author and/or owner of the work, indicate if any changes have been made to the work and comply with the other licence terms.</w:t>
      </w:r>
    </w:p>
    <w:p w:rsidR="0092299C" w:rsidRPr="006F0DB4" w:rsidRDefault="0092299C" w:rsidP="0092299C">
      <w:pPr>
        <w:pStyle w:val="ARbody"/>
      </w:pPr>
      <w:r w:rsidRPr="006F0DB4">
        <w:t>In this document, ‘Aboriginal’ refers to both Aboriginal and Torres Strait Islander people. ‘Indigenous’ or ‘Koori/</w:t>
      </w:r>
      <w:proofErr w:type="spellStart"/>
      <w:r w:rsidRPr="006F0DB4">
        <w:t>Koorie</w:t>
      </w:r>
      <w:proofErr w:type="spellEnd"/>
      <w:r w:rsidRPr="006F0DB4">
        <w:t>’ is retained when part of the title of a report, program or quotation.</w:t>
      </w:r>
    </w:p>
    <w:p w:rsidR="0092299C" w:rsidRPr="006F0DB4" w:rsidRDefault="0092299C" w:rsidP="0092299C">
      <w:pPr>
        <w:pStyle w:val="ARbody"/>
      </w:pPr>
      <w:r w:rsidRPr="006F0DB4">
        <w:t>ISSN 2205-5398 (print)</w:t>
      </w:r>
    </w:p>
    <w:p w:rsidR="0092299C" w:rsidRPr="006F0DB4" w:rsidRDefault="0092299C" w:rsidP="0092299C">
      <w:pPr>
        <w:pStyle w:val="ARbody"/>
      </w:pPr>
      <w:r w:rsidRPr="006F0DB4">
        <w:t>ISSN 2205-5401 (online)</w:t>
      </w:r>
    </w:p>
    <w:p w:rsidR="0092299C" w:rsidRPr="006F0DB4" w:rsidRDefault="0092299C" w:rsidP="007A6AEC">
      <w:pPr>
        <w:pStyle w:val="ARbody"/>
        <w:rPr>
          <w:szCs w:val="20"/>
        </w:rPr>
      </w:pPr>
      <w:r w:rsidRPr="006F0DB4">
        <w:rPr>
          <w:szCs w:val="19"/>
        </w:rPr>
        <w:t xml:space="preserve">Available at </w:t>
      </w:r>
      <w:hyperlink r:id="rId16" w:history="1">
        <w:r w:rsidRPr="00A21C35">
          <w:rPr>
            <w:rStyle w:val="Hyperlink"/>
          </w:rPr>
          <w:t>Department of Health and Human Services annual reports</w:t>
        </w:r>
      </w:hyperlink>
      <w:r w:rsidRPr="006F0DB4">
        <w:rPr>
          <w:szCs w:val="19"/>
        </w:rPr>
        <w:t xml:space="preserve"> &lt;</w:t>
      </w:r>
      <w:r w:rsidRPr="006F0DB4">
        <w:rPr>
          <w:szCs w:val="20"/>
        </w:rPr>
        <w:t>https://www.dhhs.vic.gov.au/publications/annual-reports&gt;</w:t>
      </w:r>
    </w:p>
    <w:p w:rsidR="0092299C" w:rsidRPr="006F0DB4" w:rsidRDefault="0092299C" w:rsidP="007A6AEC">
      <w:pPr>
        <w:pStyle w:val="ARbody"/>
      </w:pPr>
      <w:r>
        <w:rPr>
          <w:lang w:eastAsia="en-AU"/>
        </w:rPr>
        <w:t xml:space="preserve">Printed </w:t>
      </w:r>
      <w:r w:rsidR="00D430D9">
        <w:rPr>
          <w:lang w:eastAsia="en-AU"/>
        </w:rPr>
        <w:t xml:space="preserve">by </w:t>
      </w:r>
      <w:r w:rsidR="000343D9">
        <w:rPr>
          <w:lang w:eastAsia="en-AU"/>
        </w:rPr>
        <w:t>Impact</w:t>
      </w:r>
      <w:r w:rsidR="005B7819" w:rsidRPr="005B7819">
        <w:rPr>
          <w:lang w:eastAsia="en-AU"/>
        </w:rPr>
        <w:t xml:space="preserve"> </w:t>
      </w:r>
      <w:r w:rsidR="005B7819">
        <w:rPr>
          <w:lang w:eastAsia="en-AU"/>
        </w:rPr>
        <w:t>Digital</w:t>
      </w:r>
      <w:r w:rsidR="000343D9">
        <w:rPr>
          <w:lang w:eastAsia="en-AU"/>
        </w:rPr>
        <w:t>, Brunswick</w:t>
      </w:r>
      <w:r>
        <w:rPr>
          <w:lang w:eastAsia="en-AU"/>
        </w:rPr>
        <w:t xml:space="preserve"> </w:t>
      </w:r>
      <w:r w:rsidRPr="006F0DB4">
        <w:rPr>
          <w:lang w:eastAsia="en-AU"/>
        </w:rPr>
        <w:t>on 100 per cent recycled, FSC (Forestry Stewardship Council) certified and carbon neutral paper.</w:t>
      </w:r>
      <w:r w:rsidRPr="006F0DB4">
        <w:t xml:space="preserve"> </w:t>
      </w:r>
      <w:r w:rsidRPr="006F0DB4">
        <w:rPr>
          <w:szCs w:val="19"/>
        </w:rPr>
        <w:t>(1708003)</w:t>
      </w:r>
    </w:p>
    <w:p w:rsidR="0092299C" w:rsidRPr="006F0DB4" w:rsidRDefault="0092299C" w:rsidP="0092299C">
      <w:pPr>
        <w:pStyle w:val="Heading1"/>
      </w:pPr>
      <w:r w:rsidRPr="006F0DB4">
        <w:br w:type="page"/>
      </w:r>
      <w:bookmarkStart w:id="3" w:name="_Ref492905920"/>
      <w:bookmarkStart w:id="4" w:name="_Toc493069454"/>
      <w:r w:rsidRPr="006F0DB4">
        <w:lastRenderedPageBreak/>
        <w:t>Responsible body’s declaration</w:t>
      </w:r>
      <w:bookmarkEnd w:id="3"/>
      <w:bookmarkEnd w:id="4"/>
    </w:p>
    <w:p w:rsidR="0092299C" w:rsidRPr="006F0DB4" w:rsidRDefault="0092299C" w:rsidP="00E15DF2">
      <w:pPr>
        <w:pStyle w:val="ARbodynospace"/>
      </w:pPr>
      <w:r w:rsidRPr="006F0DB4">
        <w:t>Hon. Jill Hennessy MP</w:t>
      </w:r>
    </w:p>
    <w:p w:rsidR="0092299C" w:rsidRPr="006F0DB4" w:rsidRDefault="0092299C" w:rsidP="00E15DF2">
      <w:pPr>
        <w:pStyle w:val="ARbodynospace"/>
      </w:pPr>
      <w:r w:rsidRPr="006F0DB4">
        <w:t>Minister for Health</w:t>
      </w:r>
    </w:p>
    <w:p w:rsidR="0092299C" w:rsidRDefault="0092299C" w:rsidP="00E15DF2">
      <w:pPr>
        <w:pStyle w:val="ARbody"/>
      </w:pPr>
      <w:r w:rsidRPr="006F0DB4">
        <w:t>Minister for Ambulance Services</w:t>
      </w:r>
    </w:p>
    <w:p w:rsidR="0092299C" w:rsidRPr="006F0DB4" w:rsidRDefault="0092299C" w:rsidP="00E15DF2">
      <w:pPr>
        <w:pStyle w:val="ARbodynospace"/>
      </w:pPr>
      <w:r w:rsidRPr="006F0DB4">
        <w:t>Martin Foley MP</w:t>
      </w:r>
    </w:p>
    <w:p w:rsidR="0092299C" w:rsidRPr="006F0DB4" w:rsidRDefault="0092299C" w:rsidP="00E15DF2">
      <w:pPr>
        <w:pStyle w:val="ARbodynospace"/>
      </w:pPr>
      <w:r w:rsidRPr="006F0DB4">
        <w:t>Minister for Housing, Disability and Ageing</w:t>
      </w:r>
    </w:p>
    <w:p w:rsidR="0092299C" w:rsidRPr="006F0DB4" w:rsidRDefault="0092299C" w:rsidP="00E15DF2">
      <w:pPr>
        <w:pStyle w:val="ARbody"/>
      </w:pPr>
      <w:r w:rsidRPr="006F0DB4">
        <w:t>Minister for Mental Health</w:t>
      </w:r>
    </w:p>
    <w:p w:rsidR="0092299C" w:rsidRPr="006F0DB4" w:rsidRDefault="0092299C" w:rsidP="00E15DF2">
      <w:pPr>
        <w:pStyle w:val="ARbodynospace"/>
      </w:pPr>
      <w:r w:rsidRPr="006F0DB4">
        <w:t xml:space="preserve">Jenny </w:t>
      </w:r>
      <w:proofErr w:type="spellStart"/>
      <w:r w:rsidRPr="006F0DB4">
        <w:t>Mikakos</w:t>
      </w:r>
      <w:proofErr w:type="spellEnd"/>
      <w:r w:rsidRPr="006F0DB4">
        <w:t xml:space="preserve"> MP</w:t>
      </w:r>
    </w:p>
    <w:p w:rsidR="0092299C" w:rsidRPr="006F0DB4" w:rsidRDefault="0092299C" w:rsidP="00E15DF2">
      <w:pPr>
        <w:pStyle w:val="ARbodynospace"/>
      </w:pPr>
      <w:r w:rsidRPr="006F0DB4">
        <w:t>Minister for Families and Children</w:t>
      </w:r>
    </w:p>
    <w:p w:rsidR="0092299C" w:rsidRPr="006F0DB4" w:rsidRDefault="0092299C" w:rsidP="00E15DF2">
      <w:pPr>
        <w:pStyle w:val="ARbody"/>
      </w:pPr>
      <w:r w:rsidRPr="006F0DB4">
        <w:t>Minister for Youth Affairs</w:t>
      </w:r>
    </w:p>
    <w:p w:rsidR="0092299C" w:rsidRPr="006F0DB4" w:rsidRDefault="0092299C" w:rsidP="00E15DF2">
      <w:pPr>
        <w:pStyle w:val="ARbodynospace"/>
      </w:pPr>
      <w:r w:rsidRPr="006F0DB4">
        <w:t xml:space="preserve">Hon. John </w:t>
      </w:r>
      <w:proofErr w:type="spellStart"/>
      <w:r w:rsidRPr="006F0DB4">
        <w:t>Eren</w:t>
      </w:r>
      <w:proofErr w:type="spellEnd"/>
      <w:r w:rsidRPr="006F0DB4">
        <w:t xml:space="preserve"> MP</w:t>
      </w:r>
    </w:p>
    <w:p w:rsidR="0092299C" w:rsidRPr="006F0DB4" w:rsidRDefault="0092299C" w:rsidP="00E15DF2">
      <w:pPr>
        <w:pStyle w:val="ARbody"/>
      </w:pPr>
      <w:r w:rsidRPr="006F0DB4">
        <w:t>Minister for Sport</w:t>
      </w:r>
    </w:p>
    <w:p w:rsidR="00E15DF2" w:rsidRDefault="00E15DF2" w:rsidP="00E15DF2">
      <w:pPr>
        <w:pStyle w:val="ARbody"/>
      </w:pPr>
    </w:p>
    <w:p w:rsidR="0092299C" w:rsidRPr="006F0DB4" w:rsidRDefault="0092299C" w:rsidP="00E15DF2">
      <w:pPr>
        <w:pStyle w:val="ARbody"/>
      </w:pPr>
      <w:r w:rsidRPr="006F0DB4">
        <w:t>Dear Ministers</w:t>
      </w:r>
    </w:p>
    <w:p w:rsidR="0092299C" w:rsidRPr="006F0DB4" w:rsidRDefault="0092299C" w:rsidP="00E15DF2">
      <w:pPr>
        <w:pStyle w:val="ARbody"/>
      </w:pPr>
      <w:r w:rsidRPr="006F0DB4">
        <w:t xml:space="preserve">In accordance with the </w:t>
      </w:r>
      <w:r w:rsidRPr="006F0DB4">
        <w:rPr>
          <w:i/>
        </w:rPr>
        <w:t>Financial Management Act 1994</w:t>
      </w:r>
      <w:r w:rsidRPr="006F0DB4">
        <w:t xml:space="preserve">, I am pleased to submit to you the </w:t>
      </w:r>
      <w:r w:rsidRPr="006F0DB4">
        <w:br/>
        <w:t>Department of Health and Human Services annual report for the period 1 July 2016 to 30 June 2017.</w:t>
      </w:r>
    </w:p>
    <w:p w:rsidR="00C80D5E" w:rsidRDefault="00C80D5E" w:rsidP="00C80D5E">
      <w:pPr>
        <w:pStyle w:val="ARbodyaftertable"/>
        <w:spacing w:before="400"/>
      </w:pPr>
      <w:r w:rsidRPr="00D428E7">
        <w:rPr>
          <w:noProof/>
          <w:lang w:eastAsia="en-AU"/>
        </w:rPr>
        <w:drawing>
          <wp:inline distT="0" distB="0" distL="0" distR="0" wp14:anchorId="34B2B4D6" wp14:editId="1DC011F6">
            <wp:extent cx="1204595" cy="672465"/>
            <wp:effectExtent l="0" t="0" r="0" b="0"/>
            <wp:docPr id="14" name="Picture 14"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rsidR="0092299C" w:rsidRPr="006F0DB4" w:rsidRDefault="0092299C" w:rsidP="00E15DF2">
      <w:pPr>
        <w:pStyle w:val="ARbodynospace"/>
      </w:pPr>
      <w:r w:rsidRPr="006F0DB4">
        <w:t>Kym Peake</w:t>
      </w:r>
    </w:p>
    <w:p w:rsidR="0092299C" w:rsidRPr="006F0DB4" w:rsidRDefault="0092299C" w:rsidP="00E15DF2">
      <w:pPr>
        <w:pStyle w:val="ARbodynospace"/>
      </w:pPr>
      <w:r w:rsidRPr="006F0DB4">
        <w:t>Secretary</w:t>
      </w:r>
    </w:p>
    <w:p w:rsidR="0092299C" w:rsidRPr="006F0DB4" w:rsidRDefault="0092299C" w:rsidP="00E15DF2">
      <w:pPr>
        <w:pStyle w:val="ARbodynospace"/>
      </w:pPr>
      <w:r w:rsidRPr="006F0DB4">
        <w:t>Department of Health and Human Services</w:t>
      </w:r>
    </w:p>
    <w:p w:rsidR="0092299C" w:rsidRPr="006F0DB4" w:rsidRDefault="0092299C" w:rsidP="0092299C">
      <w:pPr>
        <w:keepNext/>
        <w:keepLines/>
        <w:spacing w:after="480" w:line="480" w:lineRule="atLeast"/>
        <w:rPr>
          <w:rFonts w:eastAsia="MS Gothic"/>
          <w:bCs/>
          <w:color w:val="87189D"/>
          <w:kern w:val="32"/>
          <w:sz w:val="48"/>
          <w:szCs w:val="48"/>
          <w:lang w:val="x-none" w:eastAsia="x-none"/>
        </w:rPr>
        <w:sectPr w:rsidR="0092299C" w:rsidRPr="006F0DB4" w:rsidSect="00BC1D42">
          <w:headerReference w:type="default" r:id="rId18"/>
          <w:headerReference w:type="first" r:id="rId19"/>
          <w:endnotePr>
            <w:numFmt w:val="decimal"/>
          </w:endnotePr>
          <w:pgSz w:w="11900" w:h="16840" w:code="9"/>
          <w:pgMar w:top="1531" w:right="851" w:bottom="680" w:left="1418" w:header="510" w:footer="340" w:gutter="0"/>
          <w:cols w:space="720"/>
          <w:docGrid w:linePitch="326"/>
        </w:sectPr>
      </w:pPr>
      <w:r w:rsidRPr="006F0DB4">
        <w:rPr>
          <w:rFonts w:eastAsia="MS Gothic"/>
          <w:bCs/>
          <w:color w:val="87189D"/>
          <w:kern w:val="32"/>
          <w:sz w:val="48"/>
          <w:szCs w:val="48"/>
          <w:lang w:val="x-none" w:eastAsia="x-none"/>
        </w:rPr>
        <w:br w:type="page"/>
      </w:r>
    </w:p>
    <w:p w:rsidR="0092299C" w:rsidRPr="00207B0B" w:rsidRDefault="0092299C" w:rsidP="0092299C">
      <w:pPr>
        <w:pStyle w:val="ARTOCheading"/>
      </w:pPr>
      <w:r w:rsidRPr="00207B0B">
        <w:lastRenderedPageBreak/>
        <w:t>Contents</w:t>
      </w:r>
    </w:p>
    <w:p w:rsidR="00CD075B" w:rsidRDefault="0092299C">
      <w:pPr>
        <w:pStyle w:val="TOC1"/>
        <w:rPr>
          <w:rFonts w:asciiTheme="minorHAnsi" w:eastAsiaTheme="minorEastAsia" w:hAnsiTheme="minorHAnsi" w:cstheme="minorBidi"/>
          <w:sz w:val="22"/>
          <w:szCs w:val="22"/>
          <w:lang w:eastAsia="en-AU"/>
        </w:rPr>
      </w:pPr>
      <w:r w:rsidRPr="006F0DB4">
        <w:rPr>
          <w:szCs w:val="20"/>
        </w:rPr>
        <w:fldChar w:fldCharType="begin"/>
      </w:r>
      <w:r w:rsidRPr="006F0DB4">
        <w:rPr>
          <w:szCs w:val="20"/>
        </w:rPr>
        <w:instrText xml:space="preserve"> TOC \o "1-1" \h \z \u </w:instrText>
      </w:r>
      <w:r w:rsidRPr="006F0DB4">
        <w:rPr>
          <w:szCs w:val="20"/>
        </w:rPr>
        <w:fldChar w:fldCharType="separate"/>
      </w:r>
      <w:hyperlink w:anchor="_Toc493069454" w:history="1">
        <w:r w:rsidR="00CD075B" w:rsidRPr="00A54218">
          <w:rPr>
            <w:rStyle w:val="Hyperlink"/>
          </w:rPr>
          <w:t>Responsible body’s declaration</w:t>
        </w:r>
        <w:r w:rsidR="00CD075B">
          <w:rPr>
            <w:webHidden/>
          </w:rPr>
          <w:tab/>
        </w:r>
        <w:r w:rsidR="00CD075B">
          <w:rPr>
            <w:webHidden/>
          </w:rPr>
          <w:fldChar w:fldCharType="begin"/>
        </w:r>
        <w:r w:rsidR="00CD075B">
          <w:rPr>
            <w:webHidden/>
          </w:rPr>
          <w:instrText xml:space="preserve"> PAGEREF _Toc493069454 \h </w:instrText>
        </w:r>
        <w:r w:rsidR="00CD075B">
          <w:rPr>
            <w:webHidden/>
          </w:rPr>
        </w:r>
        <w:r w:rsidR="00CD075B">
          <w:rPr>
            <w:webHidden/>
          </w:rPr>
          <w:fldChar w:fldCharType="separate"/>
        </w:r>
        <w:r w:rsidR="00CA48ED">
          <w:rPr>
            <w:webHidden/>
          </w:rPr>
          <w:t>3</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55" w:history="1">
        <w:r w:rsidR="00CD075B" w:rsidRPr="00A54218">
          <w:rPr>
            <w:rStyle w:val="Hyperlink"/>
          </w:rPr>
          <w:t>Secretary’s foreword</w:t>
        </w:r>
        <w:r w:rsidR="00CD075B">
          <w:rPr>
            <w:webHidden/>
          </w:rPr>
          <w:tab/>
        </w:r>
        <w:r w:rsidR="00CD075B">
          <w:rPr>
            <w:webHidden/>
          </w:rPr>
          <w:fldChar w:fldCharType="begin"/>
        </w:r>
        <w:r w:rsidR="00CD075B">
          <w:rPr>
            <w:webHidden/>
          </w:rPr>
          <w:instrText xml:space="preserve"> PAGEREF _Toc493069455 \h </w:instrText>
        </w:r>
        <w:r w:rsidR="00CD075B">
          <w:rPr>
            <w:webHidden/>
          </w:rPr>
        </w:r>
        <w:r w:rsidR="00CD075B">
          <w:rPr>
            <w:webHidden/>
          </w:rPr>
          <w:fldChar w:fldCharType="separate"/>
        </w:r>
        <w:r w:rsidR="00CA48ED">
          <w:rPr>
            <w:webHidden/>
          </w:rPr>
          <w:t>5</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56" w:history="1">
        <w:r w:rsidR="00CD075B" w:rsidRPr="00A54218">
          <w:rPr>
            <w:rStyle w:val="Hyperlink"/>
          </w:rPr>
          <w:t>Introduction</w:t>
        </w:r>
        <w:r w:rsidR="00CD075B">
          <w:rPr>
            <w:webHidden/>
          </w:rPr>
          <w:tab/>
        </w:r>
        <w:r w:rsidR="00CD075B">
          <w:rPr>
            <w:webHidden/>
          </w:rPr>
          <w:fldChar w:fldCharType="begin"/>
        </w:r>
        <w:r w:rsidR="00CD075B">
          <w:rPr>
            <w:webHidden/>
          </w:rPr>
          <w:instrText xml:space="preserve"> PAGEREF _Toc493069456 \h </w:instrText>
        </w:r>
        <w:r w:rsidR="00CD075B">
          <w:rPr>
            <w:webHidden/>
          </w:rPr>
        </w:r>
        <w:r w:rsidR="00CD075B">
          <w:rPr>
            <w:webHidden/>
          </w:rPr>
          <w:fldChar w:fldCharType="separate"/>
        </w:r>
        <w:r w:rsidR="00CA48ED">
          <w:rPr>
            <w:webHidden/>
          </w:rPr>
          <w:t>7</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57" w:history="1">
        <w:r w:rsidR="00CD075B" w:rsidRPr="00A54218">
          <w:rPr>
            <w:rStyle w:val="Hyperlink"/>
          </w:rPr>
          <w:t>The department’s ministers</w:t>
        </w:r>
        <w:r w:rsidR="00CD075B">
          <w:rPr>
            <w:webHidden/>
          </w:rPr>
          <w:tab/>
        </w:r>
        <w:r w:rsidR="00CD075B">
          <w:rPr>
            <w:webHidden/>
          </w:rPr>
          <w:fldChar w:fldCharType="begin"/>
        </w:r>
        <w:r w:rsidR="00CD075B">
          <w:rPr>
            <w:webHidden/>
          </w:rPr>
          <w:instrText xml:space="preserve"> PAGEREF _Toc493069457 \h </w:instrText>
        </w:r>
        <w:r w:rsidR="00CD075B">
          <w:rPr>
            <w:webHidden/>
          </w:rPr>
        </w:r>
        <w:r w:rsidR="00CD075B">
          <w:rPr>
            <w:webHidden/>
          </w:rPr>
          <w:fldChar w:fldCharType="separate"/>
        </w:r>
        <w:r w:rsidR="00CA48ED">
          <w:rPr>
            <w:webHidden/>
          </w:rPr>
          <w:t>10</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58" w:history="1">
        <w:r w:rsidR="00CD075B" w:rsidRPr="00A54218">
          <w:rPr>
            <w:rStyle w:val="Hyperlink"/>
          </w:rPr>
          <w:t>Year in review</w:t>
        </w:r>
        <w:r w:rsidR="00CD075B">
          <w:rPr>
            <w:webHidden/>
          </w:rPr>
          <w:tab/>
        </w:r>
        <w:r w:rsidR="00CD075B">
          <w:rPr>
            <w:webHidden/>
          </w:rPr>
          <w:fldChar w:fldCharType="begin"/>
        </w:r>
        <w:r w:rsidR="00CD075B">
          <w:rPr>
            <w:webHidden/>
          </w:rPr>
          <w:instrText xml:space="preserve"> PAGEREF _Toc493069458 \h </w:instrText>
        </w:r>
        <w:r w:rsidR="00CD075B">
          <w:rPr>
            <w:webHidden/>
          </w:rPr>
        </w:r>
        <w:r w:rsidR="00CD075B">
          <w:rPr>
            <w:webHidden/>
          </w:rPr>
          <w:fldChar w:fldCharType="separate"/>
        </w:r>
        <w:r w:rsidR="00CA48ED">
          <w:rPr>
            <w:webHidden/>
          </w:rPr>
          <w:t>12</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59" w:history="1">
        <w:r w:rsidR="00CD075B" w:rsidRPr="00A54218">
          <w:rPr>
            <w:rStyle w:val="Hyperlink"/>
          </w:rPr>
          <w:t>Performance reporting</w:t>
        </w:r>
        <w:r w:rsidR="00CD075B">
          <w:rPr>
            <w:webHidden/>
          </w:rPr>
          <w:tab/>
        </w:r>
        <w:r w:rsidR="00CD075B">
          <w:rPr>
            <w:webHidden/>
          </w:rPr>
          <w:fldChar w:fldCharType="begin"/>
        </w:r>
        <w:r w:rsidR="00CD075B">
          <w:rPr>
            <w:webHidden/>
          </w:rPr>
          <w:instrText xml:space="preserve"> PAGEREF _Toc493069459 \h </w:instrText>
        </w:r>
        <w:r w:rsidR="00CD075B">
          <w:rPr>
            <w:webHidden/>
          </w:rPr>
        </w:r>
        <w:r w:rsidR="00CD075B">
          <w:rPr>
            <w:webHidden/>
          </w:rPr>
          <w:fldChar w:fldCharType="separate"/>
        </w:r>
        <w:r w:rsidR="00CA48ED">
          <w:rPr>
            <w:webHidden/>
          </w:rPr>
          <w:t>41</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60" w:history="1">
        <w:r w:rsidR="00CD075B" w:rsidRPr="00A54218">
          <w:rPr>
            <w:rStyle w:val="Hyperlink"/>
          </w:rPr>
          <w:t>Finance and budgetary performance</w:t>
        </w:r>
        <w:r w:rsidR="00CD075B">
          <w:rPr>
            <w:webHidden/>
          </w:rPr>
          <w:tab/>
        </w:r>
        <w:r w:rsidR="00CD075B">
          <w:rPr>
            <w:webHidden/>
          </w:rPr>
          <w:fldChar w:fldCharType="begin"/>
        </w:r>
        <w:r w:rsidR="00CD075B">
          <w:rPr>
            <w:webHidden/>
          </w:rPr>
          <w:instrText xml:space="preserve"> PAGEREF _Toc493069460 \h </w:instrText>
        </w:r>
        <w:r w:rsidR="00CD075B">
          <w:rPr>
            <w:webHidden/>
          </w:rPr>
        </w:r>
        <w:r w:rsidR="00CD075B">
          <w:rPr>
            <w:webHidden/>
          </w:rPr>
          <w:fldChar w:fldCharType="separate"/>
        </w:r>
        <w:r w:rsidR="00CA48ED">
          <w:rPr>
            <w:webHidden/>
          </w:rPr>
          <w:t>62</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61" w:history="1">
        <w:r w:rsidR="00CD075B" w:rsidRPr="00A54218">
          <w:rPr>
            <w:rStyle w:val="Hyperlink"/>
          </w:rPr>
          <w:t>Governance</w:t>
        </w:r>
        <w:r w:rsidR="00CD075B">
          <w:rPr>
            <w:webHidden/>
          </w:rPr>
          <w:tab/>
        </w:r>
        <w:r w:rsidR="00CD075B">
          <w:rPr>
            <w:webHidden/>
          </w:rPr>
          <w:fldChar w:fldCharType="begin"/>
        </w:r>
        <w:r w:rsidR="00CD075B">
          <w:rPr>
            <w:webHidden/>
          </w:rPr>
          <w:instrText xml:space="preserve"> PAGEREF _Toc493069461 \h </w:instrText>
        </w:r>
        <w:r w:rsidR="00CD075B">
          <w:rPr>
            <w:webHidden/>
          </w:rPr>
        </w:r>
        <w:r w:rsidR="00CD075B">
          <w:rPr>
            <w:webHidden/>
          </w:rPr>
          <w:fldChar w:fldCharType="separate"/>
        </w:r>
        <w:r w:rsidR="00CA48ED">
          <w:rPr>
            <w:webHidden/>
          </w:rPr>
          <w:t>64</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62" w:history="1">
        <w:r w:rsidR="00CD075B" w:rsidRPr="00A54218">
          <w:rPr>
            <w:rStyle w:val="Hyperlink"/>
          </w:rPr>
          <w:t>People</w:t>
        </w:r>
        <w:r w:rsidR="00CD075B">
          <w:rPr>
            <w:webHidden/>
          </w:rPr>
          <w:tab/>
        </w:r>
        <w:r w:rsidR="00CD075B">
          <w:rPr>
            <w:webHidden/>
          </w:rPr>
          <w:fldChar w:fldCharType="begin"/>
        </w:r>
        <w:r w:rsidR="00CD075B">
          <w:rPr>
            <w:webHidden/>
          </w:rPr>
          <w:instrText xml:space="preserve"> PAGEREF _Toc493069462 \h </w:instrText>
        </w:r>
        <w:r w:rsidR="00CD075B">
          <w:rPr>
            <w:webHidden/>
          </w:rPr>
        </w:r>
        <w:r w:rsidR="00CD075B">
          <w:rPr>
            <w:webHidden/>
          </w:rPr>
          <w:fldChar w:fldCharType="separate"/>
        </w:r>
        <w:r w:rsidR="00CA48ED">
          <w:rPr>
            <w:webHidden/>
          </w:rPr>
          <w:t>69</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63" w:history="1">
        <w:r w:rsidR="00CD075B" w:rsidRPr="00A54218">
          <w:rPr>
            <w:rStyle w:val="Hyperlink"/>
          </w:rPr>
          <w:t>Disclosures</w:t>
        </w:r>
        <w:r w:rsidR="00CD075B">
          <w:rPr>
            <w:webHidden/>
          </w:rPr>
          <w:tab/>
        </w:r>
        <w:r w:rsidR="00CD075B">
          <w:rPr>
            <w:webHidden/>
          </w:rPr>
          <w:fldChar w:fldCharType="begin"/>
        </w:r>
        <w:r w:rsidR="00CD075B">
          <w:rPr>
            <w:webHidden/>
          </w:rPr>
          <w:instrText xml:space="preserve"> PAGEREF _Toc493069463 \h </w:instrText>
        </w:r>
        <w:r w:rsidR="00CD075B">
          <w:rPr>
            <w:webHidden/>
          </w:rPr>
        </w:r>
        <w:r w:rsidR="00CD075B">
          <w:rPr>
            <w:webHidden/>
          </w:rPr>
          <w:fldChar w:fldCharType="separate"/>
        </w:r>
        <w:r w:rsidR="00CA48ED">
          <w:rPr>
            <w:webHidden/>
          </w:rPr>
          <w:t>83</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64" w:history="1">
        <w:r w:rsidR="00CD075B" w:rsidRPr="00A54218">
          <w:rPr>
            <w:rStyle w:val="Hyperlink"/>
          </w:rPr>
          <w:t>Environmental sustainability report</w:t>
        </w:r>
        <w:r w:rsidR="00CD075B">
          <w:rPr>
            <w:webHidden/>
          </w:rPr>
          <w:tab/>
        </w:r>
        <w:r w:rsidR="00CD075B">
          <w:rPr>
            <w:webHidden/>
          </w:rPr>
          <w:fldChar w:fldCharType="begin"/>
        </w:r>
        <w:r w:rsidR="00CD075B">
          <w:rPr>
            <w:webHidden/>
          </w:rPr>
          <w:instrText xml:space="preserve"> PAGEREF _Toc493069464 \h </w:instrText>
        </w:r>
        <w:r w:rsidR="00CD075B">
          <w:rPr>
            <w:webHidden/>
          </w:rPr>
        </w:r>
        <w:r w:rsidR="00CD075B">
          <w:rPr>
            <w:webHidden/>
          </w:rPr>
          <w:fldChar w:fldCharType="separate"/>
        </w:r>
        <w:r w:rsidR="00CA48ED">
          <w:rPr>
            <w:webHidden/>
          </w:rPr>
          <w:t>113</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65" w:history="1">
        <w:r w:rsidR="00CD075B">
          <w:rPr>
            <w:rStyle w:val="Hyperlink"/>
          </w:rPr>
          <w:t>Financial statements</w:t>
        </w:r>
        <w:r w:rsidR="00CD075B">
          <w:rPr>
            <w:webHidden/>
          </w:rPr>
          <w:tab/>
        </w:r>
        <w:r w:rsidR="00CD075B">
          <w:rPr>
            <w:webHidden/>
          </w:rPr>
          <w:fldChar w:fldCharType="begin"/>
        </w:r>
        <w:r w:rsidR="00CD075B">
          <w:rPr>
            <w:webHidden/>
          </w:rPr>
          <w:instrText xml:space="preserve"> PAGEREF _Toc493069465 \h </w:instrText>
        </w:r>
        <w:r w:rsidR="00CD075B">
          <w:rPr>
            <w:webHidden/>
          </w:rPr>
        </w:r>
        <w:r w:rsidR="00CD075B">
          <w:rPr>
            <w:webHidden/>
          </w:rPr>
          <w:fldChar w:fldCharType="separate"/>
        </w:r>
        <w:r w:rsidR="00CA48ED">
          <w:rPr>
            <w:webHidden/>
          </w:rPr>
          <w:t>126</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66" w:history="1">
        <w:r w:rsidR="00CD075B" w:rsidRPr="00A54218">
          <w:rPr>
            <w:rStyle w:val="Hyperlink"/>
          </w:rPr>
          <w:t>Appendices</w:t>
        </w:r>
        <w:r w:rsidR="00CD075B">
          <w:rPr>
            <w:webHidden/>
          </w:rPr>
          <w:tab/>
        </w:r>
        <w:r w:rsidR="00CD075B">
          <w:rPr>
            <w:webHidden/>
          </w:rPr>
          <w:fldChar w:fldCharType="begin"/>
        </w:r>
        <w:r w:rsidR="00CD075B">
          <w:rPr>
            <w:webHidden/>
          </w:rPr>
          <w:instrText xml:space="preserve"> PAGEREF _Toc493069466 \h </w:instrText>
        </w:r>
        <w:r w:rsidR="00CD075B">
          <w:rPr>
            <w:webHidden/>
          </w:rPr>
        </w:r>
        <w:r w:rsidR="00CD075B">
          <w:rPr>
            <w:webHidden/>
          </w:rPr>
          <w:fldChar w:fldCharType="separate"/>
        </w:r>
        <w:r w:rsidR="00CA48ED">
          <w:rPr>
            <w:webHidden/>
          </w:rPr>
          <w:t>207</w:t>
        </w:r>
        <w:r w:rsidR="00CD075B">
          <w:rPr>
            <w:webHidden/>
          </w:rPr>
          <w:fldChar w:fldCharType="end"/>
        </w:r>
      </w:hyperlink>
    </w:p>
    <w:p w:rsidR="0092299C" w:rsidRPr="00915516" w:rsidRDefault="0092299C" w:rsidP="00DE552B">
      <w:pPr>
        <w:tabs>
          <w:tab w:val="right" w:leader="dot" w:pos="7371"/>
        </w:tabs>
        <w:spacing w:after="120" w:line="260" w:lineRule="atLeast"/>
        <w:rPr>
          <w:rFonts w:eastAsia="MS Gothic"/>
        </w:rPr>
      </w:pPr>
      <w:r w:rsidRPr="006F0DB4">
        <w:rPr>
          <w:noProof/>
          <w:sz w:val="20"/>
          <w:szCs w:val="20"/>
        </w:rPr>
        <w:fldChar w:fldCharType="end"/>
      </w:r>
    </w:p>
    <w:p w:rsidR="0092299C" w:rsidRPr="006F0DB4" w:rsidRDefault="0092299C" w:rsidP="0092299C">
      <w:pPr>
        <w:keepNext/>
        <w:keepLines/>
        <w:spacing w:after="480" w:line="480" w:lineRule="atLeast"/>
        <w:rPr>
          <w:rFonts w:eastAsia="MS Gothic"/>
          <w:bCs/>
          <w:color w:val="87189D"/>
          <w:kern w:val="32"/>
          <w:sz w:val="48"/>
          <w:szCs w:val="32"/>
          <w:lang w:eastAsia="x-none"/>
        </w:rPr>
        <w:sectPr w:rsidR="0092299C" w:rsidRPr="006F0DB4" w:rsidSect="00017A76">
          <w:endnotePr>
            <w:numFmt w:val="decimal"/>
          </w:endnotePr>
          <w:pgSz w:w="11900" w:h="16840" w:code="9"/>
          <w:pgMar w:top="1531" w:right="851" w:bottom="680" w:left="1418" w:header="510" w:footer="340" w:gutter="0"/>
          <w:cols w:space="720"/>
        </w:sectPr>
      </w:pPr>
    </w:p>
    <w:p w:rsidR="0092299C" w:rsidRPr="006F0DB4" w:rsidRDefault="0092299C" w:rsidP="0092299C">
      <w:pPr>
        <w:pStyle w:val="Heading1"/>
      </w:pPr>
      <w:bookmarkStart w:id="5" w:name="_Toc493069455"/>
      <w:r w:rsidRPr="006F0DB4">
        <w:lastRenderedPageBreak/>
        <w:t>Secretary’s for</w:t>
      </w:r>
      <w:r>
        <w:t>e</w:t>
      </w:r>
      <w:r w:rsidRPr="006F0DB4">
        <w:t>w</w:t>
      </w:r>
      <w:r>
        <w:t>o</w:t>
      </w:r>
      <w:r w:rsidRPr="006F0DB4">
        <w:t>rd</w:t>
      </w:r>
      <w:bookmarkEnd w:id="5"/>
    </w:p>
    <w:p w:rsidR="0092299C" w:rsidRDefault="0092299C" w:rsidP="0092299C">
      <w:pPr>
        <w:spacing w:after="120" w:line="270" w:lineRule="atLeast"/>
        <w:rPr>
          <w:rFonts w:eastAsia="Times"/>
          <w:sz w:val="20"/>
          <w:szCs w:val="20"/>
        </w:rPr>
        <w:sectPr w:rsidR="0092299C" w:rsidSect="00017A76">
          <w:endnotePr>
            <w:numFmt w:val="decimal"/>
          </w:endnotePr>
          <w:pgSz w:w="11900" w:h="16840" w:code="9"/>
          <w:pgMar w:top="1531" w:right="851" w:bottom="680" w:left="1418" w:header="510" w:footer="340" w:gutter="0"/>
          <w:cols w:space="720"/>
        </w:sectPr>
      </w:pPr>
    </w:p>
    <w:p w:rsidR="00AA035A" w:rsidRDefault="0092299C" w:rsidP="007A6AEC">
      <w:pPr>
        <w:pStyle w:val="ARbody"/>
      </w:pPr>
      <w:r w:rsidRPr="00E4624B">
        <w:lastRenderedPageBreak/>
        <w:t>Our department’s aspiration is for all Victorians to be safe, healthy and able to live a life they value.</w:t>
      </w:r>
    </w:p>
    <w:p w:rsidR="0092299C" w:rsidRPr="00E4624B" w:rsidRDefault="0092299C" w:rsidP="007A6AEC">
      <w:pPr>
        <w:pStyle w:val="ARbody"/>
      </w:pPr>
      <w:r w:rsidRPr="00E4624B">
        <w:t xml:space="preserve">Each of us has worked, and continues to work, </w:t>
      </w:r>
      <w:r w:rsidR="003F2B0B">
        <w:br/>
      </w:r>
      <w:r w:rsidRPr="00E4624B">
        <w:t xml:space="preserve">to ensure our services support this aspiration, through policies, programs and services that are designed and delivered around the person, as well as being </w:t>
      </w:r>
      <w:r>
        <w:t>safe, accessible and efficient.</w:t>
      </w:r>
    </w:p>
    <w:p w:rsidR="0092299C" w:rsidRPr="00E4624B" w:rsidRDefault="0092299C" w:rsidP="007A6AEC">
      <w:pPr>
        <w:pStyle w:val="ARbody"/>
      </w:pPr>
      <w:r w:rsidRPr="00E4624B">
        <w:t>All Victorians, rightly, expect their health and human services to be easy to access, equitable and underpinned by the highest standards of quality and safety.</w:t>
      </w:r>
    </w:p>
    <w:p w:rsidR="0092299C" w:rsidRPr="00E4624B" w:rsidRDefault="0092299C" w:rsidP="007A6AEC">
      <w:pPr>
        <w:pStyle w:val="ARbody"/>
      </w:pPr>
      <w:r w:rsidRPr="00E4624B">
        <w:t>In the past twelve months, the department has responded to these expectations by undertaking a range of work to improve the health and wellbeing of all Victorians, including</w:t>
      </w:r>
      <w:r>
        <w:t>:</w:t>
      </w:r>
    </w:p>
    <w:p w:rsidR="0092299C" w:rsidRPr="00E4624B" w:rsidRDefault="0092299C" w:rsidP="0092299C">
      <w:pPr>
        <w:pStyle w:val="ARbullet1"/>
      </w:pPr>
      <w:r>
        <w:t>s</w:t>
      </w:r>
      <w:r w:rsidRPr="00E4624B">
        <w:t>uccessfully implementing immunisation campaigns that increase participation rates and protect the health of all Victorian children</w:t>
      </w:r>
    </w:p>
    <w:p w:rsidR="0092299C" w:rsidRDefault="0092299C" w:rsidP="0092299C">
      <w:pPr>
        <w:pStyle w:val="ARbullet1"/>
      </w:pPr>
      <w:r>
        <w:t>w</w:t>
      </w:r>
      <w:r w:rsidRPr="00E4624B">
        <w:t xml:space="preserve">orking with Ambulance Victoria and our hospitals to improve ambulance response times and reduce elective surgery waiting lists across </w:t>
      </w:r>
      <w:r>
        <w:t>Victoria, despite record demand</w:t>
      </w:r>
    </w:p>
    <w:p w:rsidR="00C34A9D" w:rsidRDefault="00C34A9D" w:rsidP="00C34A9D">
      <w:pPr>
        <w:pStyle w:val="ARbullet1"/>
      </w:pPr>
      <w:r>
        <w:t>delivering the foster carer attraction campaign</w:t>
      </w:r>
      <w:r w:rsidR="00D54BD9">
        <w:t>,</w:t>
      </w:r>
      <w:r>
        <w:t xml:space="preserve"> encouraging all Victorians to consider fostering a child</w:t>
      </w:r>
    </w:p>
    <w:p w:rsidR="00AA035A" w:rsidRDefault="0092299C" w:rsidP="0092299C">
      <w:pPr>
        <w:pStyle w:val="ARbullet1"/>
      </w:pPr>
      <w:r>
        <w:t>e</w:t>
      </w:r>
      <w:r w:rsidRPr="00E4624B">
        <w:t>nacting a comprehensive program of work on Thunderstorm Asthma to ensure Victoria is better prepared for any future events</w:t>
      </w:r>
    </w:p>
    <w:p w:rsidR="0092299C" w:rsidRPr="00E4624B" w:rsidRDefault="0092299C" w:rsidP="0092299C">
      <w:pPr>
        <w:pStyle w:val="ARbullet1"/>
      </w:pPr>
      <w:r>
        <w:t>p</w:t>
      </w:r>
      <w:r w:rsidRPr="00E4624B">
        <w:t>roviding effective relief and recovery in the aftermath of major emergencies, from the Bourke Street tragedy, to Wye Rive</w:t>
      </w:r>
      <w:r>
        <w:t xml:space="preserve">r fires and </w:t>
      </w:r>
      <w:proofErr w:type="spellStart"/>
      <w:r>
        <w:t>statewide</w:t>
      </w:r>
      <w:proofErr w:type="spellEnd"/>
      <w:r>
        <w:t xml:space="preserve"> flooding</w:t>
      </w:r>
    </w:p>
    <w:p w:rsidR="0092299C" w:rsidRPr="00E4624B" w:rsidRDefault="0092299C" w:rsidP="0092299C">
      <w:pPr>
        <w:pStyle w:val="ARbullet1"/>
      </w:pPr>
      <w:r>
        <w:t>p</w:t>
      </w:r>
      <w:r w:rsidRPr="00E4624B">
        <w:t>articipating as a key government player in efforts to support a healthy community and wider restructuring in the Latrobe Valley</w:t>
      </w:r>
    </w:p>
    <w:p w:rsidR="0092299C" w:rsidRPr="00E4624B" w:rsidRDefault="0092299C" w:rsidP="0092299C">
      <w:pPr>
        <w:pStyle w:val="ARbullet1"/>
      </w:pPr>
      <w:r>
        <w:t>o</w:t>
      </w:r>
      <w:r w:rsidRPr="00E4624B">
        <w:t>pe</w:t>
      </w:r>
      <w:r>
        <w:t>ning 12</w:t>
      </w:r>
      <w:r w:rsidRPr="00E4624B">
        <w:t xml:space="preserve"> new </w:t>
      </w:r>
      <w:proofErr w:type="spellStart"/>
      <w:r w:rsidRPr="00E4624B">
        <w:t>Supercare</w:t>
      </w:r>
      <w:proofErr w:type="spellEnd"/>
      <w:r w:rsidRPr="00E4624B">
        <w:t xml:space="preserve"> Pharmacies across the state</w:t>
      </w:r>
    </w:p>
    <w:p w:rsidR="0092299C" w:rsidRDefault="005B7819" w:rsidP="0092299C">
      <w:pPr>
        <w:pStyle w:val="ARbullet1"/>
      </w:pPr>
      <w:r>
        <w:t>u</w:t>
      </w:r>
      <w:r w:rsidR="0092299C" w:rsidRPr="00E4624B">
        <w:t>ndertaking complex and sensitive policy work as part of the government’s Voluntary</w:t>
      </w:r>
      <w:r w:rsidR="0092299C">
        <w:t xml:space="preserve"> Assisted Dying legislation</w:t>
      </w:r>
    </w:p>
    <w:p w:rsidR="00C34A9D" w:rsidRPr="00E4624B" w:rsidRDefault="00C34A9D" w:rsidP="00C34A9D">
      <w:pPr>
        <w:pStyle w:val="ARbullet1"/>
      </w:pPr>
      <w:r>
        <w:t xml:space="preserve">the </w:t>
      </w:r>
      <w:proofErr w:type="spellStart"/>
      <w:r>
        <w:t>state</w:t>
      </w:r>
      <w:r w:rsidRPr="00C34A9D">
        <w:t>wide</w:t>
      </w:r>
      <w:proofErr w:type="spellEnd"/>
      <w:r w:rsidRPr="00C34A9D">
        <w:t xml:space="preserve"> expansion of ‘Cradle to Kinder’; an intensive family and early parenting support program</w:t>
      </w:r>
    </w:p>
    <w:p w:rsidR="0092299C" w:rsidRPr="00E4624B" w:rsidRDefault="005B7819" w:rsidP="00CE1155">
      <w:pPr>
        <w:pStyle w:val="ARbullet1"/>
      </w:pPr>
      <w:r>
        <w:t>delivering the Change our Game</w:t>
      </w:r>
      <w:r w:rsidR="0092299C" w:rsidRPr="00E4624B">
        <w:t xml:space="preserve"> campaign to drive girls</w:t>
      </w:r>
      <w:r>
        <w:t>’</w:t>
      </w:r>
      <w:r w:rsidR="0092299C" w:rsidRPr="00E4624B">
        <w:t xml:space="preserve"> participation, and female leadership, in sport</w:t>
      </w:r>
      <w:r w:rsidR="0092299C">
        <w:t>.</w:t>
      </w:r>
    </w:p>
    <w:p w:rsidR="0092299C" w:rsidRPr="00E4624B" w:rsidRDefault="0092299C" w:rsidP="0092299C">
      <w:pPr>
        <w:pStyle w:val="ARbodyafterbullets"/>
      </w:pPr>
      <w:r w:rsidRPr="00E4624B">
        <w:t xml:space="preserve">In addition, </w:t>
      </w:r>
      <w:r>
        <w:rPr>
          <w:i/>
        </w:rPr>
        <w:t>Targeting Zero:</w:t>
      </w:r>
      <w:r w:rsidRPr="00242766">
        <w:rPr>
          <w:i/>
        </w:rPr>
        <w:t xml:space="preserve"> the review of hospital safety and quality assurance in Victoria</w:t>
      </w:r>
      <w:r w:rsidRPr="00E4624B">
        <w:t xml:space="preserve"> signalled </w:t>
      </w:r>
      <w:r w:rsidRPr="00E4624B">
        <w:lastRenderedPageBreak/>
        <w:t>an unprecedented commitment in our efforts to restore patient confidence and improve hosp</w:t>
      </w:r>
      <w:r>
        <w:t>ital safety for all Victorians.</w:t>
      </w:r>
    </w:p>
    <w:p w:rsidR="0092299C" w:rsidRPr="00E4624B" w:rsidRDefault="0092299C" w:rsidP="0092299C">
      <w:pPr>
        <w:pStyle w:val="ARbody"/>
      </w:pPr>
      <w:r w:rsidRPr="00E4624B">
        <w:t xml:space="preserve">The passing of Victoria’s first Quality and Safety Bill gave further impetus to the reforms set out in the </w:t>
      </w:r>
      <w:proofErr w:type="spellStart"/>
      <w:r w:rsidRPr="00E4624B">
        <w:t>Duckett</w:t>
      </w:r>
      <w:proofErr w:type="spellEnd"/>
      <w:r w:rsidRPr="00E4624B">
        <w:t xml:space="preserve"> Review</w:t>
      </w:r>
      <w:r>
        <w:t>. T</w:t>
      </w:r>
      <w:r w:rsidRPr="00E4624B">
        <w:t>he creation of dedicated agencies</w:t>
      </w:r>
      <w:r>
        <w:t xml:space="preserve"> –</w:t>
      </w:r>
      <w:r w:rsidRPr="00E4624B">
        <w:t xml:space="preserve"> Better Care Victoria and Safer Care Victoria</w:t>
      </w:r>
      <w:r>
        <w:t xml:space="preserve"> –</w:t>
      </w:r>
      <w:r w:rsidRPr="00E4624B">
        <w:t xml:space="preserve"> has helped put patients first</w:t>
      </w:r>
      <w:r>
        <w:t>;</w:t>
      </w:r>
      <w:r w:rsidRPr="00E4624B">
        <w:t xml:space="preserve"> supported the sharing of best practice, and enabled action to embed a culture of safety and quality with the target of zero avoidable harm.</w:t>
      </w:r>
    </w:p>
    <w:p w:rsidR="00AA035A" w:rsidRDefault="0092299C" w:rsidP="0092299C">
      <w:pPr>
        <w:pStyle w:val="ARbody"/>
      </w:pPr>
      <w:r w:rsidRPr="00E4624B">
        <w:t xml:space="preserve">Our department is now working actively to share data with patients, communities and key stakeholders in order to improve performance, build the case for early intervention, and to evaluate the impact of our services and reforms. The </w:t>
      </w:r>
      <w:r>
        <w:t xml:space="preserve">establishment of the </w:t>
      </w:r>
      <w:r w:rsidRPr="00E4624B">
        <w:t>Victorian Agency for Health Information promote</w:t>
      </w:r>
      <w:r>
        <w:t>s</w:t>
      </w:r>
      <w:r w:rsidRPr="00E4624B">
        <w:t xml:space="preserve"> the better use of data across all health services, ensuring the people using those services have the in</w:t>
      </w:r>
      <w:r>
        <w:t>formation they need, and helps</w:t>
      </w:r>
      <w:r w:rsidRPr="00E4624B">
        <w:t xml:space="preserve"> to improve quality</w:t>
      </w:r>
      <w:r>
        <w:t xml:space="preserve"> and</w:t>
      </w:r>
      <w:r w:rsidRPr="00E4624B">
        <w:t xml:space="preserve"> choice and identify risks.</w:t>
      </w:r>
    </w:p>
    <w:p w:rsidR="0092299C" w:rsidRPr="00E4624B" w:rsidRDefault="0092299C" w:rsidP="0092299C">
      <w:pPr>
        <w:pStyle w:val="ARbody"/>
      </w:pPr>
      <w:r w:rsidRPr="00E4624B">
        <w:t xml:space="preserve">Through the </w:t>
      </w:r>
      <w:r w:rsidRPr="00242766">
        <w:rPr>
          <w:i/>
        </w:rPr>
        <w:t>Health 2040</w:t>
      </w:r>
      <w:r w:rsidRPr="00E4624B">
        <w:t xml:space="preserve"> strategy, </w:t>
      </w:r>
      <w:r w:rsidR="005B7819">
        <w:t>we are also working on a longer-</w:t>
      </w:r>
      <w:r w:rsidRPr="00E4624B">
        <w:t>term approach in order to support health services to deliver safe and appropriate care that meets the needs of all commu</w:t>
      </w:r>
      <w:r>
        <w:t>nities, now and in the future.</w:t>
      </w:r>
    </w:p>
    <w:p w:rsidR="0092299C" w:rsidRDefault="00944197" w:rsidP="0092299C">
      <w:pPr>
        <w:pStyle w:val="ARbody"/>
      </w:pPr>
      <w:r>
        <w:t>W</w:t>
      </w:r>
      <w:r w:rsidRPr="00C34A9D">
        <w:t xml:space="preserve">e </w:t>
      </w:r>
      <w:r w:rsidR="0092299C" w:rsidRPr="00E4624B">
        <w:t>have launched</w:t>
      </w:r>
      <w:r w:rsidR="0092299C">
        <w:t xml:space="preserve"> </w:t>
      </w:r>
      <w:r w:rsidR="0092299C">
        <w:rPr>
          <w:i/>
        </w:rPr>
        <w:t xml:space="preserve">Healthier lives, stronger economy: </w:t>
      </w:r>
      <w:r w:rsidR="0092299C" w:rsidRPr="003042AC">
        <w:rPr>
          <w:i/>
        </w:rPr>
        <w:t>Victoria’s Health and Medical Research Strategy 2016–20</w:t>
      </w:r>
      <w:r w:rsidR="0092299C" w:rsidRPr="00E4624B">
        <w:t xml:space="preserve"> to accelerate the translation of research into clinical practice and to advance our state’s position as the foremost Australian jurisdiction </w:t>
      </w:r>
      <w:r w:rsidR="0092299C">
        <w:t>for health and medical research. We have also worked to</w:t>
      </w:r>
      <w:r w:rsidR="0092299C" w:rsidRPr="00E4624B">
        <w:t xml:space="preserve"> identify opportunities in health exports and inward investment to support jobs growth, and to promote Victoria’s reputation for health and human services at home and abroad.</w:t>
      </w:r>
    </w:p>
    <w:p w:rsidR="00C34A9D" w:rsidRPr="00E4624B" w:rsidRDefault="00944197" w:rsidP="0092299C">
      <w:pPr>
        <w:pStyle w:val="ARbody"/>
      </w:pPr>
      <w:r>
        <w:t>And w</w:t>
      </w:r>
      <w:r w:rsidRPr="00E4624B">
        <w:t xml:space="preserve">e </w:t>
      </w:r>
      <w:r w:rsidR="00C34A9D" w:rsidRPr="00C34A9D">
        <w:t>have continued to invest in support for families, youth and children; including increasing the numbers of Victoria’s child protection workers.</w:t>
      </w:r>
    </w:p>
    <w:p w:rsidR="0092299C" w:rsidRPr="00E4624B" w:rsidRDefault="0092299C" w:rsidP="0092299C">
      <w:pPr>
        <w:pStyle w:val="ARbody"/>
      </w:pPr>
      <w:r w:rsidRPr="00E4624B">
        <w:t>We also want sport and recreation to play an integral part in Victoria’s social and eco</w:t>
      </w:r>
      <w:r>
        <w:t>nomic life.</w:t>
      </w:r>
    </w:p>
    <w:p w:rsidR="0092299C" w:rsidRPr="00E4624B" w:rsidRDefault="0092299C" w:rsidP="0092299C">
      <w:pPr>
        <w:pStyle w:val="ARbody"/>
      </w:pPr>
      <w:r w:rsidRPr="00E4624B">
        <w:t>Sport and recreation saves approximately $245 million in lifetime avoided health costs and $3.1 billion in lifetime workforce productivity for Victoria.</w:t>
      </w:r>
      <w:r w:rsidR="00F8267D">
        <w:t xml:space="preserve"> </w:t>
      </w:r>
      <w:r w:rsidRPr="00E4624B">
        <w:t xml:space="preserve">We have a strong and interconnected network that already supports over 3.9 million Victorians to play sport or engaged in active </w:t>
      </w:r>
      <w:r w:rsidRPr="00E4624B">
        <w:lastRenderedPageBreak/>
        <w:t>recreation.</w:t>
      </w:r>
      <w:r w:rsidR="00F8267D">
        <w:t xml:space="preserve"> </w:t>
      </w:r>
      <w:r w:rsidRPr="00E4624B">
        <w:t xml:space="preserve">With more than $26 million invested </w:t>
      </w:r>
      <w:r w:rsidR="003F2B0B">
        <w:br/>
      </w:r>
      <w:r w:rsidRPr="00E4624B">
        <w:t xml:space="preserve">in supporting Victoria’s community sport and recreation programs, and in excess of $100 million invested in community sports infrastructure, Victorians will continue to enjoy </w:t>
      </w:r>
      <w:r w:rsidR="003F2B0B">
        <w:br/>
      </w:r>
      <w:r w:rsidRPr="00E4624B">
        <w:t>the benefits of a vibrant sport and recreation environment.</w:t>
      </w:r>
    </w:p>
    <w:p w:rsidR="00AA035A" w:rsidRDefault="0092299C" w:rsidP="0092299C">
      <w:pPr>
        <w:pStyle w:val="ARbody"/>
      </w:pPr>
      <w:r w:rsidRPr="00E4624B">
        <w:t xml:space="preserve">Crucially, </w:t>
      </w:r>
      <w:r>
        <w:t xml:space="preserve">we have also focused our efforts on </w:t>
      </w:r>
      <w:r w:rsidRPr="00E4624B">
        <w:t xml:space="preserve">addressing the challenges that many disadvantaged Victorians face each day, challenges that are evolving and for which there </w:t>
      </w:r>
      <w:r w:rsidR="003F2B0B">
        <w:br/>
      </w:r>
      <w:r w:rsidRPr="00E4624B">
        <w:t>is often no simple solution.</w:t>
      </w:r>
    </w:p>
    <w:p w:rsidR="0092299C" w:rsidRPr="00E4624B" w:rsidRDefault="0092299C" w:rsidP="0092299C">
      <w:pPr>
        <w:pStyle w:val="ARbody"/>
      </w:pPr>
      <w:r w:rsidRPr="00E4624B">
        <w:t>Whether tackling family violence, social disadvantage, or the increasing prevalence of obesity and chronic disease, these are complex problems</w:t>
      </w:r>
      <w:r>
        <w:t>,</w:t>
      </w:r>
      <w:r w:rsidRPr="00E4624B">
        <w:t xml:space="preserve"> which require new policy responses and an increasingly integrated approach from government and key stakeholders.</w:t>
      </w:r>
    </w:p>
    <w:p w:rsidR="00AA035A" w:rsidRDefault="0092299C" w:rsidP="0092299C">
      <w:pPr>
        <w:pStyle w:val="ARbody"/>
      </w:pPr>
      <w:r w:rsidRPr="00E4624B">
        <w:t xml:space="preserve">The Royal Commission into Family Violence and consultations on Victoria’s </w:t>
      </w:r>
      <w:r w:rsidRPr="003042AC">
        <w:rPr>
          <w:i/>
        </w:rPr>
        <w:t xml:space="preserve">10-year </w:t>
      </w:r>
      <w:r>
        <w:rPr>
          <w:i/>
        </w:rPr>
        <w:t>m</w:t>
      </w:r>
      <w:r w:rsidRPr="003042AC">
        <w:rPr>
          <w:i/>
        </w:rPr>
        <w:t xml:space="preserve">ental </w:t>
      </w:r>
      <w:r>
        <w:rPr>
          <w:i/>
        </w:rPr>
        <w:t>h</w:t>
      </w:r>
      <w:r w:rsidRPr="003042AC">
        <w:rPr>
          <w:i/>
        </w:rPr>
        <w:t>ealth plan</w:t>
      </w:r>
      <w:r w:rsidRPr="00E4624B">
        <w:t xml:space="preserve"> also provided evidence on the difficulties many Victorians face in navigating a complex and fragmented social services system.</w:t>
      </w:r>
    </w:p>
    <w:p w:rsidR="0092299C" w:rsidRPr="00E4624B" w:rsidRDefault="0092299C" w:rsidP="0092299C">
      <w:pPr>
        <w:pStyle w:val="ARbody"/>
      </w:pPr>
      <w:r w:rsidRPr="00E4624B">
        <w:t xml:space="preserve">In response, we have strengthened our efforts </w:t>
      </w:r>
      <w:r w:rsidR="003F2B0B">
        <w:br/>
      </w:r>
      <w:r w:rsidRPr="00E4624B">
        <w:t>to deliver a range of reforms that will improve service delivery and community outcomes, making a significant difference to the lives of many disadvantaged and vulnerable Victorians, including:</w:t>
      </w:r>
    </w:p>
    <w:p w:rsidR="0092299C" w:rsidRPr="00E4624B" w:rsidRDefault="0092299C" w:rsidP="0092299C">
      <w:pPr>
        <w:pStyle w:val="ARbullet1"/>
      </w:pPr>
      <w:r>
        <w:t>c</w:t>
      </w:r>
      <w:r w:rsidRPr="00E4624B">
        <w:t>ommencing the Public Housing Renewal Program, with planning and procurement underway to replace over 2</w:t>
      </w:r>
      <w:r w:rsidR="000343D9">
        <w:t>,</w:t>
      </w:r>
      <w:r w:rsidRPr="00E4624B">
        <w:t>000 properties and increase publ</w:t>
      </w:r>
      <w:r>
        <w:t>ic housing stock by at least 10 per cent</w:t>
      </w:r>
    </w:p>
    <w:p w:rsidR="0092299C" w:rsidRDefault="0092299C" w:rsidP="0092299C">
      <w:pPr>
        <w:pStyle w:val="ARbullet1"/>
      </w:pPr>
      <w:r>
        <w:t>s</w:t>
      </w:r>
      <w:r w:rsidRPr="00E4624B">
        <w:t>upporting the establishment of Family Safety Victoria and its work on family violence and gender equality</w:t>
      </w:r>
    </w:p>
    <w:p w:rsidR="00C34A9D" w:rsidRPr="00E4624B" w:rsidRDefault="00C34A9D">
      <w:pPr>
        <w:pStyle w:val="ARbullet1"/>
      </w:pPr>
      <w:r>
        <w:t>b</w:t>
      </w:r>
      <w:r w:rsidRPr="00C34A9D">
        <w:t>oosting support for family violence services, to help survivors whilst encouraging perpetrators to change their attitudes and</w:t>
      </w:r>
      <w:r w:rsidR="00102E49">
        <w:t> </w:t>
      </w:r>
      <w:r w:rsidRPr="00C34A9D">
        <w:t>behaviours</w:t>
      </w:r>
    </w:p>
    <w:p w:rsidR="0072234D" w:rsidRDefault="0072234D" w:rsidP="00FA446E">
      <w:pPr>
        <w:pStyle w:val="ARbullet1"/>
      </w:pPr>
      <w:r w:rsidRPr="0072234D">
        <w:t xml:space="preserve">implementing </w:t>
      </w:r>
      <w:r w:rsidR="00FA446E" w:rsidRPr="00FA446E">
        <w:t xml:space="preserve">the Roadmap for Reform policy for children and family services; with a heightened focus on how all portfolios contribute to child safety and wellbeing; unifying and increasing the support for vulnerable families, foster and kinship carers; and developing inclusive and child-safe communities. Policy and service reforms are also focused on reducing over representation of Aboriginal children in statutory services, through stronger cultural and community connections and empowering Aboriginal </w:t>
      </w:r>
      <w:r w:rsidR="00FA446E" w:rsidRPr="00FA446E">
        <w:lastRenderedPageBreak/>
        <w:t>community controlled organisations in decision-making and delivery of support services for children and families.</w:t>
      </w:r>
    </w:p>
    <w:p w:rsidR="0092299C" w:rsidRPr="00E4624B" w:rsidRDefault="0092299C" w:rsidP="0072234D">
      <w:pPr>
        <w:pStyle w:val="ARbullet1"/>
      </w:pPr>
      <w:r>
        <w:t>c</w:t>
      </w:r>
      <w:r w:rsidRPr="00E4624B">
        <w:t>ommitting to halving the rate of suicide in Victoria through the Suicide Prevention Framework, and proactively implementing suicide prevention strategies in local communities</w:t>
      </w:r>
    </w:p>
    <w:p w:rsidR="0092299C" w:rsidRPr="00E4624B" w:rsidRDefault="0092299C" w:rsidP="0092299C">
      <w:pPr>
        <w:pStyle w:val="ARbullet1"/>
      </w:pPr>
      <w:r>
        <w:t>m</w:t>
      </w:r>
      <w:r w:rsidRPr="00E4624B">
        <w:t>odernising residential aged care services and improving the safety of aged care facilities throughout Victoria for residents and staff</w:t>
      </w:r>
    </w:p>
    <w:p w:rsidR="0092299C" w:rsidRPr="00E4624B" w:rsidRDefault="0092299C" w:rsidP="0092299C">
      <w:pPr>
        <w:pStyle w:val="ARbullet1"/>
      </w:pPr>
      <w:r>
        <w:t>a</w:t>
      </w:r>
      <w:r w:rsidRPr="00E4624B">
        <w:t xml:space="preserve">dvancing Aboriginal self-determination through the transfer of 512 properties to Aboriginal Housing Victoria, giving Aboriginal communities what they need to provide culturally appropriate housing </w:t>
      </w:r>
      <w:r>
        <w:t>services to their community</w:t>
      </w:r>
    </w:p>
    <w:p w:rsidR="0092299C" w:rsidRPr="00E4624B" w:rsidRDefault="0092299C" w:rsidP="00CE1155">
      <w:pPr>
        <w:pStyle w:val="ARbullet1"/>
      </w:pPr>
      <w:r>
        <w:t>c</w:t>
      </w:r>
      <w:r w:rsidRPr="00E4624B">
        <w:t>ollaborating with families, the sector and key stakeholders to help deliver the promise of the National Disability Insurance Scheme (NDIS)</w:t>
      </w:r>
      <w:r>
        <w:t>.</w:t>
      </w:r>
    </w:p>
    <w:p w:rsidR="00AA035A" w:rsidRDefault="0092299C" w:rsidP="00CE1155">
      <w:pPr>
        <w:pStyle w:val="ARbodyafterbullets"/>
      </w:pPr>
      <w:r w:rsidRPr="00E4624B">
        <w:t>And</w:t>
      </w:r>
      <w:r>
        <w:t>,</w:t>
      </w:r>
      <w:r w:rsidRPr="00E4624B">
        <w:t xml:space="preserve"> because the foundation upon which strong individuals, healthy families and resilient communities are built is a place to call home; we are boosting Victoria’s supply of affordable housing, building the capacity of the community housing sector, and helping to reduce homelessness in Victoria.</w:t>
      </w:r>
    </w:p>
    <w:p w:rsidR="0092299C" w:rsidRPr="00E4624B" w:rsidRDefault="0092299C" w:rsidP="0092299C">
      <w:pPr>
        <w:pStyle w:val="ARbody"/>
      </w:pPr>
      <w:r w:rsidRPr="00E4624B">
        <w:t>I am proud of this department’s progress ove</w:t>
      </w:r>
      <w:r>
        <w:t>r the past twelve months, while</w:t>
      </w:r>
      <w:r w:rsidRPr="00E4624B">
        <w:t xml:space="preserve"> recognising that there is still more to do, and I would l</w:t>
      </w:r>
      <w:r>
        <w:t>ike to extend my thanks to our m</w:t>
      </w:r>
      <w:r w:rsidRPr="00E4624B">
        <w:t>inisters, partners, staff and key stakeholders in helping deliver these achievements.</w:t>
      </w:r>
    </w:p>
    <w:p w:rsidR="00964875" w:rsidRDefault="00964875" w:rsidP="00964875">
      <w:pPr>
        <w:pStyle w:val="ARbodyaftertable"/>
        <w:spacing w:before="400"/>
      </w:pPr>
      <w:r w:rsidRPr="00D428E7">
        <w:rPr>
          <w:noProof/>
          <w:lang w:eastAsia="en-AU"/>
        </w:rPr>
        <w:drawing>
          <wp:inline distT="0" distB="0" distL="0" distR="0" wp14:anchorId="4A976CCD" wp14:editId="2E35DF9F">
            <wp:extent cx="1204595" cy="672465"/>
            <wp:effectExtent l="0" t="0" r="0" b="0"/>
            <wp:docPr id="15" name="Picture 15"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rsidR="0092299C" w:rsidRPr="006F0DB4" w:rsidRDefault="0092299C" w:rsidP="0092299C">
      <w:pPr>
        <w:pStyle w:val="ARbody"/>
      </w:pPr>
      <w:r w:rsidRPr="006F0DB4">
        <w:t>Kym Peake</w:t>
      </w:r>
      <w:r w:rsidR="005B7819">
        <w:br/>
      </w:r>
      <w:r w:rsidRPr="006F0DB4">
        <w:t>Secretary</w:t>
      </w:r>
      <w:r w:rsidR="005B7819">
        <w:br/>
      </w:r>
      <w:r w:rsidRPr="006F0DB4">
        <w:t>Department of Health and Human Services</w:t>
      </w:r>
    </w:p>
    <w:p w:rsidR="0092299C" w:rsidRPr="006F0DB4" w:rsidRDefault="0092299C" w:rsidP="0092299C">
      <w:pPr>
        <w:keepNext/>
        <w:keepLines/>
        <w:spacing w:after="480" w:line="480" w:lineRule="atLeast"/>
        <w:rPr>
          <w:rFonts w:eastAsia="MS Gothic"/>
          <w:bCs/>
          <w:color w:val="87189D"/>
          <w:kern w:val="32"/>
          <w:sz w:val="48"/>
          <w:szCs w:val="32"/>
          <w:lang w:eastAsia="x-none"/>
        </w:rPr>
        <w:sectPr w:rsidR="0092299C" w:rsidRPr="006F0DB4" w:rsidSect="006A56B3">
          <w:endnotePr>
            <w:numFmt w:val="decimal"/>
          </w:endnotePr>
          <w:type w:val="continuous"/>
          <w:pgSz w:w="11900" w:h="16840" w:code="9"/>
          <w:pgMar w:top="1531" w:right="851" w:bottom="680" w:left="1418" w:header="510" w:footer="340" w:gutter="0"/>
          <w:cols w:num="2" w:space="720"/>
        </w:sectPr>
      </w:pPr>
    </w:p>
    <w:p w:rsidR="0092299C" w:rsidRPr="006F0DB4" w:rsidRDefault="0092299C" w:rsidP="0092299C">
      <w:pPr>
        <w:pStyle w:val="Heading1"/>
      </w:pPr>
      <w:bookmarkStart w:id="6" w:name="_Ref492894141"/>
      <w:bookmarkStart w:id="7" w:name="_Toc493069456"/>
      <w:r w:rsidRPr="006F0DB4">
        <w:lastRenderedPageBreak/>
        <w:t>Introduction</w:t>
      </w:r>
      <w:bookmarkEnd w:id="6"/>
      <w:bookmarkEnd w:id="7"/>
    </w:p>
    <w:p w:rsidR="0092299C" w:rsidRPr="006F0DB4" w:rsidRDefault="0092299C" w:rsidP="0092299C">
      <w:pPr>
        <w:keepNext/>
        <w:keepLines/>
        <w:spacing w:before="300" w:after="80" w:line="340" w:lineRule="atLeast"/>
        <w:outlineLvl w:val="1"/>
        <w:rPr>
          <w:rFonts w:eastAsia="MS Gothic"/>
          <w:bCs/>
          <w:iCs/>
          <w:color w:val="404040"/>
          <w:sz w:val="30"/>
          <w:szCs w:val="30"/>
        </w:rPr>
        <w:sectPr w:rsidR="0092299C" w:rsidRPr="006F0DB4" w:rsidSect="00017A76">
          <w:endnotePr>
            <w:numFmt w:val="decimal"/>
          </w:endnotePr>
          <w:pgSz w:w="11900" w:h="16840" w:code="9"/>
          <w:pgMar w:top="1531" w:right="851" w:bottom="680" w:left="1418" w:header="510" w:footer="340" w:gutter="0"/>
          <w:cols w:space="720"/>
        </w:sectPr>
      </w:pPr>
    </w:p>
    <w:p w:rsidR="00AA035A" w:rsidRDefault="0092299C" w:rsidP="0092299C">
      <w:pPr>
        <w:pStyle w:val="ARbody"/>
      </w:pPr>
      <w:r w:rsidRPr="006F0DB4">
        <w:lastRenderedPageBreak/>
        <w:t xml:space="preserve">The Department of Health and Human Services </w:t>
      </w:r>
      <w:r>
        <w:t>is responsible for developing and delivering policies, programs and services that support the health, wellbeing and safety of all Victorians.</w:t>
      </w:r>
    </w:p>
    <w:p w:rsidR="0092299C" w:rsidRPr="006F0DB4" w:rsidRDefault="0092299C" w:rsidP="0092299C">
      <w:pPr>
        <w:pStyle w:val="Heading2"/>
      </w:pPr>
      <w:r w:rsidRPr="006F0DB4">
        <w:t>Vision</w:t>
      </w:r>
    </w:p>
    <w:p w:rsidR="0092299C" w:rsidRPr="006F0DB4" w:rsidRDefault="0092299C" w:rsidP="0092299C">
      <w:pPr>
        <w:pStyle w:val="ARbody"/>
      </w:pPr>
      <w:r w:rsidRPr="006F0DB4">
        <w:rPr>
          <w:lang w:eastAsia="en-AU"/>
        </w:rPr>
        <w:t>To achieve the best health, wellbeing and safety of all Victorians so that they can live a life they value.</w:t>
      </w:r>
    </w:p>
    <w:p w:rsidR="0092299C" w:rsidRPr="006F0DB4" w:rsidRDefault="0092299C" w:rsidP="0092299C">
      <w:pPr>
        <w:pStyle w:val="Heading2"/>
      </w:pPr>
      <w:r w:rsidRPr="006F0DB4">
        <w:t>Our values</w:t>
      </w:r>
    </w:p>
    <w:p w:rsidR="0092299C" w:rsidRPr="006F0DB4" w:rsidRDefault="0092299C" w:rsidP="0092299C">
      <w:pPr>
        <w:pStyle w:val="ARbody"/>
      </w:pPr>
      <w:r w:rsidRPr="009232F2">
        <w:t>Our values underpin everything we do as we work together to enhance the wellbeing of Victorians.</w:t>
      </w:r>
      <w:r>
        <w:t xml:space="preserve"> </w:t>
      </w:r>
      <w:r w:rsidRPr="009232F2">
        <w:t>They guide our behaviour and work practices, and they influence how we interact with colleagues, partner organisations, clients, patients and other Victorians.</w:t>
      </w:r>
    </w:p>
    <w:p w:rsidR="0092299C" w:rsidRPr="006F0DB4" w:rsidRDefault="0092299C" w:rsidP="0092299C">
      <w:pPr>
        <w:pStyle w:val="ARbody"/>
      </w:pPr>
      <w:r w:rsidRPr="006F0DB4">
        <w:t>Our values are:</w:t>
      </w:r>
    </w:p>
    <w:p w:rsidR="0092299C" w:rsidRPr="006F0DB4" w:rsidRDefault="0092299C" w:rsidP="0092299C">
      <w:pPr>
        <w:pStyle w:val="ARbullet1"/>
      </w:pPr>
      <w:r>
        <w:t>We are respectful</w:t>
      </w:r>
    </w:p>
    <w:p w:rsidR="0092299C" w:rsidRPr="006F0DB4" w:rsidRDefault="0092299C" w:rsidP="0092299C">
      <w:pPr>
        <w:pStyle w:val="ARbullet1"/>
      </w:pPr>
      <w:r>
        <w:t>We have integrity</w:t>
      </w:r>
    </w:p>
    <w:p w:rsidR="0092299C" w:rsidRPr="006F0DB4" w:rsidRDefault="0092299C" w:rsidP="0092299C">
      <w:pPr>
        <w:pStyle w:val="ARbullet1"/>
      </w:pPr>
      <w:r>
        <w:t>We collaborate</w:t>
      </w:r>
    </w:p>
    <w:p w:rsidR="0092299C" w:rsidRPr="006F0DB4" w:rsidRDefault="0092299C" w:rsidP="0092299C">
      <w:pPr>
        <w:pStyle w:val="ARbullet1"/>
      </w:pPr>
      <w:r w:rsidRPr="006F0DB4">
        <w:t xml:space="preserve">We care for people, </w:t>
      </w:r>
      <w:r>
        <w:t>families and communities</w:t>
      </w:r>
    </w:p>
    <w:p w:rsidR="0092299C" w:rsidRPr="006F0DB4" w:rsidRDefault="0092299C" w:rsidP="0092299C">
      <w:pPr>
        <w:pStyle w:val="ARbullet1"/>
      </w:pPr>
      <w:r>
        <w:t>We are accountable</w:t>
      </w:r>
    </w:p>
    <w:p w:rsidR="0092299C" w:rsidRPr="006F0DB4" w:rsidRDefault="0092299C" w:rsidP="0092299C">
      <w:pPr>
        <w:pStyle w:val="ARbullet1"/>
      </w:pPr>
      <w:r w:rsidRPr="006F0DB4">
        <w:t>We are innovative.</w:t>
      </w:r>
    </w:p>
    <w:p w:rsidR="0092299C" w:rsidRPr="006F0DB4" w:rsidRDefault="0092299C" w:rsidP="0092299C">
      <w:pPr>
        <w:pStyle w:val="Heading2"/>
      </w:pPr>
      <w:r w:rsidRPr="006F0DB4">
        <w:t>Outcomes</w:t>
      </w:r>
    </w:p>
    <w:p w:rsidR="0092299C" w:rsidRPr="006F0DB4" w:rsidRDefault="0092299C" w:rsidP="0092299C">
      <w:pPr>
        <w:pStyle w:val="ARbody"/>
      </w:pPr>
      <w:r w:rsidRPr="006F0DB4">
        <w:t>The department focus</w:t>
      </w:r>
      <w:r>
        <w:t>es</w:t>
      </w:r>
      <w:r w:rsidRPr="006F0DB4">
        <w:t xml:space="preserve"> on outcomes for </w:t>
      </w:r>
      <w:r>
        <w:t xml:space="preserve">the </w:t>
      </w:r>
      <w:r w:rsidRPr="006F0DB4">
        <w:t xml:space="preserve">people who rely on </w:t>
      </w:r>
      <w:r>
        <w:t>its</w:t>
      </w:r>
      <w:r w:rsidRPr="006F0DB4">
        <w:t xml:space="preserve"> services and activities, and </w:t>
      </w:r>
      <w:r>
        <w:t xml:space="preserve">the </w:t>
      </w:r>
      <w:r w:rsidRPr="006F0DB4">
        <w:t>system-level results we seek from health and human services reforms.</w:t>
      </w:r>
    </w:p>
    <w:p w:rsidR="0092299C" w:rsidRPr="006F0DB4" w:rsidRDefault="0092299C" w:rsidP="0092299C">
      <w:pPr>
        <w:pStyle w:val="ARbody"/>
      </w:pPr>
      <w:r w:rsidRPr="006F0DB4">
        <w:t>The outcomes for people</w:t>
      </w:r>
      <w:r>
        <w:t xml:space="preserve"> are</w:t>
      </w:r>
      <w:r w:rsidRPr="006F0DB4">
        <w:t>:</w:t>
      </w:r>
    </w:p>
    <w:p w:rsidR="0092299C" w:rsidRPr="006F0DB4" w:rsidRDefault="0092299C" w:rsidP="0092299C">
      <w:pPr>
        <w:pStyle w:val="ARbullet1"/>
      </w:pPr>
      <w:r>
        <w:t>Victorians are healthy and well</w:t>
      </w:r>
    </w:p>
    <w:p w:rsidR="0092299C" w:rsidRPr="006F0DB4" w:rsidRDefault="0092299C" w:rsidP="0092299C">
      <w:pPr>
        <w:pStyle w:val="ARbullet1"/>
      </w:pPr>
      <w:r>
        <w:t>Victorians are safe and secure</w:t>
      </w:r>
    </w:p>
    <w:p w:rsidR="0092299C" w:rsidRPr="006F0DB4" w:rsidRDefault="0092299C" w:rsidP="0092299C">
      <w:pPr>
        <w:pStyle w:val="ARbullet1"/>
      </w:pPr>
      <w:r w:rsidRPr="006F0DB4">
        <w:t xml:space="preserve">Victorians have </w:t>
      </w:r>
      <w:r>
        <w:t>the capabilities to participate</w:t>
      </w:r>
    </w:p>
    <w:p w:rsidR="0092299C" w:rsidRPr="006F0DB4" w:rsidRDefault="0092299C" w:rsidP="00CE1155">
      <w:pPr>
        <w:pStyle w:val="ARbullet1"/>
      </w:pPr>
      <w:r w:rsidRPr="006F0DB4">
        <w:t>Victorians are connected to culture and community.</w:t>
      </w:r>
    </w:p>
    <w:p w:rsidR="0092299C" w:rsidRPr="006F0DB4" w:rsidRDefault="0092299C" w:rsidP="00CE1155">
      <w:pPr>
        <w:pStyle w:val="ARbodyafterbullets"/>
      </w:pPr>
      <w:r w:rsidRPr="006F0DB4">
        <w:t>The service system outcome</w:t>
      </w:r>
      <w:r>
        <w:t xml:space="preserve"> is</w:t>
      </w:r>
      <w:r w:rsidRPr="006F0DB4">
        <w:t>:</w:t>
      </w:r>
    </w:p>
    <w:p w:rsidR="0092299C" w:rsidRPr="006F0DB4" w:rsidRDefault="0092299C" w:rsidP="0092299C">
      <w:pPr>
        <w:pStyle w:val="ARbullet1"/>
      </w:pPr>
      <w:r w:rsidRPr="006F0DB4">
        <w:t>Victorian health and human services are person centred and sustainable.</w:t>
      </w:r>
    </w:p>
    <w:p w:rsidR="0092299C" w:rsidRPr="006F0DB4" w:rsidRDefault="0092299C" w:rsidP="0092299C">
      <w:pPr>
        <w:pStyle w:val="Heading2"/>
        <w:spacing w:before="0"/>
      </w:pPr>
      <w:r>
        <w:br w:type="column"/>
      </w:r>
      <w:r w:rsidRPr="006F0DB4">
        <w:lastRenderedPageBreak/>
        <w:t>Strategic directions</w:t>
      </w:r>
    </w:p>
    <w:p w:rsidR="0092299C" w:rsidRPr="006F0DB4" w:rsidRDefault="0092299C" w:rsidP="0092299C">
      <w:pPr>
        <w:pStyle w:val="ARbody"/>
      </w:pPr>
      <w:r w:rsidRPr="006F0DB4">
        <w:t>The department has four strategic directions:</w:t>
      </w:r>
    </w:p>
    <w:p w:rsidR="0092299C" w:rsidRPr="006F0DB4" w:rsidRDefault="0092299C" w:rsidP="0092299C">
      <w:pPr>
        <w:pStyle w:val="Heading3"/>
      </w:pPr>
      <w:r w:rsidRPr="006F0DB4">
        <w:t>Person-centred services and care</w:t>
      </w:r>
    </w:p>
    <w:p w:rsidR="0092299C" w:rsidRPr="006F0DB4" w:rsidRDefault="0092299C" w:rsidP="0092299C">
      <w:pPr>
        <w:pStyle w:val="ARbody"/>
      </w:pPr>
      <w:r w:rsidRPr="006F0DB4">
        <w:t xml:space="preserve">Many factors influence a person’s ability to experience a good life – family context, educational outcomes, housing, social support, work opportunities and workplaces, access to transport and recreational opportunities. </w:t>
      </w:r>
      <w:r w:rsidRPr="006F0DB4">
        <w:br/>
        <w:t>Person-centred services and care consider all the influences on a person’s health and wellbeing.</w:t>
      </w:r>
    </w:p>
    <w:p w:rsidR="0092299C" w:rsidRPr="006F0DB4" w:rsidRDefault="0092299C" w:rsidP="0092299C">
      <w:pPr>
        <w:pStyle w:val="ARbody"/>
      </w:pPr>
      <w:r w:rsidRPr="006F0DB4">
        <w:t>The department designs services and funding models around people and their families.</w:t>
      </w:r>
    </w:p>
    <w:p w:rsidR="0092299C" w:rsidRPr="006F0DB4" w:rsidRDefault="0092299C" w:rsidP="0092299C">
      <w:pPr>
        <w:pStyle w:val="ARbody"/>
      </w:pPr>
      <w:r w:rsidRPr="006F0DB4">
        <w:t>This means:</w:t>
      </w:r>
    </w:p>
    <w:p w:rsidR="0092299C" w:rsidRPr="006F0DB4" w:rsidRDefault="0092299C" w:rsidP="0092299C">
      <w:pPr>
        <w:pStyle w:val="ARbullet1"/>
      </w:pPr>
      <w:r w:rsidRPr="006F0DB4">
        <w:t>enabling people to look after themselves better</w:t>
      </w:r>
    </w:p>
    <w:p w:rsidR="0092299C" w:rsidRPr="006F0DB4" w:rsidRDefault="0092299C" w:rsidP="0092299C">
      <w:pPr>
        <w:pStyle w:val="ARbullet1"/>
      </w:pPr>
      <w:r w:rsidRPr="006F0DB4">
        <w:t>fostering meaningful relationships that help people improve their health, for example via peer support and community groups</w:t>
      </w:r>
    </w:p>
    <w:p w:rsidR="0092299C" w:rsidRPr="006F0DB4" w:rsidRDefault="0092299C" w:rsidP="00CE1155">
      <w:pPr>
        <w:pStyle w:val="ARbullet1"/>
      </w:pPr>
      <w:r w:rsidRPr="006F0DB4">
        <w:t>enabling people to work collaboratively with professionals as equal partners in their care.</w:t>
      </w:r>
    </w:p>
    <w:p w:rsidR="0092299C" w:rsidRPr="006F0DB4" w:rsidRDefault="0092299C" w:rsidP="00CE1155">
      <w:pPr>
        <w:pStyle w:val="ARbodyafterbullets"/>
      </w:pPr>
      <w:r w:rsidRPr="006F0DB4">
        <w:t>Person-centred care considers the whole person to understand their physical, cultural and social context.</w:t>
      </w:r>
    </w:p>
    <w:p w:rsidR="0092299C" w:rsidRPr="006F0DB4" w:rsidRDefault="0092299C" w:rsidP="0092299C">
      <w:pPr>
        <w:pStyle w:val="Heading3"/>
      </w:pPr>
      <w:r w:rsidRPr="006F0DB4">
        <w:t>Local solutions</w:t>
      </w:r>
    </w:p>
    <w:p w:rsidR="0092299C" w:rsidRPr="006F0DB4" w:rsidRDefault="0092299C" w:rsidP="0092299C">
      <w:pPr>
        <w:pStyle w:val="ARbody"/>
      </w:pPr>
      <w:r w:rsidRPr="006F0DB4">
        <w:t>The department involves people and communities in the design and planning of services, and we align service efforts with other community activities. This means:</w:t>
      </w:r>
    </w:p>
    <w:p w:rsidR="0092299C" w:rsidRPr="006F0DB4" w:rsidRDefault="0092299C" w:rsidP="0092299C">
      <w:pPr>
        <w:pStyle w:val="ARbullet1"/>
      </w:pPr>
      <w:r w:rsidRPr="006F0DB4">
        <w:t>taking place-based and community-centred approaches</w:t>
      </w:r>
    </w:p>
    <w:p w:rsidR="0092299C" w:rsidRPr="006F0DB4" w:rsidRDefault="0092299C" w:rsidP="0092299C">
      <w:pPr>
        <w:pStyle w:val="ARbullet1"/>
      </w:pPr>
      <w:r w:rsidRPr="006F0DB4">
        <w:t>developing new service models that take into account existing services and infrastructure, cultural considerations and the long-term implications of investment decisions</w:t>
      </w:r>
    </w:p>
    <w:p w:rsidR="0092299C" w:rsidRPr="006F0DB4" w:rsidRDefault="0092299C" w:rsidP="00CE1155">
      <w:pPr>
        <w:pStyle w:val="ARbullet1"/>
      </w:pPr>
      <w:r w:rsidRPr="006F0DB4">
        <w:t>engaging collaboratively with evolving local partnerships to build relationships, share knowledge and data, and jointly plan local and community actions.</w:t>
      </w:r>
    </w:p>
    <w:p w:rsidR="0092299C" w:rsidRPr="006F0DB4" w:rsidRDefault="0092299C" w:rsidP="00CE1155">
      <w:pPr>
        <w:pStyle w:val="ARbodyafterbullets"/>
      </w:pPr>
      <w:r w:rsidRPr="006F0DB4">
        <w:t>Local solutions acknowledge that the government alone does not have the answers – we need to work with others to ensure effective outcomes.</w:t>
      </w:r>
    </w:p>
    <w:p w:rsidR="005E7D33" w:rsidRPr="005E7D33" w:rsidRDefault="005E7D33" w:rsidP="005E7D33">
      <w:pPr>
        <w:pStyle w:val="ARbody"/>
      </w:pPr>
      <w:r w:rsidRPr="005E7D33">
        <w:br w:type="page"/>
      </w:r>
    </w:p>
    <w:p w:rsidR="0092299C" w:rsidRPr="006F0DB4" w:rsidRDefault="0092299C" w:rsidP="0092299C">
      <w:pPr>
        <w:pStyle w:val="Heading3"/>
      </w:pPr>
      <w:r w:rsidRPr="006F0DB4">
        <w:lastRenderedPageBreak/>
        <w:t>Earlier and more-connected support</w:t>
      </w:r>
    </w:p>
    <w:p w:rsidR="0092299C" w:rsidRPr="006F0DB4" w:rsidRDefault="0092299C" w:rsidP="0092299C">
      <w:pPr>
        <w:pStyle w:val="ARbody"/>
      </w:pPr>
      <w:r w:rsidRPr="006F0DB4">
        <w:t xml:space="preserve">The department works to </w:t>
      </w:r>
      <w:r w:rsidRPr="00783126">
        <w:t>prevent</w:t>
      </w:r>
      <w:r w:rsidRPr="006F0DB4">
        <w:t xml:space="preserve"> health and wellbeing problems before they become too big, and we tailor service responses so they meet the needs of people and their families. This means:</w:t>
      </w:r>
    </w:p>
    <w:p w:rsidR="0092299C" w:rsidRPr="006F0DB4" w:rsidRDefault="0092299C" w:rsidP="0092299C">
      <w:pPr>
        <w:pStyle w:val="ARbullet1"/>
      </w:pPr>
      <w:r w:rsidRPr="006F0DB4">
        <w:t>getting in early to help people build resilience</w:t>
      </w:r>
    </w:p>
    <w:p w:rsidR="00AA035A" w:rsidRDefault="0092299C" w:rsidP="0092299C">
      <w:pPr>
        <w:pStyle w:val="ARbullet1"/>
      </w:pPr>
      <w:r w:rsidRPr="006F0DB4">
        <w:t>making services easier to navigate</w:t>
      </w:r>
    </w:p>
    <w:p w:rsidR="0092299C" w:rsidRPr="006F0DB4" w:rsidRDefault="0092299C" w:rsidP="00CE1155">
      <w:pPr>
        <w:pStyle w:val="ARbullet1"/>
      </w:pPr>
      <w:r w:rsidRPr="006F0DB4">
        <w:t>breaking down the barriers within and across sectors.</w:t>
      </w:r>
    </w:p>
    <w:p w:rsidR="0092299C" w:rsidRPr="00712259" w:rsidRDefault="0092299C" w:rsidP="00CE1155">
      <w:pPr>
        <w:pStyle w:val="ARbodyafterbullets"/>
      </w:pPr>
      <w:r w:rsidRPr="00712259">
        <w:t>A key focus of this strategic direction is to support universal services to be more effective in identifying and responding to risk and vulnerability</w:t>
      </w:r>
      <w:r>
        <w:t>,</w:t>
      </w:r>
      <w:r w:rsidRPr="00712259">
        <w:t xml:space="preserve"> and more active in linking individuals and families to specialist services.</w:t>
      </w:r>
    </w:p>
    <w:p w:rsidR="0092299C" w:rsidRPr="00712259" w:rsidRDefault="0092299C" w:rsidP="0092299C">
      <w:pPr>
        <w:pStyle w:val="ARbody"/>
      </w:pPr>
      <w:r w:rsidRPr="00712259">
        <w:t>Earlier and more-connected support also depends on better digital infrastructure to enable information sharing.</w:t>
      </w:r>
    </w:p>
    <w:p w:rsidR="0092299C" w:rsidRPr="006F0DB4" w:rsidRDefault="0092299C" w:rsidP="0092299C">
      <w:pPr>
        <w:pStyle w:val="Heading3"/>
      </w:pPr>
      <w:r w:rsidRPr="006F0DB4">
        <w:t>Advancing quality, safety and innovation</w:t>
      </w:r>
    </w:p>
    <w:p w:rsidR="0092299C" w:rsidRDefault="0092299C" w:rsidP="0092299C">
      <w:pPr>
        <w:pStyle w:val="ARbody"/>
      </w:pPr>
      <w:r w:rsidRPr="006F0DB4">
        <w:t>The department monitor</w:t>
      </w:r>
      <w:r>
        <w:t>s,</w:t>
      </w:r>
      <w:r w:rsidRPr="006F0DB4">
        <w:t xml:space="preserve"> and </w:t>
      </w:r>
      <w:r>
        <w:t xml:space="preserve">works to </w:t>
      </w:r>
      <w:r w:rsidRPr="006F0DB4">
        <w:t>improve</w:t>
      </w:r>
      <w:r>
        <w:t>,</w:t>
      </w:r>
      <w:r w:rsidRPr="006F0DB4">
        <w:t xml:space="preserve"> the quality and safety of health and community services, and work</w:t>
      </w:r>
      <w:r>
        <w:t>s</w:t>
      </w:r>
      <w:r w:rsidRPr="006F0DB4">
        <w:t xml:space="preserve"> with partners to build evidence, share knowledge, scale effective practice and support practice development and change.</w:t>
      </w:r>
    </w:p>
    <w:p w:rsidR="0092299C" w:rsidRPr="00FC7E17" w:rsidRDefault="0092299C" w:rsidP="0092299C">
      <w:pPr>
        <w:pStyle w:val="ARbody"/>
        <w:rPr>
          <w:i/>
        </w:rPr>
      </w:pPr>
      <w:r>
        <w:t xml:space="preserve">Under this strategic direction, we are pursuing the goal of zero avoidable harm that the government committed to in response to </w:t>
      </w:r>
      <w:r>
        <w:rPr>
          <w:i/>
        </w:rPr>
        <w:t>Targeting Zero:</w:t>
      </w:r>
      <w:r w:rsidRPr="00242766">
        <w:rPr>
          <w:i/>
        </w:rPr>
        <w:t xml:space="preserve"> the review of hospital safety and quality assurance in Victoria</w:t>
      </w:r>
      <w:r w:rsidRPr="00FC7E17">
        <w:t>.</w:t>
      </w:r>
    </w:p>
    <w:p w:rsidR="0092299C" w:rsidRPr="006F0DB4" w:rsidRDefault="0092299C" w:rsidP="0092299C">
      <w:pPr>
        <w:pStyle w:val="ARbody"/>
      </w:pPr>
      <w:r>
        <w:t>This work includes</w:t>
      </w:r>
      <w:r w:rsidRPr="006F0DB4">
        <w:t>:</w:t>
      </w:r>
    </w:p>
    <w:p w:rsidR="0092299C" w:rsidRPr="006F0DB4" w:rsidRDefault="0092299C" w:rsidP="0092299C">
      <w:pPr>
        <w:pStyle w:val="ARbullet1"/>
      </w:pPr>
      <w:r w:rsidRPr="006F0DB4">
        <w:t>making sure the people who work in health and human services are qualified and have the right mix of skills</w:t>
      </w:r>
    </w:p>
    <w:p w:rsidR="0092299C" w:rsidRDefault="0092299C" w:rsidP="0092299C">
      <w:pPr>
        <w:pStyle w:val="ARbullet1"/>
      </w:pPr>
      <w:r>
        <w:t xml:space="preserve">better </w:t>
      </w:r>
      <w:r w:rsidRPr="006F0DB4">
        <w:t xml:space="preserve">measuring </w:t>
      </w:r>
      <w:r>
        <w:t xml:space="preserve">and reporting on </w:t>
      </w:r>
      <w:r w:rsidRPr="006F0DB4">
        <w:t>quality, safety and client/patient experience and outcome data so we can intervene quickly when we identify poor performance</w:t>
      </w:r>
    </w:p>
    <w:p w:rsidR="0092299C" w:rsidRPr="006F0DB4" w:rsidRDefault="0092299C" w:rsidP="0092299C">
      <w:pPr>
        <w:pStyle w:val="ARbullet1"/>
      </w:pPr>
      <w:r>
        <w:t>engaging clinicians and practitioners in the design and implementation of improvement initiatives and building a culture that puts quality and safety first</w:t>
      </w:r>
    </w:p>
    <w:p w:rsidR="0092299C" w:rsidRPr="006F0DB4" w:rsidRDefault="0092299C" w:rsidP="00CE1155">
      <w:pPr>
        <w:pStyle w:val="ARbullet1"/>
      </w:pPr>
      <w:r w:rsidRPr="006F0DB4">
        <w:t>seeking improvements and innovations, evaluating what we do, and reducing unacceptable variations in care and outcomes.</w:t>
      </w:r>
    </w:p>
    <w:p w:rsidR="0092299C" w:rsidRPr="006F0DB4" w:rsidRDefault="005E7D33" w:rsidP="0092299C">
      <w:pPr>
        <w:pStyle w:val="Heading4"/>
      </w:pPr>
      <w:r>
        <w:br w:type="column"/>
      </w:r>
      <w:r w:rsidR="0092299C" w:rsidRPr="006F0DB4">
        <w:lastRenderedPageBreak/>
        <w:t xml:space="preserve">Leadership </w:t>
      </w:r>
      <w:r w:rsidR="0092299C">
        <w:t>c</w:t>
      </w:r>
      <w:r w:rsidR="0092299C" w:rsidRPr="006F0DB4">
        <w:t>harter</w:t>
      </w:r>
    </w:p>
    <w:p w:rsidR="0092299C" w:rsidRPr="006F0DB4" w:rsidRDefault="0092299C" w:rsidP="0092299C">
      <w:pPr>
        <w:pStyle w:val="ARbody"/>
        <w:ind w:right="-90"/>
        <w:rPr>
          <w:szCs w:val="20"/>
        </w:rPr>
      </w:pPr>
      <w:r w:rsidRPr="006F0DB4">
        <w:rPr>
          <w:szCs w:val="20"/>
        </w:rPr>
        <w:t xml:space="preserve">The </w:t>
      </w:r>
      <w:r>
        <w:rPr>
          <w:szCs w:val="20"/>
        </w:rPr>
        <w:t>l</w:t>
      </w:r>
      <w:r w:rsidRPr="006F0DB4">
        <w:rPr>
          <w:szCs w:val="20"/>
        </w:rPr>
        <w:t xml:space="preserve">eadership </w:t>
      </w:r>
      <w:r>
        <w:rPr>
          <w:szCs w:val="20"/>
        </w:rPr>
        <w:t>c</w:t>
      </w:r>
      <w:r w:rsidRPr="006F0DB4">
        <w:rPr>
          <w:szCs w:val="20"/>
        </w:rPr>
        <w:t xml:space="preserve">harter outlines the behaviours staff and stakeholders can expect of the executive leadership group. </w:t>
      </w:r>
      <w:r w:rsidRPr="006A585B">
        <w:rPr>
          <w:szCs w:val="20"/>
          <w:lang w:val="en-US"/>
        </w:rPr>
        <w:t xml:space="preserve">It outlines the </w:t>
      </w:r>
      <w:proofErr w:type="spellStart"/>
      <w:r w:rsidRPr="006A585B">
        <w:rPr>
          <w:szCs w:val="20"/>
          <w:lang w:val="en-US"/>
        </w:rPr>
        <w:t>behaviours</w:t>
      </w:r>
      <w:proofErr w:type="spellEnd"/>
      <w:r w:rsidRPr="006A585B">
        <w:rPr>
          <w:szCs w:val="20"/>
          <w:lang w:val="en-US"/>
        </w:rPr>
        <w:t xml:space="preserve"> </w:t>
      </w:r>
      <w:r>
        <w:rPr>
          <w:szCs w:val="20"/>
          <w:lang w:val="en-US"/>
        </w:rPr>
        <w:t>identified as</w:t>
      </w:r>
      <w:r w:rsidRPr="006A585B">
        <w:rPr>
          <w:szCs w:val="20"/>
          <w:lang w:val="en-US"/>
        </w:rPr>
        <w:t xml:space="preserve"> most important to strengthen </w:t>
      </w:r>
      <w:r>
        <w:rPr>
          <w:szCs w:val="20"/>
          <w:lang w:val="en-US"/>
        </w:rPr>
        <w:t>the department’s</w:t>
      </w:r>
      <w:r w:rsidRPr="006A585B">
        <w:rPr>
          <w:szCs w:val="20"/>
          <w:lang w:val="en-US"/>
        </w:rPr>
        <w:t xml:space="preserve"> leadership culture and position the department to deliver</w:t>
      </w:r>
      <w:r w:rsidRPr="006A585B">
        <w:rPr>
          <w:szCs w:val="20"/>
        </w:rPr>
        <w:t xml:space="preserve"> </w:t>
      </w:r>
      <w:r>
        <w:rPr>
          <w:szCs w:val="20"/>
        </w:rPr>
        <w:t>on its strategic directions.</w:t>
      </w:r>
      <w:r w:rsidRPr="006F0DB4">
        <w:rPr>
          <w:szCs w:val="20"/>
        </w:rPr>
        <w:t xml:space="preserve"> </w:t>
      </w:r>
      <w:r w:rsidR="003F2B0B">
        <w:rPr>
          <w:szCs w:val="20"/>
        </w:rPr>
        <w:br/>
      </w:r>
      <w:r w:rsidRPr="006F0DB4">
        <w:rPr>
          <w:szCs w:val="20"/>
        </w:rPr>
        <w:t xml:space="preserve">The </w:t>
      </w:r>
      <w:r>
        <w:rPr>
          <w:szCs w:val="20"/>
        </w:rPr>
        <w:t>c</w:t>
      </w:r>
      <w:r w:rsidRPr="006F0DB4">
        <w:rPr>
          <w:szCs w:val="20"/>
        </w:rPr>
        <w:t xml:space="preserve">harter is available at </w:t>
      </w:r>
      <w:hyperlink r:id="rId20" w:history="1">
        <w:r w:rsidRPr="00783126">
          <w:rPr>
            <w:rStyle w:val="Hyperlink"/>
            <w:szCs w:val="20"/>
          </w:rPr>
          <w:t>DHHS leadership charter</w:t>
        </w:r>
      </w:hyperlink>
      <w:r>
        <w:rPr>
          <w:szCs w:val="20"/>
        </w:rPr>
        <w:t xml:space="preserve"> </w:t>
      </w:r>
      <w:r w:rsidRPr="00783126">
        <w:t>&lt;https://dhhs.vic.gov.au/dhhs-leadership-charter-0&gt;.</w:t>
      </w:r>
    </w:p>
    <w:p w:rsidR="0092299C" w:rsidRPr="006F0DB4" w:rsidRDefault="0092299C" w:rsidP="0092299C">
      <w:pPr>
        <w:spacing w:after="120" w:line="260" w:lineRule="atLeast"/>
        <w:rPr>
          <w:rFonts w:eastAsia="Times" w:cs="Arial"/>
          <w:bCs/>
          <w:iCs/>
          <w:color w:val="404040"/>
          <w:sz w:val="30"/>
          <w:szCs w:val="30"/>
        </w:rPr>
      </w:pPr>
      <w:r w:rsidRPr="006F0DB4">
        <w:rPr>
          <w:rFonts w:eastAsia="Times" w:cs="Arial"/>
          <w:bCs/>
          <w:iCs/>
          <w:color w:val="404040"/>
          <w:sz w:val="30"/>
          <w:szCs w:val="30"/>
        </w:rPr>
        <w:t>Purpose and functions</w:t>
      </w:r>
    </w:p>
    <w:p w:rsidR="0092299C" w:rsidRPr="006F0DB4" w:rsidRDefault="0092299C" w:rsidP="0092299C">
      <w:pPr>
        <w:pStyle w:val="ARbody"/>
      </w:pPr>
      <w:r w:rsidRPr="006F0DB4">
        <w:t>The department has responsibility for developing and delivering policies, programs and services that support and enhance the wellbeing of all Victorians.</w:t>
      </w:r>
    </w:p>
    <w:p w:rsidR="0092299C" w:rsidRPr="00712259" w:rsidRDefault="0092299C" w:rsidP="0092299C">
      <w:pPr>
        <w:pStyle w:val="ARbody"/>
      </w:pPr>
      <w:r w:rsidRPr="006F0DB4">
        <w:t xml:space="preserve">Some of these activities include housing and </w:t>
      </w:r>
      <w:r>
        <w:t>community services and programs,</w:t>
      </w:r>
      <w:r w:rsidRPr="006F0DB4">
        <w:t xml:space="preserve"> public health </w:t>
      </w:r>
      <w:r>
        <w:t>services, public hospitals, health,</w:t>
      </w:r>
      <w:r w:rsidRPr="00712259">
        <w:t xml:space="preserve"> mental health a</w:t>
      </w:r>
      <w:r>
        <w:t>nd aged care services,</w:t>
      </w:r>
      <w:r w:rsidRPr="00712259">
        <w:t xml:space="preserve"> and sport and recreation in metropolitan, rural and regional Victoria.</w:t>
      </w:r>
    </w:p>
    <w:p w:rsidR="0092299C" w:rsidRPr="00712259" w:rsidRDefault="0092299C" w:rsidP="0092299C">
      <w:pPr>
        <w:pStyle w:val="ARbody"/>
      </w:pPr>
      <w:r w:rsidRPr="00712259">
        <w:t>The department takes a broad view of the causes of ill health, the drivers of good health, the social and economic context in which people live, and the incidence an</w:t>
      </w:r>
      <w:r>
        <w:t>d experience of vulnerability. This places</w:t>
      </w:r>
      <w:r w:rsidRPr="00712259">
        <w:t xml:space="preserve"> people at the heart of policy-making, service design and delivery.</w:t>
      </w:r>
    </w:p>
    <w:p w:rsidR="0092299C" w:rsidRPr="006F0DB4" w:rsidRDefault="0092299C" w:rsidP="0092299C">
      <w:pPr>
        <w:pStyle w:val="Heading3"/>
      </w:pPr>
      <w:bookmarkStart w:id="8" w:name="_Ref492382417"/>
      <w:r w:rsidRPr="006F0DB4">
        <w:t>Portfolio responsibilities</w:t>
      </w:r>
      <w:bookmarkEnd w:id="8"/>
    </w:p>
    <w:p w:rsidR="0092299C" w:rsidRPr="006F0DB4" w:rsidRDefault="0092299C" w:rsidP="0092299C">
      <w:pPr>
        <w:pStyle w:val="Heading4"/>
      </w:pPr>
      <w:r w:rsidRPr="006F0DB4">
        <w:t>Health</w:t>
      </w:r>
    </w:p>
    <w:p w:rsidR="0092299C" w:rsidRPr="006F0DB4" w:rsidRDefault="0092299C" w:rsidP="0092299C">
      <w:pPr>
        <w:pStyle w:val="ARbody"/>
      </w:pPr>
      <w:r w:rsidRPr="006F0DB4">
        <w:t>The health system provides all Victorians with public services to address their health needs. It focuses on holistic care that addresses health conditions at the local level. The department contributes to system leadership, policy</w:t>
      </w:r>
      <w:r>
        <w:t>, advancing quality and safety,</w:t>
      </w:r>
      <w:r w:rsidRPr="006F0DB4">
        <w:t xml:space="preserve"> and governance responsibility for the management of the public health system. This includes responsibility for funding, performance monitoring and accountability, strategic asset management and system planning.</w:t>
      </w:r>
    </w:p>
    <w:p w:rsidR="0092299C" w:rsidRPr="006F0DB4" w:rsidRDefault="0092299C" w:rsidP="0092299C">
      <w:pPr>
        <w:pStyle w:val="Heading4"/>
      </w:pPr>
      <w:r>
        <w:t xml:space="preserve">Ambulance </w:t>
      </w:r>
      <w:r w:rsidR="00A10481">
        <w:t>s</w:t>
      </w:r>
      <w:r w:rsidRPr="006F0DB4">
        <w:t>ervices</w:t>
      </w:r>
    </w:p>
    <w:p w:rsidR="0092299C" w:rsidRPr="006F0DB4" w:rsidRDefault="0092299C" w:rsidP="0092299C">
      <w:pPr>
        <w:pStyle w:val="ARbody"/>
      </w:pPr>
      <w:r w:rsidRPr="006F0DB4">
        <w:t>Victorians deserve the highest quality ambulance services and they expect timely responses to emergencies. Ambulance services provide emergency and non-</w:t>
      </w:r>
      <w:r w:rsidRPr="008363BC">
        <w:t>emergency</w:t>
      </w:r>
      <w:r w:rsidRPr="006F0DB4">
        <w:t xml:space="preserve"> ambulance services to contribute to integrated and accessible health and community services for all Victorians.</w:t>
      </w:r>
    </w:p>
    <w:p w:rsidR="005E7D33" w:rsidRPr="005E7D33" w:rsidRDefault="005E7D33" w:rsidP="005E7D33">
      <w:pPr>
        <w:pStyle w:val="ARbody"/>
      </w:pPr>
      <w:r w:rsidRPr="005E7D33">
        <w:br w:type="page"/>
      </w:r>
    </w:p>
    <w:p w:rsidR="0092299C" w:rsidRPr="006F0DB4" w:rsidRDefault="0092299C" w:rsidP="0092299C">
      <w:pPr>
        <w:pStyle w:val="Heading4"/>
      </w:pPr>
      <w:r w:rsidRPr="006F0DB4">
        <w:lastRenderedPageBreak/>
        <w:t>Housing</w:t>
      </w:r>
    </w:p>
    <w:p w:rsidR="00AA035A" w:rsidRDefault="0092299C" w:rsidP="0092299C">
      <w:pPr>
        <w:pStyle w:val="ARbody"/>
      </w:pPr>
      <w:r w:rsidRPr="006F0DB4">
        <w:t xml:space="preserve">Having a safe, stable and secure home is essential for long-term health and wellbeing. A range of housing assistance is available to Victorians experiencing disadvantage, including long-term housing assistance in the form of public or community housing, private rental assistance and home ownership and renovation assistance. </w:t>
      </w:r>
      <w:r w:rsidRPr="004714DD">
        <w:rPr>
          <w:spacing w:val="-2"/>
        </w:rPr>
        <w:t>The department also works to reduce homelessness</w:t>
      </w:r>
      <w:r w:rsidRPr="008D2D1E">
        <w:t xml:space="preserve"> by increasing and improving the supply of crisis and long-term housing options in Victoria – particularly for those who need support to get their lives back on track</w:t>
      </w:r>
      <w:r>
        <w:t>.</w:t>
      </w:r>
    </w:p>
    <w:p w:rsidR="0092299C" w:rsidRPr="00B01751" w:rsidRDefault="0092299C" w:rsidP="0092299C">
      <w:pPr>
        <w:pStyle w:val="Heading4"/>
      </w:pPr>
      <w:r w:rsidRPr="00B01751">
        <w:t>Disability</w:t>
      </w:r>
    </w:p>
    <w:p w:rsidR="0092299C" w:rsidRPr="006F0DB4" w:rsidRDefault="0092299C" w:rsidP="0092299C">
      <w:pPr>
        <w:pStyle w:val="ARbody"/>
      </w:pPr>
      <w:r w:rsidRPr="006F0DB4">
        <w:t xml:space="preserve">The department works in partnership with people with a disability, their families and carers to provide support. One of the department’s key priorities is managing the implementation of the National Disability Insurance Scheme (NDIS) and its interface with the health services system, child protection and housing. The NDIS is a profound change in the disability service delivery environment and Victoria </w:t>
      </w:r>
      <w:r>
        <w:t>is</w:t>
      </w:r>
      <w:r w:rsidRPr="006F0DB4">
        <w:t xml:space="preserve"> transition</w:t>
      </w:r>
      <w:r>
        <w:t>ing</w:t>
      </w:r>
      <w:r w:rsidRPr="006F0DB4">
        <w:t xml:space="preserve"> to the full scheme over three financial years from 2016–17 to 2018–19.</w:t>
      </w:r>
    </w:p>
    <w:p w:rsidR="0092299C" w:rsidRPr="0031072E" w:rsidRDefault="0092299C" w:rsidP="0092299C">
      <w:pPr>
        <w:pStyle w:val="Heading4"/>
        <w:rPr>
          <w:rStyle w:val="Heading4Char"/>
          <w:b/>
        </w:rPr>
      </w:pPr>
      <w:r w:rsidRPr="0031072E">
        <w:t>Ageing</w:t>
      </w:r>
    </w:p>
    <w:p w:rsidR="0092299C" w:rsidRPr="006F0DB4" w:rsidRDefault="0092299C" w:rsidP="0092299C">
      <w:pPr>
        <w:pStyle w:val="ARbody"/>
      </w:pPr>
      <w:r w:rsidRPr="006F0DB4">
        <w:t>The Ageing portfolio addresses the increasing needs of Victoria’s ageing population, with a focus on the participation of seniors, wellbeing and health promotion, and appropriate high-quality services that enable older Victorians to remain independent for as long as possible.</w:t>
      </w:r>
    </w:p>
    <w:p w:rsidR="0092299C" w:rsidRPr="006F0DB4" w:rsidRDefault="0092299C" w:rsidP="0092299C">
      <w:pPr>
        <w:pStyle w:val="Heading4"/>
      </w:pPr>
      <w:r w:rsidRPr="006F0DB4">
        <w:t xml:space="preserve">Mental </w:t>
      </w:r>
      <w:r w:rsidR="00A10481">
        <w:t>h</w:t>
      </w:r>
      <w:r w:rsidRPr="006F0DB4">
        <w:t>ealth</w:t>
      </w:r>
    </w:p>
    <w:p w:rsidR="0092299C" w:rsidRPr="006F0DB4" w:rsidRDefault="0092299C" w:rsidP="0092299C">
      <w:pPr>
        <w:pStyle w:val="ARbody"/>
      </w:pPr>
      <w:r w:rsidRPr="006F0DB4">
        <w:t xml:space="preserve">Mental </w:t>
      </w:r>
      <w:r w:rsidR="00A10481">
        <w:t>h</w:t>
      </w:r>
      <w:r w:rsidRPr="006F0DB4">
        <w:t xml:space="preserve">ealth </w:t>
      </w:r>
      <w:r w:rsidR="00A10481">
        <w:t xml:space="preserve">services </w:t>
      </w:r>
      <w:r w:rsidRPr="006F0DB4">
        <w:t>support Victorians experiencing or affected by mental health problems or substance misuse, as well as their families and carers. This portfolio is responsible for mental health and drugs policy, planning, strategy and programs that deliver prevention, early intervention, treatment and support.</w:t>
      </w:r>
    </w:p>
    <w:p w:rsidR="0092299C" w:rsidRPr="006F0DB4" w:rsidRDefault="005E7D33" w:rsidP="0092299C">
      <w:pPr>
        <w:pStyle w:val="Heading4"/>
      </w:pPr>
      <w:bookmarkStart w:id="9" w:name="_Ref492928241"/>
      <w:r>
        <w:br w:type="column"/>
      </w:r>
      <w:r w:rsidR="0092299C" w:rsidRPr="006F0DB4">
        <w:lastRenderedPageBreak/>
        <w:t xml:space="preserve">Families and </w:t>
      </w:r>
      <w:r w:rsidR="00A10481">
        <w:t>c</w:t>
      </w:r>
      <w:r w:rsidR="0092299C" w:rsidRPr="006F0DB4">
        <w:t>hildren</w:t>
      </w:r>
      <w:bookmarkEnd w:id="9"/>
    </w:p>
    <w:p w:rsidR="0092299C" w:rsidRPr="006F0DB4" w:rsidRDefault="0092299C" w:rsidP="0092299C">
      <w:pPr>
        <w:pStyle w:val="ARbody"/>
        <w:rPr>
          <w:lang w:eastAsia="en-AU"/>
        </w:rPr>
      </w:pPr>
      <w:r w:rsidRPr="006F0DB4">
        <w:rPr>
          <w:lang w:eastAsia="en-AU"/>
        </w:rPr>
        <w:t>To ensure the safety and wellbeing of children and young people and families, the department funds a range of early intervention, statutory and support services. Support for vulnerable children and families is closely connected to other services to strengthen families and communities.</w:t>
      </w:r>
    </w:p>
    <w:p w:rsidR="0092299C" w:rsidRPr="006F0DB4" w:rsidRDefault="0092299C" w:rsidP="0092299C">
      <w:pPr>
        <w:pStyle w:val="Heading4"/>
        <w:rPr>
          <w:lang w:eastAsia="en-AU"/>
        </w:rPr>
      </w:pPr>
      <w:r w:rsidRPr="006F0DB4">
        <w:rPr>
          <w:lang w:eastAsia="en-AU"/>
        </w:rPr>
        <w:t>Youth</w:t>
      </w:r>
      <w:r>
        <w:rPr>
          <w:lang w:eastAsia="en-AU"/>
        </w:rPr>
        <w:t xml:space="preserve"> </w:t>
      </w:r>
      <w:r w:rsidR="00A10481">
        <w:rPr>
          <w:lang w:eastAsia="en-AU"/>
        </w:rPr>
        <w:t>a</w:t>
      </w:r>
      <w:r>
        <w:rPr>
          <w:lang w:eastAsia="en-AU"/>
        </w:rPr>
        <w:t>ffairs</w:t>
      </w:r>
    </w:p>
    <w:p w:rsidR="005E7D33" w:rsidRDefault="0092299C" w:rsidP="0092299C">
      <w:pPr>
        <w:pStyle w:val="ARbody"/>
        <w:rPr>
          <w:lang w:eastAsia="en-AU"/>
        </w:rPr>
      </w:pPr>
      <w:r w:rsidRPr="006F0DB4">
        <w:rPr>
          <w:lang w:eastAsia="en-AU"/>
        </w:rPr>
        <w:t>The department aims to improve social and economic inclusion for young people experiencing social and economic disadvantage, and reconnect them with community, educational and employment pathways.</w:t>
      </w:r>
    </w:p>
    <w:p w:rsidR="0092299C" w:rsidRPr="005E7D33" w:rsidRDefault="0092299C" w:rsidP="005E7D33">
      <w:pPr>
        <w:pStyle w:val="Heading4"/>
      </w:pPr>
      <w:r w:rsidRPr="005E7D33">
        <w:t xml:space="preserve">Sport and </w:t>
      </w:r>
      <w:r w:rsidR="00A10481" w:rsidRPr="005E7D33">
        <w:t>r</w:t>
      </w:r>
      <w:r w:rsidRPr="005E7D33">
        <w:t>ecreation</w:t>
      </w:r>
    </w:p>
    <w:p w:rsidR="0092299C" w:rsidRPr="006F0DB4" w:rsidRDefault="0092299C" w:rsidP="0092299C">
      <w:pPr>
        <w:pStyle w:val="ARbody"/>
      </w:pPr>
      <w:r>
        <w:t>T</w:t>
      </w:r>
      <w:r w:rsidRPr="006F0DB4">
        <w:t>he department provides strategic leadership to the Victorian sport and recreation industry</w:t>
      </w:r>
      <w:r>
        <w:t>,</w:t>
      </w:r>
      <w:r w:rsidRPr="006F0DB4">
        <w:t xml:space="preserve"> promot</w:t>
      </w:r>
      <w:r>
        <w:t>ing</w:t>
      </w:r>
      <w:r w:rsidRPr="006F0DB4">
        <w:t xml:space="preserve"> lifelong participation and increased diversity in sport and recreation, as well as strengthening the pathway for Victorian athletes.</w:t>
      </w:r>
    </w:p>
    <w:p w:rsidR="0092299C" w:rsidRPr="006F0DB4" w:rsidRDefault="0092299C" w:rsidP="0092299C">
      <w:pPr>
        <w:pStyle w:val="ARbody"/>
      </w:pPr>
      <w:r w:rsidRPr="006F0DB4">
        <w:t xml:space="preserve">The department manages the </w:t>
      </w:r>
      <w:r w:rsidR="00A10481">
        <w:t>Victorian</w:t>
      </w:r>
      <w:r w:rsidR="00A10481" w:rsidRPr="006F0DB4">
        <w:t xml:space="preserve"> </w:t>
      </w:r>
      <w:r w:rsidR="00A10481">
        <w:t>G</w:t>
      </w:r>
      <w:r w:rsidRPr="006F0DB4">
        <w:t>overnment’s major sports facilities, investing in</w:t>
      </w:r>
      <w:r>
        <w:t xml:space="preserve"> </w:t>
      </w:r>
      <w:r w:rsidRPr="006F0DB4">
        <w:t xml:space="preserve">state community facilities to maintain </w:t>
      </w:r>
      <w:r w:rsidR="00A10481">
        <w:t>our</w:t>
      </w:r>
      <w:r w:rsidR="00A10481" w:rsidRPr="006F0DB4">
        <w:t xml:space="preserve"> </w:t>
      </w:r>
      <w:r w:rsidRPr="006F0DB4">
        <w:t>reputation as the sporting capital of the nation.</w:t>
      </w:r>
    </w:p>
    <w:p w:rsidR="0092299C" w:rsidRPr="006F0DB4" w:rsidRDefault="0092299C" w:rsidP="0092299C">
      <w:pPr>
        <w:pStyle w:val="Heading3"/>
      </w:pPr>
      <w:bookmarkStart w:id="10" w:name="_Ref492894240"/>
      <w:r w:rsidRPr="006F0DB4">
        <w:t>Changes to the department</w:t>
      </w:r>
      <w:bookmarkEnd w:id="10"/>
    </w:p>
    <w:p w:rsidR="0092299C" w:rsidRPr="0087031F" w:rsidRDefault="0092299C" w:rsidP="0092299C">
      <w:pPr>
        <w:pStyle w:val="ARbody"/>
        <w:sectPr w:rsidR="0092299C" w:rsidRPr="0087031F" w:rsidSect="00AB2326">
          <w:headerReference w:type="even" r:id="rId21"/>
          <w:footerReference w:type="even" r:id="rId22"/>
          <w:footerReference w:type="default" r:id="rId23"/>
          <w:endnotePr>
            <w:numFmt w:val="decimal"/>
          </w:endnotePr>
          <w:type w:val="continuous"/>
          <w:pgSz w:w="11900" w:h="16840" w:code="9"/>
          <w:pgMar w:top="1531" w:right="851" w:bottom="680" w:left="1418" w:header="510" w:footer="340" w:gutter="0"/>
          <w:cols w:num="2" w:space="454"/>
        </w:sectPr>
      </w:pPr>
      <w:r>
        <w:rPr>
          <w:color w:val="000000"/>
          <w:lang w:eastAsia="en-AU"/>
        </w:rPr>
        <w:t xml:space="preserve">In April 2017, youth justice custodial services and community-based services were transferred to the Department of Justice and Regulation. There was no additional cost to the department associated with this change. The Department of Justice and Regulation will include youth justice custodial and community-based services in their </w:t>
      </w:r>
      <w:r w:rsidR="00A10481">
        <w:rPr>
          <w:color w:val="000000"/>
          <w:lang w:eastAsia="en-AU"/>
        </w:rPr>
        <w:t>a</w:t>
      </w:r>
      <w:r>
        <w:rPr>
          <w:color w:val="000000"/>
          <w:lang w:eastAsia="en-AU"/>
        </w:rPr>
        <w:t xml:space="preserve">nnual </w:t>
      </w:r>
      <w:r w:rsidR="00A10481">
        <w:rPr>
          <w:color w:val="000000"/>
          <w:lang w:eastAsia="en-AU"/>
        </w:rPr>
        <w:t>r</w:t>
      </w:r>
      <w:r>
        <w:rPr>
          <w:color w:val="000000"/>
          <w:lang w:eastAsia="en-AU"/>
        </w:rPr>
        <w:t>eport.</w:t>
      </w:r>
    </w:p>
    <w:p w:rsidR="0092299C" w:rsidRPr="006F0DB4" w:rsidRDefault="0092299C" w:rsidP="0092299C">
      <w:pPr>
        <w:pStyle w:val="Heading1"/>
      </w:pPr>
      <w:bookmarkStart w:id="11" w:name="_Ref492893888"/>
      <w:bookmarkStart w:id="12" w:name="_Toc493069457"/>
      <w:r>
        <w:lastRenderedPageBreak/>
        <w:t>The department’s m</w:t>
      </w:r>
      <w:r w:rsidRPr="006F0DB4">
        <w:t>inisters</w:t>
      </w:r>
      <w:bookmarkEnd w:id="11"/>
      <w:bookmarkEnd w:id="12"/>
    </w:p>
    <w:p w:rsidR="0092299C" w:rsidRDefault="0092299C" w:rsidP="0092299C">
      <w:pPr>
        <w:spacing w:after="120" w:line="260" w:lineRule="atLeast"/>
        <w:rPr>
          <w:rFonts w:eastAsia="Times" w:cs="Arial"/>
          <w:sz w:val="20"/>
          <w:szCs w:val="20"/>
        </w:rPr>
        <w:sectPr w:rsidR="0092299C" w:rsidSect="00890C9D">
          <w:headerReference w:type="even" r:id="rId24"/>
          <w:headerReference w:type="default" r:id="rId25"/>
          <w:footerReference w:type="even" r:id="rId26"/>
          <w:footerReference w:type="default" r:id="rId27"/>
          <w:type w:val="continuous"/>
          <w:pgSz w:w="11906" w:h="16838" w:code="9"/>
          <w:pgMar w:top="1531" w:right="851" w:bottom="680" w:left="1418" w:header="510" w:footer="340" w:gutter="0"/>
          <w:cols w:space="454"/>
          <w:docGrid w:linePitch="360"/>
        </w:sectPr>
      </w:pPr>
    </w:p>
    <w:p w:rsidR="0092299C" w:rsidRPr="006F0DB4" w:rsidRDefault="0092299C" w:rsidP="0092299C">
      <w:pPr>
        <w:spacing w:after="120" w:line="260" w:lineRule="atLeast"/>
        <w:rPr>
          <w:rFonts w:eastAsia="Times" w:cs="Arial"/>
          <w:sz w:val="20"/>
          <w:szCs w:val="20"/>
        </w:rPr>
      </w:pPr>
      <w:r w:rsidRPr="006F0DB4">
        <w:rPr>
          <w:rFonts w:eastAsia="Times" w:cs="Arial"/>
          <w:noProof/>
          <w:sz w:val="20"/>
          <w:szCs w:val="20"/>
          <w:lang w:eastAsia="en-AU"/>
        </w:rPr>
        <w:lastRenderedPageBreak/>
        <w:drawing>
          <wp:inline distT="0" distB="0" distL="0" distR="0" wp14:anchorId="084002A4" wp14:editId="1AB1F36B">
            <wp:extent cx="1800000" cy="2246400"/>
            <wp:effectExtent l="0" t="0" r="0" b="1905"/>
            <wp:docPr id="7" name="Picture 7" descr="The Honourable Jill Henness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onourable Jill Hennessy 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2246400"/>
                    </a:xfrm>
                    <a:prstGeom prst="rect">
                      <a:avLst/>
                    </a:prstGeom>
                    <a:noFill/>
                    <a:ln>
                      <a:noFill/>
                    </a:ln>
                  </pic:spPr>
                </pic:pic>
              </a:graphicData>
            </a:graphic>
          </wp:inline>
        </w:drawing>
      </w:r>
    </w:p>
    <w:p w:rsidR="0092299C" w:rsidRPr="006F0DB4" w:rsidRDefault="0092299C" w:rsidP="0092299C">
      <w:pPr>
        <w:pStyle w:val="Heading2"/>
      </w:pPr>
      <w:r w:rsidRPr="006F0DB4">
        <w:t>The Honourable Jill Hennessy MP</w:t>
      </w:r>
    </w:p>
    <w:p w:rsidR="0092299C" w:rsidRPr="00E22B48" w:rsidRDefault="0092299C" w:rsidP="0092299C">
      <w:pPr>
        <w:pStyle w:val="ARbody"/>
        <w:rPr>
          <w:b/>
        </w:rPr>
      </w:pPr>
      <w:r w:rsidRPr="00E22B48">
        <w:rPr>
          <w:b/>
        </w:rPr>
        <w:t>Minister for Health</w:t>
      </w:r>
      <w:r>
        <w:rPr>
          <w:b/>
        </w:rPr>
        <w:br/>
      </w:r>
      <w:r w:rsidRPr="00E22B48">
        <w:rPr>
          <w:b/>
        </w:rPr>
        <w:t>Minister for Ambulance Services</w:t>
      </w:r>
    </w:p>
    <w:p w:rsidR="00AA035A" w:rsidRDefault="0092299C" w:rsidP="0092299C">
      <w:pPr>
        <w:pStyle w:val="ARbody"/>
        <w:rPr>
          <w:lang w:eastAsia="en-AU"/>
        </w:rPr>
      </w:pPr>
      <w:r>
        <w:rPr>
          <w:lang w:eastAsia="en-AU"/>
        </w:rPr>
        <w:t>The Honourable Jill Hennessy MP is the Victorian Minister for Health and Minister for Ambulance Services.</w:t>
      </w:r>
    </w:p>
    <w:p w:rsidR="00AA035A" w:rsidRDefault="0092299C" w:rsidP="0092299C">
      <w:pPr>
        <w:pStyle w:val="ARbody"/>
        <w:rPr>
          <w:lang w:eastAsia="en-AU"/>
        </w:rPr>
      </w:pPr>
      <w:r>
        <w:rPr>
          <w:lang w:eastAsia="en-AU"/>
        </w:rPr>
        <w:t xml:space="preserve">Minister Hennessy entered the Victorian Parliament as Member for Altona in 2010 and was Shadow Minister for Corrections, Crime Prevention, the </w:t>
      </w:r>
      <w:r w:rsidR="00F40054">
        <w:rPr>
          <w:lang w:eastAsia="en-AU"/>
        </w:rPr>
        <w:br/>
      </w:r>
      <w:r>
        <w:rPr>
          <w:lang w:eastAsia="en-AU"/>
        </w:rPr>
        <w:t>Anti-Corruption Commission and Shadow Minister for Women between 2010 and 2013. She then served as Shadow Minister for Public Transport until the election of 2014.</w:t>
      </w:r>
    </w:p>
    <w:p w:rsidR="00AA035A" w:rsidRDefault="0092299C" w:rsidP="0092299C">
      <w:pPr>
        <w:pStyle w:val="ARbody"/>
        <w:rPr>
          <w:lang w:eastAsia="en-AU"/>
        </w:rPr>
      </w:pPr>
      <w:r>
        <w:rPr>
          <w:lang w:eastAsia="en-AU"/>
        </w:rPr>
        <w:t>Minister Hennessy holds a Master of Laws from Melbourne University and a Bachelor of Laws and Bachelor of Arts from Monash University. Prior to entering the Legislative Assembly she specialised in industrial, employment and equal opportunity law.</w:t>
      </w:r>
    </w:p>
    <w:p w:rsidR="00AA035A" w:rsidRDefault="0092299C" w:rsidP="0092299C">
      <w:pPr>
        <w:pStyle w:val="ARbody"/>
        <w:rPr>
          <w:lang w:eastAsia="en-AU"/>
        </w:rPr>
      </w:pPr>
      <w:r>
        <w:rPr>
          <w:lang w:eastAsia="en-AU"/>
        </w:rPr>
        <w:t>Since her appointment, Minister Hennessy has led key reforms including legislating to establish Safer Care Victoria and the Victorian Agency for Health Information to further build on Victoria’s strong reputation for quality healthcare, as well as establishing minimum nurse ratios for Victorian patients, a new health complaints regime and improving vaccination requirements at childcare and kindergartens.</w:t>
      </w:r>
    </w:p>
    <w:p w:rsidR="0092299C" w:rsidRPr="006F0DB4" w:rsidRDefault="0092299C" w:rsidP="0092299C">
      <w:pPr>
        <w:pStyle w:val="ARbody"/>
        <w:rPr>
          <w:lang w:eastAsia="en-AU"/>
        </w:rPr>
      </w:pPr>
      <w:r>
        <w:rPr>
          <w:lang w:eastAsia="en-AU"/>
        </w:rPr>
        <w:t>Minister Hennessy has committed to investing in, and reforming our health system, to ensure that every Victorian has access to the very best healthcare, regardless of their background, location or stage in life.</w:t>
      </w:r>
    </w:p>
    <w:p w:rsidR="0092299C" w:rsidRPr="006F0DB4" w:rsidRDefault="0092299C" w:rsidP="0092299C">
      <w:pPr>
        <w:spacing w:after="120" w:line="260" w:lineRule="atLeast"/>
        <w:rPr>
          <w:rFonts w:eastAsia="Times" w:cs="Arial"/>
          <w:sz w:val="20"/>
          <w:szCs w:val="20"/>
        </w:rPr>
      </w:pPr>
      <w:r w:rsidRPr="006F0DB4">
        <w:rPr>
          <w:rFonts w:eastAsia="Times" w:cs="Arial"/>
          <w:noProof/>
          <w:sz w:val="20"/>
          <w:szCs w:val="20"/>
          <w:lang w:eastAsia="en-AU"/>
        </w:rPr>
        <w:lastRenderedPageBreak/>
        <w:drawing>
          <wp:inline distT="0" distB="0" distL="0" distR="0" wp14:anchorId="37D41F4C" wp14:editId="5FC16EC4">
            <wp:extent cx="1800225" cy="2247900"/>
            <wp:effectExtent l="0" t="0" r="9525" b="0"/>
            <wp:docPr id="8" name="Picture 8" descr="Martin Fol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 Foley 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2247900"/>
                    </a:xfrm>
                    <a:prstGeom prst="rect">
                      <a:avLst/>
                    </a:prstGeom>
                    <a:noFill/>
                    <a:ln>
                      <a:noFill/>
                    </a:ln>
                  </pic:spPr>
                </pic:pic>
              </a:graphicData>
            </a:graphic>
          </wp:inline>
        </w:drawing>
      </w:r>
    </w:p>
    <w:p w:rsidR="0092299C" w:rsidRPr="006F0DB4" w:rsidRDefault="0092299C" w:rsidP="0092299C">
      <w:pPr>
        <w:pStyle w:val="Heading2"/>
      </w:pPr>
      <w:r w:rsidRPr="006F0DB4">
        <w:t>Martin Foley MP</w:t>
      </w:r>
    </w:p>
    <w:p w:rsidR="0092299C" w:rsidRPr="00E22B48" w:rsidRDefault="0092299C" w:rsidP="0092299C">
      <w:pPr>
        <w:pStyle w:val="ARbody"/>
        <w:rPr>
          <w:b/>
        </w:rPr>
      </w:pPr>
      <w:r w:rsidRPr="00E22B48">
        <w:rPr>
          <w:b/>
        </w:rPr>
        <w:t>Minister for Housing, Disability and Ageing</w:t>
      </w:r>
      <w:r>
        <w:rPr>
          <w:b/>
        </w:rPr>
        <w:br/>
      </w:r>
      <w:r w:rsidRPr="00E22B48">
        <w:rPr>
          <w:b/>
        </w:rPr>
        <w:t>Minister for Mental Health</w:t>
      </w:r>
    </w:p>
    <w:p w:rsidR="0092299C" w:rsidRPr="006F0DB4" w:rsidRDefault="0092299C" w:rsidP="0092299C">
      <w:pPr>
        <w:pStyle w:val="ARbody"/>
      </w:pPr>
      <w:r w:rsidRPr="006F0DB4">
        <w:t xml:space="preserve">Martin Foley MP was elected to the Legislative Assembly in 2007. He has been the Minister for Housing, Disability and Ageing and the Minister for Mental Health in the Victorian Government since </w:t>
      </w:r>
      <w:r>
        <w:br/>
      </w:r>
      <w:r w:rsidRPr="006F0DB4">
        <w:t>4 December 2014.</w:t>
      </w:r>
    </w:p>
    <w:p w:rsidR="0092299C" w:rsidRPr="006F0DB4" w:rsidRDefault="0092299C" w:rsidP="0092299C">
      <w:pPr>
        <w:pStyle w:val="ARbody"/>
      </w:pPr>
      <w:r w:rsidRPr="006F0DB4">
        <w:t xml:space="preserve">Having previously worked in the public housing sector, community development and in protecting the rights of working people, Minister Foley is leading the government’s efforts across government to roll out the National Disability Insurance Scheme (NDIS) over the next three years and provide integrated care in areas of </w:t>
      </w:r>
      <w:r w:rsidR="00252E9E">
        <w:t>h</w:t>
      </w:r>
      <w:r w:rsidRPr="006F0DB4">
        <w:t xml:space="preserve">ousing and </w:t>
      </w:r>
      <w:r w:rsidR="00252E9E">
        <w:t>h</w:t>
      </w:r>
      <w:r w:rsidRPr="006F0DB4">
        <w:t xml:space="preserve">omelessness, </w:t>
      </w:r>
      <w:r w:rsidR="00252E9E">
        <w:t>m</w:t>
      </w:r>
      <w:r w:rsidRPr="006F0DB4">
        <w:t xml:space="preserve">ental </w:t>
      </w:r>
      <w:r w:rsidR="00252E9E">
        <w:t>h</w:t>
      </w:r>
      <w:r w:rsidRPr="006F0DB4">
        <w:t xml:space="preserve">ealth and </w:t>
      </w:r>
      <w:r w:rsidR="00252E9E">
        <w:t>a</w:t>
      </w:r>
      <w:r w:rsidRPr="006F0DB4">
        <w:t>geing to address disadvantage.</w:t>
      </w:r>
    </w:p>
    <w:p w:rsidR="00AA035A" w:rsidRDefault="0092299C" w:rsidP="0092299C">
      <w:pPr>
        <w:pStyle w:val="ARbody"/>
      </w:pPr>
      <w:r w:rsidRPr="006F0DB4">
        <w:t xml:space="preserve">In March 2017, Minister Foley announced the Victorian Government’s biggest ever investment </w:t>
      </w:r>
      <w:r w:rsidR="004714DD">
        <w:br/>
      </w:r>
      <w:r w:rsidRPr="006F0DB4">
        <w:t>in social housing</w:t>
      </w:r>
      <w:r>
        <w:t xml:space="preserve"> </w:t>
      </w:r>
      <w:r w:rsidRPr="006F0DB4">
        <w:t>and support</w:t>
      </w:r>
      <w:r>
        <w:t xml:space="preserve"> </w:t>
      </w:r>
      <w:r w:rsidRPr="006F0DB4">
        <w:t>for vulnerable Victorians experiencing or at risk of experiencing homelessness.</w:t>
      </w:r>
    </w:p>
    <w:p w:rsidR="0092299C" w:rsidRPr="006F0DB4" w:rsidRDefault="0092299C" w:rsidP="0092299C">
      <w:pPr>
        <w:pStyle w:val="ARbody"/>
      </w:pPr>
      <w:r w:rsidRPr="006F0DB4">
        <w:t>Through Homes for Victorians, $799 million was committed in social housing and homelessness support and $2.1 billion in financial support to grow social housing.</w:t>
      </w:r>
    </w:p>
    <w:p w:rsidR="0092299C" w:rsidRPr="006F0DB4" w:rsidRDefault="0092299C" w:rsidP="0092299C">
      <w:pPr>
        <w:pStyle w:val="ARbody"/>
      </w:pPr>
      <w:r w:rsidRPr="006F0DB4">
        <w:t>Minister Foley holds a BA (Hons) in History and Politics and a Master of Commerce (Hons).</w:t>
      </w:r>
    </w:p>
    <w:p w:rsidR="0092299C" w:rsidRPr="006F0DB4" w:rsidRDefault="0092299C" w:rsidP="0092299C">
      <w:pPr>
        <w:pStyle w:val="ARbody"/>
      </w:pPr>
      <w:r w:rsidRPr="006F0DB4">
        <w:t>Minister Foley is also the Minister for Equality and the Minister for Creative Industries.</w:t>
      </w:r>
    </w:p>
    <w:p w:rsidR="0092299C" w:rsidRPr="006F0DB4" w:rsidRDefault="0092299C" w:rsidP="0092299C">
      <w:pPr>
        <w:spacing w:after="120" w:line="260" w:lineRule="atLeast"/>
        <w:rPr>
          <w:rFonts w:eastAsia="Times" w:cs="Arial"/>
          <w:sz w:val="20"/>
          <w:szCs w:val="20"/>
        </w:rPr>
      </w:pPr>
      <w:r w:rsidRPr="006F0DB4">
        <w:rPr>
          <w:rFonts w:eastAsia="Times" w:cs="Arial"/>
          <w:noProof/>
          <w:sz w:val="20"/>
          <w:szCs w:val="20"/>
          <w:lang w:eastAsia="en-AU"/>
        </w:rPr>
        <w:lastRenderedPageBreak/>
        <w:drawing>
          <wp:inline distT="0" distB="0" distL="0" distR="0" wp14:anchorId="1AC32BF9" wp14:editId="4C7AAFF8">
            <wp:extent cx="1800225" cy="2247900"/>
            <wp:effectExtent l="0" t="0" r="9525" b="0"/>
            <wp:docPr id="9" name="Picture 9" descr="Jenny Mikako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nny Mikakos 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2247900"/>
                    </a:xfrm>
                    <a:prstGeom prst="rect">
                      <a:avLst/>
                    </a:prstGeom>
                    <a:noFill/>
                    <a:ln>
                      <a:noFill/>
                    </a:ln>
                  </pic:spPr>
                </pic:pic>
              </a:graphicData>
            </a:graphic>
          </wp:inline>
        </w:drawing>
      </w:r>
    </w:p>
    <w:p w:rsidR="0092299C" w:rsidRPr="006F0DB4" w:rsidRDefault="0092299C" w:rsidP="0092299C">
      <w:pPr>
        <w:pStyle w:val="Heading2"/>
      </w:pPr>
      <w:r w:rsidRPr="006F0DB4">
        <w:t xml:space="preserve">Jenny </w:t>
      </w:r>
      <w:proofErr w:type="spellStart"/>
      <w:r w:rsidRPr="006F0DB4">
        <w:t>Mikakos</w:t>
      </w:r>
      <w:proofErr w:type="spellEnd"/>
      <w:r w:rsidRPr="006F0DB4">
        <w:t xml:space="preserve"> MP</w:t>
      </w:r>
    </w:p>
    <w:p w:rsidR="0092299C" w:rsidRPr="00E22B48" w:rsidRDefault="0092299C" w:rsidP="0092299C">
      <w:pPr>
        <w:pStyle w:val="ARbody"/>
        <w:rPr>
          <w:b/>
        </w:rPr>
      </w:pPr>
      <w:r w:rsidRPr="00E22B48">
        <w:rPr>
          <w:b/>
        </w:rPr>
        <w:t>Minister for Families and Children</w:t>
      </w:r>
      <w:r>
        <w:rPr>
          <w:b/>
        </w:rPr>
        <w:br/>
      </w:r>
      <w:r w:rsidRPr="00E22B48">
        <w:rPr>
          <w:b/>
        </w:rPr>
        <w:t>Minister for Youth Affairs</w:t>
      </w:r>
    </w:p>
    <w:p w:rsidR="0092299C" w:rsidRPr="006F0DB4" w:rsidRDefault="0092299C" w:rsidP="0092299C">
      <w:pPr>
        <w:pStyle w:val="ARbody"/>
      </w:pPr>
      <w:r w:rsidRPr="006F0DB4">
        <w:t xml:space="preserve">Jenny </w:t>
      </w:r>
      <w:proofErr w:type="spellStart"/>
      <w:r w:rsidRPr="006F0DB4">
        <w:t>Mikakos</w:t>
      </w:r>
      <w:proofErr w:type="spellEnd"/>
      <w:r w:rsidRPr="006F0DB4">
        <w:t xml:space="preserve"> MP was elected to the Legislative Council in 1999. She has been the Minister for Families and Children and Minister for Youth Affairs in the Victorian Government since 4 December 2014.</w:t>
      </w:r>
    </w:p>
    <w:p w:rsidR="0092299C" w:rsidRPr="006F0DB4" w:rsidRDefault="0092299C" w:rsidP="0092299C">
      <w:pPr>
        <w:pStyle w:val="ARbody"/>
        <w:rPr>
          <w:szCs w:val="20"/>
        </w:rPr>
      </w:pPr>
      <w:r w:rsidRPr="006F0DB4">
        <w:rPr>
          <w:szCs w:val="20"/>
        </w:rPr>
        <w:t xml:space="preserve">Minister </w:t>
      </w:r>
      <w:proofErr w:type="spellStart"/>
      <w:r w:rsidRPr="006F0DB4">
        <w:rPr>
          <w:szCs w:val="20"/>
        </w:rPr>
        <w:t>Mikakos</w:t>
      </w:r>
      <w:proofErr w:type="spellEnd"/>
      <w:r w:rsidRPr="006F0DB4">
        <w:rPr>
          <w:szCs w:val="20"/>
        </w:rPr>
        <w:t xml:space="preserve"> has held a number of Shadow Ministerial roles including Community Services, Youth Justice, Children, Young Adults, and Seniors and Ageing. She has also served as a Parliamentary Secretary for Justice and Planning.</w:t>
      </w:r>
    </w:p>
    <w:p w:rsidR="0092299C" w:rsidRPr="006F0DB4" w:rsidRDefault="0092299C" w:rsidP="0092299C">
      <w:pPr>
        <w:pStyle w:val="ARbody"/>
        <w:rPr>
          <w:szCs w:val="20"/>
        </w:rPr>
      </w:pPr>
      <w:r w:rsidRPr="006F0DB4">
        <w:rPr>
          <w:szCs w:val="20"/>
        </w:rPr>
        <w:t xml:space="preserve">Minister </w:t>
      </w:r>
      <w:proofErr w:type="spellStart"/>
      <w:r w:rsidRPr="006F0DB4">
        <w:rPr>
          <w:szCs w:val="20"/>
        </w:rPr>
        <w:t>Mikakos</w:t>
      </w:r>
      <w:proofErr w:type="spellEnd"/>
      <w:r w:rsidRPr="006F0DB4">
        <w:rPr>
          <w:szCs w:val="20"/>
        </w:rPr>
        <w:t xml:space="preserve"> is passionate about social justice and </w:t>
      </w:r>
      <w:r>
        <w:rPr>
          <w:szCs w:val="20"/>
        </w:rPr>
        <w:t>is driving the</w:t>
      </w:r>
      <w:r w:rsidRPr="006F0DB4">
        <w:rPr>
          <w:szCs w:val="20"/>
        </w:rPr>
        <w:t xml:space="preserve"> systemic reform needed to improve outcomes for the most vulnerable children, young people and families in Victoria.</w:t>
      </w:r>
    </w:p>
    <w:p w:rsidR="0092299C" w:rsidRPr="006F0DB4" w:rsidRDefault="0092299C" w:rsidP="0092299C">
      <w:pPr>
        <w:pStyle w:val="ARbody"/>
        <w:rPr>
          <w:szCs w:val="20"/>
        </w:rPr>
      </w:pPr>
      <w:r w:rsidRPr="006F0DB4">
        <w:rPr>
          <w:szCs w:val="20"/>
        </w:rPr>
        <w:t xml:space="preserve">Minister </w:t>
      </w:r>
      <w:proofErr w:type="spellStart"/>
      <w:r w:rsidRPr="006F0DB4">
        <w:rPr>
          <w:szCs w:val="20"/>
        </w:rPr>
        <w:t>Mikakos</w:t>
      </w:r>
      <w:proofErr w:type="spellEnd"/>
      <w:r w:rsidRPr="006F0DB4">
        <w:rPr>
          <w:szCs w:val="20"/>
        </w:rPr>
        <w:t xml:space="preserve"> holds a Bachelor of Laws and a Bachelor of Arts from the University of Melbourne and practised as a lawyer prior to entering Parliament.</w:t>
      </w:r>
    </w:p>
    <w:p w:rsidR="0092299C" w:rsidRPr="006F0DB4" w:rsidRDefault="0092299C" w:rsidP="0092299C">
      <w:pPr>
        <w:pStyle w:val="ARbody"/>
        <w:rPr>
          <w:szCs w:val="20"/>
        </w:rPr>
      </w:pPr>
      <w:r w:rsidRPr="006F0DB4">
        <w:rPr>
          <w:szCs w:val="20"/>
        </w:rPr>
        <w:t>The Families and Children portfolio also covers early childhood development within the Department of Education and Training in recognition of the important role that early childhood services play in supporting vulnerable children</w:t>
      </w:r>
      <w:r>
        <w:rPr>
          <w:szCs w:val="20"/>
        </w:rPr>
        <w:t>, and youth justice within the Department of Justice and Regulation</w:t>
      </w:r>
      <w:r w:rsidRPr="006F0DB4">
        <w:rPr>
          <w:szCs w:val="20"/>
        </w:rPr>
        <w:t>.</w:t>
      </w:r>
    </w:p>
    <w:p w:rsidR="0092299C" w:rsidRPr="006F0DB4" w:rsidRDefault="0092299C" w:rsidP="0092299C">
      <w:pPr>
        <w:spacing w:after="120" w:line="260" w:lineRule="atLeast"/>
        <w:rPr>
          <w:rFonts w:eastAsia="Times" w:cs="Arial"/>
          <w:sz w:val="20"/>
          <w:szCs w:val="20"/>
        </w:rPr>
      </w:pPr>
      <w:r w:rsidRPr="006F0DB4">
        <w:rPr>
          <w:rFonts w:eastAsia="Times" w:cs="Arial"/>
          <w:sz w:val="20"/>
          <w:szCs w:val="20"/>
        </w:rPr>
        <w:br w:type="column"/>
      </w:r>
      <w:r w:rsidRPr="006F0DB4">
        <w:rPr>
          <w:rFonts w:eastAsia="Times" w:cs="Arial"/>
          <w:noProof/>
          <w:sz w:val="20"/>
          <w:szCs w:val="20"/>
          <w:lang w:eastAsia="en-AU"/>
        </w:rPr>
        <w:lastRenderedPageBreak/>
        <w:drawing>
          <wp:inline distT="0" distB="0" distL="0" distR="0" wp14:anchorId="19BDA5FF" wp14:editId="1B95E681">
            <wp:extent cx="1800225" cy="2247900"/>
            <wp:effectExtent l="0" t="0" r="9525" b="0"/>
            <wp:docPr id="10" name="Picture 10" descr="The Honourable John Ere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onourable John Eren 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2247900"/>
                    </a:xfrm>
                    <a:prstGeom prst="rect">
                      <a:avLst/>
                    </a:prstGeom>
                    <a:noFill/>
                    <a:ln>
                      <a:noFill/>
                    </a:ln>
                  </pic:spPr>
                </pic:pic>
              </a:graphicData>
            </a:graphic>
          </wp:inline>
        </w:drawing>
      </w:r>
    </w:p>
    <w:p w:rsidR="0092299C" w:rsidRPr="006F0DB4" w:rsidRDefault="0092299C" w:rsidP="0092299C">
      <w:pPr>
        <w:pStyle w:val="Heading2"/>
      </w:pPr>
      <w:bookmarkStart w:id="13" w:name="_Ref492893943"/>
      <w:r w:rsidRPr="006F0DB4">
        <w:t xml:space="preserve">The Honourable John </w:t>
      </w:r>
      <w:proofErr w:type="spellStart"/>
      <w:r w:rsidRPr="006F0DB4">
        <w:t>Eren</w:t>
      </w:r>
      <w:proofErr w:type="spellEnd"/>
      <w:r w:rsidRPr="006F0DB4">
        <w:t xml:space="preserve"> MP</w:t>
      </w:r>
      <w:bookmarkEnd w:id="13"/>
    </w:p>
    <w:p w:rsidR="0092299C" w:rsidRPr="00E22B48" w:rsidRDefault="0092299C" w:rsidP="0092299C">
      <w:pPr>
        <w:pStyle w:val="ARbody"/>
        <w:rPr>
          <w:b/>
        </w:rPr>
      </w:pPr>
      <w:r w:rsidRPr="00E22B48">
        <w:rPr>
          <w:b/>
        </w:rPr>
        <w:t>Minister for Sport</w:t>
      </w:r>
    </w:p>
    <w:p w:rsidR="0092299C" w:rsidRPr="006F0DB4" w:rsidRDefault="0092299C" w:rsidP="0092299C">
      <w:pPr>
        <w:pStyle w:val="ARbody"/>
      </w:pPr>
      <w:r w:rsidRPr="006F0DB4">
        <w:t xml:space="preserve">The Honourable John </w:t>
      </w:r>
      <w:proofErr w:type="spellStart"/>
      <w:r w:rsidRPr="006F0DB4">
        <w:t>Eren</w:t>
      </w:r>
      <w:proofErr w:type="spellEnd"/>
      <w:r w:rsidRPr="006F0DB4">
        <w:t xml:space="preserve"> MP is the member for Lara. He was elected MLC for Geelong Province in November 2002 and elected to the Legislative Assembly in November 2006. He has been the Minister for Sport in the Victorian Government since 4 December 2014.</w:t>
      </w:r>
    </w:p>
    <w:p w:rsidR="0092299C" w:rsidRPr="006F0DB4" w:rsidRDefault="0092299C" w:rsidP="0092299C">
      <w:pPr>
        <w:pStyle w:val="ARbody"/>
        <w:rPr>
          <w:szCs w:val="20"/>
        </w:rPr>
      </w:pPr>
      <w:r w:rsidRPr="006F0DB4">
        <w:rPr>
          <w:szCs w:val="20"/>
        </w:rPr>
        <w:t>He is also the Minister for Tourism and Major Events and Minister for Veterans and is a former Chair of the Road Safety Committee of Parliament.</w:t>
      </w:r>
    </w:p>
    <w:p w:rsidR="0092299C" w:rsidRPr="006F0DB4" w:rsidRDefault="0092299C" w:rsidP="0092299C">
      <w:pPr>
        <w:pStyle w:val="ARbody"/>
        <w:rPr>
          <w:szCs w:val="20"/>
        </w:rPr>
      </w:pPr>
      <w:r w:rsidRPr="006F0DB4">
        <w:rPr>
          <w:szCs w:val="20"/>
        </w:rPr>
        <w:t xml:space="preserve">Minister </w:t>
      </w:r>
      <w:proofErr w:type="spellStart"/>
      <w:r w:rsidRPr="006F0DB4">
        <w:rPr>
          <w:szCs w:val="20"/>
        </w:rPr>
        <w:t>Eren</w:t>
      </w:r>
      <w:proofErr w:type="spellEnd"/>
      <w:r w:rsidRPr="006F0DB4">
        <w:rPr>
          <w:szCs w:val="20"/>
        </w:rPr>
        <w:t xml:space="preserve"> is passionate about sport and recreation and giving all Victorians equal opportunity to get involved, stay active, and play the sport they love.</w:t>
      </w:r>
    </w:p>
    <w:p w:rsidR="0092299C" w:rsidRPr="006F0DB4" w:rsidRDefault="0092299C" w:rsidP="0092299C">
      <w:pPr>
        <w:pStyle w:val="ARbody"/>
        <w:rPr>
          <w:szCs w:val="20"/>
        </w:rPr>
      </w:pPr>
      <w:r w:rsidRPr="006F0DB4">
        <w:rPr>
          <w:szCs w:val="20"/>
        </w:rPr>
        <w:t>He recognises that grassroots clubs are the heart of our communities – and they deserve modern and inclusive facilities, with room to grow.</w:t>
      </w:r>
    </w:p>
    <w:p w:rsidR="0092299C" w:rsidRPr="006F0DB4" w:rsidRDefault="0092299C" w:rsidP="0092299C">
      <w:pPr>
        <w:pStyle w:val="ARbody"/>
        <w:rPr>
          <w:szCs w:val="20"/>
        </w:rPr>
      </w:pPr>
      <w:r w:rsidRPr="006F0DB4">
        <w:rPr>
          <w:szCs w:val="20"/>
        </w:rPr>
        <w:t>He is proud to be a part of the success story of Victoria being the sporting and events capital of the world, and protecting Melbourne’s title as the Ultimate Sports City.</w:t>
      </w:r>
    </w:p>
    <w:p w:rsidR="0092299C" w:rsidRPr="006F0DB4" w:rsidRDefault="0092299C" w:rsidP="0092299C">
      <w:pPr>
        <w:spacing w:after="120" w:line="260" w:lineRule="atLeast"/>
        <w:rPr>
          <w:rFonts w:eastAsia="Times" w:cs="Arial"/>
          <w:sz w:val="20"/>
          <w:szCs w:val="20"/>
        </w:rPr>
        <w:sectPr w:rsidR="0092299C" w:rsidRPr="006F0DB4" w:rsidSect="00C86BED">
          <w:type w:val="continuous"/>
          <w:pgSz w:w="11906" w:h="16838" w:code="9"/>
          <w:pgMar w:top="1531" w:right="851" w:bottom="680" w:left="1418" w:header="510" w:footer="340" w:gutter="0"/>
          <w:cols w:num="2" w:space="454"/>
          <w:docGrid w:linePitch="360"/>
        </w:sectPr>
      </w:pPr>
    </w:p>
    <w:p w:rsidR="0092299C" w:rsidRPr="00951DA6" w:rsidRDefault="0092299C" w:rsidP="0092299C">
      <w:pPr>
        <w:pStyle w:val="Heading1"/>
      </w:pPr>
      <w:bookmarkStart w:id="14" w:name="_Toc492026541"/>
      <w:bookmarkStart w:id="15" w:name="_Ref492894342"/>
      <w:bookmarkStart w:id="16" w:name="_Toc493069458"/>
      <w:r w:rsidRPr="00951DA6">
        <w:lastRenderedPageBreak/>
        <w:t>Year in review</w:t>
      </w:r>
      <w:bookmarkEnd w:id="0"/>
      <w:bookmarkEnd w:id="1"/>
      <w:bookmarkEnd w:id="14"/>
      <w:bookmarkEnd w:id="15"/>
      <w:bookmarkEnd w:id="16"/>
    </w:p>
    <w:p w:rsidR="0092299C" w:rsidRPr="00F63571" w:rsidRDefault="0092299C" w:rsidP="0092299C">
      <w:pPr>
        <w:pStyle w:val="Heading2"/>
      </w:pPr>
      <w:bookmarkStart w:id="17" w:name="_Ref492382508"/>
      <w:r w:rsidRPr="00F63571">
        <w:t>Objectives</w:t>
      </w:r>
      <w:bookmarkEnd w:id="17"/>
    </w:p>
    <w:p w:rsidR="0092299C" w:rsidRDefault="0092299C" w:rsidP="0092299C">
      <w:pPr>
        <w:pStyle w:val="ARbody"/>
      </w:pPr>
      <w:r>
        <w:t xml:space="preserve">There are six objectives for the department published in the </w:t>
      </w:r>
      <w:r w:rsidRPr="001F2E2D">
        <w:rPr>
          <w:i/>
        </w:rPr>
        <w:t>Victoria</w:t>
      </w:r>
      <w:r w:rsidR="00EB3FAF">
        <w:rPr>
          <w:i/>
        </w:rPr>
        <w:t>n</w:t>
      </w:r>
      <w:r w:rsidRPr="0087031F">
        <w:t xml:space="preserve"> </w:t>
      </w:r>
      <w:r w:rsidRPr="00E22B48">
        <w:rPr>
          <w:i/>
        </w:rPr>
        <w:t>Budget 2016–17</w:t>
      </w:r>
      <w:r>
        <w:t>.</w:t>
      </w:r>
    </w:p>
    <w:p w:rsidR="0092299C" w:rsidRPr="00F63571" w:rsidRDefault="0092299C" w:rsidP="0092299C">
      <w:pPr>
        <w:pStyle w:val="ARbody"/>
      </w:pPr>
      <w:r>
        <w:t xml:space="preserve">The six objectives are linked to </w:t>
      </w:r>
      <w:r w:rsidRPr="00F63571">
        <w:t>output initiatives for health and human services</w:t>
      </w:r>
      <w:r>
        <w:t xml:space="preserve"> (programs, activities and services)</w:t>
      </w:r>
      <w:r w:rsidRPr="00F63571">
        <w:t>, and indicators that define the desired outcomes for the Victorian community</w:t>
      </w:r>
      <w:r>
        <w:t>.</w:t>
      </w:r>
    </w:p>
    <w:p w:rsidR="00AA035A" w:rsidRDefault="0092299C" w:rsidP="0092299C">
      <w:pPr>
        <w:pStyle w:val="ARbody"/>
      </w:pPr>
      <w:r>
        <w:t>This ‘Year in review’ section provides an overview of the department’s achievements in 2016</w:t>
      </w:r>
      <w:r w:rsidRPr="00F63571">
        <w:t>–1</w:t>
      </w:r>
      <w:r>
        <w:t>7 against each of the objectives.</w:t>
      </w:r>
    </w:p>
    <w:p w:rsidR="0092299C" w:rsidRPr="00F63571" w:rsidRDefault="0092299C" w:rsidP="0092299C">
      <w:pPr>
        <w:pStyle w:val="ARbody"/>
      </w:pPr>
    </w:p>
    <w:p w:rsidR="0092299C" w:rsidRPr="00F63571" w:rsidRDefault="0092299C" w:rsidP="0092299C">
      <w:pPr>
        <w:pStyle w:val="ARbody"/>
        <w:sectPr w:rsidR="0092299C" w:rsidRPr="00F63571" w:rsidSect="00F06DEB">
          <w:headerReference w:type="even" r:id="rId32"/>
          <w:headerReference w:type="default" r:id="rId33"/>
          <w:endnotePr>
            <w:numFmt w:val="decimal"/>
          </w:endnotePr>
          <w:pgSz w:w="11900" w:h="16840" w:code="9"/>
          <w:pgMar w:top="1531" w:right="851" w:bottom="680" w:left="1418" w:header="510" w:footer="340" w:gutter="0"/>
          <w:cols w:space="720"/>
        </w:sectPr>
      </w:pPr>
    </w:p>
    <w:p w:rsidR="0092299C" w:rsidRPr="00F63571" w:rsidRDefault="0092299C" w:rsidP="00D66268">
      <w:pPr>
        <w:pStyle w:val="Heading3"/>
        <w:spacing w:before="0"/>
      </w:pPr>
      <w:r w:rsidRPr="00F63571">
        <w:lastRenderedPageBreak/>
        <w:t>Objective 1: Victorians are as healthy as they can be by promoting good health, preventing disease and reducing health inequalities</w:t>
      </w:r>
    </w:p>
    <w:p w:rsidR="00AA035A" w:rsidRDefault="0092299C" w:rsidP="0092299C">
      <w:pPr>
        <w:pStyle w:val="ARbody"/>
      </w:pPr>
      <w:r w:rsidRPr="00F63571">
        <w:t>The department seeks to</w:t>
      </w:r>
      <w:r>
        <w:t xml:space="preserve"> prevent disease from occurring, and to minimise its impact when it does occur.</w:t>
      </w:r>
    </w:p>
    <w:p w:rsidR="0092299C" w:rsidRPr="00F63571" w:rsidRDefault="0092299C" w:rsidP="0092299C">
      <w:pPr>
        <w:pStyle w:val="ARbody"/>
      </w:pPr>
      <w:r>
        <w:t>We</w:t>
      </w:r>
      <w:r w:rsidRPr="00F63571">
        <w:t xml:space="preserve"> provide preventive health services such as immunisation, population screening programs, initiatives to address risk factors for major chronic diseases, public health monitoring, responding to disease outbreaks, controlling therapeutic drugs</w:t>
      </w:r>
      <w:r>
        <w:t>,</w:t>
      </w:r>
      <w:r w:rsidRPr="00F63571">
        <w:t xml:space="preserve"> and the use and misuse of licit and illicit drugs in the community.</w:t>
      </w:r>
    </w:p>
    <w:p w:rsidR="00AA035A" w:rsidRDefault="0092299C" w:rsidP="0092299C">
      <w:pPr>
        <w:pStyle w:val="ARbody"/>
      </w:pPr>
      <w:r>
        <w:t xml:space="preserve">We </w:t>
      </w:r>
      <w:r w:rsidRPr="00F63571">
        <w:t xml:space="preserve">work with </w:t>
      </w:r>
      <w:r>
        <w:t xml:space="preserve">others </w:t>
      </w:r>
      <w:r w:rsidRPr="00F63571">
        <w:t xml:space="preserve">to deliver a place-based </w:t>
      </w:r>
      <w:r w:rsidRPr="004714DD">
        <w:rPr>
          <w:spacing w:val="-2"/>
        </w:rPr>
        <w:t>approach to creating health-promoting environments</w:t>
      </w:r>
      <w:r w:rsidRPr="00F63571">
        <w:t xml:space="preserve"> in the places where Victorians spend their time</w:t>
      </w:r>
      <w:r>
        <w:t>.</w:t>
      </w:r>
    </w:p>
    <w:p w:rsidR="0092299C" w:rsidRPr="00F63571" w:rsidRDefault="0092299C" w:rsidP="0092299C">
      <w:pPr>
        <w:pStyle w:val="ARbody"/>
      </w:pPr>
      <w:r>
        <w:t>We</w:t>
      </w:r>
      <w:r w:rsidRPr="00F63571">
        <w:t xml:space="preserve"> also partner with external agencies to provide services to the most vulnerable people in the community</w:t>
      </w:r>
      <w:r>
        <w:t>.</w:t>
      </w:r>
    </w:p>
    <w:p w:rsidR="0092299C" w:rsidRPr="00F63571" w:rsidRDefault="0092299C" w:rsidP="0092299C">
      <w:pPr>
        <w:pStyle w:val="Heading4"/>
      </w:pPr>
      <w:r w:rsidRPr="00F63571">
        <w:t>Health 2040</w:t>
      </w:r>
    </w:p>
    <w:p w:rsidR="0092299C" w:rsidRPr="00F63571" w:rsidRDefault="0092299C" w:rsidP="0092299C">
      <w:pPr>
        <w:pStyle w:val="ARbody"/>
        <w:keepNext/>
        <w:keepLines/>
      </w:pPr>
      <w:r w:rsidRPr="00F63571">
        <w:rPr>
          <w:i/>
        </w:rPr>
        <w:t>Health 2040: advancing health, access and care</w:t>
      </w:r>
      <w:r w:rsidRPr="00F63571">
        <w:t xml:space="preserve"> presents a clear vision for the health and wellbeing of Victorians</w:t>
      </w:r>
      <w:r w:rsidRPr="00F63571">
        <w:rPr>
          <w:rFonts w:ascii="Calibri" w:hAnsi="Calibri"/>
          <w:sz w:val="22"/>
          <w:szCs w:val="22"/>
        </w:rPr>
        <w:t xml:space="preserve"> </w:t>
      </w:r>
      <w:r w:rsidRPr="00F63571">
        <w:t>and for the Victorian healthcare system by 2040. It was released in November 2016, and is built around three pillars:</w:t>
      </w:r>
    </w:p>
    <w:p w:rsidR="0092299C" w:rsidRPr="00F63571" w:rsidRDefault="0092299C" w:rsidP="0092299C">
      <w:pPr>
        <w:pStyle w:val="ARbullet1"/>
      </w:pPr>
      <w:r w:rsidRPr="00F63571">
        <w:t>better health – focusing on prevention, early intervention, community engagement</w:t>
      </w:r>
      <w:r>
        <w:t>,</w:t>
      </w:r>
      <w:r w:rsidRPr="00F63571">
        <w:t xml:space="preserve"> and people's self-management to maximise the health and wellbeing of all Victorians</w:t>
      </w:r>
    </w:p>
    <w:p w:rsidR="0092299C" w:rsidRPr="00F63571" w:rsidRDefault="0092299C" w:rsidP="0092299C">
      <w:pPr>
        <w:pStyle w:val="ARbullet1"/>
      </w:pPr>
      <w:r w:rsidRPr="00F63571">
        <w:t xml:space="preserve">better access – focusing on reducing waiting times and delivering equal access to care via </w:t>
      </w:r>
      <w:proofErr w:type="spellStart"/>
      <w:r w:rsidRPr="00F63571">
        <w:t>statewide</w:t>
      </w:r>
      <w:proofErr w:type="spellEnd"/>
      <w:r w:rsidRPr="00F63571">
        <w:t xml:space="preserve"> service planning, targeted investment, and innovation</w:t>
      </w:r>
    </w:p>
    <w:p w:rsidR="0092299C" w:rsidRPr="00F63571" w:rsidRDefault="0092299C" w:rsidP="00CE1155">
      <w:pPr>
        <w:pStyle w:val="ARbullet1"/>
      </w:pPr>
      <w:r w:rsidRPr="00F63571">
        <w:t xml:space="preserve">better care – focusing on people's experience </w:t>
      </w:r>
      <w:r w:rsidR="004714DD">
        <w:br/>
      </w:r>
      <w:r w:rsidRPr="00F63571">
        <w:t xml:space="preserve">of care, improving quality and safety, ensuring accountability for achieving the best health </w:t>
      </w:r>
      <w:r w:rsidRPr="00F63571">
        <w:lastRenderedPageBreak/>
        <w:t>outcomes, and supporting the workforce to deliver the best care.</w:t>
      </w:r>
    </w:p>
    <w:p w:rsidR="0092299C" w:rsidRPr="00BF47DD" w:rsidRDefault="0092299C" w:rsidP="00CE1155">
      <w:pPr>
        <w:pStyle w:val="ARbodyafterbullets"/>
      </w:pPr>
      <w:r w:rsidRPr="00BF47DD">
        <w:rPr>
          <w:i/>
        </w:rPr>
        <w:t>Health 2040</w:t>
      </w:r>
      <w:r w:rsidRPr="00BF47DD">
        <w:t xml:space="preserve"> provides a frame and guide for the department’s policy decisions and investment priorities. Three announced initiatives are contributing to achieving </w:t>
      </w:r>
      <w:r w:rsidRPr="00E22B48">
        <w:rPr>
          <w:i/>
        </w:rPr>
        <w:t>Health 2040</w:t>
      </w:r>
      <w:r w:rsidRPr="00BF47DD">
        <w:t xml:space="preserve">’s vision </w:t>
      </w:r>
      <w:r w:rsidR="004714DD">
        <w:br/>
      </w:r>
      <w:r w:rsidRPr="00BF47DD">
        <w:t>in 2016–17:</w:t>
      </w:r>
    </w:p>
    <w:p w:rsidR="0092299C" w:rsidRPr="00F31A59" w:rsidRDefault="0092299C" w:rsidP="0092299C">
      <w:pPr>
        <w:pStyle w:val="ARbullet1"/>
      </w:pPr>
      <w:r>
        <w:t>using</w:t>
      </w:r>
      <w:r w:rsidRPr="00F31A59">
        <w:t xml:space="preserve"> navigators and coordinators to help patients with chronic conditions arrange and manage the many different appointments they often need, making it easier and convenient for them to get the treatment they need</w:t>
      </w:r>
    </w:p>
    <w:p w:rsidR="0092299C" w:rsidRPr="00F31A59" w:rsidRDefault="0092299C" w:rsidP="0092299C">
      <w:pPr>
        <w:pStyle w:val="ARbullet1"/>
      </w:pPr>
      <w:r>
        <w:t>e</w:t>
      </w:r>
      <w:r w:rsidRPr="00F31A59">
        <w:t>xploring the opportunities for mobile phone messaging to provide reminders and advice to people with chronic conditions so they can better manage their own care</w:t>
      </w:r>
    </w:p>
    <w:p w:rsidR="0092299C" w:rsidRPr="00F31A59" w:rsidRDefault="0092299C" w:rsidP="00CE1155">
      <w:pPr>
        <w:pStyle w:val="ARbullet1"/>
      </w:pPr>
      <w:r>
        <w:t>a</w:t>
      </w:r>
      <w:r w:rsidRPr="00F31A59">
        <w:t xml:space="preserve"> healthy eating and active living program that will help young people living in out</w:t>
      </w:r>
      <w:r>
        <w:t>-</w:t>
      </w:r>
      <w:r w:rsidRPr="00F31A59">
        <w:t>of</w:t>
      </w:r>
      <w:r>
        <w:t>-</w:t>
      </w:r>
      <w:r w:rsidRPr="00F31A59">
        <w:t>home care develop skills to protect themselves against illness through healthier eating and living.</w:t>
      </w:r>
    </w:p>
    <w:p w:rsidR="0092299C" w:rsidRPr="00AE0641" w:rsidRDefault="0092299C" w:rsidP="00CE1155">
      <w:pPr>
        <w:pStyle w:val="ARbodyafterbullets"/>
      </w:pPr>
      <w:r w:rsidRPr="00AE0641">
        <w:t xml:space="preserve">These programs will help ensure Victoria’s health system is best placed to meet the challenges of </w:t>
      </w:r>
      <w:r w:rsidRPr="004714DD">
        <w:rPr>
          <w:spacing w:val="-2"/>
        </w:rPr>
        <w:t>rising demand and chronic disease, drive innovation</w:t>
      </w:r>
      <w:r w:rsidRPr="00AE0641">
        <w:t xml:space="preserve"> and reform, and put people at the centre of their own care.</w:t>
      </w:r>
    </w:p>
    <w:p w:rsidR="0092299C" w:rsidRPr="00F63571" w:rsidRDefault="0092299C" w:rsidP="0092299C">
      <w:pPr>
        <w:pStyle w:val="Heading4"/>
      </w:pPr>
      <w:r w:rsidRPr="00F63571">
        <w:t>Victorian public health and wellbeing plan</w:t>
      </w:r>
    </w:p>
    <w:p w:rsidR="0092299C" w:rsidRPr="00F63571" w:rsidRDefault="0092299C" w:rsidP="0092299C">
      <w:pPr>
        <w:pStyle w:val="ARbody"/>
      </w:pPr>
      <w:r>
        <w:t>In November 2016, the department also released an</w:t>
      </w:r>
      <w:r w:rsidRPr="00F63571">
        <w:t xml:space="preserve"> action plan and outcomes framework </w:t>
      </w:r>
      <w:r>
        <w:t xml:space="preserve">to </w:t>
      </w:r>
      <w:r w:rsidRPr="00F63571">
        <w:t xml:space="preserve">support the implementation of the </w:t>
      </w:r>
      <w:r w:rsidRPr="00F63571">
        <w:rPr>
          <w:i/>
        </w:rPr>
        <w:t>Victorian public h</w:t>
      </w:r>
      <w:r>
        <w:rPr>
          <w:i/>
        </w:rPr>
        <w:t>ealth and wellbeing plan 201</w:t>
      </w:r>
      <w:r w:rsidRPr="00CF6273">
        <w:rPr>
          <w:i/>
        </w:rPr>
        <w:t>5</w:t>
      </w:r>
      <w:r w:rsidRPr="00E22B48">
        <w:rPr>
          <w:i/>
        </w:rPr>
        <w:t>–1</w:t>
      </w:r>
      <w:r w:rsidRPr="00CF6273">
        <w:rPr>
          <w:i/>
        </w:rPr>
        <w:t>9</w:t>
      </w:r>
      <w:r w:rsidRPr="00F63571">
        <w:t xml:space="preserve">. The action plan summarises the key investments across government and major government agencies that contribute to improving health and wellbeing. The outcomes framework </w:t>
      </w:r>
      <w:r>
        <w:t>facilitates</w:t>
      </w:r>
      <w:r w:rsidRPr="00F63571">
        <w:t xml:space="preserve"> </w:t>
      </w:r>
      <w:r>
        <w:t xml:space="preserve">the </w:t>
      </w:r>
      <w:r w:rsidRPr="00F63571">
        <w:t xml:space="preserve">assessment of </w:t>
      </w:r>
      <w:r>
        <w:t xml:space="preserve">the </w:t>
      </w:r>
      <w:r w:rsidRPr="00F63571">
        <w:t>collective effort on the health and wellbeing of the population as a whole, as well as monitor</w:t>
      </w:r>
      <w:r>
        <w:t>s progress against reducing</w:t>
      </w:r>
      <w:r w:rsidRPr="00F63571">
        <w:t xml:space="preserve"> health inequalities.</w:t>
      </w:r>
    </w:p>
    <w:p w:rsidR="0092299C" w:rsidRPr="00F63571" w:rsidRDefault="0092299C" w:rsidP="0092299C">
      <w:pPr>
        <w:pStyle w:val="Heading4"/>
      </w:pPr>
      <w:r w:rsidRPr="00F63571">
        <w:lastRenderedPageBreak/>
        <w:t>Community and dental health</w:t>
      </w:r>
    </w:p>
    <w:p w:rsidR="0092299C" w:rsidRPr="003817DC" w:rsidRDefault="0092299C" w:rsidP="0092299C">
      <w:pPr>
        <w:pStyle w:val="ARbody"/>
        <w:rPr>
          <w:i/>
        </w:rPr>
      </w:pPr>
      <w:r>
        <w:rPr>
          <w:i/>
        </w:rPr>
        <w:t>Community Health Program</w:t>
      </w:r>
    </w:p>
    <w:p w:rsidR="0092299C" w:rsidRPr="00F63571" w:rsidRDefault="0092299C" w:rsidP="0092299C">
      <w:pPr>
        <w:pStyle w:val="ARbody"/>
      </w:pPr>
      <w:r w:rsidRPr="00F63571">
        <w:t xml:space="preserve">In 2016–17, the Community Health Program provided services to around 229,000 Victorians </w:t>
      </w:r>
      <w:r w:rsidR="004714DD">
        <w:br/>
      </w:r>
      <w:r w:rsidRPr="00F63571">
        <w:t xml:space="preserve">and over 1 million hours of service delivery. </w:t>
      </w:r>
      <w:r>
        <w:t xml:space="preserve">This included </w:t>
      </w:r>
      <w:r w:rsidRPr="00F63571">
        <w:t xml:space="preserve">health promotion, </w:t>
      </w:r>
      <w:r>
        <w:t xml:space="preserve">allied health and </w:t>
      </w:r>
      <w:r w:rsidRPr="00F63571">
        <w:t>nursing and counselling</w:t>
      </w:r>
      <w:r>
        <w:t xml:space="preserve"> activities.</w:t>
      </w:r>
    </w:p>
    <w:p w:rsidR="00AA035A" w:rsidRDefault="0092299C" w:rsidP="0092299C">
      <w:pPr>
        <w:pStyle w:val="Heading5"/>
      </w:pPr>
      <w:r w:rsidRPr="00F63571">
        <w:t>Healthy Mothers, Healthy Babies</w:t>
      </w:r>
    </w:p>
    <w:p w:rsidR="0092299C" w:rsidRPr="00F63571" w:rsidRDefault="0092299C" w:rsidP="0092299C">
      <w:pPr>
        <w:pStyle w:val="ARbody"/>
      </w:pPr>
      <w:r w:rsidRPr="00F63571">
        <w:t>Healthy Mothers, Healthy Babies works to improve the health and wellbeing of vulnerable pregnant women who are not engaged with maternity services. In 2016–17, the program was expanded to an additional nine rural and regional local government areas.</w:t>
      </w:r>
    </w:p>
    <w:p w:rsidR="0092299C" w:rsidRPr="00F63571" w:rsidRDefault="0092299C" w:rsidP="0092299C">
      <w:pPr>
        <w:pStyle w:val="Heading5"/>
      </w:pPr>
      <w:r w:rsidRPr="00F63571">
        <w:t>Refugee and asylum seeker health and wellbeing</w:t>
      </w:r>
    </w:p>
    <w:p w:rsidR="0092299C" w:rsidRPr="00F63571" w:rsidRDefault="0092299C" w:rsidP="0092299C">
      <w:pPr>
        <w:pStyle w:val="ARbody"/>
      </w:pPr>
      <w:r w:rsidRPr="00F63571">
        <w:t xml:space="preserve">During 2016–17, an extra $2.8 million was invested in services to address the health and wellbeing needs of an increasing number of humanitarian arrivals, including 6,120 </w:t>
      </w:r>
      <w:r>
        <w:t xml:space="preserve">people </w:t>
      </w:r>
      <w:r w:rsidRPr="00F63571">
        <w:t xml:space="preserve">who </w:t>
      </w:r>
      <w:r>
        <w:t xml:space="preserve">have </w:t>
      </w:r>
      <w:r w:rsidRPr="00F63571">
        <w:t xml:space="preserve">arrived from Syria and Iraq since 1 July 2015. New services included </w:t>
      </w:r>
      <w:r>
        <w:t>r</w:t>
      </w:r>
      <w:r w:rsidRPr="00F63571">
        <w:t xml:space="preserve">efugee </w:t>
      </w:r>
      <w:r>
        <w:t>h</w:t>
      </w:r>
      <w:r w:rsidRPr="00F63571">
        <w:t xml:space="preserve">ealth </w:t>
      </w:r>
      <w:r>
        <w:t>n</w:t>
      </w:r>
      <w:r w:rsidRPr="00F63571">
        <w:t>urse settlement coordinators, paediatric refugee health clinics, extra Refugee Minor Program casework, targeted language services, and innovative models for refugee immunisation catch-up and refugee child and youth mental health support.</w:t>
      </w:r>
    </w:p>
    <w:p w:rsidR="0092299C" w:rsidRPr="00F63571" w:rsidRDefault="0092299C" w:rsidP="0092299C">
      <w:pPr>
        <w:pStyle w:val="Heading5"/>
        <w:rPr>
          <w:lang w:eastAsia="en-AU"/>
        </w:rPr>
      </w:pPr>
      <w:r w:rsidRPr="00F63571">
        <w:rPr>
          <w:lang w:eastAsia="en-AU"/>
        </w:rPr>
        <w:t>Strengthening place-based primary prevention</w:t>
      </w:r>
    </w:p>
    <w:p w:rsidR="0092299C" w:rsidRPr="00F63571" w:rsidRDefault="0092299C" w:rsidP="0092299C">
      <w:pPr>
        <w:pStyle w:val="ARbody"/>
      </w:pPr>
      <w:r w:rsidRPr="00F63571">
        <w:rPr>
          <w:lang w:eastAsia="en-AU"/>
        </w:rPr>
        <w:t>In 2016–17, the department commenced a project to strengthen place-based primary prevention of chronic disease. This effort sees community health organisations, councils</w:t>
      </w:r>
      <w:r>
        <w:rPr>
          <w:lang w:eastAsia="en-AU"/>
        </w:rPr>
        <w:t>,</w:t>
      </w:r>
      <w:r w:rsidRPr="00F63571">
        <w:rPr>
          <w:lang w:eastAsia="en-AU"/>
        </w:rPr>
        <w:t xml:space="preserve"> and other partners working together to </w:t>
      </w:r>
      <w:r>
        <w:rPr>
          <w:lang w:eastAsia="en-AU"/>
        </w:rPr>
        <w:t>have</w:t>
      </w:r>
      <w:r w:rsidRPr="00F63571">
        <w:rPr>
          <w:lang w:eastAsia="en-AU"/>
        </w:rPr>
        <w:t xml:space="preserve"> a collective impact on local priorities.</w:t>
      </w:r>
    </w:p>
    <w:p w:rsidR="0092299C" w:rsidRPr="00F63571" w:rsidRDefault="0092299C" w:rsidP="0092299C">
      <w:pPr>
        <w:pStyle w:val="Heading5"/>
      </w:pPr>
      <w:r w:rsidRPr="00F63571">
        <w:t>LGBTI health and wellbeing</w:t>
      </w:r>
    </w:p>
    <w:p w:rsidR="0092299C" w:rsidRDefault="0092299C" w:rsidP="0092299C">
      <w:pPr>
        <w:pStyle w:val="ARbody"/>
      </w:pPr>
      <w:r>
        <w:t>The department undertook</w:t>
      </w:r>
      <w:r w:rsidRPr="00F63571">
        <w:t xml:space="preserve"> </w:t>
      </w:r>
      <w:r>
        <w:t>work</w:t>
      </w:r>
      <w:r w:rsidRPr="00F63571">
        <w:t xml:space="preserve"> to support accessible, quality healthcare for lesbian, gay, bisexual, trans and intersex (LGBTI) Victorians.</w:t>
      </w:r>
      <w:r>
        <w:t xml:space="preserve"> This included:</w:t>
      </w:r>
    </w:p>
    <w:p w:rsidR="0092299C" w:rsidRDefault="0092299C" w:rsidP="00CE1155">
      <w:pPr>
        <w:pStyle w:val="ARbullet1"/>
      </w:pPr>
      <w:r w:rsidRPr="00F63571">
        <w:t xml:space="preserve">significant expansion of specialist </w:t>
      </w:r>
      <w:r>
        <w:t xml:space="preserve">gender </w:t>
      </w:r>
      <w:r w:rsidRPr="00F63571">
        <w:t xml:space="preserve">clinics at </w:t>
      </w:r>
      <w:r>
        <w:t>T</w:t>
      </w:r>
      <w:r w:rsidRPr="00F63571">
        <w:t>he Royal Children's Hospital and Monash Health</w:t>
      </w:r>
    </w:p>
    <w:p w:rsidR="00AA035A" w:rsidRDefault="0092299C" w:rsidP="0092299C">
      <w:pPr>
        <w:pStyle w:val="ARbullet1"/>
      </w:pPr>
      <w:r w:rsidRPr="00434D2D">
        <w:t xml:space="preserve">expansion of the Healthy Equal Youth program </w:t>
      </w:r>
      <w:r w:rsidRPr="004714DD">
        <w:rPr>
          <w:spacing w:val="-4"/>
        </w:rPr>
        <w:t>to support same-sex attracted and gender-diverse</w:t>
      </w:r>
      <w:r w:rsidRPr="00D0213B">
        <w:t xml:space="preserve"> </w:t>
      </w:r>
      <w:r w:rsidRPr="004714DD">
        <w:rPr>
          <w:spacing w:val="-4"/>
        </w:rPr>
        <w:t>young people through community-led</w:t>
      </w:r>
      <w:r w:rsidRPr="00D0213B">
        <w:t xml:space="preserve"> approaches to combat abuse and discrimination and build resilience t</w:t>
      </w:r>
      <w:r>
        <w:t>hrough peer support</w:t>
      </w:r>
    </w:p>
    <w:p w:rsidR="0092299C" w:rsidRDefault="0092299C" w:rsidP="0092299C">
      <w:pPr>
        <w:pStyle w:val="ARbullet1"/>
      </w:pPr>
      <w:r w:rsidRPr="00F63571">
        <w:t>The</w:t>
      </w:r>
      <w:r>
        <w:t xml:space="preserve"> commencement of the</w:t>
      </w:r>
      <w:r w:rsidRPr="00F63571">
        <w:t xml:space="preserve"> LGBTI Inclusive Practice Project for community health services</w:t>
      </w:r>
      <w:r>
        <w:t>, which will develop</w:t>
      </w:r>
      <w:r w:rsidRPr="00F63571">
        <w:t xml:space="preserve"> tools and resources to </w:t>
      </w:r>
      <w:r w:rsidRPr="00F63571">
        <w:lastRenderedPageBreak/>
        <w:t>support community health</w:t>
      </w:r>
      <w:r>
        <w:t xml:space="preserve"> services to meet the needs of LGBTI Victorians.</w:t>
      </w:r>
    </w:p>
    <w:p w:rsidR="00AA035A" w:rsidRDefault="0092299C" w:rsidP="0092299C">
      <w:pPr>
        <w:pStyle w:val="ARbullet1"/>
        <w:numPr>
          <w:ilvl w:val="0"/>
          <w:numId w:val="0"/>
        </w:numPr>
      </w:pPr>
      <w:r>
        <w:t>T</w:t>
      </w:r>
      <w:r w:rsidRPr="00F63571">
        <w:t xml:space="preserve">he department also promoted its new online </w:t>
      </w:r>
      <w:r w:rsidRPr="00434D2D">
        <w:rPr>
          <w:i/>
        </w:rPr>
        <w:t xml:space="preserve">Rainbow </w:t>
      </w:r>
      <w:proofErr w:type="spellStart"/>
      <w:r w:rsidRPr="00434D2D">
        <w:rPr>
          <w:i/>
        </w:rPr>
        <w:t>eQuality</w:t>
      </w:r>
      <w:proofErr w:type="spellEnd"/>
      <w:r w:rsidRPr="00434D2D">
        <w:rPr>
          <w:i/>
        </w:rPr>
        <w:t xml:space="preserve"> </w:t>
      </w:r>
      <w:r w:rsidR="00252E9E">
        <w:t>g</w:t>
      </w:r>
      <w:r w:rsidRPr="001F2E2D">
        <w:t>uide</w:t>
      </w:r>
      <w:r w:rsidRPr="00F63571">
        <w:t xml:space="preserve"> to provide advice on meeting LGBTI needs and preferences in different service contexts. All public health services were asked to consider how to apply the </w:t>
      </w:r>
      <w:r w:rsidRPr="00242766">
        <w:rPr>
          <w:i/>
        </w:rPr>
        <w:t xml:space="preserve">Rainbow </w:t>
      </w:r>
      <w:proofErr w:type="spellStart"/>
      <w:r w:rsidRPr="00242766">
        <w:rPr>
          <w:i/>
        </w:rPr>
        <w:t>eQuality</w:t>
      </w:r>
      <w:proofErr w:type="spellEnd"/>
      <w:r w:rsidRPr="00242766">
        <w:rPr>
          <w:i/>
        </w:rPr>
        <w:t xml:space="preserve"> </w:t>
      </w:r>
      <w:r w:rsidR="00252E9E">
        <w:t>g</w:t>
      </w:r>
      <w:r w:rsidRPr="001F2E2D">
        <w:t>uide</w:t>
      </w:r>
      <w:r>
        <w:t xml:space="preserve"> </w:t>
      </w:r>
      <w:r w:rsidRPr="00F63571">
        <w:t>in their services.</w:t>
      </w:r>
    </w:p>
    <w:p w:rsidR="0092299C" w:rsidRPr="00F63571" w:rsidRDefault="0092299C" w:rsidP="0092299C">
      <w:pPr>
        <w:pStyle w:val="Heading5"/>
      </w:pPr>
      <w:r w:rsidRPr="00F63571">
        <w:t>Victorian Dental Health Program</w:t>
      </w:r>
    </w:p>
    <w:p w:rsidR="0092299C" w:rsidRPr="00F63571" w:rsidRDefault="0092299C" w:rsidP="0092299C">
      <w:pPr>
        <w:pStyle w:val="ARbody"/>
      </w:pPr>
      <w:r w:rsidRPr="00F63571">
        <w:t xml:space="preserve">In 2016–17, an additional 22,521 dental services were performed under the program, with funding of </w:t>
      </w:r>
      <w:r w:rsidRPr="00504041">
        <w:rPr>
          <w:spacing w:val="-2"/>
        </w:rPr>
        <w:t>$19.23 million from the Commonwealth Government,</w:t>
      </w:r>
      <w:r w:rsidRPr="00F63571">
        <w:t xml:space="preserve"> under an extension to the National Partnership Agreement on Adult Public Dental Services. A new partnership </w:t>
      </w:r>
      <w:r>
        <w:t>is currently being negotiated.</w:t>
      </w:r>
    </w:p>
    <w:p w:rsidR="00AA035A" w:rsidRDefault="0092299C" w:rsidP="0092299C">
      <w:pPr>
        <w:pStyle w:val="Heading4"/>
      </w:pPr>
      <w:r w:rsidRPr="00F63571">
        <w:t>Aboriginal health and wellbeing</w:t>
      </w:r>
    </w:p>
    <w:p w:rsidR="0092299C" w:rsidRPr="00F63571" w:rsidRDefault="00D044E7" w:rsidP="0092299C">
      <w:pPr>
        <w:pStyle w:val="ARbody"/>
      </w:pPr>
      <w:r>
        <w:t xml:space="preserve">In </w:t>
      </w:r>
      <w:r w:rsidR="0092299C" w:rsidRPr="00F63571">
        <w:t xml:space="preserve">2016–17 </w:t>
      </w:r>
      <w:r>
        <w:t>there was</w:t>
      </w:r>
      <w:r w:rsidRPr="00F63571">
        <w:t xml:space="preserve"> </w:t>
      </w:r>
      <w:r w:rsidR="0092299C" w:rsidRPr="00F63571">
        <w:t>a significant shift in the way the department approaches improving Aboriginal health and wellbeing outcomes through its work with Aboriginal organisations and the community. The department has reformed Aboriginal health and wellbeing services, policies and governance mechanisms based on the principle of self-determination.</w:t>
      </w:r>
    </w:p>
    <w:p w:rsidR="0092299C" w:rsidRPr="00F63571" w:rsidRDefault="0092299C" w:rsidP="0092299C">
      <w:pPr>
        <w:pStyle w:val="ARbody"/>
      </w:pPr>
      <w:r w:rsidRPr="00F63571">
        <w:t xml:space="preserve">Note that </w:t>
      </w:r>
      <w:r w:rsidR="000B6B03">
        <w:t>O</w:t>
      </w:r>
      <w:r w:rsidRPr="00F63571">
        <w:t xml:space="preserve">bjectives 4 and 5 also report achievements in Aboriginal health and wellbeing </w:t>
      </w:r>
      <w:r w:rsidR="0046331C">
        <w:t>in </w:t>
      </w:r>
      <w:r w:rsidRPr="00F63571">
        <w:t xml:space="preserve">relation to family </w:t>
      </w:r>
      <w:r w:rsidRPr="007856CF">
        <w:t>violence</w:t>
      </w:r>
      <w:r w:rsidRPr="00F63571">
        <w:t>, child protection, and housing.</w:t>
      </w:r>
    </w:p>
    <w:p w:rsidR="0092299C" w:rsidRPr="00F63571" w:rsidRDefault="0092299C" w:rsidP="0092299C">
      <w:pPr>
        <w:pStyle w:val="Heading5"/>
      </w:pPr>
      <w:r w:rsidRPr="00F63571">
        <w:t>Self-determination</w:t>
      </w:r>
    </w:p>
    <w:p w:rsidR="0092299C" w:rsidRDefault="0092299C" w:rsidP="0092299C">
      <w:pPr>
        <w:pStyle w:val="ARbody"/>
      </w:pPr>
      <w:r w:rsidRPr="00F63571">
        <w:t xml:space="preserve">The department introduced a policy to support self-determination by prioritising funding to Aboriginal organisations. This means </w:t>
      </w:r>
      <w:r>
        <w:t xml:space="preserve">better </w:t>
      </w:r>
      <w:r w:rsidRPr="00F63571">
        <w:t xml:space="preserve">supporting </w:t>
      </w:r>
      <w:r>
        <w:t xml:space="preserve">Victorian </w:t>
      </w:r>
      <w:r w:rsidRPr="00F63571">
        <w:t xml:space="preserve">Aboriginal communities and Aboriginal </w:t>
      </w:r>
      <w:r w:rsidR="00806AA6">
        <w:t>community-controlled</w:t>
      </w:r>
      <w:r w:rsidRPr="00F63571">
        <w:t xml:space="preserve"> </w:t>
      </w:r>
      <w:r>
        <w:t>o</w:t>
      </w:r>
      <w:r w:rsidRPr="00F63571">
        <w:t>rganisations to address their communities’ health and wellbeing needs and work in partnership with mainstream organisations. At the same time, it also means strengthening the commitment to improving outcomes for Aboriginal people in mainstream services.</w:t>
      </w:r>
    </w:p>
    <w:p w:rsidR="00AA035A" w:rsidRDefault="0092299C" w:rsidP="0092299C">
      <w:pPr>
        <w:pStyle w:val="ARbody"/>
      </w:pPr>
      <w:r w:rsidRPr="005E0924">
        <w:t>During 2016</w:t>
      </w:r>
      <w:r w:rsidRPr="00F63571">
        <w:t>–</w:t>
      </w:r>
      <w:r>
        <w:t>1</w:t>
      </w:r>
      <w:r w:rsidRPr="005E0924">
        <w:t>7 the department began work to investigate the need for the department to have a structure that supports self</w:t>
      </w:r>
      <w:r>
        <w:t>-</w:t>
      </w:r>
      <w:r w:rsidRPr="005E0924">
        <w:t xml:space="preserve">determination and enable the Aboriginal </w:t>
      </w:r>
      <w:r>
        <w:t>c</w:t>
      </w:r>
      <w:r w:rsidRPr="005E0924">
        <w:t>ommunity to lead decision</w:t>
      </w:r>
      <w:r>
        <w:t>s</w:t>
      </w:r>
      <w:r w:rsidRPr="005E0924">
        <w:t xml:space="preserve"> when it comes to the health and wellbeing of their communities. The structure is set to be released later in 2017 with </w:t>
      </w:r>
      <w:proofErr w:type="spellStart"/>
      <w:r w:rsidRPr="005E0924">
        <w:rPr>
          <w:i/>
          <w:iCs/>
        </w:rPr>
        <w:t>Korin</w:t>
      </w:r>
      <w:proofErr w:type="spellEnd"/>
      <w:r w:rsidRPr="005E0924">
        <w:rPr>
          <w:i/>
          <w:iCs/>
        </w:rPr>
        <w:t xml:space="preserve"> </w:t>
      </w:r>
      <w:proofErr w:type="spellStart"/>
      <w:r w:rsidRPr="005E0924">
        <w:rPr>
          <w:i/>
          <w:iCs/>
        </w:rPr>
        <w:t>Korin</w:t>
      </w:r>
      <w:proofErr w:type="spellEnd"/>
      <w:r w:rsidRPr="005E0924">
        <w:rPr>
          <w:i/>
          <w:iCs/>
        </w:rPr>
        <w:t xml:space="preserve"> </w:t>
      </w:r>
      <w:proofErr w:type="spellStart"/>
      <w:r w:rsidRPr="005E0924">
        <w:rPr>
          <w:i/>
          <w:iCs/>
        </w:rPr>
        <w:t>Balit-Djak</w:t>
      </w:r>
      <w:proofErr w:type="spellEnd"/>
      <w:r w:rsidRPr="005E0924">
        <w:t xml:space="preserve"> and the new </w:t>
      </w:r>
      <w:r>
        <w:t>s</w:t>
      </w:r>
      <w:r w:rsidRPr="005E0924">
        <w:t xml:space="preserve">ocial and </w:t>
      </w:r>
      <w:r>
        <w:t>e</w:t>
      </w:r>
      <w:r w:rsidRPr="005E0924">
        <w:t xml:space="preserve">motional </w:t>
      </w:r>
      <w:r>
        <w:t>w</w:t>
      </w:r>
      <w:r w:rsidRPr="005E0924">
        <w:t xml:space="preserve">ellbeing </w:t>
      </w:r>
      <w:r w:rsidR="000B6B03">
        <w:t>framework</w:t>
      </w:r>
      <w:r w:rsidRPr="005E0924">
        <w:t xml:space="preserve">, </w:t>
      </w:r>
      <w:proofErr w:type="spellStart"/>
      <w:r w:rsidRPr="005E0924">
        <w:rPr>
          <w:i/>
          <w:iCs/>
        </w:rPr>
        <w:t>Balit</w:t>
      </w:r>
      <w:proofErr w:type="spellEnd"/>
      <w:r w:rsidRPr="005E0924">
        <w:rPr>
          <w:i/>
          <w:iCs/>
        </w:rPr>
        <w:t xml:space="preserve"> </w:t>
      </w:r>
      <w:proofErr w:type="spellStart"/>
      <w:r w:rsidRPr="005E0924">
        <w:rPr>
          <w:i/>
          <w:iCs/>
        </w:rPr>
        <w:t>Murrup</w:t>
      </w:r>
      <w:proofErr w:type="spellEnd"/>
      <w:r w:rsidRPr="005E0924">
        <w:rPr>
          <w:i/>
          <w:iCs/>
        </w:rPr>
        <w:t>.</w:t>
      </w:r>
    </w:p>
    <w:p w:rsidR="0092299C" w:rsidRPr="005E0924" w:rsidRDefault="0092299C" w:rsidP="0092299C">
      <w:pPr>
        <w:pStyle w:val="ARbody"/>
      </w:pPr>
      <w:r w:rsidRPr="005E0924">
        <w:t xml:space="preserve">The department continues to work with other organisations to improve outcomes for Aboriginal communities. The Healesville Indigenous </w:t>
      </w:r>
      <w:r w:rsidRPr="005E0924">
        <w:lastRenderedPageBreak/>
        <w:t>Commun</w:t>
      </w:r>
      <w:r>
        <w:t>ity Service Association (HICSA)</w:t>
      </w:r>
      <w:r w:rsidRPr="005E0924">
        <w:t xml:space="preserve"> started the Outer Eastern Koolin </w:t>
      </w:r>
      <w:proofErr w:type="spellStart"/>
      <w:r w:rsidRPr="005E0924">
        <w:t>Balit</w:t>
      </w:r>
      <w:proofErr w:type="spellEnd"/>
      <w:r w:rsidRPr="005E0924">
        <w:t xml:space="preserve"> Alliance</w:t>
      </w:r>
      <w:r>
        <w:t>, which</w:t>
      </w:r>
      <w:r w:rsidRPr="005E0924">
        <w:t xml:space="preserve"> </w:t>
      </w:r>
      <w:r>
        <w:t>aims</w:t>
      </w:r>
      <w:r w:rsidRPr="005E0924">
        <w:t xml:space="preserve"> to work collaboratively with local organisations on the health and wellbeing needs identified by the local Aboriginal community.</w:t>
      </w:r>
      <w:r>
        <w:t xml:space="preserve"> </w:t>
      </w:r>
      <w:r w:rsidRPr="005E0924">
        <w:t xml:space="preserve">This partnership held an </w:t>
      </w:r>
      <w:r>
        <w:t>o</w:t>
      </w:r>
      <w:r w:rsidRPr="005E0924">
        <w:t xml:space="preserve">ral </w:t>
      </w:r>
      <w:r>
        <w:t>h</w:t>
      </w:r>
      <w:r w:rsidRPr="005E0924">
        <w:t xml:space="preserve">ealth </w:t>
      </w:r>
      <w:r>
        <w:t>d</w:t>
      </w:r>
      <w:r w:rsidRPr="005E0924">
        <w:t xml:space="preserve">ay at HICSA with </w:t>
      </w:r>
      <w:r>
        <w:t>d</w:t>
      </w:r>
      <w:r w:rsidRPr="005E0924">
        <w:t xml:space="preserve">ental vans from Dental Health Services Victoria, </w:t>
      </w:r>
      <w:r>
        <w:t>d</w:t>
      </w:r>
      <w:r w:rsidRPr="005E0924">
        <w:t xml:space="preserve">entists from </w:t>
      </w:r>
      <w:proofErr w:type="spellStart"/>
      <w:r w:rsidRPr="005E0924">
        <w:t>Inspiro</w:t>
      </w:r>
      <w:proofErr w:type="spellEnd"/>
      <w:r w:rsidRPr="005E0924">
        <w:t xml:space="preserve"> Health</w:t>
      </w:r>
      <w:r>
        <w:t>,</w:t>
      </w:r>
      <w:r w:rsidRPr="005E0924">
        <w:t xml:space="preserve"> and consulting rooms at EACH Social and Community Health Service. The day resulted in 22 referrals that w</w:t>
      </w:r>
      <w:r>
        <w:t>ere followed up with treatment.</w:t>
      </w:r>
    </w:p>
    <w:p w:rsidR="0092299C" w:rsidRPr="002D6634" w:rsidRDefault="0092299C" w:rsidP="00772760">
      <w:pPr>
        <w:pStyle w:val="Heading5"/>
      </w:pPr>
      <w:r w:rsidRPr="002D6634">
        <w:t xml:space="preserve">Koolin </w:t>
      </w:r>
      <w:proofErr w:type="spellStart"/>
      <w:r w:rsidRPr="002D6634">
        <w:t>Balit</w:t>
      </w:r>
      <w:proofErr w:type="spellEnd"/>
      <w:r w:rsidRPr="002D6634">
        <w:t xml:space="preserve"> evaluation</w:t>
      </w:r>
    </w:p>
    <w:p w:rsidR="0092299C" w:rsidRPr="002D6634" w:rsidRDefault="0092299C" w:rsidP="0092299C">
      <w:pPr>
        <w:pStyle w:val="ARbody"/>
      </w:pPr>
      <w:r w:rsidRPr="002D6634">
        <w:rPr>
          <w:i/>
        </w:rPr>
        <w:t xml:space="preserve">Koolin </w:t>
      </w:r>
      <w:proofErr w:type="spellStart"/>
      <w:r w:rsidRPr="002D6634">
        <w:rPr>
          <w:i/>
        </w:rPr>
        <w:t>Balit</w:t>
      </w:r>
      <w:proofErr w:type="spellEnd"/>
      <w:r w:rsidRPr="002D6634">
        <w:rPr>
          <w:i/>
        </w:rPr>
        <w:t xml:space="preserve"> </w:t>
      </w:r>
      <w:r w:rsidRPr="002D6634">
        <w:t xml:space="preserve">means ‘healthy people’ in </w:t>
      </w:r>
      <w:proofErr w:type="spellStart"/>
      <w:r w:rsidRPr="002D6634">
        <w:t>Boonwurrung</w:t>
      </w:r>
      <w:proofErr w:type="spellEnd"/>
      <w:r w:rsidRPr="002D6634">
        <w:t xml:space="preserve"> language. It is also the title of the Victorian Government’s 10-year Aboriginal health strategy, which was launched in 2012. In 2016–17, the department commissioned four evaluations of the </w:t>
      </w:r>
      <w:r w:rsidRPr="002D6634">
        <w:rPr>
          <w:i/>
        </w:rPr>
        <w:t xml:space="preserve">Koolin </w:t>
      </w:r>
      <w:proofErr w:type="spellStart"/>
      <w:r w:rsidRPr="002D6634">
        <w:rPr>
          <w:i/>
        </w:rPr>
        <w:t>Balit</w:t>
      </w:r>
      <w:proofErr w:type="spellEnd"/>
      <w:r w:rsidRPr="002D6634">
        <w:t xml:space="preserve"> investment</w:t>
      </w:r>
      <w:r>
        <w:t>.</w:t>
      </w:r>
    </w:p>
    <w:p w:rsidR="00AA035A" w:rsidRDefault="0092299C" w:rsidP="0092299C">
      <w:pPr>
        <w:pStyle w:val="ARbody"/>
      </w:pPr>
      <w:r w:rsidRPr="002D6634">
        <w:t>Key findings included:</w:t>
      </w:r>
    </w:p>
    <w:p w:rsidR="0092299C" w:rsidRPr="002D6634" w:rsidRDefault="0092299C" w:rsidP="0092299C">
      <w:pPr>
        <w:pStyle w:val="ARbullet1"/>
      </w:pPr>
      <w:r w:rsidRPr="002D6634">
        <w:t>the Aboriginal workforce experiences high levels of racism and vicarious trauma</w:t>
      </w:r>
    </w:p>
    <w:p w:rsidR="0092299C" w:rsidRPr="002D6634" w:rsidRDefault="0092299C" w:rsidP="0092299C">
      <w:pPr>
        <w:pStyle w:val="ARbullet1"/>
      </w:pPr>
      <w:r w:rsidRPr="002D6634">
        <w:t>connection to place and culture is crucial to health and wellbeing</w:t>
      </w:r>
    </w:p>
    <w:p w:rsidR="0092299C" w:rsidRPr="002D6634" w:rsidRDefault="0092299C" w:rsidP="0092299C">
      <w:pPr>
        <w:pStyle w:val="ARbullet1"/>
      </w:pPr>
      <w:r w:rsidRPr="002D6634">
        <w:t>long-term certainty in funding is needed</w:t>
      </w:r>
    </w:p>
    <w:p w:rsidR="0092299C" w:rsidRPr="002D6634" w:rsidRDefault="0092299C" w:rsidP="0092299C">
      <w:pPr>
        <w:pStyle w:val="ARbullet1"/>
      </w:pPr>
      <w:r w:rsidRPr="002D6634">
        <w:t>a greater coordination and sharing good practice across communities is needed</w:t>
      </w:r>
    </w:p>
    <w:p w:rsidR="0092299C" w:rsidRPr="002D6634" w:rsidRDefault="0092299C" w:rsidP="00CE1155">
      <w:pPr>
        <w:pStyle w:val="ARbullet1"/>
      </w:pPr>
      <w:r w:rsidRPr="002D6634">
        <w:t>the government needs to be more active in specific areas, such as reporting back to funded agencies on service delivery data.</w:t>
      </w:r>
    </w:p>
    <w:p w:rsidR="0092299C" w:rsidRPr="002D6634" w:rsidRDefault="0092299C" w:rsidP="00CE1155">
      <w:pPr>
        <w:pStyle w:val="ARbodyafterbullets"/>
        <w:rPr>
          <w:iCs/>
        </w:rPr>
      </w:pPr>
      <w:r w:rsidRPr="002D6634">
        <w:t xml:space="preserve">These findings have been incorporated into </w:t>
      </w:r>
      <w:proofErr w:type="spellStart"/>
      <w:r w:rsidRPr="002D6634">
        <w:rPr>
          <w:i/>
          <w:iCs/>
        </w:rPr>
        <w:t>Korin</w:t>
      </w:r>
      <w:proofErr w:type="spellEnd"/>
      <w:r w:rsidRPr="002D6634">
        <w:rPr>
          <w:i/>
          <w:iCs/>
        </w:rPr>
        <w:t xml:space="preserve"> </w:t>
      </w:r>
      <w:proofErr w:type="spellStart"/>
      <w:r>
        <w:rPr>
          <w:i/>
          <w:iCs/>
        </w:rPr>
        <w:t>Korin</w:t>
      </w:r>
      <w:proofErr w:type="spellEnd"/>
      <w:r>
        <w:rPr>
          <w:i/>
          <w:iCs/>
        </w:rPr>
        <w:t xml:space="preserve"> </w:t>
      </w:r>
      <w:proofErr w:type="spellStart"/>
      <w:r w:rsidRPr="002D6634">
        <w:rPr>
          <w:i/>
          <w:iCs/>
        </w:rPr>
        <w:t>Balit-Djak</w:t>
      </w:r>
      <w:proofErr w:type="spellEnd"/>
      <w:r w:rsidRPr="002D6634">
        <w:rPr>
          <w:iCs/>
        </w:rPr>
        <w:t xml:space="preserve">, </w:t>
      </w:r>
      <w:r>
        <w:rPr>
          <w:iCs/>
        </w:rPr>
        <w:t xml:space="preserve">the </w:t>
      </w:r>
      <w:r w:rsidRPr="002D6634">
        <w:t xml:space="preserve">plan </w:t>
      </w:r>
      <w:r>
        <w:t xml:space="preserve">that </w:t>
      </w:r>
      <w:r w:rsidRPr="002D6634">
        <w:t>will articulate Victorian Aboriginal people’s aspirations for health, wellbeing and safety over the next 10 years.</w:t>
      </w:r>
      <w:r w:rsidRPr="002D6634" w:rsidDel="00C937DB">
        <w:rPr>
          <w:iCs/>
        </w:rPr>
        <w:t xml:space="preserve"> </w:t>
      </w:r>
      <w:r>
        <w:rPr>
          <w:iCs/>
        </w:rPr>
        <w:t>A</w:t>
      </w:r>
      <w:r w:rsidRPr="002D6634">
        <w:rPr>
          <w:iCs/>
        </w:rPr>
        <w:t xml:space="preserve"> number of changes have already taken place, </w:t>
      </w:r>
      <w:r>
        <w:rPr>
          <w:iCs/>
        </w:rPr>
        <w:t>such as</w:t>
      </w:r>
      <w:r w:rsidRPr="002D6634">
        <w:rPr>
          <w:iCs/>
        </w:rPr>
        <w:t xml:space="preserve"> the introduction of a requirement in health services’ Statement</w:t>
      </w:r>
      <w:r>
        <w:rPr>
          <w:iCs/>
        </w:rPr>
        <w:t>s</w:t>
      </w:r>
      <w:r w:rsidRPr="002D6634">
        <w:rPr>
          <w:iCs/>
        </w:rPr>
        <w:t xml:space="preserve"> of Priorities to esta</w:t>
      </w:r>
      <w:r>
        <w:rPr>
          <w:iCs/>
        </w:rPr>
        <w:t>blish culturally safe practices,</w:t>
      </w:r>
      <w:r w:rsidRPr="002D6634">
        <w:rPr>
          <w:iCs/>
        </w:rPr>
        <w:t xml:space="preserve"> funding cultural camps delive</w:t>
      </w:r>
      <w:r>
        <w:rPr>
          <w:iCs/>
        </w:rPr>
        <w:t>red by Aboriginal organisations,</w:t>
      </w:r>
      <w:r w:rsidRPr="002D6634">
        <w:rPr>
          <w:iCs/>
        </w:rPr>
        <w:t xml:space="preserve"> supporting dissemination of best practice through conference grants and digital stories; and commencing the development of the Aboriginal Information System</w:t>
      </w:r>
      <w:r>
        <w:rPr>
          <w:iCs/>
        </w:rPr>
        <w:t>.</w:t>
      </w:r>
    </w:p>
    <w:p w:rsidR="0092299C" w:rsidRPr="00F63571" w:rsidRDefault="0092299C" w:rsidP="0092299C">
      <w:pPr>
        <w:pStyle w:val="Heading5"/>
      </w:pPr>
      <w:r w:rsidRPr="00F63571">
        <w:t>Chronic disease and early intervention</w:t>
      </w:r>
    </w:p>
    <w:p w:rsidR="00AA035A" w:rsidRDefault="0092299C" w:rsidP="0092299C">
      <w:pPr>
        <w:pStyle w:val="ARbody"/>
      </w:pPr>
      <w:r>
        <w:t>In 2016</w:t>
      </w:r>
      <w:r w:rsidRPr="00F63571">
        <w:t>–17</w:t>
      </w:r>
      <w:r>
        <w:t xml:space="preserve">, there was a </w:t>
      </w:r>
      <w:r w:rsidRPr="00F63571">
        <w:t xml:space="preserve">strong focus on addressing chronic disease, prevention and early intervention </w:t>
      </w:r>
      <w:r>
        <w:t>through</w:t>
      </w:r>
      <w:r w:rsidRPr="00F63571">
        <w:t xml:space="preserve"> the implementation of </w:t>
      </w:r>
      <w:r w:rsidRPr="00DD1857">
        <w:rPr>
          <w:i/>
        </w:rPr>
        <w:t xml:space="preserve">Koolin </w:t>
      </w:r>
      <w:proofErr w:type="spellStart"/>
      <w:r w:rsidRPr="00DD1857">
        <w:rPr>
          <w:i/>
        </w:rPr>
        <w:t>Balit</w:t>
      </w:r>
      <w:proofErr w:type="spellEnd"/>
      <w:r w:rsidRPr="00F63571">
        <w:t>. This include</w:t>
      </w:r>
      <w:r>
        <w:t>d</w:t>
      </w:r>
      <w:r w:rsidRPr="00F63571">
        <w:t xml:space="preserve"> funding for the Victorian Aboriginal Community Controlled Health Organisation (VACCHO) to support activities related to tobacco control, nutrition and healthy eating. Key </w:t>
      </w:r>
      <w:r>
        <w:t xml:space="preserve">activities </w:t>
      </w:r>
      <w:r w:rsidRPr="00F63571">
        <w:t>include</w:t>
      </w:r>
      <w:r>
        <w:t>d</w:t>
      </w:r>
      <w:r w:rsidRPr="00F63571">
        <w:t>:</w:t>
      </w:r>
    </w:p>
    <w:p w:rsidR="0092299C" w:rsidRPr="00F63571" w:rsidRDefault="0092299C" w:rsidP="0092299C">
      <w:pPr>
        <w:pStyle w:val="ARbullet1"/>
      </w:pPr>
      <w:r w:rsidRPr="00F63571">
        <w:lastRenderedPageBreak/>
        <w:t xml:space="preserve">award-winning </w:t>
      </w:r>
      <w:r w:rsidRPr="00C937DB">
        <w:t>Rethink Sugary Drinks</w:t>
      </w:r>
      <w:r w:rsidRPr="00F63571">
        <w:t xml:space="preserve">, </w:t>
      </w:r>
      <w:r>
        <w:t>The</w:t>
      </w:r>
      <w:r w:rsidRPr="00F63571">
        <w:t xml:space="preserve"> </w:t>
      </w:r>
      <w:r w:rsidRPr="00C937DB">
        <w:t xml:space="preserve">Sports Drinks are </w:t>
      </w:r>
      <w:proofErr w:type="spellStart"/>
      <w:r w:rsidRPr="00C937DB">
        <w:t>Gammin</w:t>
      </w:r>
      <w:proofErr w:type="spellEnd"/>
      <w:r w:rsidRPr="00C937DB">
        <w:t>!</w:t>
      </w:r>
      <w:r w:rsidRPr="00F63571">
        <w:t xml:space="preserve"> marketing campaigns for Aboriginal Victorians</w:t>
      </w:r>
    </w:p>
    <w:p w:rsidR="0092299C" w:rsidRPr="00F63571" w:rsidRDefault="0092299C" w:rsidP="0092299C">
      <w:pPr>
        <w:pStyle w:val="ARbullet1"/>
      </w:pPr>
      <w:r w:rsidRPr="00F63571">
        <w:t xml:space="preserve">support </w:t>
      </w:r>
      <w:r>
        <w:t>for</w:t>
      </w:r>
      <w:r w:rsidRPr="00F63571">
        <w:t xml:space="preserve"> Aboriginal early</w:t>
      </w:r>
      <w:r>
        <w:t xml:space="preserve"> </w:t>
      </w:r>
      <w:r w:rsidRPr="00F63571">
        <w:t>years services and A</w:t>
      </w:r>
      <w:r>
        <w:t xml:space="preserve">boriginal </w:t>
      </w:r>
      <w:r w:rsidR="00806AA6">
        <w:t>community-controlled</w:t>
      </w:r>
      <w:r>
        <w:t xml:space="preserve"> organisations</w:t>
      </w:r>
      <w:r w:rsidRPr="00F63571">
        <w:t xml:space="preserve"> to implement healthy catering policies</w:t>
      </w:r>
    </w:p>
    <w:p w:rsidR="0092299C" w:rsidRDefault="0092299C" w:rsidP="0092299C">
      <w:pPr>
        <w:pStyle w:val="ARbullet1"/>
      </w:pPr>
      <w:r w:rsidRPr="00E57D68">
        <w:t xml:space="preserve">input into the Aboriginal Life! </w:t>
      </w:r>
      <w:r>
        <w:t xml:space="preserve">diabetes prevention </w:t>
      </w:r>
      <w:r w:rsidRPr="00E57D68">
        <w:t>program and nutrition/health promotion training of Aboriginal health workers.</w:t>
      </w:r>
    </w:p>
    <w:p w:rsidR="0092299C" w:rsidRPr="00F63571" w:rsidRDefault="0092299C" w:rsidP="008E3046">
      <w:pPr>
        <w:pStyle w:val="ARbody"/>
      </w:pPr>
    </w:p>
    <w:tbl>
      <w:tblPr>
        <w:tblW w:w="4593"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593"/>
      </w:tblGrid>
      <w:tr w:rsidR="0092299C" w:rsidRPr="00F63571" w:rsidTr="0092299C">
        <w:tc>
          <w:tcPr>
            <w:tcW w:w="4593" w:type="dxa"/>
            <w:tcBorders>
              <w:top w:val="single" w:sz="4" w:space="0" w:color="004C97"/>
              <w:left w:val="single" w:sz="4" w:space="0" w:color="004C97"/>
              <w:bottom w:val="single" w:sz="4" w:space="0" w:color="004C97"/>
              <w:right w:val="single" w:sz="4" w:space="0" w:color="004C97"/>
            </w:tcBorders>
            <w:shd w:val="clear" w:color="auto" w:fill="auto"/>
          </w:tcPr>
          <w:p w:rsidR="0092299C" w:rsidRPr="00544B41" w:rsidRDefault="0092299C" w:rsidP="0092299C">
            <w:pPr>
              <w:pStyle w:val="ARcasestudysubhead"/>
              <w:rPr>
                <w:lang w:eastAsia="en-AU"/>
              </w:rPr>
            </w:pPr>
            <w:r w:rsidRPr="00DD1857">
              <w:rPr>
                <w:lang w:val="en-AU" w:eastAsia="en-AU"/>
              </w:rPr>
              <w:t xml:space="preserve">Sports Drinks are </w:t>
            </w:r>
            <w:proofErr w:type="spellStart"/>
            <w:r w:rsidRPr="00DD1857">
              <w:rPr>
                <w:lang w:val="en-AU" w:eastAsia="en-AU"/>
              </w:rPr>
              <w:t>Gammin</w:t>
            </w:r>
            <w:proofErr w:type="spellEnd"/>
            <w:r w:rsidRPr="00DD1857">
              <w:rPr>
                <w:lang w:val="en-AU" w:eastAsia="en-AU"/>
              </w:rPr>
              <w:t>!</w:t>
            </w:r>
          </w:p>
          <w:p w:rsidR="0092299C" w:rsidRPr="00F63571" w:rsidRDefault="0092299C" w:rsidP="0092299C">
            <w:pPr>
              <w:pStyle w:val="ARcasestudytext"/>
            </w:pPr>
            <w:r w:rsidRPr="00F63571">
              <w:t xml:space="preserve">VACCHO and Cancer Council Victoria have collaborated to create a series of deadly videos on choosing water over sports drinks. Sports drinks are full of sugar, but are marketed as a healthy option. </w:t>
            </w:r>
            <w:r>
              <w:t>‘</w:t>
            </w:r>
            <w:proofErr w:type="spellStart"/>
            <w:r w:rsidRPr="00E22B48">
              <w:t>Gammin</w:t>
            </w:r>
            <w:proofErr w:type="spellEnd"/>
            <w:r>
              <w:t>’</w:t>
            </w:r>
            <w:r w:rsidRPr="00DD1857">
              <w:rPr>
                <w:i/>
              </w:rPr>
              <w:t xml:space="preserve"> </w:t>
            </w:r>
            <w:r w:rsidRPr="00F63571">
              <w:t>is Aboriginal English for ‘fake’ or ‘not real’, and this tag line capture</w:t>
            </w:r>
            <w:r>
              <w:t>s</w:t>
            </w:r>
            <w:r w:rsidRPr="00F63571">
              <w:t xml:space="preserve"> the attention of young Aboriginal people in Victoria. We’re saying, ‘Sports drinks are fake!’</w:t>
            </w:r>
          </w:p>
          <w:p w:rsidR="0092299C" w:rsidRPr="00F63571" w:rsidRDefault="0092299C" w:rsidP="0092299C">
            <w:pPr>
              <w:pStyle w:val="ARcasestudytext"/>
            </w:pPr>
            <w:r w:rsidRPr="00F63571">
              <w:t xml:space="preserve">The videos take a strengths-based approach, and show sporty local Aboriginal role models talking about why they drink water and not sports drinks during sport. The </w:t>
            </w:r>
            <w:r>
              <w:t>videos</w:t>
            </w:r>
            <w:r w:rsidRPr="00F63571">
              <w:t xml:space="preserve"> were played on the WIN television network in 2016 to coincide with the Koori Football and Netball Carnival, and continu</w:t>
            </w:r>
            <w:r>
              <w:t>e to be shared on social media.</w:t>
            </w:r>
          </w:p>
          <w:p w:rsidR="0092299C" w:rsidRPr="00F63571" w:rsidRDefault="0092299C" w:rsidP="0092299C">
            <w:pPr>
              <w:pStyle w:val="ARcasestudytext"/>
            </w:pPr>
            <w:r w:rsidRPr="00F63571">
              <w:t>The development of the videos was supported by the Rethink Sugary Drink group.</w:t>
            </w:r>
          </w:p>
        </w:tc>
      </w:tr>
    </w:tbl>
    <w:p w:rsidR="0092299C" w:rsidRPr="00F63571" w:rsidRDefault="0092299C" w:rsidP="0092299C">
      <w:pPr>
        <w:pStyle w:val="Heading5"/>
      </w:pPr>
      <w:r w:rsidRPr="00F63571">
        <w:t>Aboriginal social an</w:t>
      </w:r>
      <w:r>
        <w:t>d emotional wellbeing framework</w:t>
      </w:r>
    </w:p>
    <w:p w:rsidR="0092299C" w:rsidRPr="00F63571" w:rsidRDefault="0092299C" w:rsidP="0092299C">
      <w:pPr>
        <w:pStyle w:val="ARbody"/>
      </w:pPr>
      <w:proofErr w:type="spellStart"/>
      <w:r w:rsidRPr="00CF6273">
        <w:rPr>
          <w:i/>
        </w:rPr>
        <w:t>Balit</w:t>
      </w:r>
      <w:proofErr w:type="spellEnd"/>
      <w:r w:rsidRPr="00CF6273">
        <w:rPr>
          <w:i/>
        </w:rPr>
        <w:t xml:space="preserve"> </w:t>
      </w:r>
      <w:proofErr w:type="spellStart"/>
      <w:r w:rsidRPr="00CF6273">
        <w:rPr>
          <w:i/>
        </w:rPr>
        <w:t>Murrup</w:t>
      </w:r>
      <w:proofErr w:type="spellEnd"/>
      <w:r w:rsidRPr="00CF6273">
        <w:rPr>
          <w:i/>
        </w:rPr>
        <w:t xml:space="preserve">: </w:t>
      </w:r>
      <w:r w:rsidRPr="00E22B48">
        <w:rPr>
          <w:i/>
        </w:rPr>
        <w:t>Aboriginal social and emotional wellbeing framework</w:t>
      </w:r>
      <w:r w:rsidRPr="00F63571">
        <w:rPr>
          <w:i/>
        </w:rPr>
        <w:t xml:space="preserve"> </w:t>
      </w:r>
      <w:r w:rsidRPr="00F63571">
        <w:t>is</w:t>
      </w:r>
      <w:r>
        <w:t xml:space="preserve"> part of </w:t>
      </w:r>
      <w:r w:rsidRPr="00E22B48">
        <w:rPr>
          <w:i/>
        </w:rPr>
        <w:t>Victoria’s 10-year mental health plan</w:t>
      </w:r>
      <w:r>
        <w:t>. It aims</w:t>
      </w:r>
      <w:r w:rsidRPr="00F63571">
        <w:t xml:space="preserve"> to improve the social and emotional wellbeing of Victorian Aboriginal people</w:t>
      </w:r>
      <w:r>
        <w:t xml:space="preserve">. </w:t>
      </w:r>
      <w:r>
        <w:rPr>
          <w:rFonts w:ascii="Helv" w:hAnsi="Helv" w:cs="Helv"/>
          <w:color w:val="000000"/>
          <w:szCs w:val="20"/>
          <w:lang w:eastAsia="en-AU"/>
        </w:rPr>
        <w:t xml:space="preserve">Demonstration sites commenced in </w:t>
      </w:r>
      <w:r w:rsidR="00504041">
        <w:rPr>
          <w:rFonts w:ascii="Helv" w:hAnsi="Helv" w:cs="Helv"/>
          <w:color w:val="000000"/>
          <w:szCs w:val="20"/>
          <w:lang w:eastAsia="en-AU"/>
        </w:rPr>
        <w:br/>
      </w:r>
      <w:r>
        <w:rPr>
          <w:rFonts w:ascii="Helv" w:hAnsi="Helv" w:cs="Helv"/>
          <w:color w:val="000000"/>
          <w:szCs w:val="20"/>
          <w:lang w:eastAsia="en-AU"/>
        </w:rPr>
        <w:t>2016</w:t>
      </w:r>
      <w:r w:rsidRPr="00F63571">
        <w:t>–17</w:t>
      </w:r>
      <w:r>
        <w:rPr>
          <w:rFonts w:ascii="Helv" w:hAnsi="Helv" w:cs="Helv"/>
          <w:color w:val="000000"/>
          <w:szCs w:val="20"/>
          <w:lang w:eastAsia="en-AU"/>
        </w:rPr>
        <w:t xml:space="preserve"> in three </w:t>
      </w:r>
      <w:r w:rsidRPr="00F63571">
        <w:t>A</w:t>
      </w:r>
      <w:r>
        <w:t xml:space="preserve">boriginal </w:t>
      </w:r>
      <w:r w:rsidR="00806AA6">
        <w:t>community-controlled</w:t>
      </w:r>
      <w:r>
        <w:t xml:space="preserve"> organisations</w:t>
      </w:r>
      <w:r>
        <w:rPr>
          <w:rFonts w:ascii="Helv" w:hAnsi="Helv" w:cs="Helv"/>
          <w:color w:val="000000"/>
          <w:szCs w:val="20"/>
          <w:lang w:eastAsia="en-AU"/>
        </w:rPr>
        <w:t>. The initiatives will be evaluated to gauge their success in reducing the impact of mental illness on Aboriginal and Torres Strait Islander People during 2017</w:t>
      </w:r>
      <w:r w:rsidRPr="006D5C72">
        <w:t>–1</w:t>
      </w:r>
      <w:r>
        <w:rPr>
          <w:rFonts w:ascii="Helv" w:hAnsi="Helv" w:cs="Helv"/>
          <w:color w:val="000000"/>
          <w:szCs w:val="20"/>
          <w:lang w:eastAsia="en-AU"/>
        </w:rPr>
        <w:t>8 and</w:t>
      </w:r>
      <w:r w:rsidR="00F8267D">
        <w:rPr>
          <w:rFonts w:ascii="Helv" w:hAnsi="Helv" w:cs="Helv"/>
          <w:color w:val="000000"/>
          <w:szCs w:val="20"/>
          <w:lang w:eastAsia="en-AU"/>
        </w:rPr>
        <w:t xml:space="preserve"> </w:t>
      </w:r>
      <w:r>
        <w:rPr>
          <w:rFonts w:ascii="Helv" w:hAnsi="Helv" w:cs="Helv"/>
          <w:color w:val="000000"/>
          <w:szCs w:val="20"/>
          <w:lang w:eastAsia="en-AU"/>
        </w:rPr>
        <w:t>2018</w:t>
      </w:r>
      <w:r w:rsidRPr="006D5C72">
        <w:t>–1</w:t>
      </w:r>
      <w:r>
        <w:rPr>
          <w:rFonts w:ascii="Helv" w:hAnsi="Helv" w:cs="Helv"/>
          <w:color w:val="000000"/>
          <w:szCs w:val="20"/>
          <w:lang w:eastAsia="en-AU"/>
        </w:rPr>
        <w:t>9.</w:t>
      </w:r>
    </w:p>
    <w:p w:rsidR="0092299C" w:rsidRPr="00F63571" w:rsidRDefault="0092299C" w:rsidP="0092299C">
      <w:pPr>
        <w:pStyle w:val="Heading5"/>
      </w:pPr>
      <w:r w:rsidRPr="00F63571">
        <w:t xml:space="preserve">Aboriginal employment strategy </w:t>
      </w:r>
      <w:r>
        <w:t>2016–</w:t>
      </w:r>
      <w:r w:rsidRPr="00F63571">
        <w:t>21</w:t>
      </w:r>
    </w:p>
    <w:p w:rsidR="0092299C" w:rsidRPr="00F63571" w:rsidRDefault="0092299C" w:rsidP="0092299C">
      <w:pPr>
        <w:pStyle w:val="ARbody"/>
        <w:rPr>
          <w:lang w:eastAsia="en-AU"/>
        </w:rPr>
      </w:pPr>
      <w:r>
        <w:rPr>
          <w:lang w:eastAsia="en-AU"/>
        </w:rPr>
        <w:t>T</w:t>
      </w:r>
      <w:r w:rsidRPr="00F63571">
        <w:rPr>
          <w:lang w:eastAsia="en-AU"/>
        </w:rPr>
        <w:t xml:space="preserve">he department implemented the </w:t>
      </w:r>
      <w:r w:rsidRPr="00F63571">
        <w:rPr>
          <w:i/>
          <w:lang w:eastAsia="en-AU"/>
        </w:rPr>
        <w:t xml:space="preserve">Aboriginal employment strategy </w:t>
      </w:r>
      <w:r>
        <w:rPr>
          <w:i/>
          <w:lang w:eastAsia="en-AU"/>
        </w:rPr>
        <w:t>2016–</w:t>
      </w:r>
      <w:r w:rsidRPr="00F63571">
        <w:rPr>
          <w:i/>
          <w:lang w:eastAsia="en-AU"/>
        </w:rPr>
        <w:t>21</w:t>
      </w:r>
      <w:r w:rsidRPr="00F63571">
        <w:rPr>
          <w:lang w:eastAsia="en-AU"/>
        </w:rPr>
        <w:t xml:space="preserve">, which aims to attract more Aboriginal employees, along with a number of Aboriginal staff in executive and senior </w:t>
      </w:r>
      <w:r w:rsidRPr="00504041">
        <w:rPr>
          <w:spacing w:val="-2"/>
          <w:lang w:eastAsia="en-AU"/>
        </w:rPr>
        <w:t>roles. In addition, a program to increase employment</w:t>
      </w:r>
      <w:r w:rsidRPr="00F63571">
        <w:rPr>
          <w:lang w:eastAsia="en-AU"/>
        </w:rPr>
        <w:t xml:space="preserve"> of Aboriginal people in local government health promotion has seen the recruitment of six </w:t>
      </w:r>
      <w:r w:rsidRPr="00F63571">
        <w:rPr>
          <w:lang w:eastAsia="en-AU"/>
        </w:rPr>
        <w:lastRenderedPageBreak/>
        <w:t>Aboriginal people in a mix of trainee, graduate and cadetship positions.</w:t>
      </w:r>
    </w:p>
    <w:p w:rsidR="0092299C" w:rsidRDefault="0092299C" w:rsidP="0092299C">
      <w:pPr>
        <w:pStyle w:val="Heading4"/>
      </w:pPr>
      <w:r w:rsidRPr="00F63571">
        <w:t>Latrobe Valley</w:t>
      </w:r>
    </w:p>
    <w:p w:rsidR="0092299C" w:rsidRPr="00F63571" w:rsidRDefault="0092299C" w:rsidP="0092299C">
      <w:pPr>
        <w:pStyle w:val="Heading5"/>
      </w:pPr>
      <w:r w:rsidRPr="00F63571">
        <w:t>Latrobe Health Assembly</w:t>
      </w:r>
    </w:p>
    <w:p w:rsidR="0092299C" w:rsidRPr="006D5C72" w:rsidRDefault="0092299C" w:rsidP="0092299C">
      <w:pPr>
        <w:pStyle w:val="ARbody"/>
      </w:pPr>
      <w:r w:rsidRPr="006D5C72">
        <w:t>This initiative is a new way the government is working with the Latrobe community to improve health and wellbeing,</w:t>
      </w:r>
      <w:r>
        <w:t xml:space="preserve"> </w:t>
      </w:r>
      <w:r w:rsidRPr="006D5C72">
        <w:t xml:space="preserve">with a collaborative approach to setting </w:t>
      </w:r>
      <w:r>
        <w:t xml:space="preserve">priorities </w:t>
      </w:r>
      <w:r w:rsidRPr="006D5C72">
        <w:t>and driving system change.</w:t>
      </w:r>
    </w:p>
    <w:p w:rsidR="00AA035A" w:rsidRDefault="0092299C" w:rsidP="0092299C">
      <w:pPr>
        <w:pStyle w:val="ARbody"/>
      </w:pPr>
      <w:r w:rsidRPr="006D5C72">
        <w:t>The Latrobe Health Assembly’s role is to oversee the development and operation of the Latrobe Health Innovation Zone, and to create opportunities to strengthen health services, promote healthy living, reduce health inequalities, build pride of place, and enhance leadership and sustainability in the Latrobe Valley.</w:t>
      </w:r>
    </w:p>
    <w:p w:rsidR="0092299C" w:rsidRPr="006D5C72" w:rsidRDefault="0092299C" w:rsidP="0092299C">
      <w:pPr>
        <w:pStyle w:val="ARbody"/>
      </w:pPr>
      <w:r>
        <w:t>In 2016–17, the A</w:t>
      </w:r>
      <w:r w:rsidRPr="006D5C72">
        <w:t>ssembly focused on developing and testing innovations that will improve the health and wellbeing of the Latrobe Valley community.</w:t>
      </w:r>
    </w:p>
    <w:p w:rsidR="0092299C" w:rsidRPr="00F63571" w:rsidRDefault="0092299C" w:rsidP="0092299C">
      <w:pPr>
        <w:pStyle w:val="Heading5"/>
      </w:pPr>
      <w:r w:rsidRPr="00F63571">
        <w:t>Healthy and Strong Latrobe initiative</w:t>
      </w:r>
    </w:p>
    <w:p w:rsidR="0092299C" w:rsidRPr="00F63571" w:rsidRDefault="0092299C" w:rsidP="0092299C">
      <w:pPr>
        <w:pStyle w:val="ARbody"/>
      </w:pPr>
      <w:r w:rsidRPr="00F63571">
        <w:t xml:space="preserve">In 2016–17, the department </w:t>
      </w:r>
      <w:r>
        <w:t xml:space="preserve">started implementing </w:t>
      </w:r>
      <w:r w:rsidRPr="00F63571">
        <w:t xml:space="preserve">the $27 million Healthy and Strong Latrobe initiative, which </w:t>
      </w:r>
      <w:r>
        <w:t>includes</w:t>
      </w:r>
      <w:r w:rsidRPr="00F63571">
        <w:t xml:space="preserve"> a four-year suite of activities to improve the health and wellbeing </w:t>
      </w:r>
      <w:r w:rsidR="00504041">
        <w:br/>
      </w:r>
      <w:r w:rsidRPr="00F63571">
        <w:t xml:space="preserve">of current and future generations in the Latrobe Valley. In its first year, the investment has supported measures </w:t>
      </w:r>
      <w:r>
        <w:t xml:space="preserve">that were </w:t>
      </w:r>
      <w:r w:rsidRPr="00F63571">
        <w:t>developed and implemented in collaboration with the community, including:</w:t>
      </w:r>
    </w:p>
    <w:p w:rsidR="0092299C" w:rsidRPr="00F63571" w:rsidRDefault="0092299C" w:rsidP="0092299C">
      <w:pPr>
        <w:pStyle w:val="ARbullet1"/>
      </w:pPr>
      <w:r w:rsidRPr="00F63571">
        <w:t>establishment of the Gathering Place, a new hub for local Aboriginal people to meet and connect, and which provides opportunities to improve health and wellbeing</w:t>
      </w:r>
    </w:p>
    <w:p w:rsidR="0092299C" w:rsidRPr="00F63571" w:rsidRDefault="0092299C" w:rsidP="0092299C">
      <w:pPr>
        <w:pStyle w:val="ARbullet1"/>
        <w:keepNext/>
        <w:keepLines/>
      </w:pPr>
      <w:r w:rsidRPr="00F63571">
        <w:t>an additional 1,000 hours of respiratory nursing service</w:t>
      </w:r>
      <w:r>
        <w:t>s</w:t>
      </w:r>
      <w:r w:rsidRPr="00F63571">
        <w:t>, resulting in a 65 per cent increase in referrals since the same time last year</w:t>
      </w:r>
    </w:p>
    <w:p w:rsidR="0092299C" w:rsidRPr="00F63571" w:rsidRDefault="0092299C" w:rsidP="0092299C">
      <w:pPr>
        <w:pStyle w:val="ARbullet1"/>
      </w:pPr>
      <w:r w:rsidRPr="00F63571">
        <w:t>additional integrated chronic disease management delivery, which mean</w:t>
      </w:r>
      <w:r>
        <w:t>s</w:t>
      </w:r>
      <w:r w:rsidRPr="00F63571">
        <w:t xml:space="preserve"> there is no longer a waiting list for people in Latrobe, as well as delivery of two outreach clinics held at </w:t>
      </w:r>
      <w:proofErr w:type="spellStart"/>
      <w:r w:rsidRPr="00F63571">
        <w:t>Ramahyuck</w:t>
      </w:r>
      <w:proofErr w:type="spellEnd"/>
      <w:r w:rsidRPr="00F63571">
        <w:t xml:space="preserve"> and District Aboriginal Cooperative</w:t>
      </w:r>
    </w:p>
    <w:p w:rsidR="0092299C" w:rsidRPr="00F63571" w:rsidRDefault="0092299C" w:rsidP="0092299C">
      <w:pPr>
        <w:pStyle w:val="ARbullet1"/>
      </w:pPr>
      <w:r w:rsidRPr="00F63571">
        <w:t>more than 400 referrals screened by the Latrobe Community Health Service multidisciplinary diabetes service, which resulted in more coordinated services, particularly for people with complex needs</w:t>
      </w:r>
    </w:p>
    <w:p w:rsidR="0092299C" w:rsidRPr="00F63571" w:rsidRDefault="0092299C" w:rsidP="0092299C">
      <w:pPr>
        <w:pStyle w:val="ARbullet1"/>
      </w:pPr>
      <w:r w:rsidRPr="00F63571">
        <w:t>a Quit campaign featuring local champions, demonstrating the value of a smoke-free life</w:t>
      </w:r>
    </w:p>
    <w:p w:rsidR="0092299C" w:rsidRPr="00F63571" w:rsidRDefault="0092299C" w:rsidP="006F1F77">
      <w:pPr>
        <w:pStyle w:val="ARbullet1"/>
      </w:pPr>
      <w:r>
        <w:t>more than</w:t>
      </w:r>
      <w:r w:rsidRPr="00F63571">
        <w:t xml:space="preserve"> 50 primary healthcare professionals (general practitioners, practice nurses and dentists/hygienists) </w:t>
      </w:r>
      <w:r>
        <w:t>completing</w:t>
      </w:r>
      <w:r w:rsidRPr="00F63571">
        <w:t xml:space="preserve"> smoking </w:t>
      </w:r>
      <w:r w:rsidRPr="00F63571">
        <w:lastRenderedPageBreak/>
        <w:t>cessation education and training. This system-wide approach encourages health professionals to ask patients about their smoking and offer support to quit.</w:t>
      </w:r>
    </w:p>
    <w:p w:rsidR="0092299C" w:rsidRPr="00F63571" w:rsidRDefault="0092299C" w:rsidP="006F1F77">
      <w:pPr>
        <w:pStyle w:val="ARbodyafterbullets"/>
      </w:pPr>
      <w:r w:rsidRPr="00F63571">
        <w:t xml:space="preserve">Further aspects of </w:t>
      </w:r>
      <w:r>
        <w:t xml:space="preserve">health and wellbeing in </w:t>
      </w:r>
      <w:r w:rsidRPr="00F63571">
        <w:t>Latrobe that relate to sporting initiatives are discussed in Objective 6.</w:t>
      </w:r>
    </w:p>
    <w:p w:rsidR="0092299C" w:rsidRPr="00F63571" w:rsidRDefault="0092299C" w:rsidP="0092299C">
      <w:pPr>
        <w:pStyle w:val="Heading5"/>
      </w:pPr>
      <w:r>
        <w:t>Long-term health study</w:t>
      </w:r>
    </w:p>
    <w:p w:rsidR="0092299C" w:rsidRPr="00F63571" w:rsidRDefault="0092299C" w:rsidP="0092299C">
      <w:pPr>
        <w:pStyle w:val="ARbody"/>
      </w:pPr>
      <w:r>
        <w:t>In 2016</w:t>
      </w:r>
      <w:r w:rsidRPr="006D5C72">
        <w:t>–1</w:t>
      </w:r>
      <w:r>
        <w:t>7, t</w:t>
      </w:r>
      <w:r w:rsidRPr="00F63571">
        <w:t xml:space="preserve">he department entered into a contract </w:t>
      </w:r>
      <w:r w:rsidRPr="00504041">
        <w:rPr>
          <w:spacing w:val="-2"/>
        </w:rPr>
        <w:t>with Monash University, together with other research</w:t>
      </w:r>
      <w:r w:rsidRPr="00F63571">
        <w:t xml:space="preserve"> institutions, to conduct a long-term study into the potential health effects of the Hazelwood coal mine fire. The study is continuing to provide vital insight into how best to improve the health and wellbeing of the Latrobe Valley community in the wake of the Hazelwood mine fire.</w:t>
      </w:r>
    </w:p>
    <w:p w:rsidR="0092299C" w:rsidRPr="00F63571" w:rsidRDefault="0092299C" w:rsidP="0092299C">
      <w:pPr>
        <w:pStyle w:val="Heading4"/>
      </w:pPr>
      <w:bookmarkStart w:id="18" w:name="_Ref492914993"/>
      <w:r w:rsidRPr="00F63571">
        <w:t>Chronic disease prevention</w:t>
      </w:r>
      <w:bookmarkEnd w:id="18"/>
    </w:p>
    <w:p w:rsidR="00AA035A" w:rsidRDefault="0092299C" w:rsidP="0092299C">
      <w:pPr>
        <w:pStyle w:val="Heading5"/>
      </w:pPr>
      <w:r w:rsidRPr="00F63571">
        <w:t>Achievement program</w:t>
      </w:r>
    </w:p>
    <w:p w:rsidR="00AA035A" w:rsidRDefault="0092299C" w:rsidP="0092299C">
      <w:pPr>
        <w:pStyle w:val="ARbody"/>
      </w:pPr>
      <w:r w:rsidRPr="00F63571">
        <w:t>The achievement program is a quality improvement framework for creating healthy places for learning, working and living.</w:t>
      </w:r>
    </w:p>
    <w:p w:rsidR="0092299C" w:rsidRPr="00F63571" w:rsidRDefault="0092299C" w:rsidP="0092299C">
      <w:pPr>
        <w:pStyle w:val="ARbody"/>
      </w:pPr>
      <w:r>
        <w:t>In 2016</w:t>
      </w:r>
      <w:r w:rsidRPr="006D5C72">
        <w:t>–1</w:t>
      </w:r>
      <w:r>
        <w:t>7, t</w:t>
      </w:r>
      <w:r w:rsidRPr="00F63571">
        <w:t>he department processed more than 230 applications for state government recognition as a healthy service, school or workplace</w:t>
      </w:r>
      <w:r>
        <w:t>.</w:t>
      </w:r>
    </w:p>
    <w:p w:rsidR="0092299C" w:rsidRPr="00F63571" w:rsidRDefault="0092299C" w:rsidP="0092299C">
      <w:pPr>
        <w:pStyle w:val="Heading5"/>
      </w:pPr>
      <w:r w:rsidRPr="00F63571">
        <w:t>Healthy Eating Advisory Service</w:t>
      </w:r>
    </w:p>
    <w:p w:rsidR="0092299C" w:rsidRPr="00F63571" w:rsidRDefault="0092299C" w:rsidP="0092299C">
      <w:pPr>
        <w:pStyle w:val="ARbody"/>
      </w:pPr>
      <w:r w:rsidRPr="00504041">
        <w:rPr>
          <w:spacing w:val="-2"/>
        </w:rPr>
        <w:t>This service improves Victorians’ health by providing</w:t>
      </w:r>
      <w:r w:rsidRPr="00F63571">
        <w:t xml:space="preserve"> the skills, knowledge and practical support that </w:t>
      </w:r>
      <w:r>
        <w:t>organisations need to reduce sugary drinks and increase health food choices without impacting on the bottom line</w:t>
      </w:r>
      <w:r w:rsidRPr="00F63571">
        <w:t xml:space="preserve"> at health services, schools, early childhood services, workplaces</w:t>
      </w:r>
      <w:r>
        <w:t>,</w:t>
      </w:r>
      <w:r w:rsidRPr="00F63571">
        <w:t xml:space="preserve"> and sport and recreation facilities. New initiatives delivered in 2016–17 included the release of the </w:t>
      </w:r>
      <w:proofErr w:type="spellStart"/>
      <w:r w:rsidRPr="00F63571">
        <w:t>FoodChecker</w:t>
      </w:r>
      <w:proofErr w:type="spellEnd"/>
      <w:r w:rsidRPr="00F63571">
        <w:t xml:space="preserve"> website, as well as a mentorship program that provides training and support to 86</w:t>
      </w:r>
      <w:r>
        <w:t> </w:t>
      </w:r>
      <w:r w:rsidRPr="00F63571">
        <w:t>mentees from 70 organisations.</w:t>
      </w:r>
    </w:p>
    <w:p w:rsidR="0092299C" w:rsidRPr="00F63571" w:rsidRDefault="0092299C" w:rsidP="0092299C">
      <w:pPr>
        <w:pStyle w:val="Heading5"/>
      </w:pPr>
      <w:r w:rsidRPr="00F63571">
        <w:t>Amended food labelling</w:t>
      </w:r>
    </w:p>
    <w:p w:rsidR="0092299C" w:rsidRPr="00F63571" w:rsidRDefault="0092299C" w:rsidP="0092299C">
      <w:pPr>
        <w:pStyle w:val="ARbody"/>
      </w:pPr>
      <w:r w:rsidRPr="00F63571">
        <w:t xml:space="preserve">The </w:t>
      </w:r>
      <w:r w:rsidRPr="00F63571">
        <w:rPr>
          <w:i/>
        </w:rPr>
        <w:t>Food Amendment (Kilojoule Labelling Scheme and Other Matters) Act 2017</w:t>
      </w:r>
      <w:r w:rsidRPr="00F63571">
        <w:t xml:space="preserve"> was enacted in February 2017, and will come into effect in May 2018. The legislation requires large food business</w:t>
      </w:r>
      <w:r>
        <w:t>es</w:t>
      </w:r>
      <w:r w:rsidRPr="00F63571">
        <w:t xml:space="preserve"> and supermarket chains to display the average kilojoule content of standardised, ready-to-eat, unpackaged food</w:t>
      </w:r>
      <w:r>
        <w:t>,</w:t>
      </w:r>
      <w:r w:rsidRPr="00F63571">
        <w:t xml:space="preserve"> and non-alcoholic drinks on their menus, menu boards, food labels</w:t>
      </w:r>
      <w:r>
        <w:t>,</w:t>
      </w:r>
      <w:r w:rsidRPr="00F63571">
        <w:t xml:space="preserve"> and price tags at point of </w:t>
      </w:r>
      <w:r>
        <w:t>purchase (in store and online).</w:t>
      </w:r>
    </w:p>
    <w:p w:rsidR="0092299C" w:rsidRPr="00F63571" w:rsidRDefault="0092299C" w:rsidP="0092299C">
      <w:pPr>
        <w:pStyle w:val="ARbody"/>
      </w:pPr>
      <w:r w:rsidRPr="00F63571">
        <w:t>Outlets will also be required to display a sign stating ‘The average adult da</w:t>
      </w:r>
      <w:r>
        <w:t xml:space="preserve">ily energy intake </w:t>
      </w:r>
      <w:r w:rsidR="00504041">
        <w:br/>
      </w:r>
      <w:r>
        <w:t>is 8,700 kJ’.</w:t>
      </w:r>
    </w:p>
    <w:p w:rsidR="0092299C" w:rsidRPr="00F63571" w:rsidRDefault="0092299C" w:rsidP="0092299C">
      <w:pPr>
        <w:pStyle w:val="Heading5"/>
      </w:pPr>
      <w:r w:rsidRPr="00F63571">
        <w:lastRenderedPageBreak/>
        <w:t>Smoking ban in outdoor dining areas</w:t>
      </w:r>
    </w:p>
    <w:p w:rsidR="0092299C" w:rsidRPr="00F63571" w:rsidRDefault="0092299C" w:rsidP="0092299C">
      <w:pPr>
        <w:pStyle w:val="ARbody"/>
      </w:pPr>
      <w:r w:rsidRPr="00F63571">
        <w:t xml:space="preserve">Significant work was undertaken during 2016–17 in the lead up to </w:t>
      </w:r>
      <w:r>
        <w:t xml:space="preserve">the </w:t>
      </w:r>
      <w:r w:rsidRPr="00F63571">
        <w:t>implementation</w:t>
      </w:r>
      <w:r w:rsidRPr="00946855">
        <w:t xml:space="preserve"> </w:t>
      </w:r>
      <w:r>
        <w:t>of n</w:t>
      </w:r>
      <w:r w:rsidRPr="00F63571">
        <w:t>ew tobacco control reforms</w:t>
      </w:r>
      <w:r>
        <w:t>,</w:t>
      </w:r>
      <w:r w:rsidRPr="00F63571">
        <w:t xml:space="preserve"> </w:t>
      </w:r>
      <w:r>
        <w:t>which took</w:t>
      </w:r>
      <w:r w:rsidRPr="00DD1857">
        <w:t xml:space="preserve"> effect on 1 August 2017</w:t>
      </w:r>
      <w:r>
        <w:t xml:space="preserve">, </w:t>
      </w:r>
      <w:r w:rsidRPr="00F63571">
        <w:t xml:space="preserve">including a communications campaign and </w:t>
      </w:r>
      <w:proofErr w:type="spellStart"/>
      <w:r w:rsidRPr="00F63571">
        <w:t>statewide</w:t>
      </w:r>
      <w:proofErr w:type="spellEnd"/>
      <w:r w:rsidRPr="00F63571">
        <w:t xml:space="preserve"> roll</w:t>
      </w:r>
      <w:r>
        <w:t xml:space="preserve"> </w:t>
      </w:r>
      <w:r w:rsidRPr="00F63571">
        <w:t>out of training for councils.</w:t>
      </w:r>
      <w:r>
        <w:t xml:space="preserve"> </w:t>
      </w:r>
      <w:r w:rsidRPr="00F63571">
        <w:t xml:space="preserve">The reforms </w:t>
      </w:r>
      <w:r>
        <w:t xml:space="preserve">include a </w:t>
      </w:r>
      <w:r w:rsidRPr="00F63571">
        <w:t>ban</w:t>
      </w:r>
      <w:r>
        <w:t xml:space="preserve"> on</w:t>
      </w:r>
      <w:r w:rsidRPr="00F63571">
        <w:t xml:space="preserve"> smoking in outdoor dining areas</w:t>
      </w:r>
      <w:r>
        <w:t xml:space="preserve"> and the</w:t>
      </w:r>
      <w:r w:rsidRPr="00F63571">
        <w:t xml:space="preserve"> regulat</w:t>
      </w:r>
      <w:r>
        <w:t>ion of</w:t>
      </w:r>
      <w:r w:rsidRPr="00F63571">
        <w:t xml:space="preserve"> e-cigarettes</w:t>
      </w:r>
      <w:r>
        <w:t>.</w:t>
      </w:r>
    </w:p>
    <w:p w:rsidR="00AA035A" w:rsidRDefault="0092299C" w:rsidP="0092299C">
      <w:pPr>
        <w:pStyle w:val="Heading5"/>
      </w:pPr>
      <w:r w:rsidRPr="00F63571">
        <w:t>Life! program</w:t>
      </w:r>
    </w:p>
    <w:p w:rsidR="0092299C" w:rsidRPr="00F63571" w:rsidRDefault="0092299C" w:rsidP="0092299C">
      <w:pPr>
        <w:pStyle w:val="ARbody"/>
      </w:pPr>
      <w:r w:rsidRPr="00F63571">
        <w:t>Life! provides Victorians at high risk of type 2 diabetes or cardiovascular disease with the skills and motivation to adopt a healthier lifestyle and reduce the risk of chronic disease. In 2016–17, approximately 5,</w:t>
      </w:r>
      <w:r>
        <w:t>199</w:t>
      </w:r>
      <w:r w:rsidRPr="00F63571">
        <w:t xml:space="preserve"> people commenced a Life! group or telephone-based course</w:t>
      </w:r>
      <w:r>
        <w:t>.</w:t>
      </w:r>
    </w:p>
    <w:p w:rsidR="0092299C" w:rsidRPr="003D1B69" w:rsidRDefault="0092299C" w:rsidP="0092299C">
      <w:pPr>
        <w:pStyle w:val="Heading4"/>
        <w:rPr>
          <w:lang w:eastAsia="en-AU"/>
        </w:rPr>
      </w:pPr>
      <w:r w:rsidRPr="003D1B69">
        <w:rPr>
          <w:lang w:eastAsia="en-AU"/>
        </w:rPr>
        <w:t>Preventing suicide</w:t>
      </w:r>
    </w:p>
    <w:p w:rsidR="0092299C" w:rsidRPr="003D1B69" w:rsidRDefault="0092299C" w:rsidP="0092299C">
      <w:pPr>
        <w:autoSpaceDE w:val="0"/>
        <w:autoSpaceDN w:val="0"/>
        <w:adjustRightInd w:val="0"/>
        <w:spacing w:after="120" w:line="260" w:lineRule="atLeast"/>
        <w:rPr>
          <w:rFonts w:ascii="Helv" w:hAnsi="Helv" w:cs="Helv"/>
          <w:color w:val="000000"/>
          <w:sz w:val="20"/>
          <w:szCs w:val="20"/>
          <w:lang w:eastAsia="en-AU"/>
        </w:rPr>
      </w:pPr>
      <w:r w:rsidRPr="003D1B69">
        <w:rPr>
          <w:rFonts w:ascii="Helv" w:hAnsi="Helv" w:cs="Helv"/>
          <w:color w:val="000000"/>
          <w:sz w:val="20"/>
          <w:szCs w:val="20"/>
          <w:lang w:eastAsia="en-AU"/>
        </w:rPr>
        <w:t xml:space="preserve">The </w:t>
      </w:r>
      <w:r w:rsidRPr="00E22B48">
        <w:rPr>
          <w:rFonts w:ascii="Helv" w:hAnsi="Helv" w:cs="Helv"/>
          <w:i/>
          <w:color w:val="000000"/>
          <w:sz w:val="20"/>
          <w:szCs w:val="20"/>
          <w:lang w:eastAsia="en-AU"/>
        </w:rPr>
        <w:t xml:space="preserve">Victorian suicide prevention framework </w:t>
      </w:r>
      <w:r w:rsidR="00504041">
        <w:rPr>
          <w:rFonts w:ascii="Helv" w:hAnsi="Helv" w:cs="Helv"/>
          <w:i/>
          <w:color w:val="000000"/>
          <w:sz w:val="20"/>
          <w:szCs w:val="20"/>
          <w:lang w:eastAsia="en-AU"/>
        </w:rPr>
        <w:br/>
      </w:r>
      <w:r w:rsidRPr="00E22B48">
        <w:rPr>
          <w:rFonts w:ascii="Helv" w:hAnsi="Helv" w:cs="Helv"/>
          <w:i/>
          <w:color w:val="000000"/>
          <w:sz w:val="20"/>
          <w:szCs w:val="20"/>
          <w:lang w:eastAsia="en-AU"/>
        </w:rPr>
        <w:t>2016–25</w:t>
      </w:r>
      <w:r w:rsidRPr="003D1B69">
        <w:rPr>
          <w:rFonts w:ascii="Helv" w:hAnsi="Helv" w:cs="Helv"/>
          <w:color w:val="000000"/>
          <w:sz w:val="20"/>
          <w:szCs w:val="20"/>
          <w:lang w:eastAsia="en-AU"/>
        </w:rPr>
        <w:t>, released in July 2016, outline</w:t>
      </w:r>
      <w:r>
        <w:rPr>
          <w:rFonts w:ascii="Helv" w:hAnsi="Helv" w:cs="Helv"/>
          <w:color w:val="000000"/>
          <w:sz w:val="20"/>
          <w:szCs w:val="20"/>
          <w:lang w:eastAsia="en-AU"/>
        </w:rPr>
        <w:t>s</w:t>
      </w:r>
      <w:r w:rsidRPr="003D1B69">
        <w:rPr>
          <w:rFonts w:ascii="Helv" w:hAnsi="Helv" w:cs="Helv"/>
          <w:color w:val="000000"/>
          <w:sz w:val="20"/>
          <w:szCs w:val="20"/>
          <w:lang w:eastAsia="en-AU"/>
        </w:rPr>
        <w:t xml:space="preserve"> the government’s strategy to reduce the rate of suicide in Victoria by 50 per cent over 10 years. The </w:t>
      </w:r>
      <w:r>
        <w:rPr>
          <w:rFonts w:ascii="Helv" w:hAnsi="Helv" w:cs="Helv"/>
          <w:color w:val="000000"/>
          <w:sz w:val="20"/>
          <w:szCs w:val="20"/>
          <w:lang w:eastAsia="en-AU"/>
        </w:rPr>
        <w:br/>
      </w:r>
      <w:r w:rsidRPr="003D1B69">
        <w:rPr>
          <w:rFonts w:ascii="Helv" w:hAnsi="Helv" w:cs="Helv"/>
          <w:color w:val="000000"/>
          <w:sz w:val="20"/>
          <w:szCs w:val="20"/>
          <w:lang w:eastAsia="en-AU"/>
        </w:rPr>
        <w:t xml:space="preserve">2016–17 </w:t>
      </w:r>
      <w:r w:rsidR="000B6B03">
        <w:rPr>
          <w:rFonts w:ascii="Helv" w:hAnsi="Helv" w:cs="Helv"/>
          <w:color w:val="000000"/>
          <w:sz w:val="20"/>
          <w:szCs w:val="20"/>
          <w:lang w:eastAsia="en-AU"/>
        </w:rPr>
        <w:t>Victorian</w:t>
      </w:r>
      <w:r w:rsidR="000B6B03" w:rsidRPr="003D1B69">
        <w:rPr>
          <w:rFonts w:ascii="Helv" w:hAnsi="Helv" w:cs="Helv"/>
          <w:color w:val="000000"/>
          <w:sz w:val="20"/>
          <w:szCs w:val="20"/>
          <w:lang w:eastAsia="en-AU"/>
        </w:rPr>
        <w:t xml:space="preserve"> </w:t>
      </w:r>
      <w:r w:rsidRPr="003D1B69">
        <w:rPr>
          <w:rFonts w:ascii="Helv" w:hAnsi="Helv" w:cs="Helv"/>
          <w:color w:val="000000"/>
          <w:sz w:val="20"/>
          <w:szCs w:val="20"/>
          <w:lang w:eastAsia="en-AU"/>
        </w:rPr>
        <w:t>Budget provided $27 million over four years to deliver two flagship suicide prevention initiatives: place-based trials and assertive outreach trials. An important part of these trials is developing culturally appropriate and safe</w:t>
      </w:r>
      <w:r>
        <w:rPr>
          <w:rFonts w:ascii="Helv" w:hAnsi="Helv" w:cs="Helv"/>
          <w:color w:val="000000"/>
          <w:sz w:val="20"/>
          <w:szCs w:val="20"/>
          <w:lang w:eastAsia="en-AU"/>
        </w:rPr>
        <w:t xml:space="preserve"> suicide prevention approaches.</w:t>
      </w:r>
    </w:p>
    <w:p w:rsidR="00AA035A" w:rsidRDefault="0092299C" w:rsidP="0092299C">
      <w:pPr>
        <w:pStyle w:val="Heading5"/>
      </w:pPr>
      <w:r w:rsidRPr="00915516">
        <w:t>Place-based trials</w:t>
      </w:r>
    </w:p>
    <w:p w:rsidR="0092299C" w:rsidRPr="003D1B69" w:rsidRDefault="0092299C" w:rsidP="0092299C">
      <w:pPr>
        <w:pStyle w:val="ARbody"/>
        <w:rPr>
          <w:lang w:eastAsia="en-AU"/>
        </w:rPr>
      </w:pPr>
      <w:r w:rsidRPr="00915516">
        <w:rPr>
          <w:rFonts w:ascii="Helv" w:hAnsi="Helv" w:cs="Helv"/>
          <w:color w:val="000000"/>
          <w:szCs w:val="20"/>
          <w:lang w:eastAsia="en-AU"/>
        </w:rPr>
        <w:t>Place-based suicide prevention trials support local</w:t>
      </w:r>
      <w:r w:rsidRPr="003D1B69">
        <w:rPr>
          <w:lang w:eastAsia="en-AU"/>
        </w:rPr>
        <w:t xml:space="preserve"> communities to develop and implement proactive suicide prevention strategies. Primary Health Networks are delivering the place-based trials at </w:t>
      </w:r>
      <w:r>
        <w:rPr>
          <w:lang w:eastAsia="en-AU"/>
        </w:rPr>
        <w:t>12 </w:t>
      </w:r>
      <w:r w:rsidRPr="003D1B69">
        <w:rPr>
          <w:lang w:eastAsia="en-AU"/>
        </w:rPr>
        <w:t xml:space="preserve">sites across Victoria: Mornington Peninsula/Frankston, Dandenong, Latrobe Valley, Bass Coast, </w:t>
      </w:r>
      <w:proofErr w:type="spellStart"/>
      <w:r w:rsidRPr="003D1B69">
        <w:rPr>
          <w:lang w:eastAsia="en-AU"/>
        </w:rPr>
        <w:t>Brimbank</w:t>
      </w:r>
      <w:proofErr w:type="spellEnd"/>
      <w:r w:rsidRPr="003D1B69">
        <w:rPr>
          <w:lang w:eastAsia="en-AU"/>
        </w:rPr>
        <w:t>/Melton, Macedon Ranges, Whittlesea, Maroondah, Mildura, Benalla, Ballarat and the Great South Coast.</w:t>
      </w:r>
    </w:p>
    <w:p w:rsidR="0092299C" w:rsidRPr="00915516" w:rsidRDefault="0092299C" w:rsidP="0092299C">
      <w:pPr>
        <w:pStyle w:val="ARbody"/>
      </w:pPr>
      <w:r w:rsidRPr="003D1B69">
        <w:rPr>
          <w:rFonts w:ascii="Helv" w:hAnsi="Helv" w:cs="Helv"/>
          <w:color w:val="000000"/>
          <w:lang w:eastAsia="en-AU"/>
        </w:rPr>
        <w:t>The trials are well underway</w:t>
      </w:r>
      <w:r>
        <w:rPr>
          <w:rFonts w:ascii="Helv" w:hAnsi="Helv" w:cs="Helv"/>
          <w:color w:val="000000"/>
          <w:lang w:eastAsia="en-AU"/>
        </w:rPr>
        <w:t xml:space="preserve">, and </w:t>
      </w:r>
      <w:r w:rsidRPr="003D1B69">
        <w:rPr>
          <w:rFonts w:ascii="Helv" w:hAnsi="Helv" w:cs="Helv"/>
          <w:color w:val="000000"/>
          <w:lang w:eastAsia="en-AU"/>
        </w:rPr>
        <w:t>each site</w:t>
      </w:r>
      <w:r>
        <w:rPr>
          <w:rFonts w:ascii="Helv" w:hAnsi="Helv" w:cs="Helv"/>
          <w:color w:val="000000"/>
          <w:lang w:eastAsia="en-AU"/>
        </w:rPr>
        <w:t xml:space="preserve"> is</w:t>
      </w:r>
      <w:r w:rsidRPr="003D1B69">
        <w:rPr>
          <w:rFonts w:ascii="Helv" w:hAnsi="Helv" w:cs="Helv"/>
          <w:color w:val="000000"/>
          <w:lang w:eastAsia="en-AU"/>
        </w:rPr>
        <w:t xml:space="preserve"> reviewing the particular priority groups at risk of suicide in their communities, such as young people, men, Aboriginal people and the LGBTI community. </w:t>
      </w:r>
      <w:r w:rsidRPr="003D1B69">
        <w:rPr>
          <w:color w:val="000000"/>
          <w:lang w:eastAsia="en-AU"/>
        </w:rPr>
        <w:t xml:space="preserve">This approach is bringing together different parts of the community, including people with lived experience of suicide, schools, businesses, local council, transport, police, health services, ambulance, community agencies, the Aboriginal </w:t>
      </w:r>
      <w:r w:rsidR="000B6B03">
        <w:rPr>
          <w:color w:val="000000"/>
          <w:lang w:eastAsia="en-AU"/>
        </w:rPr>
        <w:t>c</w:t>
      </w:r>
      <w:r w:rsidR="001F2E2D">
        <w:rPr>
          <w:color w:val="000000"/>
          <w:lang w:eastAsia="en-AU"/>
        </w:rPr>
        <w:t>ommunity-</w:t>
      </w:r>
      <w:r w:rsidR="000B6B03">
        <w:rPr>
          <w:color w:val="000000"/>
          <w:lang w:eastAsia="en-AU"/>
        </w:rPr>
        <w:t>c</w:t>
      </w:r>
      <w:r w:rsidRPr="003D1B69">
        <w:rPr>
          <w:color w:val="000000"/>
          <w:lang w:eastAsia="en-AU"/>
        </w:rPr>
        <w:t xml:space="preserve">ontrolled sector and others, to identify what is needed to prevent suicide and best support </w:t>
      </w:r>
      <w:r>
        <w:t>people locally.</w:t>
      </w:r>
    </w:p>
    <w:p w:rsidR="0092299C" w:rsidRPr="00915516" w:rsidRDefault="0092299C" w:rsidP="0092299C">
      <w:pPr>
        <w:pStyle w:val="Heading5"/>
      </w:pPr>
      <w:r w:rsidRPr="00915516">
        <w:lastRenderedPageBreak/>
        <w:t xml:space="preserve">Assertive outreach trials </w:t>
      </w:r>
      <w:r>
        <w:t>–</w:t>
      </w:r>
      <w:r w:rsidRPr="00915516">
        <w:t xml:space="preserve"> Hospital Outreach Post-suicidal Engagement Initiative</w:t>
      </w:r>
    </w:p>
    <w:p w:rsidR="0092299C" w:rsidRDefault="0092299C" w:rsidP="0092299C">
      <w:pPr>
        <w:pStyle w:val="ARbody"/>
        <w:rPr>
          <w:rFonts w:eastAsia="Times New Roman"/>
          <w:b/>
          <w:bCs/>
          <w:color w:val="000000"/>
          <w:lang w:eastAsia="en-AU"/>
        </w:rPr>
      </w:pPr>
      <w:r w:rsidRPr="003D1B69">
        <w:rPr>
          <w:rFonts w:eastAsia="Times New Roman"/>
          <w:color w:val="000000"/>
          <w:lang w:eastAsia="en-AU"/>
        </w:rPr>
        <w:t xml:space="preserve">Six health services (St Vincent’s Hospital, Barwon Health, Maroondah Hospital, Albury Wodonga Health, Alfred Health, and Peninsula Health) are designing and implementing assertive outreach care for people who present to hospital following suicidal behaviour or attempts. This includes providing intensive support for people in the </w:t>
      </w:r>
      <w:r>
        <w:rPr>
          <w:rFonts w:eastAsia="Times New Roman"/>
          <w:color w:val="000000"/>
          <w:lang w:eastAsia="en-AU"/>
        </w:rPr>
        <w:br/>
      </w:r>
      <w:r w:rsidRPr="003D1B69">
        <w:rPr>
          <w:rFonts w:eastAsia="Times New Roman"/>
          <w:color w:val="000000"/>
          <w:lang w:eastAsia="en-AU"/>
        </w:rPr>
        <w:t>24-hour period after they present</w:t>
      </w:r>
      <w:r>
        <w:rPr>
          <w:rFonts w:eastAsia="Times New Roman"/>
          <w:color w:val="000000"/>
          <w:lang w:eastAsia="en-AU"/>
        </w:rPr>
        <w:t>,</w:t>
      </w:r>
      <w:r w:rsidRPr="003D1B69">
        <w:rPr>
          <w:rFonts w:eastAsia="Times New Roman"/>
          <w:color w:val="000000"/>
          <w:lang w:eastAsia="en-AU"/>
        </w:rPr>
        <w:t xml:space="preserve"> and the development of a tailored support plan for up to three months after discharge. Services have commenced at St Vincent's Hospital, Alfred Health and Peninsula Health and </w:t>
      </w:r>
      <w:r>
        <w:rPr>
          <w:rFonts w:eastAsia="Times New Roman"/>
          <w:color w:val="000000"/>
          <w:lang w:eastAsia="en-AU"/>
        </w:rPr>
        <w:t>more than</w:t>
      </w:r>
      <w:r w:rsidRPr="003D1B69">
        <w:rPr>
          <w:rFonts w:eastAsia="Times New Roman"/>
          <w:color w:val="000000"/>
          <w:lang w:eastAsia="en-AU"/>
        </w:rPr>
        <w:t xml:space="preserve"> 30 people have been assisted through this program. Two of the remaining sites are on track to commence during September</w:t>
      </w:r>
      <w:r>
        <w:rPr>
          <w:rFonts w:eastAsia="Times New Roman"/>
          <w:color w:val="000000"/>
          <w:lang w:eastAsia="en-AU"/>
        </w:rPr>
        <w:t xml:space="preserve"> 2017</w:t>
      </w:r>
      <w:r w:rsidRPr="003D1B69">
        <w:rPr>
          <w:rFonts w:eastAsia="Times New Roman"/>
          <w:color w:val="000000"/>
          <w:lang w:eastAsia="en-AU"/>
        </w:rPr>
        <w:t>, with the Barwon site to be operational in December 2017.</w:t>
      </w:r>
    </w:p>
    <w:p w:rsidR="0092299C" w:rsidRPr="00F63571" w:rsidRDefault="0092299C" w:rsidP="0092299C">
      <w:pPr>
        <w:pStyle w:val="Heading4"/>
      </w:pPr>
      <w:r w:rsidRPr="00F63571">
        <w:t>Drugs services</w:t>
      </w:r>
    </w:p>
    <w:p w:rsidR="0092299C" w:rsidRPr="00F63571" w:rsidRDefault="0092299C" w:rsidP="0092299C">
      <w:pPr>
        <w:pStyle w:val="Heading5"/>
      </w:pPr>
      <w:r w:rsidRPr="00F63571">
        <w:t>Drug treatment and rehabilitation</w:t>
      </w:r>
    </w:p>
    <w:p w:rsidR="0092299C" w:rsidRPr="00F63571" w:rsidRDefault="0092299C" w:rsidP="0092299C">
      <w:pPr>
        <w:pStyle w:val="ARbody"/>
      </w:pPr>
      <w:r w:rsidRPr="00F63571">
        <w:t xml:space="preserve">During 2016–17, significant engagement occurred with alcohol and drug treatment services to develop navigation and </w:t>
      </w:r>
      <w:r>
        <w:t xml:space="preserve">improve </w:t>
      </w:r>
      <w:r w:rsidRPr="00F63571">
        <w:t>access to services. This has resulted in simpler intake and assessment arrangements being introduced from 1 July 2017.</w:t>
      </w:r>
      <w:r w:rsidRPr="008B2B4F">
        <w:rPr>
          <w:rFonts w:ascii="Helv" w:hAnsi="Helv" w:cs="Helv"/>
          <w:color w:val="000000"/>
          <w:szCs w:val="20"/>
          <w:lang w:eastAsia="en-AU"/>
        </w:rPr>
        <w:t xml:space="preserve"> </w:t>
      </w:r>
      <w:r w:rsidR="00504041">
        <w:rPr>
          <w:rFonts w:ascii="Helv" w:hAnsi="Helv" w:cs="Helv"/>
          <w:color w:val="000000"/>
          <w:szCs w:val="20"/>
          <w:lang w:eastAsia="en-AU"/>
        </w:rPr>
        <w:br/>
      </w:r>
      <w:r>
        <w:rPr>
          <w:rFonts w:ascii="Helv" w:hAnsi="Helv" w:cs="Helv"/>
          <w:color w:val="000000"/>
          <w:szCs w:val="20"/>
          <w:lang w:eastAsia="en-AU"/>
        </w:rPr>
        <w:t>In total, 31,302 unique clients accessed alcohol and drug treatment services in 2016</w:t>
      </w:r>
      <w:r w:rsidRPr="00F63571">
        <w:t>–1</w:t>
      </w:r>
      <w:r>
        <w:rPr>
          <w:rFonts w:ascii="Helv" w:hAnsi="Helv" w:cs="Helv"/>
          <w:color w:val="000000"/>
          <w:szCs w:val="20"/>
          <w:lang w:eastAsia="en-AU"/>
        </w:rPr>
        <w:t>7.</w:t>
      </w:r>
    </w:p>
    <w:p w:rsidR="0092299C" w:rsidRPr="00F63571" w:rsidRDefault="0092299C" w:rsidP="0092299C">
      <w:pPr>
        <w:pStyle w:val="Heading5"/>
      </w:pPr>
      <w:r w:rsidRPr="00F63571">
        <w:t>Corrections growth funding</w:t>
      </w:r>
    </w:p>
    <w:p w:rsidR="00AA035A" w:rsidRDefault="0092299C" w:rsidP="0092299C">
      <w:pPr>
        <w:pStyle w:val="ARbody"/>
      </w:pPr>
      <w:r w:rsidRPr="00F63571">
        <w:t>Growth funding of $5.25 million was allocated in October 2016 to continue to meet the increased demand for alcohol and drug treatment services for offenders with alcohol and drug conditions who are on community corrections orders. This funding includes allocations for intake and assessment, counselling and residential rehabilitation services in areas of demonstrated need, and a new client education program for low-risk offenders.</w:t>
      </w:r>
      <w:r w:rsidRPr="008B2B4F">
        <w:rPr>
          <w:rFonts w:ascii="Helv" w:hAnsi="Helv" w:cs="Helv"/>
          <w:color w:val="000000"/>
          <w:szCs w:val="20"/>
          <w:lang w:eastAsia="en-AU"/>
        </w:rPr>
        <w:t xml:space="preserve"> </w:t>
      </w:r>
      <w:r>
        <w:rPr>
          <w:rFonts w:ascii="Helv" w:hAnsi="Helv" w:cs="Helv"/>
          <w:color w:val="000000"/>
          <w:szCs w:val="20"/>
          <w:lang w:eastAsia="en-AU"/>
        </w:rPr>
        <w:t>This funding has supported 2,000 additional clients to access services.</w:t>
      </w:r>
    </w:p>
    <w:p w:rsidR="0092299C" w:rsidRPr="00F63571" w:rsidRDefault="0092299C" w:rsidP="0092299C">
      <w:pPr>
        <w:pStyle w:val="Heading5"/>
      </w:pPr>
      <w:r w:rsidRPr="00F63571">
        <w:t>Mother–baby withdrawal unit</w:t>
      </w:r>
    </w:p>
    <w:p w:rsidR="0092299C" w:rsidRPr="00F63571" w:rsidRDefault="0092299C" w:rsidP="0092299C">
      <w:pPr>
        <w:pStyle w:val="ARbody"/>
      </w:pPr>
      <w:r w:rsidRPr="00F63571">
        <w:t xml:space="preserve">A new four-bed mother and baby withdrawal unit opened in October 2016 at </w:t>
      </w:r>
      <w:proofErr w:type="spellStart"/>
      <w:r w:rsidRPr="00F63571">
        <w:t>UnitingCare</w:t>
      </w:r>
      <w:proofErr w:type="spellEnd"/>
      <w:r w:rsidRPr="00F63571">
        <w:t xml:space="preserve"> </w:t>
      </w:r>
      <w:proofErr w:type="spellStart"/>
      <w:r w:rsidRPr="00F63571">
        <w:t>ReGen</w:t>
      </w:r>
      <w:proofErr w:type="spellEnd"/>
      <w:r w:rsidRPr="00F63571">
        <w:t xml:space="preserve"> to improve accessibility and effectiveness of treatment for mothers who are dependent on alcohol and other drugs. </w:t>
      </w:r>
      <w:r>
        <w:t xml:space="preserve">Since it opened, </w:t>
      </w:r>
      <w:r>
        <w:rPr>
          <w:rFonts w:ascii="Helv" w:hAnsi="Helv" w:cs="Helv"/>
          <w:color w:val="000000"/>
          <w:szCs w:val="20"/>
          <w:lang w:eastAsia="en-AU"/>
        </w:rPr>
        <w:t xml:space="preserve">the new unit has allowed around 70 mothers to access withdrawal services. </w:t>
      </w:r>
      <w:r w:rsidRPr="00F63571">
        <w:t>The unit also strengthens parenting skills and aims to reduce risk to children.</w:t>
      </w:r>
    </w:p>
    <w:p w:rsidR="00AA035A" w:rsidRDefault="0092299C" w:rsidP="0092299C">
      <w:pPr>
        <w:pStyle w:val="Heading4"/>
      </w:pPr>
      <w:r w:rsidRPr="00F63571">
        <w:lastRenderedPageBreak/>
        <w:t>Sexual health and viral hepatitis</w:t>
      </w:r>
    </w:p>
    <w:p w:rsidR="0092299C" w:rsidRDefault="0092299C" w:rsidP="0092299C">
      <w:pPr>
        <w:pStyle w:val="ARbody"/>
        <w:rPr>
          <w:lang w:eastAsia="en-AU"/>
        </w:rPr>
      </w:pPr>
      <w:r>
        <w:t>In 2016</w:t>
      </w:r>
      <w:r w:rsidRPr="00F63571">
        <w:t>–1</w:t>
      </w:r>
      <w:r>
        <w:t>7, t</w:t>
      </w:r>
      <w:r w:rsidRPr="00F63571">
        <w:t xml:space="preserve">he </w:t>
      </w:r>
      <w:r w:rsidRPr="00DD1857">
        <w:rPr>
          <w:lang w:eastAsia="en-AU"/>
        </w:rPr>
        <w:t xml:space="preserve">department released a </w:t>
      </w:r>
      <w:r>
        <w:rPr>
          <w:lang w:eastAsia="en-AU"/>
        </w:rPr>
        <w:t xml:space="preserve">number </w:t>
      </w:r>
      <w:r w:rsidR="00504041">
        <w:rPr>
          <w:lang w:eastAsia="en-AU"/>
        </w:rPr>
        <w:br/>
      </w:r>
      <w:r>
        <w:rPr>
          <w:lang w:eastAsia="en-AU"/>
        </w:rPr>
        <w:t>of</w:t>
      </w:r>
      <w:r w:rsidRPr="00DD1857">
        <w:rPr>
          <w:lang w:eastAsia="en-AU"/>
        </w:rPr>
        <w:t xml:space="preserve"> blood-borne virus strategies and a sexually transmissible infections (STI) work plan to improve prevention, testing and treatment, </w:t>
      </w:r>
      <w:r>
        <w:rPr>
          <w:lang w:eastAsia="en-AU"/>
        </w:rPr>
        <w:t xml:space="preserve">with the goal of </w:t>
      </w:r>
      <w:r w:rsidRPr="00DD1857">
        <w:rPr>
          <w:lang w:eastAsia="en-AU"/>
        </w:rPr>
        <w:t>eliminat</w:t>
      </w:r>
      <w:r>
        <w:rPr>
          <w:lang w:eastAsia="en-AU"/>
        </w:rPr>
        <w:t>ing the</w:t>
      </w:r>
      <w:r w:rsidRPr="00DD1857">
        <w:rPr>
          <w:lang w:eastAsia="en-AU"/>
        </w:rPr>
        <w:t xml:space="preserve"> stigma and discrimination </w:t>
      </w:r>
      <w:r>
        <w:rPr>
          <w:lang w:eastAsia="en-AU"/>
        </w:rPr>
        <w:t>associated with</w:t>
      </w:r>
      <w:r w:rsidRPr="00DD1857">
        <w:rPr>
          <w:lang w:eastAsia="en-AU"/>
        </w:rPr>
        <w:t xml:space="preserve"> people with HIV, hepatitis B, hepatitis C and STI.</w:t>
      </w:r>
    </w:p>
    <w:p w:rsidR="0092299C" w:rsidRDefault="0092299C" w:rsidP="0092299C">
      <w:pPr>
        <w:pStyle w:val="ARbody"/>
        <w:rPr>
          <w:lang w:eastAsia="en-AU"/>
        </w:rPr>
      </w:pPr>
      <w:r>
        <w:rPr>
          <w:lang w:eastAsia="en-AU"/>
        </w:rPr>
        <w:t>This includes:</w:t>
      </w:r>
    </w:p>
    <w:p w:rsidR="0092299C" w:rsidRPr="00006BE2" w:rsidRDefault="0092299C" w:rsidP="0092299C">
      <w:pPr>
        <w:pStyle w:val="ARbullet1"/>
      </w:pPr>
      <w:r w:rsidRPr="00E22B48">
        <w:rPr>
          <w:i/>
        </w:rPr>
        <w:t>Victorian HIV strategy 2017–20</w:t>
      </w:r>
      <w:r>
        <w:t xml:space="preserve"> –</w:t>
      </w:r>
      <w:r w:rsidRPr="00006BE2">
        <w:t xml:space="preserve"> developed express Test and Go and HIV prevention clinics</w:t>
      </w:r>
      <w:r>
        <w:t>,</w:t>
      </w:r>
      <w:r w:rsidRPr="00006BE2">
        <w:t xml:space="preserve"> and expanded access to HIV pre-exposure prophylaxis </w:t>
      </w:r>
      <w:r>
        <w:t>(</w:t>
      </w:r>
      <w:proofErr w:type="spellStart"/>
      <w:r w:rsidRPr="00006BE2">
        <w:t>PrEP</w:t>
      </w:r>
      <w:proofErr w:type="spellEnd"/>
      <w:r>
        <w:t>)</w:t>
      </w:r>
      <w:r w:rsidRPr="00006BE2">
        <w:t xml:space="preserve"> t</w:t>
      </w:r>
      <w:r>
        <w:t>o rural and regional Victorians</w:t>
      </w:r>
    </w:p>
    <w:p w:rsidR="0092299C" w:rsidRPr="00006BE2" w:rsidRDefault="0092299C" w:rsidP="0092299C">
      <w:pPr>
        <w:pStyle w:val="ARbullet1"/>
      </w:pPr>
      <w:r w:rsidRPr="00E22B48">
        <w:rPr>
          <w:i/>
        </w:rPr>
        <w:t>Victorian hepatitis B strategy 2016</w:t>
      </w:r>
      <w:r>
        <w:rPr>
          <w:i/>
        </w:rPr>
        <w:t>–</w:t>
      </w:r>
      <w:r w:rsidRPr="00E22B48">
        <w:rPr>
          <w:i/>
        </w:rPr>
        <w:t>20</w:t>
      </w:r>
      <w:r>
        <w:t xml:space="preserve"> –</w:t>
      </w:r>
      <w:r w:rsidRPr="00006BE2">
        <w:t xml:space="preserve"> expan</w:t>
      </w:r>
      <w:r>
        <w:t>ded</w:t>
      </w:r>
      <w:r w:rsidRPr="00006BE2">
        <w:t xml:space="preserve"> the adult vaccination program to include Aboriginal Victorians and people from high</w:t>
      </w:r>
      <w:r>
        <w:t>-</w:t>
      </w:r>
      <w:r w:rsidRPr="00006BE2">
        <w:t>prevalence countries</w:t>
      </w:r>
      <w:r>
        <w:t xml:space="preserve">, and </w:t>
      </w:r>
      <w:r w:rsidRPr="00006BE2">
        <w:t xml:space="preserve">established the Victorian HIV and Hepatitis Integrated Training </w:t>
      </w:r>
      <w:r>
        <w:t>and Learning program</w:t>
      </w:r>
    </w:p>
    <w:p w:rsidR="0092299C" w:rsidRDefault="0092299C" w:rsidP="006F1F77">
      <w:pPr>
        <w:pStyle w:val="ARbullet1"/>
        <w:rPr>
          <w:lang w:eastAsia="en-AU"/>
        </w:rPr>
      </w:pPr>
      <w:r>
        <w:rPr>
          <w:i/>
          <w:iCs/>
          <w:lang w:eastAsia="en-AU"/>
        </w:rPr>
        <w:t>Victorian hepatitis C strategy 2016</w:t>
      </w:r>
      <w:r>
        <w:t>–</w:t>
      </w:r>
      <w:r>
        <w:rPr>
          <w:i/>
          <w:iCs/>
          <w:lang w:eastAsia="en-AU"/>
        </w:rPr>
        <w:t xml:space="preserve">20 – </w:t>
      </w:r>
      <w:r>
        <w:rPr>
          <w:lang w:eastAsia="en-AU"/>
        </w:rPr>
        <w:t>accelerated efforts towards the elimination of hepatitis C, and supported the rollout of the new hepatitis C 'cure' treatments through primary and community care, as well as building specific and local hepatitis C clinical pathways for general practitioners in each Primary Health Network.</w:t>
      </w:r>
    </w:p>
    <w:p w:rsidR="0092299C" w:rsidRPr="00DD1857" w:rsidRDefault="0092299C" w:rsidP="006F1F77">
      <w:pPr>
        <w:pStyle w:val="ARbodyafterbullets"/>
        <w:rPr>
          <w:lang w:eastAsia="en-AU"/>
        </w:rPr>
      </w:pPr>
      <w:r w:rsidRPr="00DD1857">
        <w:rPr>
          <w:lang w:eastAsia="en-AU"/>
        </w:rPr>
        <w:t xml:space="preserve">The department also provided $1.5 million in funding for a research study called </w:t>
      </w:r>
      <w:proofErr w:type="spellStart"/>
      <w:r w:rsidRPr="00DD1857">
        <w:rPr>
          <w:lang w:eastAsia="en-AU"/>
        </w:rPr>
        <w:t>PrEPX</w:t>
      </w:r>
      <w:proofErr w:type="spellEnd"/>
      <w:r w:rsidRPr="00DD1857">
        <w:rPr>
          <w:lang w:eastAsia="en-AU"/>
        </w:rPr>
        <w:t xml:space="preserve">, </w:t>
      </w:r>
      <w:r>
        <w:rPr>
          <w:lang w:eastAsia="en-AU"/>
        </w:rPr>
        <w:t>which</w:t>
      </w:r>
      <w:r w:rsidRPr="00DD1857">
        <w:rPr>
          <w:lang w:eastAsia="en-AU"/>
        </w:rPr>
        <w:t xml:space="preserve"> will provide access </w:t>
      </w:r>
      <w:r>
        <w:rPr>
          <w:lang w:eastAsia="en-AU"/>
        </w:rPr>
        <w:t xml:space="preserve">to </w:t>
      </w:r>
      <w:proofErr w:type="spellStart"/>
      <w:r w:rsidRPr="00DD1857">
        <w:rPr>
          <w:lang w:eastAsia="en-AU"/>
        </w:rPr>
        <w:t>PrEP</w:t>
      </w:r>
      <w:proofErr w:type="spellEnd"/>
      <w:r w:rsidRPr="00DD1857">
        <w:rPr>
          <w:lang w:eastAsia="en-AU"/>
        </w:rPr>
        <w:t xml:space="preserve"> to 3,800 Victorians who are at higher risk of HIV transmission. Clinical studies demonstrate that when </w:t>
      </w:r>
      <w:proofErr w:type="spellStart"/>
      <w:r w:rsidRPr="00DD1857">
        <w:rPr>
          <w:lang w:eastAsia="en-AU"/>
        </w:rPr>
        <w:t>PrEP</w:t>
      </w:r>
      <w:proofErr w:type="spellEnd"/>
      <w:r w:rsidRPr="00DD1857">
        <w:rPr>
          <w:lang w:eastAsia="en-AU"/>
        </w:rPr>
        <w:t xml:space="preserve"> is taken consistently, it is close to 99 per cent effective </w:t>
      </w:r>
      <w:r w:rsidR="00504041">
        <w:rPr>
          <w:lang w:eastAsia="en-AU"/>
        </w:rPr>
        <w:br/>
      </w:r>
      <w:r w:rsidRPr="00DD1857">
        <w:rPr>
          <w:lang w:eastAsia="en-AU"/>
        </w:rPr>
        <w:t>at preventing HIV.</w:t>
      </w:r>
    </w:p>
    <w:p w:rsidR="0092299C" w:rsidRPr="00F63571" w:rsidRDefault="0092299C" w:rsidP="0092299C">
      <w:pPr>
        <w:pStyle w:val="Heading4"/>
      </w:pPr>
      <w:r w:rsidRPr="00F63571">
        <w:t>Immunisation</w:t>
      </w:r>
    </w:p>
    <w:p w:rsidR="0092299C" w:rsidRPr="00F63571" w:rsidRDefault="0092299C" w:rsidP="0092299C">
      <w:pPr>
        <w:pStyle w:val="ARbody"/>
      </w:pPr>
      <w:r w:rsidRPr="00F63571">
        <w:t xml:space="preserve">The whooping cough vaccine program, reintroduced in June 2015, has provided </w:t>
      </w:r>
      <w:r>
        <w:t>more than</w:t>
      </w:r>
      <w:r w:rsidRPr="00F63571">
        <w:t xml:space="preserve"> 248,000 doses of vaccine to expectant mothers and partners, and raised awareness of the program with their extended families. Monash Health Network has been funded to examine the effectiveness of the different models of program delivery for o</w:t>
      </w:r>
      <w:r>
        <w:t>ngoing support for the program.</w:t>
      </w:r>
    </w:p>
    <w:p w:rsidR="0092299C" w:rsidRPr="00F63571" w:rsidRDefault="0092299C" w:rsidP="0092299C">
      <w:pPr>
        <w:pStyle w:val="ARbody"/>
      </w:pPr>
      <w:r>
        <w:t>In 2016</w:t>
      </w:r>
      <w:r w:rsidRPr="00F63571">
        <w:t>–1</w:t>
      </w:r>
      <w:r>
        <w:t xml:space="preserve">7, </w:t>
      </w:r>
      <w:r w:rsidRPr="00F63571">
        <w:t>615 Victorian pharmacists have attended training and been authorised to vaccinate, with 246 pharmacies now registered with the department to receive funded vaccines.</w:t>
      </w:r>
    </w:p>
    <w:p w:rsidR="0092299C" w:rsidRPr="00F63571" w:rsidRDefault="0092299C" w:rsidP="0092299C">
      <w:pPr>
        <w:pStyle w:val="ARbody"/>
      </w:pPr>
      <w:r>
        <w:t>In 2016</w:t>
      </w:r>
      <w:r w:rsidRPr="00F63571">
        <w:t>–1</w:t>
      </w:r>
      <w:r>
        <w:t>7, t</w:t>
      </w:r>
      <w:r w:rsidRPr="00F63571">
        <w:t>he immunisa</w:t>
      </w:r>
      <w:r>
        <w:t>tion program has also provided:</w:t>
      </w:r>
    </w:p>
    <w:p w:rsidR="0092299C" w:rsidRPr="00F63571" w:rsidRDefault="0092299C" w:rsidP="0092299C">
      <w:pPr>
        <w:pStyle w:val="ARbullet1"/>
      </w:pPr>
      <w:r w:rsidRPr="00F63571">
        <w:lastRenderedPageBreak/>
        <w:t>220,000 doses of shingles vaccine for the older persons shingles vaccination program</w:t>
      </w:r>
    </w:p>
    <w:p w:rsidR="0092299C" w:rsidRPr="00F63571" w:rsidRDefault="0092299C" w:rsidP="0092299C">
      <w:pPr>
        <w:pStyle w:val="ARbullet1"/>
      </w:pPr>
      <w:r w:rsidRPr="00F63571">
        <w:t xml:space="preserve">52,000 doses of meningococcal W adolescent vaccination for young people aged between </w:t>
      </w:r>
      <w:r>
        <w:t>15 </w:t>
      </w:r>
      <w:r w:rsidRPr="00F63571">
        <w:t>and 19 years of age</w:t>
      </w:r>
    </w:p>
    <w:p w:rsidR="0092299C" w:rsidRPr="00F63571" w:rsidRDefault="0092299C" w:rsidP="0092299C">
      <w:pPr>
        <w:pStyle w:val="ARbullet1"/>
      </w:pPr>
      <w:r w:rsidRPr="00F63571">
        <w:t>1</w:t>
      </w:r>
      <w:r>
        <w:t>.1 million doses of influenza vaccine</w:t>
      </w:r>
      <w:r w:rsidRPr="00F63571">
        <w:t xml:space="preserve"> </w:t>
      </w:r>
      <w:r>
        <w:t>and</w:t>
      </w:r>
      <w:r w:rsidRPr="00F63571">
        <w:t xml:space="preserve"> 116,000 doses of influenza vaccine doses for healthcare workers</w:t>
      </w:r>
    </w:p>
    <w:p w:rsidR="0092299C" w:rsidRPr="00F63571" w:rsidRDefault="0092299C" w:rsidP="0092299C">
      <w:pPr>
        <w:pStyle w:val="ARbullet1"/>
      </w:pPr>
      <w:r w:rsidRPr="00F63571">
        <w:t>the highest coverage rates ever, with 94.04 per cent of children at primary school age now fully vaccinated, and vaccination coverage rates for Aboriginal children at the same age at an all-time high of 93.37 per cent.</w:t>
      </w:r>
    </w:p>
    <w:p w:rsidR="0092299C" w:rsidRPr="00F63571" w:rsidRDefault="0092299C" w:rsidP="0092299C">
      <w:pPr>
        <w:pStyle w:val="Heading4"/>
      </w:pPr>
      <w:r>
        <w:t>Communicable diseases</w:t>
      </w:r>
    </w:p>
    <w:p w:rsidR="0092299C" w:rsidRPr="00F63571" w:rsidRDefault="0092299C" w:rsidP="0092299C">
      <w:pPr>
        <w:pStyle w:val="ARbody"/>
      </w:pPr>
      <w:r w:rsidRPr="00F63571">
        <w:t xml:space="preserve">In 2016–17, the </w:t>
      </w:r>
      <w:r>
        <w:t>department</w:t>
      </w:r>
      <w:r w:rsidRPr="00F63571">
        <w:t xml:space="preserve"> responded to 1,017 outbreaks of communicable disease. </w:t>
      </w:r>
      <w:r w:rsidR="00504041">
        <w:br/>
      </w:r>
      <w:r w:rsidRPr="00F63571">
        <w:t xml:space="preserve">In addition, there were 3,271 urgent disease notifications that required immediate action, and 67,866 other confirmed and </w:t>
      </w:r>
      <w:r>
        <w:t>probable disease notifications.</w:t>
      </w:r>
    </w:p>
    <w:p w:rsidR="0092299C" w:rsidRPr="00F63571" w:rsidRDefault="0092299C" w:rsidP="0092299C">
      <w:pPr>
        <w:pStyle w:val="ARbody"/>
      </w:pPr>
      <w:r w:rsidRPr="00F63571">
        <w:t xml:space="preserve">The </w:t>
      </w:r>
      <w:r>
        <w:t>department</w:t>
      </w:r>
      <w:r w:rsidRPr="00F63571">
        <w:t xml:space="preserve"> also </w:t>
      </w:r>
      <w:r w:rsidRPr="00DD1857">
        <w:t>respon</w:t>
      </w:r>
      <w:r w:rsidRPr="00F63571">
        <w:t>d</w:t>
      </w:r>
      <w:r w:rsidRPr="00DD1857">
        <w:t>e</w:t>
      </w:r>
      <w:r w:rsidRPr="00F63571">
        <w:t>d to the threat of mosquito-borne disease after the 2016 floods in north-western Victoria. This was the largest recorded outbreak of Ross River virus. There were 1,948 cases of confirmed, probable and suspected Ross River virus notified in Victoria between 1 January and 1 May 2017, compared with 119 ca</w:t>
      </w:r>
      <w:r>
        <w:t>ses in the same period in 2016.</w:t>
      </w:r>
    </w:p>
    <w:p w:rsidR="0092299C" w:rsidRPr="00F63571" w:rsidRDefault="0092299C" w:rsidP="0092299C">
      <w:pPr>
        <w:pStyle w:val="Heading4"/>
      </w:pPr>
      <w:r>
        <w:t>Emergency response</w:t>
      </w:r>
    </w:p>
    <w:p w:rsidR="0092299C" w:rsidRPr="00F63571" w:rsidRDefault="0092299C" w:rsidP="0092299C">
      <w:pPr>
        <w:pStyle w:val="ARbody"/>
        <w:keepNext/>
        <w:keepLines/>
      </w:pPr>
      <w:r w:rsidRPr="00F63571">
        <w:t>During 2016–17, the department supported Victorians affected by a range of incidents and emergencies including significant floods and storms, the Bourke Street tragedy</w:t>
      </w:r>
      <w:r>
        <w:t>,</w:t>
      </w:r>
      <w:r w:rsidRPr="00F63571">
        <w:t xml:space="preserve"> and a thunderstorm asthma event.</w:t>
      </w:r>
    </w:p>
    <w:p w:rsidR="0092299C" w:rsidRPr="00F63571" w:rsidRDefault="0092299C" w:rsidP="0092299C">
      <w:pPr>
        <w:pStyle w:val="ARbody"/>
      </w:pPr>
      <w:r w:rsidRPr="00F63571">
        <w:t>To underpin this activity, the department conducts exercises and training to ensure there are enough people within the department, the health sector</w:t>
      </w:r>
      <w:r>
        <w:t>,</w:t>
      </w:r>
      <w:r w:rsidRPr="00F63571">
        <w:t xml:space="preserve"> and the community trained in emergency management. More than 1,900 participants were involved in exercises and training during 2016–17.</w:t>
      </w:r>
    </w:p>
    <w:p w:rsidR="0092299C" w:rsidRPr="00F63571" w:rsidRDefault="0092299C" w:rsidP="0092299C">
      <w:pPr>
        <w:pStyle w:val="Heading4"/>
      </w:pPr>
      <w:r w:rsidRPr="00F63571">
        <w:t>Environmental health</w:t>
      </w:r>
    </w:p>
    <w:p w:rsidR="0092299C" w:rsidRPr="00F63571" w:rsidRDefault="0092299C" w:rsidP="0092299C">
      <w:pPr>
        <w:pStyle w:val="ARbody"/>
      </w:pPr>
      <w:r w:rsidRPr="00F63571">
        <w:t>The 2016 Independent Inquiry into the Environment Protection Authority recommended that an enhanced and consolidated environmental health capability for Victoria be established within the Environment Protection Authority (EPA). In response, the department transferred public health functions related to pollution and was</w:t>
      </w:r>
      <w:r>
        <w:t>te to the EPA in December 2016.</w:t>
      </w:r>
    </w:p>
    <w:p w:rsidR="0092299C" w:rsidRPr="00F63571" w:rsidRDefault="0092299C" w:rsidP="0092299C">
      <w:pPr>
        <w:pStyle w:val="ARbody"/>
      </w:pPr>
      <w:r w:rsidRPr="00F63571">
        <w:lastRenderedPageBreak/>
        <w:t xml:space="preserve">The EPA is continuing to enhance its environmental public health capability for pollution and waste, and the department is continuing to focus on health </w:t>
      </w:r>
      <w:r w:rsidRPr="00112BB9">
        <w:rPr>
          <w:spacing w:val="-2"/>
        </w:rPr>
        <w:t>protection policy and public health risk management</w:t>
      </w:r>
      <w:r w:rsidRPr="00F63571">
        <w:t xml:space="preserve"> for environmental health in Victoria.</w:t>
      </w:r>
    </w:p>
    <w:p w:rsidR="00AA035A" w:rsidRDefault="0092299C" w:rsidP="0092299C">
      <w:pPr>
        <w:pStyle w:val="Heading4"/>
      </w:pPr>
      <w:r w:rsidRPr="00F63571">
        <w:rPr>
          <w:rFonts w:eastAsia="Calibri"/>
        </w:rPr>
        <w:t>R</w:t>
      </w:r>
      <w:r w:rsidRPr="00F63571">
        <w:t>adiation</w:t>
      </w:r>
    </w:p>
    <w:p w:rsidR="0092299C" w:rsidRDefault="0092299C" w:rsidP="0092299C">
      <w:pPr>
        <w:pStyle w:val="ARbody"/>
      </w:pPr>
      <w:r w:rsidRPr="00F63571">
        <w:t xml:space="preserve">Enforcement activities continued in relation to a ban on commercial tanning practices, which came into effect on 1 January 2015. </w:t>
      </w:r>
      <w:r w:rsidRPr="006E3287">
        <w:t>During 2016–17</w:t>
      </w:r>
      <w:r w:rsidRPr="00F63571">
        <w:t xml:space="preserve">, 11 search warrants were executed, resulting in nine </w:t>
      </w:r>
      <w:r>
        <w:t>tanning units being seized.</w:t>
      </w:r>
    </w:p>
    <w:p w:rsidR="0092299C" w:rsidRPr="00F63571" w:rsidRDefault="0092299C" w:rsidP="0092299C">
      <w:pPr>
        <w:pStyle w:val="ARbody"/>
      </w:pPr>
      <w:r w:rsidRPr="00F63571">
        <w:t>In addition, the department succe</w:t>
      </w:r>
      <w:r>
        <w:t>ssfully prosecuted two matters.</w:t>
      </w:r>
    </w:p>
    <w:p w:rsidR="0092299C" w:rsidRPr="00F63571" w:rsidRDefault="0092299C" w:rsidP="0092299C">
      <w:pPr>
        <w:pStyle w:val="Heading4"/>
      </w:pPr>
      <w:r w:rsidRPr="00F63571">
        <w:t>Victoria’s health and medical research strategy</w:t>
      </w:r>
    </w:p>
    <w:p w:rsidR="0092299C" w:rsidRPr="00F63571" w:rsidRDefault="0092299C" w:rsidP="0092299C">
      <w:pPr>
        <w:pStyle w:val="ARbody"/>
      </w:pPr>
      <w:r w:rsidRPr="00F63571">
        <w:rPr>
          <w:i/>
        </w:rPr>
        <w:t>Victoria’s health and medical research strategy 2016–20</w:t>
      </w:r>
      <w:r w:rsidRPr="00F63571">
        <w:t xml:space="preserve"> was launched in July 2016</w:t>
      </w:r>
      <w:r>
        <w:t xml:space="preserve"> and f</w:t>
      </w:r>
      <w:r w:rsidRPr="00F63571">
        <w:t xml:space="preserve">unding of $19.8 million over four years (with $5.124 million ongoing) </w:t>
      </w:r>
      <w:r>
        <w:t>has been</w:t>
      </w:r>
      <w:r w:rsidRPr="00F63571">
        <w:t> allocated to the following initiatives to support world-leading health and medical research capability:</w:t>
      </w:r>
    </w:p>
    <w:p w:rsidR="00AA035A" w:rsidRDefault="0092299C" w:rsidP="0092299C">
      <w:pPr>
        <w:pStyle w:val="ARbullet1"/>
      </w:pPr>
      <w:r w:rsidRPr="00F63571">
        <w:t>Medical Research Acceleration Fund – this $12 million fund support</w:t>
      </w:r>
      <w:r>
        <w:t>s</w:t>
      </w:r>
      <w:r w:rsidRPr="00F63571">
        <w:t xml:space="preserve"> and reward</w:t>
      </w:r>
      <w:r>
        <w:t>s</w:t>
      </w:r>
      <w:r w:rsidRPr="00F63571">
        <w:t xml:space="preserve"> a diversified base of income for Victorian research organisations</w:t>
      </w:r>
    </w:p>
    <w:p w:rsidR="0092299C" w:rsidRPr="00F63571" w:rsidRDefault="0092299C" w:rsidP="0092299C">
      <w:pPr>
        <w:pStyle w:val="ARbullet1"/>
      </w:pPr>
      <w:r w:rsidRPr="00F63571">
        <w:t>coordination of clinical trials –</w:t>
      </w:r>
      <w:r>
        <w:t xml:space="preserve"> </w:t>
      </w:r>
      <w:r w:rsidRPr="00F63571">
        <w:t xml:space="preserve">$1.3 million a year </w:t>
      </w:r>
      <w:r>
        <w:t>to</w:t>
      </w:r>
      <w:r w:rsidRPr="00F63571">
        <w:t xml:space="preserve"> support the Streamlining Clinical Tria</w:t>
      </w:r>
      <w:r>
        <w:t>ls Research program within the department</w:t>
      </w:r>
    </w:p>
    <w:p w:rsidR="00AA035A" w:rsidRDefault="0092299C" w:rsidP="006F1F77">
      <w:pPr>
        <w:pStyle w:val="ARbullet1"/>
      </w:pPr>
      <w:r w:rsidRPr="00F63571">
        <w:t>postdoctoral research fellowships – this program</w:t>
      </w:r>
      <w:r>
        <w:t xml:space="preserve"> </w:t>
      </w:r>
      <w:r w:rsidRPr="00F63571">
        <w:t>provide</w:t>
      </w:r>
      <w:r>
        <w:t>s</w:t>
      </w:r>
      <w:r w:rsidRPr="00F63571">
        <w:t xml:space="preserve"> $600,000 a year to fund fellowships in targeted areas including bioinformatics, health services research</w:t>
      </w:r>
      <w:r>
        <w:t>,</w:t>
      </w:r>
      <w:r w:rsidRPr="00F63571">
        <w:t xml:space="preserve"> and genomics.</w:t>
      </w:r>
    </w:p>
    <w:p w:rsidR="0092299C" w:rsidRPr="00F63571" w:rsidRDefault="0092299C" w:rsidP="006F1F77">
      <w:pPr>
        <w:pStyle w:val="ARbodyafterbullets"/>
      </w:pPr>
      <w:r w:rsidRPr="00F63571">
        <w:t xml:space="preserve">The </w:t>
      </w:r>
      <w:r>
        <w:t>d</w:t>
      </w:r>
      <w:r w:rsidRPr="00F63571">
        <w:t>epartment also allocated $26.1 million in operational infrastructure support grants to 10</w:t>
      </w:r>
      <w:r>
        <w:t> </w:t>
      </w:r>
      <w:r w:rsidRPr="00F63571">
        <w:t>Victorian medical research institutes. This funding supported laboratories to run their facilities and equipment, so they can learn more about diseases, develop new and better diagnostic tools, and advance treatments and cures.</w:t>
      </w:r>
    </w:p>
    <w:p w:rsidR="0092299C" w:rsidRDefault="0092299C" w:rsidP="0092299C">
      <w:pPr>
        <w:pStyle w:val="ARbody"/>
      </w:pPr>
      <w:r w:rsidRPr="00F63571">
        <w:t>The funding for health and medical research is complemented by the state’s translational cancer research program. The Victorian Cancer Agency, established by the Victorian Government in 2006, has recurrent funding of up to $14.9 million to support research infrastructure programs, workforce and collaborative programs.</w:t>
      </w:r>
    </w:p>
    <w:tbl>
      <w:tblPr>
        <w:tblW w:w="4593"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593"/>
      </w:tblGrid>
      <w:tr w:rsidR="0092299C" w:rsidRPr="00F63571" w:rsidTr="0092299C">
        <w:tc>
          <w:tcPr>
            <w:tcW w:w="4593" w:type="dxa"/>
            <w:tcBorders>
              <w:top w:val="single" w:sz="4" w:space="0" w:color="004C97"/>
              <w:left w:val="single" w:sz="4" w:space="0" w:color="004C97"/>
              <w:bottom w:val="single" w:sz="4" w:space="0" w:color="004C97"/>
              <w:right w:val="single" w:sz="4" w:space="0" w:color="004C97"/>
            </w:tcBorders>
            <w:shd w:val="clear" w:color="auto" w:fill="auto"/>
          </w:tcPr>
          <w:p w:rsidR="00AA035A" w:rsidRDefault="0092299C" w:rsidP="0092299C">
            <w:pPr>
              <w:pStyle w:val="ARcasestudysubhead"/>
              <w:rPr>
                <w:lang w:val="en-AU" w:eastAsia="en-AU"/>
              </w:rPr>
            </w:pPr>
            <w:r w:rsidRPr="00F63571">
              <w:rPr>
                <w:lang w:val="en-AU" w:eastAsia="en-AU"/>
              </w:rPr>
              <w:lastRenderedPageBreak/>
              <w:t>Peter Mac</w:t>
            </w:r>
          </w:p>
          <w:p w:rsidR="0092299C" w:rsidRPr="00F63571" w:rsidRDefault="0092299C" w:rsidP="0092299C">
            <w:pPr>
              <w:pStyle w:val="ARcasestudytext"/>
            </w:pPr>
            <w:r w:rsidRPr="00F63571">
              <w:t xml:space="preserve">The Peter </w:t>
            </w:r>
            <w:proofErr w:type="spellStart"/>
            <w:r w:rsidRPr="00F63571">
              <w:t>MacCallum</w:t>
            </w:r>
            <w:proofErr w:type="spellEnd"/>
            <w:r w:rsidRPr="00F63571">
              <w:t xml:space="preserve"> Cancer Centre is developing cutting-edge melanoma treatments to improve outcomes for patients, including people who have exhausted other treatment options. Peter, from Gippsland, is being treated at Peter Mac on a clinical trial of a new combination cancer treatment for advanced stage melanoma. This treatment has seen his cancer almost disappear. Two years after being given three to 12 months to live, he is now looking forward to getting back home so he can care for his wife. </w:t>
            </w:r>
          </w:p>
        </w:tc>
      </w:tr>
    </w:tbl>
    <w:p w:rsidR="0092299C" w:rsidRPr="00F63571" w:rsidRDefault="0092299C" w:rsidP="0092299C">
      <w:pPr>
        <w:pStyle w:val="Heading4"/>
      </w:pPr>
      <w:r w:rsidRPr="00F63571">
        <w:t>Ageing</w:t>
      </w:r>
    </w:p>
    <w:p w:rsidR="0092299C" w:rsidRPr="00F63571" w:rsidRDefault="0092299C" w:rsidP="0092299C">
      <w:pPr>
        <w:pStyle w:val="Heading5"/>
        <w:spacing w:before="160"/>
      </w:pPr>
      <w:r w:rsidRPr="00F63571">
        <w:t>Seniors programs and participation</w:t>
      </w:r>
    </w:p>
    <w:p w:rsidR="0092299C" w:rsidRPr="00F63571" w:rsidRDefault="0092299C" w:rsidP="0092299C">
      <w:pPr>
        <w:pStyle w:val="ARbody"/>
      </w:pPr>
      <w:r w:rsidRPr="00F63571">
        <w:t>Over 60,000 seniors joined the Seniors Card program in 2016–17, and more than 150,000 seniors participated in the 2016 Victorian Seniors Festival</w:t>
      </w:r>
      <w:r>
        <w:t>.</w:t>
      </w:r>
    </w:p>
    <w:p w:rsidR="0092299C" w:rsidRPr="00F63571" w:rsidRDefault="0092299C" w:rsidP="0092299C">
      <w:pPr>
        <w:pStyle w:val="ARbody"/>
      </w:pPr>
      <w:r w:rsidRPr="00F63571">
        <w:t xml:space="preserve">In response to the Commissioner for Senior Victorians’ report </w:t>
      </w:r>
      <w:r w:rsidRPr="00F63571">
        <w:rPr>
          <w:i/>
        </w:rPr>
        <w:t xml:space="preserve">Ageing is everyone’s business, </w:t>
      </w:r>
      <w:r w:rsidRPr="00F63571">
        <w:t>the department funded seven projects to strengthen seniors’ inclusion and participation in local communities. This initiative addresses social isolation and loneliness of older people by funding local community organisations to build their capacity to reach out to older people and enhance their program offerings to better respond to seniors in their communities.</w:t>
      </w:r>
    </w:p>
    <w:p w:rsidR="0092299C" w:rsidRPr="00F63571" w:rsidRDefault="0092299C" w:rsidP="0092299C">
      <w:pPr>
        <w:pStyle w:val="Heading5"/>
      </w:pPr>
      <w:r w:rsidRPr="00F63571">
        <w:t>Residential aged care</w:t>
      </w:r>
    </w:p>
    <w:p w:rsidR="0092299C" w:rsidRDefault="0092299C" w:rsidP="0092299C">
      <w:pPr>
        <w:pStyle w:val="ARbody"/>
        <w:rPr>
          <w:lang w:eastAsia="en-AU"/>
        </w:rPr>
      </w:pPr>
      <w:r>
        <w:rPr>
          <w:lang w:eastAsia="en-AU"/>
        </w:rPr>
        <w:t>The department funds the provision of residential aged care services through Victorian public health services for older Victorians who need ongoing support, but cannot access appropriate care in the non-government sector.</w:t>
      </w:r>
    </w:p>
    <w:p w:rsidR="0092299C" w:rsidRDefault="0092299C" w:rsidP="0092299C">
      <w:pPr>
        <w:pStyle w:val="ARbody"/>
        <w:rPr>
          <w:lang w:eastAsia="en-AU"/>
        </w:rPr>
      </w:pPr>
      <w:r>
        <w:rPr>
          <w:lang w:eastAsia="en-AU"/>
        </w:rPr>
        <w:t>As of June 2017, there were 5,634 public sector residential aged care places in 181 facilities across the state. Approximately 86 per cent of these places are in rural and regional locations, and 491 are specialist aged people mental health places.</w:t>
      </w:r>
    </w:p>
    <w:p w:rsidR="00AA035A" w:rsidRDefault="0092299C" w:rsidP="0092299C">
      <w:pPr>
        <w:pStyle w:val="ARbody"/>
        <w:rPr>
          <w:color w:val="000000"/>
          <w:szCs w:val="20"/>
          <w:lang w:eastAsia="en-AU"/>
        </w:rPr>
      </w:pPr>
      <w:r>
        <w:rPr>
          <w:color w:val="000000"/>
          <w:szCs w:val="20"/>
          <w:lang w:eastAsia="en-AU"/>
        </w:rPr>
        <w:t>In 2016–17, 2,026,893 bed days were delivered across all output groups: residential aged care, small rural services aged care, and mental health clinical outputs.</w:t>
      </w:r>
    </w:p>
    <w:p w:rsidR="0092299C" w:rsidRDefault="0092299C" w:rsidP="007A6AEC">
      <w:pPr>
        <w:pStyle w:val="ARbody"/>
        <w:sectPr w:rsidR="0092299C" w:rsidSect="004056C0">
          <w:endnotePr>
            <w:numFmt w:val="decimal"/>
          </w:endnotePr>
          <w:type w:val="continuous"/>
          <w:pgSz w:w="11900" w:h="16840" w:code="9"/>
          <w:pgMar w:top="1531" w:right="851" w:bottom="680" w:left="1418" w:header="510" w:footer="340" w:gutter="0"/>
          <w:cols w:num="2" w:space="454"/>
        </w:sectPr>
      </w:pPr>
    </w:p>
    <w:p w:rsidR="0092299C" w:rsidRPr="002734D8" w:rsidRDefault="0092299C" w:rsidP="00BD6C59">
      <w:pPr>
        <w:pStyle w:val="Heading5"/>
        <w:spacing w:before="0"/>
      </w:pPr>
      <w:r w:rsidRPr="002734D8">
        <w:lastRenderedPageBreak/>
        <w:t>Aged care assessments</w:t>
      </w:r>
    </w:p>
    <w:p w:rsidR="0092299C" w:rsidRDefault="0092299C" w:rsidP="0092299C">
      <w:pPr>
        <w:pStyle w:val="ARbody"/>
      </w:pPr>
      <w:r w:rsidRPr="00465660">
        <w:t>Aged care assessments provide care plans and referrals to services, helping to avoid the need for hospitalisation. Approval by an Aged Care Assessment Service is mandatory before a person can access Commonwealth-funded</w:t>
      </w:r>
      <w:r>
        <w:t xml:space="preserve"> residential aged care service.</w:t>
      </w:r>
    </w:p>
    <w:p w:rsidR="0092299C" w:rsidRPr="00465660" w:rsidRDefault="0092299C" w:rsidP="0092299C">
      <w:pPr>
        <w:pStyle w:val="ARbody"/>
        <w:rPr>
          <w:rFonts w:asciiTheme="minorHAnsi" w:hAnsiTheme="minorHAnsi" w:cstheme="minorBidi"/>
          <w:sz w:val="22"/>
          <w:szCs w:val="22"/>
        </w:rPr>
      </w:pPr>
      <w:r w:rsidRPr="00465660">
        <w:t>In 2016</w:t>
      </w:r>
      <w:r>
        <w:t>–</w:t>
      </w:r>
      <w:r w:rsidRPr="00465660">
        <w:t xml:space="preserve">17, </w:t>
      </w:r>
      <w:r>
        <w:t>over 48,500</w:t>
      </w:r>
      <w:r w:rsidRPr="00465660">
        <w:t xml:space="preserve"> Victorians received aged care assessments with around 87 per cent of community</w:t>
      </w:r>
      <w:r>
        <w:t>-</w:t>
      </w:r>
      <w:r w:rsidRPr="00465660">
        <w:t xml:space="preserve">based assessments, and 90 per cent of hospital assessments, delivered within specified timeliness benchmarks </w:t>
      </w:r>
      <w:r>
        <w:t>–</w:t>
      </w:r>
      <w:r w:rsidRPr="00465660">
        <w:t xml:space="preserve"> a level of performance exceeding Commonwealth targets for both.</w:t>
      </w:r>
    </w:p>
    <w:p w:rsidR="0092299C" w:rsidRPr="002734D8" w:rsidRDefault="0092299C" w:rsidP="007A6AEC">
      <w:pPr>
        <w:pStyle w:val="Heading5"/>
      </w:pPr>
      <w:r w:rsidRPr="002734D8">
        <w:t>Supported accommodation for vulnerable Victorians</w:t>
      </w:r>
    </w:p>
    <w:p w:rsidR="0092299C" w:rsidRDefault="0092299C" w:rsidP="0092299C">
      <w:pPr>
        <w:pStyle w:val="ARbody"/>
        <w:rPr>
          <w:lang w:eastAsia="en-AU"/>
        </w:rPr>
      </w:pPr>
      <w:r>
        <w:rPr>
          <w:lang w:eastAsia="en-AU"/>
        </w:rPr>
        <w:t>The department provides support to ensure over 1800 beds are available in assisted supported residential services for people on pensions.</w:t>
      </w:r>
    </w:p>
    <w:p w:rsidR="0092299C" w:rsidRDefault="0092299C" w:rsidP="0092299C">
      <w:pPr>
        <w:pStyle w:val="ARbody"/>
        <w:rPr>
          <w:lang w:eastAsia="en-AU"/>
        </w:rPr>
      </w:pPr>
      <w:r>
        <w:rPr>
          <w:lang w:eastAsia="en-AU"/>
        </w:rPr>
        <w:t>In 2016–17 the department focused on improving the information sharing and resident referral interface between mental health services and supported residential services. This work ensures timely support can be provided when complex behaviour risks security of tenure for the resident.</w:t>
      </w:r>
    </w:p>
    <w:p w:rsidR="0092299C" w:rsidRPr="00832567" w:rsidRDefault="0092299C" w:rsidP="0092299C">
      <w:pPr>
        <w:pStyle w:val="ARbody"/>
        <w:rPr>
          <w:rFonts w:asciiTheme="minorHAnsi" w:eastAsiaTheme="minorHAnsi" w:hAnsiTheme="minorHAnsi" w:cstheme="minorBidi"/>
          <w:sz w:val="22"/>
          <w:szCs w:val="22"/>
        </w:rPr>
      </w:pPr>
      <w:r>
        <w:rPr>
          <w:lang w:eastAsia="en-AU"/>
        </w:rPr>
        <w:t>Mandatory specialised mental health training was delivered in 52 supported residential services for 210 operators and support staff to improve service responses to vulnerable residents with complex mental health issues.</w:t>
      </w:r>
    </w:p>
    <w:p w:rsidR="0092299C" w:rsidRPr="00F63571" w:rsidRDefault="0092299C" w:rsidP="0092299C">
      <w:pPr>
        <w:pStyle w:val="Heading5"/>
        <w:spacing w:before="0"/>
      </w:pPr>
      <w:r w:rsidRPr="00F63571">
        <w:t>Elder abuse</w:t>
      </w:r>
    </w:p>
    <w:p w:rsidR="0092299C" w:rsidRDefault="0092299C" w:rsidP="001F2E2D">
      <w:pPr>
        <w:pStyle w:val="ARbody"/>
        <w:rPr>
          <w:lang w:eastAsia="en-AU"/>
        </w:rPr>
      </w:pPr>
      <w:r>
        <w:rPr>
          <w:lang w:eastAsia="en-AU"/>
        </w:rPr>
        <w:t xml:space="preserve">As one of the responses to the Royal Commission into Family Violence, $750,000 was allocated to three health services </w:t>
      </w:r>
      <w:r w:rsidR="000B6B03">
        <w:rPr>
          <w:lang w:eastAsia="en-AU"/>
        </w:rPr>
        <w:t>–</w:t>
      </w:r>
      <w:r>
        <w:rPr>
          <w:lang w:eastAsia="en-AU"/>
        </w:rPr>
        <w:t xml:space="preserve"> Melbourne Health, Monash Health, and Latrobe Community Health Service</w:t>
      </w:r>
      <w:r w:rsidR="000B6B03">
        <w:rPr>
          <w:lang w:eastAsia="en-AU"/>
        </w:rPr>
        <w:t xml:space="preserve"> –</w:t>
      </w:r>
      <w:r>
        <w:rPr>
          <w:lang w:eastAsia="en-AU"/>
        </w:rPr>
        <w:t xml:space="preserve"> for an elder abuse initiative to commence </w:t>
      </w:r>
      <w:r w:rsidR="000B6B03">
        <w:rPr>
          <w:lang w:eastAsia="en-AU"/>
        </w:rPr>
        <w:br/>
      </w:r>
      <w:r>
        <w:rPr>
          <w:lang w:eastAsia="en-AU"/>
        </w:rPr>
        <w:t>in</w:t>
      </w:r>
      <w:r w:rsidR="000B6B03">
        <w:rPr>
          <w:lang w:eastAsia="en-AU"/>
        </w:rPr>
        <w:t xml:space="preserve"> </w:t>
      </w:r>
      <w:r>
        <w:rPr>
          <w:lang w:eastAsia="en-AU"/>
        </w:rPr>
        <w:t>2016–17.</w:t>
      </w:r>
    </w:p>
    <w:p w:rsidR="0092299C" w:rsidRDefault="0092299C" w:rsidP="0092299C">
      <w:pPr>
        <w:pStyle w:val="ARbody"/>
        <w:sectPr w:rsidR="0092299C" w:rsidSect="005B621B">
          <w:endnotePr>
            <w:numFmt w:val="decimal"/>
          </w:endnotePr>
          <w:pgSz w:w="11900" w:h="16840" w:code="9"/>
          <w:pgMar w:top="1531" w:right="851" w:bottom="680" w:left="1418" w:header="510" w:footer="340" w:gutter="0"/>
          <w:cols w:num="2" w:space="454"/>
        </w:sectPr>
      </w:pPr>
      <w:r>
        <w:rPr>
          <w:rFonts w:ascii="Helv" w:hAnsi="Helv" w:cs="Helv"/>
          <w:color w:val="000000"/>
          <w:szCs w:val="20"/>
          <w:lang w:eastAsia="en-AU"/>
        </w:rPr>
        <w:t>These three health services and their community partners are progressing commissioning activities to implement the elder abuse integrated model, including workforce training to better identify and respond to suspected elder abuse, counselling and mediation services, as well as funds to appoint an elder abuse prevention and response officer.</w:t>
      </w:r>
    </w:p>
    <w:p w:rsidR="0092299C" w:rsidRPr="00636971" w:rsidRDefault="006D1E1C" w:rsidP="009D62BD">
      <w:pPr>
        <w:pStyle w:val="Heading3"/>
        <w:spacing w:before="0"/>
      </w:pPr>
      <w:r>
        <w:lastRenderedPageBreak/>
        <w:t>O</w:t>
      </w:r>
      <w:r w:rsidR="0092299C" w:rsidRPr="00636971">
        <w:t>bjective 1 indicator result</w:t>
      </w:r>
      <w:r w:rsidR="0092299C">
        <w: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43"/>
        <w:gridCol w:w="939"/>
        <w:gridCol w:w="939"/>
        <w:gridCol w:w="939"/>
        <w:gridCol w:w="879"/>
      </w:tblGrid>
      <w:tr w:rsidR="0092299C" w:rsidRPr="00636971" w:rsidTr="00BF1472">
        <w:trPr>
          <w:cantSplit/>
          <w:tblHeader/>
        </w:trPr>
        <w:tc>
          <w:tcPr>
            <w:tcW w:w="5943"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p>
        </w:tc>
        <w:tc>
          <w:tcPr>
            <w:tcW w:w="939" w:type="dxa"/>
            <w:tcBorders>
              <w:bottom w:val="single" w:sz="4" w:space="0" w:color="auto"/>
            </w:tcBorders>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2013–14</w:t>
            </w:r>
          </w:p>
        </w:tc>
        <w:tc>
          <w:tcPr>
            <w:tcW w:w="939"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2014–15</w:t>
            </w:r>
          </w:p>
        </w:tc>
        <w:tc>
          <w:tcPr>
            <w:tcW w:w="939"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2015–16</w:t>
            </w:r>
          </w:p>
        </w:tc>
        <w:tc>
          <w:tcPr>
            <w:tcW w:w="879" w:type="dxa"/>
            <w:tcBorders>
              <w:bottom w:val="single" w:sz="4" w:space="0" w:color="auto"/>
            </w:tcBorders>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w:t>
            </w:r>
            <w:r>
              <w:rPr>
                <w:rFonts w:eastAsia="Times" w:cs="Arial"/>
                <w:b/>
                <w:sz w:val="18"/>
                <w:szCs w:val="18"/>
              </w:rPr>
              <w:t>16–17</w:t>
            </w:r>
          </w:p>
        </w:tc>
      </w:tr>
      <w:tr w:rsidR="008746ED" w:rsidRPr="00636971" w:rsidTr="0010061B">
        <w:trPr>
          <w:cantSplit/>
        </w:trPr>
        <w:tc>
          <w:tcPr>
            <w:tcW w:w="9639" w:type="dxa"/>
            <w:gridSpan w:val="5"/>
            <w:tcBorders>
              <w:top w:val="single" w:sz="4" w:space="0" w:color="auto"/>
              <w:bottom w:val="single" w:sz="4" w:space="0" w:color="BFBFBF"/>
            </w:tcBorders>
          </w:tcPr>
          <w:p w:rsidR="008746ED" w:rsidRPr="00636971" w:rsidRDefault="008746ED" w:rsidP="0092299C">
            <w:pPr>
              <w:spacing w:before="80" w:after="60"/>
              <w:rPr>
                <w:rFonts w:eastAsia="Times" w:cs="Arial"/>
                <w:b/>
                <w:color w:val="004C97"/>
                <w:sz w:val="18"/>
                <w:szCs w:val="18"/>
                <w:lang w:eastAsia="en-AU"/>
              </w:rPr>
            </w:pPr>
            <w:r w:rsidRPr="00636971">
              <w:rPr>
                <w:rFonts w:eastAsia="Times" w:cs="Arial"/>
                <w:b/>
                <w:color w:val="004C97"/>
                <w:sz w:val="18"/>
                <w:szCs w:val="18"/>
                <w:lang w:eastAsia="en-AU"/>
              </w:rPr>
              <w:t xml:space="preserve">Prevalence of smoking, obesity and psychological </w:t>
            </w:r>
            <w:r w:rsidRPr="00636971">
              <w:rPr>
                <w:rFonts w:eastAsia="Times" w:cs="Arial"/>
                <w:b/>
                <w:color w:val="004C97"/>
                <w:sz w:val="18"/>
                <w:szCs w:val="18"/>
                <w:lang w:eastAsia="en-AU"/>
              </w:rPr>
              <w:br/>
              <w:t>chronic disease risk factors are reduced</w:t>
            </w:r>
          </w:p>
        </w:tc>
      </w:tr>
      <w:tr w:rsidR="0092299C" w:rsidRPr="00636971" w:rsidTr="00BF1472">
        <w:trPr>
          <w:cantSplit/>
        </w:trPr>
        <w:tc>
          <w:tcPr>
            <w:tcW w:w="5943" w:type="dxa"/>
            <w:tcBorders>
              <w:top w:val="single" w:sz="4" w:space="0" w:color="BFBFBF"/>
              <w:bottom w:val="nil"/>
            </w:tcBorders>
            <w:shd w:val="clear" w:color="auto" w:fill="auto"/>
          </w:tcPr>
          <w:p w:rsidR="0092299C" w:rsidRPr="00636971" w:rsidRDefault="0092299C" w:rsidP="0092299C">
            <w:pPr>
              <w:pStyle w:val="ARtabletext"/>
              <w:rPr>
                <w:i/>
              </w:rPr>
            </w:pPr>
            <w:r w:rsidRPr="00636971">
              <w:t>Percentage of Victorian persons aged 18 plus who are current smokers</w:t>
            </w:r>
          </w:p>
        </w:tc>
        <w:tc>
          <w:tcPr>
            <w:tcW w:w="939" w:type="dxa"/>
            <w:tcBorders>
              <w:top w:val="single" w:sz="4" w:space="0" w:color="BFBFBF"/>
              <w:bottom w:val="nil"/>
            </w:tcBorders>
          </w:tcPr>
          <w:p w:rsidR="0092299C" w:rsidRPr="00636971" w:rsidRDefault="0092299C" w:rsidP="0092299C">
            <w:pPr>
              <w:pStyle w:val="ARtabletext"/>
            </w:pPr>
            <w:r w:rsidRPr="00636971">
              <w:t>14.5%</w:t>
            </w:r>
          </w:p>
        </w:tc>
        <w:tc>
          <w:tcPr>
            <w:tcW w:w="939" w:type="dxa"/>
            <w:tcBorders>
              <w:top w:val="single" w:sz="4" w:space="0" w:color="BFBFBF"/>
              <w:bottom w:val="nil"/>
            </w:tcBorders>
            <w:shd w:val="clear" w:color="auto" w:fill="auto"/>
          </w:tcPr>
          <w:p w:rsidR="0092299C" w:rsidRPr="00636971" w:rsidRDefault="0092299C" w:rsidP="0092299C">
            <w:pPr>
              <w:pStyle w:val="ARtabletext"/>
            </w:pPr>
            <w:r w:rsidRPr="00636971">
              <w:t>13.1%</w:t>
            </w:r>
          </w:p>
        </w:tc>
        <w:tc>
          <w:tcPr>
            <w:tcW w:w="939" w:type="dxa"/>
            <w:tcBorders>
              <w:top w:val="single" w:sz="4" w:space="0" w:color="BFBFBF"/>
              <w:bottom w:val="nil"/>
            </w:tcBorders>
            <w:shd w:val="clear" w:color="auto" w:fill="auto"/>
          </w:tcPr>
          <w:p w:rsidR="0092299C" w:rsidRPr="00636971" w:rsidRDefault="0092299C" w:rsidP="0092299C">
            <w:pPr>
              <w:pStyle w:val="ARtabletext"/>
            </w:pPr>
            <w:r w:rsidRPr="00636971">
              <w:t>18.5%</w:t>
            </w:r>
          </w:p>
        </w:tc>
        <w:tc>
          <w:tcPr>
            <w:tcW w:w="879" w:type="dxa"/>
            <w:tcBorders>
              <w:top w:val="single" w:sz="4" w:space="0" w:color="BFBFBF"/>
              <w:bottom w:val="nil"/>
            </w:tcBorders>
          </w:tcPr>
          <w:p w:rsidR="0092299C" w:rsidRPr="00636971" w:rsidRDefault="0092299C" w:rsidP="0092299C">
            <w:pPr>
              <w:pStyle w:val="ARtabletext"/>
            </w:pPr>
            <w:r w:rsidRPr="00636971">
              <w:t>Not yet published</w:t>
            </w:r>
          </w:p>
        </w:tc>
      </w:tr>
      <w:tr w:rsidR="00BF1472" w:rsidRPr="00636971" w:rsidTr="00BF1472">
        <w:trPr>
          <w:cantSplit/>
          <w:trHeight w:val="1280"/>
        </w:trPr>
        <w:tc>
          <w:tcPr>
            <w:tcW w:w="9639" w:type="dxa"/>
            <w:gridSpan w:val="5"/>
            <w:tcBorders>
              <w:top w:val="nil"/>
              <w:left w:val="nil"/>
              <w:right w:val="nil"/>
            </w:tcBorders>
            <w:shd w:val="clear" w:color="auto" w:fill="auto"/>
          </w:tcPr>
          <w:p w:rsidR="00BF1472" w:rsidRPr="00636971" w:rsidRDefault="00BF1472" w:rsidP="0092299C">
            <w:pPr>
              <w:pStyle w:val="ARtablefootnote"/>
              <w:rPr>
                <w:rFonts w:eastAsia="Times" w:cs="Arial"/>
                <w:sz w:val="18"/>
                <w:szCs w:val="18"/>
                <w:lang w:eastAsia="en-AU"/>
              </w:rPr>
            </w:pPr>
            <w:r w:rsidRPr="00636971">
              <w:rPr>
                <w:rFonts w:eastAsia="Times"/>
                <w:lang w:eastAsia="en-AU"/>
              </w:rPr>
              <w:t>Source: Victorian Population Health Survey</w:t>
            </w:r>
            <w:r>
              <w:rPr>
                <w:rFonts w:eastAsia="Times"/>
                <w:lang w:eastAsia="en-AU"/>
              </w:rPr>
              <w:t xml:space="preserve">. </w:t>
            </w:r>
            <w:r w:rsidRPr="00BF265B">
              <w:rPr>
                <w:rFonts w:eastAsia="Times"/>
                <w:lang w:eastAsia="en-AU"/>
              </w:rPr>
              <w:t>New sampling methodology used for 2015 Survey: earlier results are not directly comparable with 20</w:t>
            </w:r>
            <w:r>
              <w:rPr>
                <w:rFonts w:eastAsia="Times"/>
                <w:lang w:eastAsia="en-AU"/>
              </w:rPr>
              <w:t>15–16</w:t>
            </w:r>
            <w:r w:rsidRPr="00BF265B">
              <w:rPr>
                <w:rFonts w:eastAsia="Times"/>
                <w:lang w:eastAsia="en-AU"/>
              </w:rPr>
              <w:t>.</w:t>
            </w:r>
          </w:p>
          <w:p w:rsidR="00BF1472" w:rsidRPr="0036284F" w:rsidRDefault="00BF1472" w:rsidP="0092299C">
            <w:pPr>
              <w:pStyle w:val="ARtabletext"/>
              <w:rPr>
                <w:i/>
                <w:sz w:val="16"/>
                <w:szCs w:val="16"/>
              </w:rPr>
            </w:pPr>
            <w:r w:rsidRPr="0036284F">
              <w:rPr>
                <w:i/>
                <w:sz w:val="16"/>
                <w:szCs w:val="16"/>
              </w:rPr>
              <w:t>Although 2015–16 data is not directly comparable with earlier results, the associated risk factors for obesity, including fruit and vegetable consumption, physical activity and obesity rates for adults and children remain of concern.</w:t>
            </w:r>
          </w:p>
          <w:p w:rsidR="00BF1472" w:rsidRPr="00636971" w:rsidRDefault="00BF1472" w:rsidP="008746ED">
            <w:pPr>
              <w:pStyle w:val="ARtablefootnote"/>
              <w:rPr>
                <w:rFonts w:eastAsia="Times" w:cs="Arial"/>
                <w:sz w:val="18"/>
                <w:szCs w:val="18"/>
                <w:lang w:eastAsia="en-AU"/>
              </w:rPr>
            </w:pPr>
            <w:r w:rsidRPr="0036284F">
              <w:t>The withdrawal of Commonwealth funding for health promotion has placed constraints on Victoria’s prevention efforts.</w:t>
            </w:r>
          </w:p>
        </w:tc>
      </w:tr>
      <w:tr w:rsidR="008746ED" w:rsidRPr="00636971" w:rsidTr="0010061B">
        <w:trPr>
          <w:cantSplit/>
        </w:trPr>
        <w:tc>
          <w:tcPr>
            <w:tcW w:w="9639" w:type="dxa"/>
            <w:gridSpan w:val="5"/>
            <w:tcBorders>
              <w:top w:val="single" w:sz="4" w:space="0" w:color="auto"/>
              <w:left w:val="nil"/>
              <w:bottom w:val="single" w:sz="4" w:space="0" w:color="BFBFBF"/>
            </w:tcBorders>
          </w:tcPr>
          <w:p w:rsidR="008746ED" w:rsidRPr="00636971" w:rsidRDefault="008746ED" w:rsidP="0092299C">
            <w:pPr>
              <w:spacing w:before="80" w:after="60"/>
              <w:ind w:right="4536"/>
              <w:rPr>
                <w:rFonts w:eastAsia="Times" w:cs="Arial"/>
                <w:b/>
                <w:color w:val="004C97"/>
                <w:sz w:val="18"/>
                <w:szCs w:val="18"/>
                <w:lang w:eastAsia="en-AU"/>
              </w:rPr>
            </w:pPr>
            <w:r w:rsidRPr="00636971">
              <w:rPr>
                <w:rFonts w:eastAsia="Times" w:cs="Arial"/>
                <w:b/>
                <w:color w:val="004C97"/>
                <w:sz w:val="18"/>
                <w:szCs w:val="18"/>
                <w:lang w:eastAsia="en-AU"/>
              </w:rPr>
              <w:t>Differences in health and social outcomes for disadvantaged groups are reduced</w:t>
            </w:r>
          </w:p>
        </w:tc>
      </w:tr>
      <w:tr w:rsidR="0092299C" w:rsidRPr="00933B58" w:rsidTr="00BF1472">
        <w:trPr>
          <w:cantSplit/>
        </w:trPr>
        <w:tc>
          <w:tcPr>
            <w:tcW w:w="5943" w:type="dxa"/>
            <w:tcBorders>
              <w:top w:val="single" w:sz="4" w:space="0" w:color="BFBFBF"/>
              <w:bottom w:val="single" w:sz="4" w:space="0" w:color="FFFFFF"/>
            </w:tcBorders>
            <w:shd w:val="clear" w:color="auto" w:fill="auto"/>
          </w:tcPr>
          <w:p w:rsidR="0092299C" w:rsidRPr="00933B58" w:rsidRDefault="0092299C" w:rsidP="00BF1472">
            <w:pPr>
              <w:pStyle w:val="ARtabletext"/>
            </w:pPr>
            <w:r w:rsidRPr="00933B58">
              <w:t xml:space="preserve">Percentage of Victorian persons with low income (&lt; $20,000) </w:t>
            </w:r>
            <w:r w:rsidRPr="00933B58">
              <w:br/>
              <w:t>who have assessed their he</w:t>
            </w:r>
            <w:r w:rsidR="00BF1472">
              <w:t>alth status as ‘fair’ or ‘poor’</w:t>
            </w:r>
          </w:p>
        </w:tc>
        <w:tc>
          <w:tcPr>
            <w:tcW w:w="939" w:type="dxa"/>
            <w:tcBorders>
              <w:top w:val="single" w:sz="4" w:space="0" w:color="BFBFBF"/>
              <w:bottom w:val="single" w:sz="4" w:space="0" w:color="FFFFFF"/>
            </w:tcBorders>
          </w:tcPr>
          <w:p w:rsidR="0092299C" w:rsidRPr="00933B58" w:rsidRDefault="0092299C" w:rsidP="0092299C">
            <w:pPr>
              <w:pStyle w:val="ARtabletext"/>
            </w:pPr>
            <w:r w:rsidRPr="00933B58">
              <w:t>28.6%</w:t>
            </w:r>
          </w:p>
          <w:p w:rsidR="0092299C" w:rsidRPr="00933B58" w:rsidRDefault="0092299C" w:rsidP="0092299C">
            <w:pPr>
              <w:pStyle w:val="ARtabletext"/>
            </w:pPr>
            <w:r w:rsidRPr="00933B58">
              <w:t>Total population 15.5%</w:t>
            </w:r>
          </w:p>
        </w:tc>
        <w:tc>
          <w:tcPr>
            <w:tcW w:w="939" w:type="dxa"/>
            <w:tcBorders>
              <w:top w:val="single" w:sz="4" w:space="0" w:color="BFBFBF"/>
              <w:bottom w:val="single" w:sz="4" w:space="0" w:color="FFFFFF"/>
            </w:tcBorders>
            <w:shd w:val="clear" w:color="auto" w:fill="auto"/>
          </w:tcPr>
          <w:p w:rsidR="0092299C" w:rsidRPr="00933B58" w:rsidRDefault="0092299C" w:rsidP="0092299C">
            <w:pPr>
              <w:pStyle w:val="ARtabletext"/>
            </w:pPr>
            <w:r w:rsidRPr="00933B58">
              <w:t>33.3%</w:t>
            </w:r>
          </w:p>
          <w:p w:rsidR="0092299C" w:rsidRPr="00933B58" w:rsidRDefault="0092299C" w:rsidP="0092299C">
            <w:pPr>
              <w:pStyle w:val="ARtabletext"/>
            </w:pPr>
            <w:r w:rsidRPr="00933B58">
              <w:t>Total population 20.3%</w:t>
            </w:r>
          </w:p>
        </w:tc>
        <w:tc>
          <w:tcPr>
            <w:tcW w:w="939" w:type="dxa"/>
            <w:tcBorders>
              <w:top w:val="single" w:sz="4" w:space="0" w:color="BFBFBF"/>
              <w:bottom w:val="single" w:sz="4" w:space="0" w:color="FFFFFF"/>
            </w:tcBorders>
            <w:shd w:val="clear" w:color="auto" w:fill="auto"/>
          </w:tcPr>
          <w:p w:rsidR="0092299C" w:rsidRDefault="0092299C" w:rsidP="0092299C">
            <w:pPr>
              <w:pStyle w:val="ARtabletext"/>
            </w:pPr>
            <w:r w:rsidRPr="00933B58">
              <w:t>29.1%</w:t>
            </w:r>
          </w:p>
          <w:p w:rsidR="0092299C" w:rsidRPr="00933B58" w:rsidRDefault="0092299C" w:rsidP="0092299C">
            <w:pPr>
              <w:pStyle w:val="ARtabletext"/>
            </w:pPr>
            <w:r w:rsidRPr="00933B58">
              <w:t xml:space="preserve">Total </w:t>
            </w:r>
            <w:r w:rsidRPr="005B2E0E">
              <w:t>population</w:t>
            </w:r>
            <w:r>
              <w:t xml:space="preserve"> </w:t>
            </w:r>
            <w:r w:rsidRPr="005B2E0E">
              <w:t>20.4</w:t>
            </w:r>
            <w:r>
              <w:t>%</w:t>
            </w:r>
          </w:p>
        </w:tc>
        <w:tc>
          <w:tcPr>
            <w:tcW w:w="879" w:type="dxa"/>
            <w:tcBorders>
              <w:top w:val="single" w:sz="4" w:space="0" w:color="BFBFBF"/>
              <w:bottom w:val="single" w:sz="4" w:space="0" w:color="FFFFFF"/>
            </w:tcBorders>
          </w:tcPr>
          <w:p w:rsidR="0092299C" w:rsidRPr="00933B58" w:rsidRDefault="0092299C" w:rsidP="0092299C">
            <w:pPr>
              <w:pStyle w:val="ARtabletext"/>
            </w:pPr>
            <w:r w:rsidRPr="00933B58">
              <w:t>Not yet published</w:t>
            </w:r>
          </w:p>
        </w:tc>
      </w:tr>
      <w:tr w:rsidR="0092299C" w:rsidRPr="00933B58" w:rsidTr="00BF1472">
        <w:trPr>
          <w:cantSplit/>
        </w:trPr>
        <w:tc>
          <w:tcPr>
            <w:tcW w:w="9639" w:type="dxa"/>
            <w:gridSpan w:val="5"/>
            <w:tcBorders>
              <w:top w:val="single" w:sz="4" w:space="0" w:color="FFFFFF"/>
              <w:bottom w:val="nil"/>
            </w:tcBorders>
            <w:shd w:val="clear" w:color="auto" w:fill="auto"/>
          </w:tcPr>
          <w:p w:rsidR="0092299C" w:rsidRPr="00933B58" w:rsidRDefault="0092299C" w:rsidP="0092299C">
            <w:pPr>
              <w:pStyle w:val="ARtablefootnote"/>
            </w:pPr>
            <w:r w:rsidRPr="00636971">
              <w:rPr>
                <w:rFonts w:eastAsia="Times"/>
                <w:lang w:eastAsia="en-AU"/>
              </w:rPr>
              <w:t>Source: Victorian Population Health Survey</w:t>
            </w:r>
            <w:r>
              <w:rPr>
                <w:rFonts w:eastAsia="Times"/>
                <w:lang w:eastAsia="en-AU"/>
              </w:rPr>
              <w:t xml:space="preserve">. </w:t>
            </w:r>
            <w:r>
              <w:t>New sampling methodology used for 2015 Survey: earlier results are not directly comparable with 2015–16.</w:t>
            </w:r>
          </w:p>
        </w:tc>
      </w:tr>
      <w:tr w:rsidR="008746ED" w:rsidRPr="00636971" w:rsidTr="0010061B">
        <w:trPr>
          <w:cantSplit/>
        </w:trPr>
        <w:tc>
          <w:tcPr>
            <w:tcW w:w="9639" w:type="dxa"/>
            <w:gridSpan w:val="5"/>
            <w:tcBorders>
              <w:top w:val="single" w:sz="4" w:space="0" w:color="auto"/>
              <w:bottom w:val="single" w:sz="4" w:space="0" w:color="BFBFBF"/>
            </w:tcBorders>
          </w:tcPr>
          <w:p w:rsidR="008746ED" w:rsidRPr="00636971" w:rsidRDefault="008746ED" w:rsidP="0092299C">
            <w:pPr>
              <w:spacing w:before="80" w:after="60"/>
              <w:ind w:right="4536"/>
              <w:rPr>
                <w:rFonts w:eastAsia="Times" w:cs="Arial"/>
                <w:b/>
                <w:color w:val="004C97"/>
                <w:sz w:val="18"/>
                <w:szCs w:val="18"/>
                <w:lang w:eastAsia="en-AU"/>
              </w:rPr>
            </w:pPr>
            <w:r w:rsidRPr="00636971">
              <w:rPr>
                <w:rFonts w:eastAsia="Times" w:cs="Arial"/>
                <w:b/>
                <w:color w:val="004C97"/>
                <w:sz w:val="18"/>
                <w:szCs w:val="18"/>
                <w:lang w:eastAsia="en-AU"/>
              </w:rPr>
              <w:t>Immunisation rates for vaccine-preventable illness improve or compare favourably to other jurisdictions</w:t>
            </w:r>
          </w:p>
        </w:tc>
      </w:tr>
      <w:tr w:rsidR="0092299C" w:rsidRPr="00636971" w:rsidTr="008663D1">
        <w:trPr>
          <w:cantSplit/>
        </w:trPr>
        <w:tc>
          <w:tcPr>
            <w:tcW w:w="5943" w:type="dxa"/>
            <w:tcBorders>
              <w:top w:val="single" w:sz="4" w:space="0" w:color="BFBFBF"/>
              <w:bottom w:val="single" w:sz="4" w:space="0" w:color="FFFFFF"/>
            </w:tcBorders>
            <w:shd w:val="clear" w:color="auto" w:fill="auto"/>
          </w:tcPr>
          <w:p w:rsidR="0092299C" w:rsidRPr="00636971" w:rsidRDefault="0092299C" w:rsidP="00BF1472">
            <w:pPr>
              <w:pStyle w:val="ARtabletext"/>
            </w:pPr>
            <w:r w:rsidRPr="00636971">
              <w:t xml:space="preserve">Percentage of Victorian children aged 60–63 </w:t>
            </w:r>
            <w:r w:rsidR="00BF1472">
              <w:t>months who are fully vaccinated</w:t>
            </w:r>
          </w:p>
        </w:tc>
        <w:tc>
          <w:tcPr>
            <w:tcW w:w="939" w:type="dxa"/>
            <w:tcBorders>
              <w:top w:val="single" w:sz="4" w:space="0" w:color="BFBFBF"/>
              <w:bottom w:val="single" w:sz="4" w:space="0" w:color="FFFFFF"/>
            </w:tcBorders>
          </w:tcPr>
          <w:p w:rsidR="0092299C" w:rsidRPr="00636971" w:rsidRDefault="0092299C" w:rsidP="0092299C">
            <w:pPr>
              <w:pStyle w:val="ARtabletext"/>
            </w:pPr>
            <w:r w:rsidRPr="00636971">
              <w:t>90.07%</w:t>
            </w:r>
          </w:p>
          <w:p w:rsidR="0092299C" w:rsidRPr="00636971" w:rsidRDefault="0092299C" w:rsidP="0092299C">
            <w:pPr>
              <w:pStyle w:val="ARtabletext"/>
            </w:pPr>
            <w:r w:rsidRPr="00636971">
              <w:t>National 88.02%</w:t>
            </w:r>
          </w:p>
        </w:tc>
        <w:tc>
          <w:tcPr>
            <w:tcW w:w="939" w:type="dxa"/>
            <w:tcBorders>
              <w:top w:val="single" w:sz="4" w:space="0" w:color="BFBFBF"/>
              <w:bottom w:val="single" w:sz="4" w:space="0" w:color="FFFFFF"/>
            </w:tcBorders>
            <w:shd w:val="clear" w:color="auto" w:fill="auto"/>
          </w:tcPr>
          <w:p w:rsidR="0092299C" w:rsidRPr="00636971" w:rsidRDefault="0092299C" w:rsidP="0092299C">
            <w:pPr>
              <w:pStyle w:val="ARtabletext"/>
            </w:pPr>
            <w:r w:rsidRPr="00636971">
              <w:t>92.64%</w:t>
            </w:r>
          </w:p>
          <w:p w:rsidR="0092299C" w:rsidRPr="00636971" w:rsidRDefault="0092299C" w:rsidP="0092299C">
            <w:pPr>
              <w:pStyle w:val="ARtabletext"/>
            </w:pPr>
            <w:r w:rsidRPr="00636971">
              <w:t>National 91.86%</w:t>
            </w:r>
          </w:p>
        </w:tc>
        <w:tc>
          <w:tcPr>
            <w:tcW w:w="939" w:type="dxa"/>
            <w:tcBorders>
              <w:top w:val="single" w:sz="4" w:space="0" w:color="BFBFBF"/>
              <w:bottom w:val="single" w:sz="4" w:space="0" w:color="FFFFFF"/>
            </w:tcBorders>
            <w:shd w:val="clear" w:color="auto" w:fill="auto"/>
          </w:tcPr>
          <w:p w:rsidR="0092299C" w:rsidRPr="00636971" w:rsidRDefault="0092299C" w:rsidP="0092299C">
            <w:pPr>
              <w:pStyle w:val="ARtabletext"/>
            </w:pPr>
            <w:r w:rsidRPr="00636971">
              <w:t>92.85%</w:t>
            </w:r>
          </w:p>
          <w:p w:rsidR="0092299C" w:rsidRPr="00636971" w:rsidRDefault="0092299C" w:rsidP="0092299C">
            <w:pPr>
              <w:pStyle w:val="ARtabletext"/>
            </w:pPr>
            <w:r w:rsidRPr="00636971">
              <w:t>National 92.51%</w:t>
            </w:r>
          </w:p>
        </w:tc>
        <w:tc>
          <w:tcPr>
            <w:tcW w:w="879" w:type="dxa"/>
            <w:tcBorders>
              <w:top w:val="single" w:sz="4" w:space="0" w:color="BFBFBF"/>
              <w:bottom w:val="single" w:sz="4" w:space="0" w:color="FFFFFF"/>
            </w:tcBorders>
          </w:tcPr>
          <w:p w:rsidR="0092299C" w:rsidRPr="00636971" w:rsidRDefault="0092299C" w:rsidP="0092299C">
            <w:pPr>
              <w:pStyle w:val="ARtabletext"/>
            </w:pPr>
            <w:r w:rsidRPr="00636971">
              <w:t>94.0%</w:t>
            </w:r>
          </w:p>
          <w:p w:rsidR="0092299C" w:rsidRPr="00636971" w:rsidRDefault="0092299C" w:rsidP="0092299C">
            <w:pPr>
              <w:pStyle w:val="ARtabletext"/>
            </w:pPr>
            <w:r w:rsidRPr="00636971">
              <w:t>National</w:t>
            </w:r>
            <w:r>
              <w:t xml:space="preserve"> </w:t>
            </w:r>
            <w:r w:rsidRPr="00636971">
              <w:t>94.0%</w:t>
            </w:r>
          </w:p>
        </w:tc>
      </w:tr>
      <w:tr w:rsidR="00BF1472" w:rsidRPr="00636971" w:rsidTr="008663D1">
        <w:trPr>
          <w:cantSplit/>
        </w:trPr>
        <w:tc>
          <w:tcPr>
            <w:tcW w:w="9639" w:type="dxa"/>
            <w:gridSpan w:val="5"/>
            <w:tcBorders>
              <w:top w:val="single" w:sz="4" w:space="0" w:color="FFFFFF"/>
              <w:bottom w:val="nil"/>
            </w:tcBorders>
            <w:shd w:val="clear" w:color="auto" w:fill="auto"/>
          </w:tcPr>
          <w:p w:rsidR="00BF1472" w:rsidRPr="00636971" w:rsidRDefault="00BF1472" w:rsidP="008663D1">
            <w:pPr>
              <w:pStyle w:val="ARtablefootnote"/>
            </w:pPr>
            <w:r w:rsidRPr="00636971">
              <w:rPr>
                <w:rFonts w:eastAsia="Times"/>
              </w:rPr>
              <w:t>Source: Australian Childhood Immunisation Register (ACIR)</w:t>
            </w:r>
          </w:p>
        </w:tc>
      </w:tr>
      <w:tr w:rsidR="008746ED" w:rsidRPr="00636971" w:rsidTr="0010061B">
        <w:trPr>
          <w:cantSplit/>
        </w:trPr>
        <w:tc>
          <w:tcPr>
            <w:tcW w:w="9639" w:type="dxa"/>
            <w:gridSpan w:val="5"/>
            <w:tcBorders>
              <w:top w:val="single" w:sz="4" w:space="0" w:color="auto"/>
              <w:bottom w:val="single" w:sz="4" w:space="0" w:color="BFBFBF"/>
            </w:tcBorders>
            <w:shd w:val="clear" w:color="auto" w:fill="auto"/>
          </w:tcPr>
          <w:p w:rsidR="008746ED" w:rsidRPr="00636971" w:rsidRDefault="008746ED" w:rsidP="0092299C">
            <w:pPr>
              <w:spacing w:before="80" w:after="60"/>
              <w:ind w:right="4536"/>
              <w:rPr>
                <w:rFonts w:eastAsia="Times" w:cs="Arial"/>
                <w:b/>
                <w:color w:val="004C97"/>
                <w:sz w:val="18"/>
                <w:szCs w:val="18"/>
                <w:lang w:eastAsia="en-AU"/>
              </w:rPr>
            </w:pPr>
            <w:r w:rsidRPr="00636971">
              <w:rPr>
                <w:rFonts w:eastAsia="Times" w:cs="Arial"/>
                <w:b/>
                <w:color w:val="004C97"/>
                <w:sz w:val="18"/>
                <w:szCs w:val="18"/>
                <w:lang w:eastAsia="en-AU"/>
              </w:rPr>
              <w:t>Fewer people are dying prematurely</w:t>
            </w:r>
          </w:p>
        </w:tc>
      </w:tr>
      <w:tr w:rsidR="0010061B" w:rsidRPr="00636971" w:rsidTr="0010061B">
        <w:trPr>
          <w:cantSplit/>
        </w:trPr>
        <w:tc>
          <w:tcPr>
            <w:tcW w:w="5943" w:type="dxa"/>
            <w:vMerge w:val="restart"/>
            <w:tcBorders>
              <w:top w:val="single" w:sz="4" w:space="0" w:color="BFBFBF"/>
            </w:tcBorders>
            <w:shd w:val="clear" w:color="auto" w:fill="auto"/>
          </w:tcPr>
          <w:p w:rsidR="0010061B" w:rsidRPr="00636971" w:rsidRDefault="0010061B" w:rsidP="008663D1">
            <w:pPr>
              <w:pStyle w:val="ARtabletext"/>
            </w:pPr>
            <w:r w:rsidRPr="00636971">
              <w:t xml:space="preserve">Victorian age standardised mortality rates of potentially </w:t>
            </w:r>
            <w:r>
              <w:t xml:space="preserve">avoidable </w:t>
            </w:r>
            <w:r w:rsidR="00D15A2A">
              <w:br/>
            </w:r>
            <w:r>
              <w:t>deaths under 75 years*</w:t>
            </w:r>
          </w:p>
        </w:tc>
        <w:tc>
          <w:tcPr>
            <w:tcW w:w="939" w:type="dxa"/>
            <w:tcBorders>
              <w:top w:val="single" w:sz="4" w:space="0" w:color="BFBFBF"/>
              <w:bottom w:val="nil"/>
            </w:tcBorders>
          </w:tcPr>
          <w:p w:rsidR="0010061B" w:rsidRPr="00636971" w:rsidRDefault="0010061B" w:rsidP="0092299C">
            <w:pPr>
              <w:pStyle w:val="ARtabletext"/>
            </w:pPr>
            <w:r w:rsidRPr="00636971">
              <w:t>92.</w:t>
            </w:r>
            <w:r>
              <w:t>3</w:t>
            </w:r>
            <w:r w:rsidRPr="00636971">
              <w:t xml:space="preserve"> per 100,000 people</w:t>
            </w:r>
          </w:p>
        </w:tc>
        <w:tc>
          <w:tcPr>
            <w:tcW w:w="939" w:type="dxa"/>
            <w:tcBorders>
              <w:top w:val="single" w:sz="4" w:space="0" w:color="BFBFBF"/>
              <w:bottom w:val="nil"/>
            </w:tcBorders>
            <w:shd w:val="clear" w:color="auto" w:fill="auto"/>
          </w:tcPr>
          <w:p w:rsidR="0010061B" w:rsidRPr="00636971" w:rsidRDefault="0010061B" w:rsidP="0092299C">
            <w:pPr>
              <w:pStyle w:val="ARtabletext"/>
            </w:pPr>
            <w:r w:rsidRPr="00636971">
              <w:t>101.8</w:t>
            </w:r>
            <w:r>
              <w:t xml:space="preserve"> </w:t>
            </w:r>
            <w:r w:rsidRPr="00636971">
              <w:t>per 100,000 people</w:t>
            </w:r>
          </w:p>
        </w:tc>
        <w:tc>
          <w:tcPr>
            <w:tcW w:w="939" w:type="dxa"/>
            <w:tcBorders>
              <w:top w:val="single" w:sz="4" w:space="0" w:color="BFBFBF"/>
              <w:bottom w:val="nil"/>
            </w:tcBorders>
            <w:shd w:val="clear" w:color="auto" w:fill="auto"/>
          </w:tcPr>
          <w:p w:rsidR="0010061B" w:rsidRPr="00636971" w:rsidRDefault="0010061B" w:rsidP="0092299C">
            <w:pPr>
              <w:pStyle w:val="ARtabletext"/>
            </w:pPr>
            <w:r w:rsidRPr="00636971">
              <w:t>97.2 per 100,000 people</w:t>
            </w:r>
          </w:p>
        </w:tc>
        <w:tc>
          <w:tcPr>
            <w:tcW w:w="879" w:type="dxa"/>
            <w:tcBorders>
              <w:top w:val="single" w:sz="4" w:space="0" w:color="BFBFBF"/>
              <w:bottom w:val="nil"/>
            </w:tcBorders>
          </w:tcPr>
          <w:p w:rsidR="0010061B" w:rsidRPr="00636971" w:rsidRDefault="0010061B" w:rsidP="0092299C">
            <w:pPr>
              <w:pStyle w:val="ARtabletext"/>
            </w:pPr>
            <w:r w:rsidRPr="00636971">
              <w:t>Not yet published</w:t>
            </w:r>
          </w:p>
        </w:tc>
      </w:tr>
      <w:tr w:rsidR="0010061B" w:rsidRPr="00636971" w:rsidTr="0010061B">
        <w:trPr>
          <w:cantSplit/>
        </w:trPr>
        <w:tc>
          <w:tcPr>
            <w:tcW w:w="5943" w:type="dxa"/>
            <w:vMerge/>
            <w:tcBorders>
              <w:bottom w:val="nil"/>
            </w:tcBorders>
            <w:shd w:val="clear" w:color="auto" w:fill="auto"/>
          </w:tcPr>
          <w:p w:rsidR="0010061B" w:rsidRPr="00636971" w:rsidRDefault="0010061B" w:rsidP="0010061B">
            <w:pPr>
              <w:pStyle w:val="ARtablefootnote"/>
              <w:rPr>
                <w:rFonts w:eastAsia="Times"/>
                <w:sz w:val="18"/>
                <w:lang w:eastAsia="en-AU"/>
              </w:rPr>
            </w:pPr>
          </w:p>
        </w:tc>
        <w:tc>
          <w:tcPr>
            <w:tcW w:w="939" w:type="dxa"/>
            <w:tcBorders>
              <w:top w:val="nil"/>
              <w:bottom w:val="nil"/>
            </w:tcBorders>
          </w:tcPr>
          <w:p w:rsidR="0010061B" w:rsidRPr="00636971" w:rsidRDefault="0010061B" w:rsidP="0092299C">
            <w:pPr>
              <w:pStyle w:val="ARtabletext"/>
            </w:pPr>
            <w:r w:rsidRPr="00636971">
              <w:t xml:space="preserve">National </w:t>
            </w:r>
            <w:r w:rsidRPr="00636971">
              <w:br/>
              <w:t>106.9 per 100,000 people</w:t>
            </w:r>
          </w:p>
        </w:tc>
        <w:tc>
          <w:tcPr>
            <w:tcW w:w="939" w:type="dxa"/>
            <w:tcBorders>
              <w:top w:val="nil"/>
              <w:bottom w:val="nil"/>
            </w:tcBorders>
            <w:shd w:val="clear" w:color="auto" w:fill="auto"/>
          </w:tcPr>
          <w:p w:rsidR="0010061B" w:rsidRPr="00636971" w:rsidRDefault="0010061B" w:rsidP="0092299C">
            <w:pPr>
              <w:pStyle w:val="ARtabletext"/>
            </w:pPr>
            <w:r>
              <w:t>National</w:t>
            </w:r>
            <w:r>
              <w:br/>
              <w:t>108.0 per 100,000 people</w:t>
            </w:r>
          </w:p>
        </w:tc>
        <w:tc>
          <w:tcPr>
            <w:tcW w:w="939" w:type="dxa"/>
            <w:tcBorders>
              <w:top w:val="nil"/>
              <w:bottom w:val="nil"/>
            </w:tcBorders>
            <w:shd w:val="clear" w:color="auto" w:fill="auto"/>
          </w:tcPr>
          <w:p w:rsidR="0010061B" w:rsidRPr="00636971" w:rsidRDefault="0010061B" w:rsidP="0092299C">
            <w:pPr>
              <w:pStyle w:val="ARtabletext"/>
            </w:pPr>
            <w:r>
              <w:t>National</w:t>
            </w:r>
            <w:r>
              <w:br/>
              <w:t>107.7 per 100,000 people</w:t>
            </w:r>
          </w:p>
        </w:tc>
        <w:tc>
          <w:tcPr>
            <w:tcW w:w="879" w:type="dxa"/>
            <w:tcBorders>
              <w:top w:val="nil"/>
              <w:bottom w:val="nil"/>
            </w:tcBorders>
          </w:tcPr>
          <w:p w:rsidR="0010061B" w:rsidRPr="00636971" w:rsidRDefault="0010061B" w:rsidP="0092299C">
            <w:pPr>
              <w:pStyle w:val="ARtabletext"/>
            </w:pPr>
            <w:r>
              <w:t>Not yet published</w:t>
            </w:r>
          </w:p>
        </w:tc>
      </w:tr>
      <w:tr w:rsidR="008663D1" w:rsidRPr="00636971" w:rsidTr="0010061B">
        <w:trPr>
          <w:cantSplit/>
        </w:trPr>
        <w:tc>
          <w:tcPr>
            <w:tcW w:w="9639" w:type="dxa"/>
            <w:gridSpan w:val="5"/>
            <w:tcBorders>
              <w:top w:val="nil"/>
              <w:bottom w:val="single" w:sz="4" w:space="0" w:color="auto"/>
            </w:tcBorders>
            <w:shd w:val="clear" w:color="auto" w:fill="auto"/>
          </w:tcPr>
          <w:p w:rsidR="0010061B" w:rsidRPr="00D15A2A" w:rsidRDefault="0010061B" w:rsidP="00D15A2A">
            <w:pPr>
              <w:pStyle w:val="ARtablefootnote"/>
              <w:rPr>
                <w:rFonts w:eastAsia="Times"/>
              </w:rPr>
            </w:pPr>
            <w:r w:rsidRPr="00AC18DA">
              <w:rPr>
                <w:rFonts w:eastAsia="Times"/>
                <w:lang w:eastAsia="en-AU"/>
              </w:rPr>
              <w:t>Source: based on Steering Committee for the Review of Government Service Provision data, Report on Government Services 2017. Table E</w:t>
            </w:r>
            <w:r w:rsidRPr="00D15A2A">
              <w:rPr>
                <w:rFonts w:eastAsia="Times"/>
              </w:rPr>
              <w:t>A41</w:t>
            </w:r>
          </w:p>
          <w:p w:rsidR="00D15A2A" w:rsidRPr="00D15A2A" w:rsidRDefault="00D15A2A" w:rsidP="00D15A2A">
            <w:pPr>
              <w:pStyle w:val="ARtablefootnotenumbered"/>
              <w:ind w:left="170" w:hanging="170"/>
              <w:rPr>
                <w:rFonts w:eastAsia="Times"/>
                <w:lang w:eastAsia="en-AU"/>
              </w:rPr>
            </w:pPr>
            <w:r>
              <w:rPr>
                <w:rFonts w:eastAsia="Times"/>
              </w:rPr>
              <w:t>*</w:t>
            </w:r>
            <w:r>
              <w:rPr>
                <w:rFonts w:eastAsia="Times" w:cs="Arial"/>
                <w:sz w:val="20"/>
                <w:szCs w:val="20"/>
              </w:rPr>
              <w:tab/>
            </w:r>
            <w:r w:rsidRPr="00D15A2A">
              <w:rPr>
                <w:rFonts w:eastAsia="Times"/>
              </w:rPr>
              <w:t>New nationally agreed defini</w:t>
            </w:r>
            <w:r w:rsidRPr="00933B58">
              <w:rPr>
                <w:rFonts w:eastAsia="Times"/>
                <w:lang w:eastAsia="en-AU"/>
              </w:rPr>
              <w:t>tion of potentially avoidable deaths used for data from 20</w:t>
            </w:r>
            <w:r>
              <w:rPr>
                <w:rFonts w:eastAsia="Times"/>
                <w:lang w:eastAsia="en-AU"/>
              </w:rPr>
              <w:t>14–15</w:t>
            </w:r>
            <w:r w:rsidR="00840150">
              <w:rPr>
                <w:rFonts w:eastAsia="Times"/>
                <w:lang w:eastAsia="en-AU"/>
              </w:rPr>
              <w:t xml:space="preserve"> on. E</w:t>
            </w:r>
            <w:r w:rsidRPr="00933B58">
              <w:rPr>
                <w:rFonts w:eastAsia="Times"/>
                <w:lang w:eastAsia="en-AU"/>
              </w:rPr>
              <w:t>arlier results are not directly com</w:t>
            </w:r>
            <w:r w:rsidR="003C249D">
              <w:rPr>
                <w:rFonts w:eastAsia="Times"/>
                <w:lang w:eastAsia="en-AU"/>
              </w:rPr>
              <w:t xml:space="preserve">parable. Figures are based on </w:t>
            </w:r>
            <w:r w:rsidRPr="00933B58">
              <w:rPr>
                <w:rFonts w:eastAsia="Times"/>
                <w:lang w:eastAsia="en-AU"/>
              </w:rPr>
              <w:t>calendar year</w:t>
            </w:r>
            <w:r w:rsidR="003C249D">
              <w:rPr>
                <w:rFonts w:eastAsia="Times"/>
                <w:lang w:eastAsia="en-AU"/>
              </w:rPr>
              <w:t>s</w:t>
            </w:r>
            <w:r w:rsidRPr="00636971">
              <w:rPr>
                <w:rFonts w:eastAsia="Times"/>
                <w:lang w:eastAsia="en-AU"/>
              </w:rPr>
              <w:t>.</w:t>
            </w:r>
          </w:p>
        </w:tc>
      </w:tr>
    </w:tbl>
    <w:p w:rsidR="0092299C" w:rsidRPr="00636971" w:rsidRDefault="0092299C" w:rsidP="0092299C">
      <w:pPr>
        <w:spacing w:after="120" w:line="260" w:lineRule="atLeast"/>
        <w:rPr>
          <w:rFonts w:eastAsia="Times" w:cs="Arial"/>
          <w:sz w:val="20"/>
          <w:szCs w:val="20"/>
        </w:rPr>
        <w:sectPr w:rsidR="0092299C" w:rsidRPr="00636971" w:rsidSect="00E36E62">
          <w:headerReference w:type="even" r:id="rId34"/>
          <w:endnotePr>
            <w:numFmt w:val="decimal"/>
          </w:endnotePr>
          <w:pgSz w:w="11900" w:h="16840" w:code="9"/>
          <w:pgMar w:top="1531" w:right="851" w:bottom="680" w:left="1418" w:header="510" w:footer="340" w:gutter="0"/>
          <w:cols w:space="720"/>
        </w:sectPr>
      </w:pPr>
    </w:p>
    <w:p w:rsidR="0092299C" w:rsidRPr="00636971" w:rsidRDefault="0092299C" w:rsidP="0092299C">
      <w:pPr>
        <w:spacing w:after="120" w:line="260" w:lineRule="atLeast"/>
        <w:rPr>
          <w:rFonts w:eastAsia="Times" w:cs="Arial"/>
          <w:sz w:val="20"/>
          <w:szCs w:val="20"/>
        </w:rPr>
      </w:pPr>
    </w:p>
    <w:p w:rsidR="0092299C" w:rsidRPr="00636971" w:rsidRDefault="0092299C" w:rsidP="0092299C">
      <w:pPr>
        <w:spacing w:after="120" w:line="260" w:lineRule="atLeast"/>
        <w:rPr>
          <w:rFonts w:eastAsia="Times" w:cs="Arial"/>
          <w:sz w:val="20"/>
          <w:szCs w:val="20"/>
          <w:lang w:eastAsia="en-AU"/>
        </w:rPr>
        <w:sectPr w:rsidR="0092299C" w:rsidRPr="00636971" w:rsidSect="003375D3">
          <w:endnotePr>
            <w:numFmt w:val="decimal"/>
          </w:endnotePr>
          <w:type w:val="continuous"/>
          <w:pgSz w:w="11900" w:h="16840" w:code="9"/>
          <w:pgMar w:top="1531" w:right="851" w:bottom="680" w:left="1418" w:header="510" w:footer="340" w:gutter="0"/>
          <w:cols w:num="2" w:space="454"/>
        </w:sectPr>
      </w:pPr>
    </w:p>
    <w:p w:rsidR="0092299C" w:rsidRPr="00F63571" w:rsidRDefault="0092299C" w:rsidP="0092299C">
      <w:pPr>
        <w:pStyle w:val="Heading3"/>
        <w:spacing w:before="0"/>
      </w:pPr>
      <w:r w:rsidRPr="00F63571">
        <w:lastRenderedPageBreak/>
        <w:t xml:space="preserve">Objective 2: Safe, integrated patient-centred health services for the treatment </w:t>
      </w:r>
      <w:r w:rsidRPr="00F63571">
        <w:br/>
        <w:t>of illness and disease</w:t>
      </w:r>
    </w:p>
    <w:p w:rsidR="0092299C" w:rsidRPr="00F63571" w:rsidRDefault="0092299C" w:rsidP="0092299C">
      <w:pPr>
        <w:pStyle w:val="ARbody"/>
      </w:pPr>
      <w:r w:rsidRPr="00F63571">
        <w:t>The department funds health services that support Victorians when they experience ill health.</w:t>
      </w:r>
    </w:p>
    <w:p w:rsidR="0092299C" w:rsidRPr="00F63571" w:rsidRDefault="0092299C" w:rsidP="0092299C">
      <w:pPr>
        <w:pStyle w:val="ARbody"/>
      </w:pPr>
      <w:r>
        <w:t xml:space="preserve">The department </w:t>
      </w:r>
      <w:r w:rsidRPr="00F63571">
        <w:t>ensures these services provide safe</w:t>
      </w:r>
      <w:r>
        <w:t>, high-quality,</w:t>
      </w:r>
      <w:r w:rsidRPr="00F63571">
        <w:t xml:space="preserve"> patient-centred care, and that they are accessible and coordinated, with clear pathways and fewer barriers within and across services and sectors.</w:t>
      </w:r>
    </w:p>
    <w:p w:rsidR="0092299C" w:rsidRPr="00F63571" w:rsidRDefault="0092299C" w:rsidP="0092299C">
      <w:pPr>
        <w:pStyle w:val="Heading4"/>
      </w:pPr>
      <w:r w:rsidRPr="00F63571">
        <w:t>Addressing patient flow</w:t>
      </w:r>
    </w:p>
    <w:p w:rsidR="00AA035A" w:rsidRDefault="0092299C" w:rsidP="0092299C">
      <w:pPr>
        <w:pStyle w:val="ARbody"/>
      </w:pPr>
      <w:r w:rsidRPr="00F63571">
        <w:t xml:space="preserve">A collaborative approach between Better Care Victoria, health services and the department to address patient flow, timely access and </w:t>
      </w:r>
      <w:r>
        <w:t xml:space="preserve">better patient </w:t>
      </w:r>
      <w:r w:rsidRPr="00F63571">
        <w:t>outcomes through the emergency department is underway with 11 health services. Indicative results are positive, with participating hospitals showing significant improvement in the number of patients seen, treated or admitted within four hours, in a context of increased presentation</w:t>
      </w:r>
      <w:r>
        <w:t>s</w:t>
      </w:r>
      <w:r w:rsidRPr="00F63571">
        <w:t>.</w:t>
      </w:r>
    </w:p>
    <w:p w:rsidR="0092299C" w:rsidRDefault="0092299C" w:rsidP="0092299C">
      <w:pPr>
        <w:pStyle w:val="ARbody"/>
      </w:pPr>
      <w:r w:rsidRPr="00F63571">
        <w:t>The project is moving from a testing and trialling phase to sustaining the improvement</w:t>
      </w:r>
      <w:r>
        <w:t xml:space="preserve">s. Scaling to </w:t>
      </w:r>
      <w:r w:rsidRPr="00F63571">
        <w:t>other metro</w:t>
      </w:r>
      <w:r>
        <w:t>politan</w:t>
      </w:r>
      <w:r w:rsidRPr="00F63571">
        <w:t xml:space="preserve"> and regional health services</w:t>
      </w:r>
      <w:r>
        <w:t xml:space="preserve"> will occur in 2017</w:t>
      </w:r>
      <w:r w:rsidRPr="00F63571">
        <w:t>–</w:t>
      </w:r>
      <w:r>
        <w:t>18.</w:t>
      </w:r>
    </w:p>
    <w:p w:rsidR="0092299C" w:rsidRDefault="0092299C" w:rsidP="0092299C">
      <w:pPr>
        <w:pStyle w:val="Heading4"/>
      </w:pPr>
      <w:r>
        <w:t>Elective surgery</w:t>
      </w:r>
    </w:p>
    <w:p w:rsidR="0092299C" w:rsidRPr="00F63571" w:rsidRDefault="0092299C" w:rsidP="0092299C">
      <w:pPr>
        <w:pStyle w:val="ARbody"/>
      </w:pPr>
      <w:r>
        <w:t xml:space="preserve">As at 30 June 2017, there were 36,839 patients waiting for elective surgery. This is a significant improvement over the target of 38,498. This result was due to investment in health service capacity to admit more elective surgery patients. This result was achieved despite the addition of three new hospitals that reported elective surgery waiting lists in </w:t>
      </w:r>
      <w:r w:rsidRPr="00F63571">
        <w:t>2016–17</w:t>
      </w:r>
      <w:r>
        <w:t xml:space="preserve"> for the first time. Excluding these new health services, Albury Wodonga and South West Healthcare, this result would be the lowest wait list on record in Victoria.</w:t>
      </w:r>
    </w:p>
    <w:p w:rsidR="0092299C" w:rsidRPr="00F63571" w:rsidRDefault="0092299C" w:rsidP="0092299C">
      <w:pPr>
        <w:pStyle w:val="Heading4"/>
      </w:pPr>
      <w:r w:rsidRPr="00F63571">
        <w:t>Ambulance services</w:t>
      </w:r>
    </w:p>
    <w:p w:rsidR="0092299C" w:rsidRPr="00F63571" w:rsidRDefault="0092299C" w:rsidP="0092299C">
      <w:pPr>
        <w:pStyle w:val="Heading5"/>
      </w:pPr>
      <w:r w:rsidRPr="00F63571">
        <w:t>V</w:t>
      </w:r>
      <w:r>
        <w:t>ictoria’s ambulance action plan</w:t>
      </w:r>
    </w:p>
    <w:p w:rsidR="0092299C" w:rsidRDefault="0092299C" w:rsidP="0092299C">
      <w:pPr>
        <w:pStyle w:val="ARbody"/>
        <w:rPr>
          <w:lang w:eastAsia="en-AU"/>
        </w:rPr>
      </w:pPr>
      <w:r w:rsidRPr="00AD754B">
        <w:rPr>
          <w:i/>
          <w:iCs/>
          <w:lang w:eastAsia="en-AU"/>
        </w:rPr>
        <w:t>Victoria’s ambulance action plan</w:t>
      </w:r>
      <w:r>
        <w:rPr>
          <w:i/>
          <w:iCs/>
          <w:lang w:eastAsia="en-AU"/>
        </w:rPr>
        <w:t>:</w:t>
      </w:r>
      <w:r w:rsidRPr="00AD754B">
        <w:rPr>
          <w:i/>
          <w:iCs/>
          <w:lang w:eastAsia="en-AU"/>
        </w:rPr>
        <w:t xml:space="preserve"> improving services, saving lives</w:t>
      </w:r>
      <w:r w:rsidRPr="00464211">
        <w:rPr>
          <w:i/>
          <w:iCs/>
          <w:lang w:eastAsia="en-AU"/>
        </w:rPr>
        <w:t xml:space="preserve"> </w:t>
      </w:r>
      <w:r>
        <w:rPr>
          <w:lang w:eastAsia="en-AU"/>
        </w:rPr>
        <w:t xml:space="preserve">sets a clear agenda to </w:t>
      </w:r>
      <w:r w:rsidR="00112BB9">
        <w:rPr>
          <w:lang w:eastAsia="en-AU"/>
        </w:rPr>
        <w:br/>
      </w:r>
      <w:r>
        <w:rPr>
          <w:lang w:eastAsia="en-AU"/>
        </w:rPr>
        <w:t>re-establish Ambulance Victoria as a world-class emergency pre-hospital care and transport provider. Ambulance Victoria is continuing to lead the implementation of the action plan, in consultation with an advisory group including the Department of Health and Human Services.</w:t>
      </w:r>
    </w:p>
    <w:p w:rsidR="0092299C" w:rsidRPr="00F63571" w:rsidRDefault="0092299C" w:rsidP="0092299C">
      <w:pPr>
        <w:pStyle w:val="Heading5"/>
      </w:pPr>
      <w:r w:rsidRPr="00F63571">
        <w:lastRenderedPageBreak/>
        <w:t>Ambulance investment</w:t>
      </w:r>
    </w:p>
    <w:p w:rsidR="00AA035A" w:rsidRDefault="0092299C" w:rsidP="0092299C">
      <w:pPr>
        <w:pStyle w:val="ARbody"/>
      </w:pPr>
      <w:r w:rsidRPr="00F63571">
        <w:t>In November 2016, the government announced a $5</w:t>
      </w:r>
      <w:r>
        <w:t>00</w:t>
      </w:r>
      <w:r w:rsidRPr="00F63571">
        <w:t> million investment to improve ambulance response times.</w:t>
      </w:r>
    </w:p>
    <w:p w:rsidR="00AA035A" w:rsidRDefault="0092299C" w:rsidP="0092299C">
      <w:pPr>
        <w:pStyle w:val="ARbody"/>
      </w:pPr>
      <w:r w:rsidRPr="00F63571">
        <w:t>Ambulance Victoria has commenced recruitment of 450 new paramedics over the next three years, and established 20 new ambulance resources across the state.</w:t>
      </w:r>
    </w:p>
    <w:p w:rsidR="00AA035A" w:rsidRDefault="0092299C" w:rsidP="0092299C">
      <w:pPr>
        <w:pStyle w:val="ARbody"/>
      </w:pPr>
      <w:r w:rsidRPr="00F63571">
        <w:t xml:space="preserve">The funding also </w:t>
      </w:r>
      <w:r>
        <w:t>provided</w:t>
      </w:r>
      <w:r w:rsidRPr="00F63571">
        <w:t xml:space="preserve"> 12 new non-emergency patient transport resources, and </w:t>
      </w:r>
      <w:r>
        <w:t>enabled preparation</w:t>
      </w:r>
      <w:r w:rsidRPr="00F63571">
        <w:t xml:space="preserve"> for the launch of six new super response centres in 2017–18.</w:t>
      </w:r>
    </w:p>
    <w:p w:rsidR="0092299C" w:rsidRPr="00F63571" w:rsidRDefault="0092299C" w:rsidP="0092299C">
      <w:pPr>
        <w:pStyle w:val="ARbody"/>
      </w:pPr>
      <w:r>
        <w:rPr>
          <w:rFonts w:ascii="Helv" w:hAnsi="Helv" w:cs="Helv"/>
          <w:color w:val="000000"/>
          <w:szCs w:val="20"/>
          <w:lang w:eastAsia="en-AU"/>
        </w:rPr>
        <w:t xml:space="preserve">The </w:t>
      </w:r>
      <w:proofErr w:type="spellStart"/>
      <w:r>
        <w:rPr>
          <w:rFonts w:ascii="Helv" w:hAnsi="Helv" w:cs="Helv"/>
          <w:color w:val="000000"/>
          <w:szCs w:val="20"/>
          <w:lang w:eastAsia="en-AU"/>
        </w:rPr>
        <w:t>statewide</w:t>
      </w:r>
      <w:proofErr w:type="spellEnd"/>
      <w:r>
        <w:rPr>
          <w:rFonts w:ascii="Helv" w:hAnsi="Helv" w:cs="Helv"/>
          <w:color w:val="000000"/>
          <w:szCs w:val="20"/>
          <w:lang w:eastAsia="en-AU"/>
        </w:rPr>
        <w:t xml:space="preserve"> Code 1 response performance data for quarter 4, 2016–17 was 81 per cent, which is the first time in seven years that consecutive quarterly performance has been 80 per cent or better, and represents a 6 per cent improvement over the same time last year. </w:t>
      </w:r>
      <w:r>
        <w:t xml:space="preserve">This result is due to </w:t>
      </w:r>
      <w:r w:rsidRPr="00F63571">
        <w:t>the revised clinical response model, along with government investment</w:t>
      </w:r>
      <w:r>
        <w:t>.</w:t>
      </w:r>
    </w:p>
    <w:p w:rsidR="00AA035A" w:rsidRDefault="0092299C" w:rsidP="0092299C">
      <w:pPr>
        <w:pStyle w:val="Heading4"/>
      </w:pPr>
      <w:r w:rsidRPr="00F63571">
        <w:t>Small rural health services</w:t>
      </w:r>
    </w:p>
    <w:p w:rsidR="0092299C" w:rsidRPr="00D428E7" w:rsidRDefault="0092299C" w:rsidP="0092299C">
      <w:pPr>
        <w:pStyle w:val="ARbody"/>
      </w:pPr>
      <w:r w:rsidRPr="00F63571">
        <w:t xml:space="preserve">Through establishment of Rural and Regional Health Partnerships, small rural health services in Victoria </w:t>
      </w:r>
      <w:r>
        <w:t>have</w:t>
      </w:r>
      <w:r w:rsidRPr="00F63571">
        <w:t xml:space="preserve"> commenced </w:t>
      </w:r>
      <w:r>
        <w:t>a new approach</w:t>
      </w:r>
      <w:r w:rsidRPr="00F63571">
        <w:t xml:space="preserve"> to health service provision and clinical governance, which will deliver better patient care across the regional system. There </w:t>
      </w:r>
      <w:r>
        <w:t>have</w:t>
      </w:r>
      <w:r w:rsidRPr="00F63571">
        <w:t xml:space="preserve"> also been significant increases to the number of clinicians on the boards of small rural health services.</w:t>
      </w:r>
    </w:p>
    <w:p w:rsidR="00AA035A" w:rsidRDefault="0092299C" w:rsidP="0092299C">
      <w:pPr>
        <w:pStyle w:val="ARbody"/>
      </w:pPr>
      <w:r>
        <w:t xml:space="preserve">In </w:t>
      </w:r>
      <w:r w:rsidRPr="00F63571">
        <w:t>2016–17</w:t>
      </w:r>
      <w:r>
        <w:t>, t</w:t>
      </w:r>
      <w:r w:rsidRPr="00F63571">
        <w:t xml:space="preserve">he department reviewed data definitions and guidelines for primary care, urgent care and outpatient services in order to improve standardisation of data and reporting practices across small rural health services. </w:t>
      </w:r>
      <w:r>
        <w:t>S</w:t>
      </w:r>
      <w:r w:rsidRPr="00F63571">
        <w:t>mall rural health services</w:t>
      </w:r>
      <w:r>
        <w:t xml:space="preserve"> focused</w:t>
      </w:r>
      <w:r w:rsidRPr="00F63571">
        <w:t xml:space="preserve"> on improving the completeness and accuracy of their data submissions.</w:t>
      </w:r>
    </w:p>
    <w:p w:rsidR="0092299C" w:rsidRPr="00F63571" w:rsidRDefault="0092299C" w:rsidP="0092299C">
      <w:pPr>
        <w:pStyle w:val="ARbody"/>
      </w:pPr>
      <w:r w:rsidRPr="00F63571">
        <w:t xml:space="preserve">More accurate data will inform the delivery of a proposed new funding model </w:t>
      </w:r>
      <w:r>
        <w:t>to</w:t>
      </w:r>
      <w:r w:rsidRPr="00F63571">
        <w:t xml:space="preserve"> give small rural health services the flexibility they need to best meet the needs of their communities, as well as improv</w:t>
      </w:r>
      <w:r>
        <w:t>e</w:t>
      </w:r>
      <w:r w:rsidRPr="00F63571">
        <w:t xml:space="preserve"> accountability.</w:t>
      </w:r>
    </w:p>
    <w:p w:rsidR="0092299C" w:rsidRPr="00F63571" w:rsidRDefault="0092299C" w:rsidP="0092299C">
      <w:pPr>
        <w:pStyle w:val="ARbody"/>
      </w:pPr>
      <w:r w:rsidRPr="00F63571">
        <w:t xml:space="preserve">While the existing funding model was retained in 2016–17, the first steps towards the new model were made, with a proportion of the growth funding to small rural health services allocated </w:t>
      </w:r>
      <w:r>
        <w:t>according to</w:t>
      </w:r>
      <w:r w:rsidRPr="00F63571">
        <w:t xml:space="preserve"> the new approach.</w:t>
      </w:r>
    </w:p>
    <w:p w:rsidR="0092299C" w:rsidRPr="00F63571" w:rsidRDefault="0092299C" w:rsidP="0092299C">
      <w:pPr>
        <w:pStyle w:val="Heading4"/>
      </w:pPr>
      <w:r w:rsidRPr="00F63571">
        <w:lastRenderedPageBreak/>
        <w:t>Mental health</w:t>
      </w:r>
    </w:p>
    <w:p w:rsidR="00AA035A" w:rsidRDefault="0092299C" w:rsidP="0092299C">
      <w:pPr>
        <w:pStyle w:val="Heading5"/>
      </w:pPr>
      <w:r w:rsidRPr="00F63571">
        <w:t>Clinical care</w:t>
      </w:r>
    </w:p>
    <w:p w:rsidR="00AA035A" w:rsidRDefault="0092299C" w:rsidP="0092299C">
      <w:pPr>
        <w:pStyle w:val="ARbody"/>
      </w:pPr>
      <w:r>
        <w:t>The opening of 41 new beds mitigated s</w:t>
      </w:r>
      <w:r w:rsidRPr="00F63571">
        <w:t xml:space="preserve">ome </w:t>
      </w:r>
      <w:r>
        <w:t xml:space="preserve">of the </w:t>
      </w:r>
      <w:r w:rsidRPr="00F63571">
        <w:t xml:space="preserve">pressure on acute </w:t>
      </w:r>
      <w:r>
        <w:t xml:space="preserve">mental health </w:t>
      </w:r>
      <w:r w:rsidRPr="00F63571">
        <w:t>services, caused largely by population-based growth</w:t>
      </w:r>
      <w:r w:rsidRPr="007A6F28">
        <w:t>. Other</w:t>
      </w:r>
      <w:r w:rsidRPr="00F63571">
        <w:t xml:space="preserve"> initiatives, such as emergency department redesign and partnerships with Victoria Police, assist</w:t>
      </w:r>
      <w:r>
        <w:t>ed</w:t>
      </w:r>
      <w:r w:rsidRPr="00F63571">
        <w:t xml:space="preserve"> in managing and diverting presentations. There </w:t>
      </w:r>
      <w:r>
        <w:t>w</w:t>
      </w:r>
      <w:r w:rsidRPr="00F63571">
        <w:t>as also a concerted focus on post-discharge follow-up within seven days to improve outcomes for people returning home after acute admission.</w:t>
      </w:r>
    </w:p>
    <w:p w:rsidR="0092299C" w:rsidRDefault="0092299C" w:rsidP="0092299C">
      <w:pPr>
        <w:pStyle w:val="ARbody"/>
      </w:pPr>
      <w:r w:rsidRPr="00F63571">
        <w:t>Incidents of seclusion continue to be at very low levels, which is an important result, given the high throughput of patients and the fact that people who are admitted to inpa</w:t>
      </w:r>
      <w:r>
        <w:t>tient services have high needs.</w:t>
      </w:r>
    </w:p>
    <w:p w:rsidR="00AA035A" w:rsidRDefault="0092299C" w:rsidP="0092299C">
      <w:pPr>
        <w:pStyle w:val="Heading5"/>
      </w:pPr>
      <w:r w:rsidRPr="00F63571">
        <w:t>Mental Health Community Support Services</w:t>
      </w:r>
    </w:p>
    <w:p w:rsidR="00AA035A" w:rsidRDefault="0092299C" w:rsidP="0092299C">
      <w:pPr>
        <w:pStyle w:val="ARbody"/>
      </w:pPr>
      <w:r w:rsidRPr="00F63571">
        <w:t>A significant proportion of Mental Health Community Support Service programs will transition to the National Disability Insurance Scheme. The transition commenced on 1 July 2016, and will continue to be phased in until 30</w:t>
      </w:r>
      <w:r>
        <w:t> </w:t>
      </w:r>
      <w:r w:rsidRPr="00F63571">
        <w:t>June 2019.</w:t>
      </w:r>
    </w:p>
    <w:p w:rsidR="0092299C" w:rsidRPr="00F63571" w:rsidRDefault="0092299C" w:rsidP="0092299C">
      <w:pPr>
        <w:pStyle w:val="Heading5"/>
      </w:pPr>
      <w:r w:rsidRPr="00F63571">
        <w:t>Mental health workforce</w:t>
      </w:r>
    </w:p>
    <w:p w:rsidR="0092299C" w:rsidRPr="00F63571" w:rsidRDefault="0092299C" w:rsidP="0092299C">
      <w:pPr>
        <w:pStyle w:val="ARbody"/>
        <w:rPr>
          <w:i/>
          <w:lang w:eastAsia="en-AU"/>
        </w:rPr>
      </w:pPr>
      <w:r w:rsidRPr="00F63571">
        <w:rPr>
          <w:lang w:eastAsia="en-AU"/>
        </w:rPr>
        <w:t xml:space="preserve">The </w:t>
      </w:r>
      <w:r w:rsidRPr="00F63571">
        <w:rPr>
          <w:i/>
          <w:lang w:eastAsia="en-AU"/>
        </w:rPr>
        <w:t>Mental health workforce strategy</w:t>
      </w:r>
      <w:r w:rsidRPr="00F63571">
        <w:rPr>
          <w:lang w:eastAsia="en-AU"/>
        </w:rPr>
        <w:t> </w:t>
      </w:r>
      <w:r>
        <w:rPr>
          <w:lang w:eastAsia="en-AU"/>
        </w:rPr>
        <w:t xml:space="preserve">was </w:t>
      </w:r>
      <w:r w:rsidRPr="00F63571">
        <w:rPr>
          <w:lang w:eastAsia="en-AU"/>
        </w:rPr>
        <w:t>released in July 2016</w:t>
      </w:r>
      <w:r>
        <w:rPr>
          <w:lang w:eastAsia="en-AU"/>
        </w:rPr>
        <w:t>. It is strengthening</w:t>
      </w:r>
      <w:r w:rsidRPr="00F63571">
        <w:rPr>
          <w:lang w:eastAsia="en-AU"/>
        </w:rPr>
        <w:t xml:space="preserve"> the mental health workforce in a rapidly changing environment characterised by growing demand, increasingly diverse and complex clients, and an ageing population. The workforce strategy is </w:t>
      </w:r>
      <w:r>
        <w:rPr>
          <w:lang w:eastAsia="en-AU"/>
        </w:rPr>
        <w:t xml:space="preserve">part of </w:t>
      </w:r>
      <w:r w:rsidRPr="00F63571">
        <w:rPr>
          <w:i/>
          <w:lang w:eastAsia="en-AU"/>
        </w:rPr>
        <w:t>Victoria's 10-year mental health plan</w:t>
      </w:r>
      <w:r w:rsidRPr="00F63571">
        <w:rPr>
          <w:lang w:eastAsia="en-AU"/>
        </w:rPr>
        <w:t>.</w:t>
      </w:r>
    </w:p>
    <w:p w:rsidR="0092299C" w:rsidRPr="00F63571" w:rsidRDefault="0092299C" w:rsidP="0092299C">
      <w:pPr>
        <w:pStyle w:val="Heading4"/>
      </w:pPr>
      <w:r w:rsidRPr="00F63571">
        <w:t>Innovation in healthcare</w:t>
      </w:r>
    </w:p>
    <w:p w:rsidR="00AA035A" w:rsidRDefault="0092299C" w:rsidP="0092299C">
      <w:pPr>
        <w:pStyle w:val="ARbody"/>
      </w:pPr>
      <w:r>
        <w:t xml:space="preserve">The department has been developing </w:t>
      </w:r>
      <w:r w:rsidRPr="00F63571">
        <w:t xml:space="preserve">a </w:t>
      </w:r>
      <w:proofErr w:type="spellStart"/>
      <w:r>
        <w:t>s</w:t>
      </w:r>
      <w:r w:rsidRPr="00915516">
        <w:t>tatewide</w:t>
      </w:r>
      <w:proofErr w:type="spellEnd"/>
      <w:r w:rsidRPr="00915516">
        <w:t xml:space="preserve"> design, service and infrastructure plan</w:t>
      </w:r>
      <w:r w:rsidRPr="00F63571">
        <w:t xml:space="preserve"> in 2016–17, guided by a Ministerial Advisory Council comprising health service board chairs, chief executive officers, clinicians, health sector academics and independent experts.</w:t>
      </w:r>
    </w:p>
    <w:p w:rsidR="0092299C" w:rsidRPr="00F63571" w:rsidRDefault="0092299C" w:rsidP="0092299C">
      <w:pPr>
        <w:pStyle w:val="ARbody"/>
      </w:pPr>
      <w:r w:rsidRPr="00F63571">
        <w:t>Work on a series of supporting plans for major clinical streams and localities across the state also continued, building on the release of a design, service and infrastructure plan for Victoria’s cardiac system in May 2016.</w:t>
      </w:r>
    </w:p>
    <w:p w:rsidR="00AA035A" w:rsidRDefault="0092299C" w:rsidP="0092299C">
      <w:pPr>
        <w:pStyle w:val="ARbody"/>
      </w:pPr>
      <w:r w:rsidRPr="00F63571">
        <w:t>In 2016–17, the department continued to develop alternative funding and service delivery approaches to increase out-of-hospital care and respond to growing demand from Victorians with chronic disease and complex care needs.</w:t>
      </w:r>
    </w:p>
    <w:p w:rsidR="0092299C" w:rsidRPr="00F63571" w:rsidRDefault="0092299C" w:rsidP="0092299C">
      <w:pPr>
        <w:pStyle w:val="Heading5"/>
      </w:pPr>
      <w:proofErr w:type="spellStart"/>
      <w:r w:rsidRPr="00F63571">
        <w:lastRenderedPageBreak/>
        <w:t>HealthLinks</w:t>
      </w:r>
      <w:proofErr w:type="spellEnd"/>
      <w:r w:rsidRPr="00F63571">
        <w:t xml:space="preserve"> Chronic Care trial</w:t>
      </w:r>
    </w:p>
    <w:p w:rsidR="00AA035A" w:rsidRDefault="0092299C" w:rsidP="0092299C">
      <w:pPr>
        <w:pStyle w:val="ARbody"/>
      </w:pPr>
      <w:r>
        <w:t>T</w:t>
      </w:r>
      <w:r w:rsidRPr="00F63571">
        <w:t xml:space="preserve">he </w:t>
      </w:r>
      <w:proofErr w:type="spellStart"/>
      <w:r w:rsidRPr="00F63571">
        <w:t>HealthLinks</w:t>
      </w:r>
      <w:proofErr w:type="spellEnd"/>
      <w:r w:rsidRPr="00F63571">
        <w:t xml:space="preserve"> Chronic Care trial commenced in 2016–17 to determine</w:t>
      </w:r>
      <w:r>
        <w:t xml:space="preserve"> whether</w:t>
      </w:r>
      <w:r w:rsidRPr="00F63571">
        <w:t xml:space="preserve"> greater funding flexibility enables health services to develop innovative models of care for complex and chronic conditions.</w:t>
      </w:r>
    </w:p>
    <w:p w:rsidR="0092299C" w:rsidRPr="00F63571" w:rsidRDefault="0092299C" w:rsidP="0092299C">
      <w:pPr>
        <w:pStyle w:val="ARbody"/>
      </w:pPr>
      <w:r w:rsidRPr="00F63571">
        <w:t>Four health services commenced the trial with the aim of improving patient outcomes by delivering a more comprehensive and integrated mix of services at no additional cost to the public health system.</w:t>
      </w:r>
    </w:p>
    <w:tbl>
      <w:tblPr>
        <w:tblW w:w="4593"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593"/>
      </w:tblGrid>
      <w:tr w:rsidR="0092299C" w:rsidRPr="00F63571" w:rsidTr="0092299C">
        <w:tc>
          <w:tcPr>
            <w:tcW w:w="4593" w:type="dxa"/>
            <w:tcBorders>
              <w:top w:val="single" w:sz="4" w:space="0" w:color="004C97"/>
              <w:left w:val="single" w:sz="4" w:space="0" w:color="004C97"/>
              <w:bottom w:val="single" w:sz="4" w:space="0" w:color="004C97"/>
              <w:right w:val="single" w:sz="4" w:space="0" w:color="004C97"/>
            </w:tcBorders>
            <w:shd w:val="clear" w:color="auto" w:fill="auto"/>
          </w:tcPr>
          <w:p w:rsidR="0092299C" w:rsidRPr="00F63571" w:rsidRDefault="0092299C" w:rsidP="0092299C">
            <w:pPr>
              <w:pStyle w:val="ARcasestudysubhead"/>
              <w:rPr>
                <w:lang w:val="en-AU"/>
              </w:rPr>
            </w:pPr>
            <w:r w:rsidRPr="00F63571">
              <w:rPr>
                <w:lang w:val="en-AU"/>
              </w:rPr>
              <w:t>Aged persons mental health</w:t>
            </w:r>
          </w:p>
          <w:p w:rsidR="0092299C" w:rsidRPr="00F63571" w:rsidRDefault="0092299C" w:rsidP="0092299C">
            <w:pPr>
              <w:pStyle w:val="ARcasestudytext"/>
            </w:pPr>
            <w:r w:rsidRPr="00F63571">
              <w:rPr>
                <w:lang w:eastAsia="en-US"/>
              </w:rPr>
              <w:t xml:space="preserve">Through a family meeting facilitated by the Aged Persons Mental Health team at Bundoora Extended Care Centre, an elderly woman with severe depression and a decline in her memory and physical health was able to reconnect with her estranged family. The single-session family consultation was led by the consultant psychiatrist and a social worker, and it allowed the family to gain a better understanding of each other’s experiences. As a result, the process of rebuilding relationships could begin. </w:t>
            </w:r>
          </w:p>
        </w:tc>
      </w:tr>
    </w:tbl>
    <w:p w:rsidR="0092299C" w:rsidRPr="00F63571" w:rsidRDefault="0092299C" w:rsidP="0092299C">
      <w:pPr>
        <w:pStyle w:val="Heading4"/>
      </w:pPr>
      <w:r w:rsidRPr="00F63571">
        <w:t>Occupational violence</w:t>
      </w:r>
    </w:p>
    <w:p w:rsidR="00AA035A" w:rsidRDefault="0092299C" w:rsidP="0092299C">
      <w:pPr>
        <w:pStyle w:val="ARbody"/>
      </w:pPr>
      <w:r w:rsidRPr="00F63571">
        <w:t>The department is implementing the recommendations of the Violence in Healthcare Taskforce</w:t>
      </w:r>
      <w:r w:rsidR="000B6B03">
        <w:t xml:space="preserve">. The taskforce </w:t>
      </w:r>
      <w:r w:rsidRPr="00F63571">
        <w:t>was established in 2015 to identify issues and opportunities to reduce violence in Victorian hospitals and to support implementation of the government’s election commitments.</w:t>
      </w:r>
    </w:p>
    <w:p w:rsidR="0092299C" w:rsidRDefault="0092299C" w:rsidP="0092299C">
      <w:pPr>
        <w:pStyle w:val="ARbody"/>
      </w:pPr>
      <w:r w:rsidRPr="00F63571">
        <w:t>The work undertaken in 2016–17 to improve the prevention, management and response to occupational violence and aggression, and to make Victoria's hospitals safer and more secure for staff, patients and visitors, included</w:t>
      </w:r>
      <w:r>
        <w:t>:</w:t>
      </w:r>
    </w:p>
    <w:p w:rsidR="0092299C" w:rsidRPr="0055296A" w:rsidRDefault="0092299C" w:rsidP="0092299C">
      <w:pPr>
        <w:pStyle w:val="ARbullet1"/>
        <w:rPr>
          <w:rFonts w:ascii="Helvetica" w:hAnsi="Helvetica"/>
          <w:sz w:val="18"/>
          <w:szCs w:val="18"/>
        </w:rPr>
      </w:pPr>
      <w:r w:rsidRPr="00F63571">
        <w:t xml:space="preserve">the launch of a joint public awareness campaign between </w:t>
      </w:r>
      <w:proofErr w:type="spellStart"/>
      <w:r w:rsidRPr="00F63571">
        <w:t>WorkSafe</w:t>
      </w:r>
      <w:proofErr w:type="spellEnd"/>
      <w:r w:rsidRPr="00F63571">
        <w:t xml:space="preserve"> and the department, with the message that aggression and violence against healthcare workers is 'never OK'</w:t>
      </w:r>
    </w:p>
    <w:p w:rsidR="0092299C" w:rsidRPr="00973872" w:rsidRDefault="0092299C">
      <w:pPr>
        <w:pStyle w:val="ARbullet1"/>
        <w:rPr>
          <w:rFonts w:ascii="Helvetica" w:hAnsi="Helvetica"/>
          <w:sz w:val="18"/>
          <w:szCs w:val="18"/>
        </w:rPr>
      </w:pPr>
      <w:r w:rsidRPr="00F63571">
        <w:t xml:space="preserve">a framework for health services to prevent and manage occupational violence and aggression, a review of code grey and black responses, guiding principles for </w:t>
      </w:r>
      <w:r w:rsidRPr="00C16CF1">
        <w:t>occupational</w:t>
      </w:r>
      <w:r w:rsidRPr="00F63571">
        <w:t xml:space="preserve"> violence, and aggression training and guidelines on behavioural assessment rooms</w:t>
      </w:r>
    </w:p>
    <w:p w:rsidR="0092299C" w:rsidRPr="001F2E2D" w:rsidRDefault="0092299C">
      <w:pPr>
        <w:pStyle w:val="ARbullet1"/>
      </w:pPr>
      <w:r w:rsidRPr="001F2E2D">
        <w:t>roll out of projects under the health service violence prevention fund, including a trial of stab-proof vests and body-worn cameras.</w:t>
      </w:r>
    </w:p>
    <w:p w:rsidR="00694703" w:rsidRPr="00694703" w:rsidRDefault="00694703" w:rsidP="00694703">
      <w:pPr>
        <w:pStyle w:val="ARbody"/>
      </w:pPr>
      <w:r w:rsidRPr="00694703">
        <w:br w:type="page"/>
      </w:r>
    </w:p>
    <w:p w:rsidR="0092299C" w:rsidRPr="00896C3E" w:rsidRDefault="0092299C">
      <w:pPr>
        <w:pStyle w:val="ARbodyafterbullets"/>
      </w:pPr>
      <w:r w:rsidRPr="00896C3E">
        <w:lastRenderedPageBreak/>
        <w:t>In June 2017, the government doubled the funding to improve the safety and security of public hospitals, including mental health facilities. This additional investment of $20 million will establish and upgrade behavioural assessment rooms in emergency departments and boost security personnel at hospitals with emergency departments and hot spots for violence and aggression.</w:t>
      </w:r>
    </w:p>
    <w:p w:rsidR="0092299C" w:rsidRPr="00F63571" w:rsidRDefault="0092299C" w:rsidP="0092299C">
      <w:pPr>
        <w:pStyle w:val="Heading4"/>
      </w:pPr>
      <w:r w:rsidRPr="00F63571">
        <w:t>Better Care Victoria innovation projects</w:t>
      </w:r>
    </w:p>
    <w:p w:rsidR="0092299C" w:rsidRPr="00F63571" w:rsidRDefault="0092299C" w:rsidP="0092299C">
      <w:pPr>
        <w:pStyle w:val="ARbody"/>
      </w:pPr>
      <w:r w:rsidRPr="00915516">
        <w:rPr>
          <w:lang w:eastAsia="en-AU"/>
        </w:rPr>
        <w:t>In 20</w:t>
      </w:r>
      <w:r>
        <w:rPr>
          <w:lang w:eastAsia="en-AU"/>
        </w:rPr>
        <w:t>16–17</w:t>
      </w:r>
      <w:r w:rsidRPr="00915516">
        <w:rPr>
          <w:lang w:eastAsia="en-AU"/>
        </w:rPr>
        <w:t xml:space="preserve">, the department continued to trial an alternative funding approach for specialist clinics, which aimed to </w:t>
      </w:r>
      <w:r w:rsidRPr="00E4624B">
        <w:t>support</w:t>
      </w:r>
      <w:r w:rsidRPr="00915516">
        <w:rPr>
          <w:lang w:eastAsia="en-AU"/>
        </w:rPr>
        <w:t xml:space="preserve"> more effective service delivery models</w:t>
      </w:r>
      <w:r>
        <w:rPr>
          <w:lang w:eastAsia="en-AU"/>
        </w:rPr>
        <w:t xml:space="preserve"> in response</w:t>
      </w:r>
      <w:r w:rsidRPr="00915516">
        <w:rPr>
          <w:lang w:eastAsia="en-AU"/>
        </w:rPr>
        <w:t xml:space="preserve"> to growing demand from Victorians with chronic disease and complex care needs.</w:t>
      </w:r>
      <w:r>
        <w:rPr>
          <w:lang w:eastAsia="en-AU"/>
        </w:rPr>
        <w:t xml:space="preserve"> </w:t>
      </w:r>
      <w:r w:rsidRPr="00F63571">
        <w:t>These projects focus</w:t>
      </w:r>
      <w:r>
        <w:t>ed</w:t>
      </w:r>
      <w:r w:rsidRPr="00F63571">
        <w:t xml:space="preserve"> on:</w:t>
      </w:r>
    </w:p>
    <w:p w:rsidR="0092299C" w:rsidRDefault="0092299C" w:rsidP="0092299C">
      <w:pPr>
        <w:pStyle w:val="ARbullet1"/>
      </w:pPr>
      <w:r w:rsidRPr="00F63571">
        <w:t>improving the way patients access and experience Victoria’s acute health services</w:t>
      </w:r>
    </w:p>
    <w:p w:rsidR="0092299C" w:rsidRPr="00915516" w:rsidRDefault="0092299C" w:rsidP="0092299C">
      <w:pPr>
        <w:pStyle w:val="ARbullet1"/>
      </w:pPr>
      <w:r w:rsidRPr="00915516">
        <w:t>changing the way outpatient services are delivered, and improving timely access to care</w:t>
      </w:r>
    </w:p>
    <w:p w:rsidR="0092299C" w:rsidRPr="00915516" w:rsidRDefault="0092299C" w:rsidP="0092299C">
      <w:pPr>
        <w:pStyle w:val="ARbullet1"/>
      </w:pPr>
      <w:r w:rsidRPr="00915516">
        <w:t>improving the accessibility and experience of community-based care</w:t>
      </w:r>
    </w:p>
    <w:p w:rsidR="0092299C" w:rsidRPr="00915516" w:rsidRDefault="0092299C" w:rsidP="006F1F77">
      <w:pPr>
        <w:pStyle w:val="ARbullet1"/>
      </w:pPr>
      <w:r w:rsidRPr="00915516">
        <w:t>improving care options and flexibility for patients with cancer, and the way maternity care is delivered.</w:t>
      </w:r>
    </w:p>
    <w:p w:rsidR="00AA035A" w:rsidRDefault="0092299C" w:rsidP="006F1F77">
      <w:pPr>
        <w:pStyle w:val="ARbodyafterbullets"/>
      </w:pPr>
      <w:r w:rsidRPr="00915516">
        <w:t>In 2016–17, the department also continued to develop alternative funding and service delivery approaches to increase out-of-hospital care and respond more effectively to growing demand from Victorians with chronic disease and complex care needs.</w:t>
      </w:r>
    </w:p>
    <w:p w:rsidR="0092299C" w:rsidRPr="00F63571" w:rsidRDefault="0092299C" w:rsidP="0092299C">
      <w:pPr>
        <w:pStyle w:val="Heading4"/>
      </w:pPr>
      <w:bookmarkStart w:id="19" w:name="_Ref492915406"/>
      <w:r w:rsidRPr="00F63571">
        <w:t>Medicinal cannabis</w:t>
      </w:r>
      <w:bookmarkEnd w:id="19"/>
    </w:p>
    <w:p w:rsidR="0092299C" w:rsidRPr="00F63571" w:rsidRDefault="0092299C" w:rsidP="0092299C">
      <w:pPr>
        <w:pStyle w:val="ARbody"/>
      </w:pPr>
      <w:r w:rsidRPr="00F63571">
        <w:t xml:space="preserve">The </w:t>
      </w:r>
      <w:r w:rsidRPr="00F63571">
        <w:rPr>
          <w:i/>
        </w:rPr>
        <w:t>Access to Medicinal Cannabis Act 2016</w:t>
      </w:r>
      <w:r w:rsidRPr="00F63571">
        <w:t xml:space="preserve"> </w:t>
      </w:r>
      <w:r>
        <w:t xml:space="preserve">was </w:t>
      </w:r>
      <w:r w:rsidRPr="00F63571">
        <w:t xml:space="preserve">passed </w:t>
      </w:r>
      <w:r>
        <w:t xml:space="preserve">by </w:t>
      </w:r>
      <w:r w:rsidRPr="00F63571">
        <w:t>the Victorian Parliament on 12 April 2016.</w:t>
      </w:r>
    </w:p>
    <w:p w:rsidR="0092299C" w:rsidRPr="00F63571" w:rsidRDefault="0092299C" w:rsidP="0092299C">
      <w:pPr>
        <w:pStyle w:val="ARbody"/>
      </w:pPr>
      <w:r w:rsidRPr="00F63571">
        <w:t>In August 2016, the Office of Medicinal Cannabis and the Independent Medical Advisory Committee on Medicinal Cannabis were established.</w:t>
      </w:r>
    </w:p>
    <w:p w:rsidR="00AA035A" w:rsidRDefault="0092299C" w:rsidP="0092299C">
      <w:pPr>
        <w:pStyle w:val="ARbody"/>
      </w:pPr>
      <w:r w:rsidRPr="00F63571">
        <w:t xml:space="preserve">The government began delivering medicinal cannabis to children with severe intractable epilepsy in March 2017, with the commencement </w:t>
      </w:r>
      <w:r w:rsidR="00112BB9">
        <w:br/>
      </w:r>
      <w:r w:rsidRPr="00F63571">
        <w:t>of an early compassionate access program using imported medicinal cannabis.</w:t>
      </w:r>
    </w:p>
    <w:p w:rsidR="0092299C" w:rsidRPr="00F63571" w:rsidRDefault="0092299C" w:rsidP="0092299C">
      <w:pPr>
        <w:pStyle w:val="ARbody"/>
      </w:pPr>
      <w:r w:rsidRPr="00F63571">
        <w:t xml:space="preserve">In addition, the government has continued to implement Victoria’s patient access scheme, and </w:t>
      </w:r>
      <w:r w:rsidR="00112BB9">
        <w:br/>
      </w:r>
      <w:r w:rsidRPr="00F63571">
        <w:lastRenderedPageBreak/>
        <w:t>to develop its own medicinal cannabis product to increase access to medicinal cannabis for children with intractable epilepsy.</w:t>
      </w:r>
    </w:p>
    <w:p w:rsidR="0092299C" w:rsidRPr="00F63571" w:rsidRDefault="0092299C" w:rsidP="0092299C">
      <w:pPr>
        <w:pStyle w:val="Heading4"/>
      </w:pPr>
      <w:proofErr w:type="spellStart"/>
      <w:r w:rsidRPr="00F63571">
        <w:t>Supercare</w:t>
      </w:r>
      <w:proofErr w:type="spellEnd"/>
      <w:r w:rsidRPr="00F63571">
        <w:t xml:space="preserve"> Pharmacies Initiative</w:t>
      </w:r>
    </w:p>
    <w:p w:rsidR="00AA035A" w:rsidRDefault="0092299C" w:rsidP="0092299C">
      <w:pPr>
        <w:pStyle w:val="ARbody"/>
      </w:pPr>
      <w:r w:rsidRPr="00D069B1">
        <w:t xml:space="preserve">The </w:t>
      </w:r>
      <w:proofErr w:type="spellStart"/>
      <w:r w:rsidRPr="00D069B1">
        <w:t>Supercare</w:t>
      </w:r>
      <w:proofErr w:type="spellEnd"/>
      <w:r w:rsidRPr="00D069B1">
        <w:t xml:space="preserve"> Pharmacies Initiative is an election commitment to support 20 pharmacies to operate 24 hours a day, seven days a week with a nurse in attendance from 6</w:t>
      </w:r>
      <w:r w:rsidR="000B6B03">
        <w:t>:00 pm</w:t>
      </w:r>
      <w:r w:rsidRPr="00D069B1">
        <w:t xml:space="preserve"> to 10</w:t>
      </w:r>
      <w:r w:rsidR="000B6B03">
        <w:t>:00</w:t>
      </w:r>
      <w:r w:rsidRPr="00D069B1">
        <w:t xml:space="preserve"> pm each evening.</w:t>
      </w:r>
    </w:p>
    <w:p w:rsidR="0092299C" w:rsidRPr="00D069B1" w:rsidRDefault="0092299C" w:rsidP="0092299C">
      <w:pPr>
        <w:pStyle w:val="ARbody"/>
      </w:pPr>
      <w:r w:rsidRPr="00D069B1">
        <w:t xml:space="preserve">Twelve </w:t>
      </w:r>
      <w:proofErr w:type="spellStart"/>
      <w:r w:rsidRPr="00D069B1">
        <w:t>Supercare</w:t>
      </w:r>
      <w:proofErr w:type="spellEnd"/>
      <w:r w:rsidRPr="00D069B1">
        <w:t xml:space="preserve"> Pharmacies are now open 24 hours a day, 7 days a week. The first five </w:t>
      </w:r>
      <w:proofErr w:type="spellStart"/>
      <w:r w:rsidRPr="00D069B1">
        <w:t>Supercare</w:t>
      </w:r>
      <w:proofErr w:type="spellEnd"/>
      <w:r w:rsidRPr="00D069B1">
        <w:t xml:space="preserve"> Pharmacies commenced 24/7 operation in mid-2016 and are located at Ballarat, Craigieburn, Yarraville, </w:t>
      </w:r>
      <w:r>
        <w:t>Ascot Vale and Wantirna South.</w:t>
      </w:r>
      <w:r w:rsidRPr="00D069B1">
        <w:t xml:space="preserve"> A total of 60,693 pharmacy visits and 3,862 episodes of nursing care have been provided at these pharmacies since commencement in June 2016.</w:t>
      </w:r>
    </w:p>
    <w:p w:rsidR="0092299C" w:rsidRPr="00F63571" w:rsidRDefault="0092299C" w:rsidP="0092299C">
      <w:pPr>
        <w:pStyle w:val="ARbody"/>
      </w:pPr>
      <w:r w:rsidRPr="00D069B1">
        <w:t xml:space="preserve">On 1 July 2017, another seven </w:t>
      </w:r>
      <w:proofErr w:type="spellStart"/>
      <w:r w:rsidRPr="00D069B1">
        <w:t>Supercare</w:t>
      </w:r>
      <w:proofErr w:type="spellEnd"/>
      <w:r w:rsidRPr="00D069B1">
        <w:t xml:space="preserve"> Pharmacies began 24/7 operation and are located at Bendigo, Traralgon, Parkmore, Coburg, Reservoir, Curlewis and Balwyn.</w:t>
      </w:r>
    </w:p>
    <w:p w:rsidR="0092299C" w:rsidRPr="00F63571" w:rsidRDefault="0092299C" w:rsidP="0092299C">
      <w:pPr>
        <w:pStyle w:val="Heading4"/>
      </w:pPr>
      <w:bookmarkStart w:id="20" w:name="_Ref492915398"/>
      <w:r w:rsidRPr="00F63571">
        <w:t xml:space="preserve">End of </w:t>
      </w:r>
      <w:r>
        <w:t>l</w:t>
      </w:r>
      <w:r w:rsidRPr="00F63571">
        <w:t xml:space="preserve">ife </w:t>
      </w:r>
      <w:r>
        <w:t>choices</w:t>
      </w:r>
      <w:bookmarkEnd w:id="20"/>
    </w:p>
    <w:p w:rsidR="00AA035A" w:rsidRDefault="0092299C" w:rsidP="0092299C">
      <w:pPr>
        <w:pStyle w:val="ARbody"/>
      </w:pPr>
      <w:r w:rsidRPr="00F63571">
        <w:t xml:space="preserve">The department </w:t>
      </w:r>
      <w:r>
        <w:t xml:space="preserve">has </w:t>
      </w:r>
      <w:r w:rsidRPr="00F63571">
        <w:t xml:space="preserve">a leadership role in implementing the government’s end of life care reforms that support Victorians to make real and genuine choices about their end of life care. This has included the implementation of the </w:t>
      </w:r>
      <w:r w:rsidRPr="00F63571">
        <w:rPr>
          <w:i/>
        </w:rPr>
        <w:t>End of life and palliative care framework</w:t>
      </w:r>
      <w:r w:rsidRPr="00F63571">
        <w:t xml:space="preserve"> and the passage of the </w:t>
      </w:r>
      <w:r w:rsidRPr="00F63571">
        <w:rPr>
          <w:i/>
        </w:rPr>
        <w:t>Medical Treatment Planning and Decisions Act 2016</w:t>
      </w:r>
      <w:r w:rsidRPr="00F63571">
        <w:t>. The department is also leading the development of voluntary assisted dying legislation.</w:t>
      </w:r>
    </w:p>
    <w:p w:rsidR="0092299C" w:rsidRPr="00F63571" w:rsidRDefault="0092299C" w:rsidP="0092299C">
      <w:pPr>
        <w:pStyle w:val="ARbody"/>
      </w:pPr>
      <w:r w:rsidRPr="00F63571">
        <w:t xml:space="preserve">During 2016–17, the department supported an expert Ministerial Advisory Panel in its deliberations on the development of a safe and compassionate voluntary assisted dying legislative framework. </w:t>
      </w:r>
      <w:r w:rsidR="00112BB9">
        <w:br/>
      </w:r>
      <w:r w:rsidRPr="00F63571">
        <w:t xml:space="preserve">In May 2017, the panel released its interim report </w:t>
      </w:r>
      <w:r w:rsidRPr="00F63571">
        <w:rPr>
          <w:i/>
        </w:rPr>
        <w:t>Consultation overview: Voluntary Assisted Dying Bill</w:t>
      </w:r>
      <w:r w:rsidRPr="00F63571">
        <w:t>, which sets out the feedback from its consultations about the key issues and considerations in developing a voluntary assisted dying legislative framework. The panel provided its final report to the government in July 2017.</w:t>
      </w:r>
    </w:p>
    <w:p w:rsidR="0092299C" w:rsidRDefault="0092299C" w:rsidP="0092299C">
      <w:pPr>
        <w:pStyle w:val="ARbody"/>
        <w:sectPr w:rsidR="0092299C" w:rsidSect="00FE0414">
          <w:endnotePr>
            <w:numFmt w:val="decimal"/>
          </w:endnotePr>
          <w:pgSz w:w="11900" w:h="16840" w:code="9"/>
          <w:pgMar w:top="1531" w:right="851" w:bottom="680" w:left="1418" w:header="510" w:footer="340" w:gutter="0"/>
          <w:cols w:num="2" w:space="454"/>
        </w:sectPr>
      </w:pPr>
    </w:p>
    <w:p w:rsidR="0092299C" w:rsidRDefault="0092299C" w:rsidP="0092299C">
      <w:pPr>
        <w:pStyle w:val="Heading3"/>
        <w:sectPr w:rsidR="0092299C" w:rsidSect="00FE0414">
          <w:endnotePr>
            <w:numFmt w:val="decimal"/>
          </w:endnotePr>
          <w:type w:val="continuous"/>
          <w:pgSz w:w="11900" w:h="16840" w:code="9"/>
          <w:pgMar w:top="1531" w:right="851" w:bottom="680" w:left="1418" w:header="510" w:footer="340" w:gutter="0"/>
          <w:cols w:space="720"/>
        </w:sectPr>
      </w:pPr>
    </w:p>
    <w:p w:rsidR="0092299C" w:rsidRPr="00636971" w:rsidRDefault="0092299C" w:rsidP="009D62BD">
      <w:pPr>
        <w:pStyle w:val="Heading3"/>
        <w:spacing w:before="0"/>
      </w:pPr>
      <w:r w:rsidRPr="00636971">
        <w:lastRenderedPageBreak/>
        <w:t>Objective 2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4600"/>
        <w:gridCol w:w="1351"/>
        <w:gridCol w:w="1343"/>
        <w:gridCol w:w="1290"/>
        <w:gridCol w:w="1055"/>
      </w:tblGrid>
      <w:tr w:rsidR="0092299C" w:rsidRPr="00636971" w:rsidTr="00260FA9">
        <w:trPr>
          <w:cantSplit/>
          <w:tblHeader/>
        </w:trPr>
        <w:tc>
          <w:tcPr>
            <w:tcW w:w="4600"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p>
        </w:tc>
        <w:tc>
          <w:tcPr>
            <w:tcW w:w="1351" w:type="dxa"/>
            <w:tcBorders>
              <w:bottom w:val="single" w:sz="4" w:space="0" w:color="auto"/>
            </w:tcBorders>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2013–14</w:t>
            </w:r>
          </w:p>
        </w:tc>
        <w:tc>
          <w:tcPr>
            <w:tcW w:w="1343"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2014–15</w:t>
            </w:r>
          </w:p>
        </w:tc>
        <w:tc>
          <w:tcPr>
            <w:tcW w:w="1290"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2015–16</w:t>
            </w:r>
          </w:p>
        </w:tc>
        <w:tc>
          <w:tcPr>
            <w:tcW w:w="1055" w:type="dxa"/>
            <w:tcBorders>
              <w:bottom w:val="single" w:sz="4" w:space="0" w:color="auto"/>
            </w:tcBorders>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w:t>
            </w:r>
            <w:r>
              <w:rPr>
                <w:rFonts w:eastAsia="Times" w:cs="Arial"/>
                <w:b/>
                <w:sz w:val="18"/>
                <w:szCs w:val="18"/>
              </w:rPr>
              <w:t>16–17</w:t>
            </w:r>
          </w:p>
        </w:tc>
      </w:tr>
      <w:tr w:rsidR="0092299C" w:rsidRPr="00636971" w:rsidTr="00260FA9">
        <w:trPr>
          <w:cantSplit/>
          <w:tblHeader/>
        </w:trPr>
        <w:tc>
          <w:tcPr>
            <w:tcW w:w="9639" w:type="dxa"/>
            <w:gridSpan w:val="5"/>
            <w:tcBorders>
              <w:bottom w:val="single" w:sz="4" w:space="0" w:color="BFBFBF" w:themeColor="background1" w:themeShade="BF"/>
            </w:tcBorders>
            <w:shd w:val="clear" w:color="auto" w:fill="auto"/>
            <w:vAlign w:val="bottom"/>
          </w:tcPr>
          <w:p w:rsidR="0092299C" w:rsidRPr="00636971" w:rsidRDefault="0092299C" w:rsidP="0092299C">
            <w:pPr>
              <w:pStyle w:val="ARtablebluebold"/>
            </w:pPr>
            <w:r>
              <w:t>P</w:t>
            </w:r>
            <w:r w:rsidRPr="00A20348">
              <w:t>atients seen within clinically recommended</w:t>
            </w:r>
            <w:r>
              <w:br/>
            </w:r>
            <w:r w:rsidRPr="00A20348">
              <w:t>times</w:t>
            </w:r>
          </w:p>
        </w:tc>
      </w:tr>
      <w:tr w:rsidR="0092299C" w:rsidRPr="00636971" w:rsidTr="00260FA9">
        <w:trPr>
          <w:cantSplit/>
          <w:tblHeader/>
        </w:trPr>
        <w:tc>
          <w:tcPr>
            <w:tcW w:w="4600" w:type="dxa"/>
            <w:tcBorders>
              <w:top w:val="single" w:sz="4" w:space="0" w:color="BFBFBF" w:themeColor="background1" w:themeShade="BF"/>
              <w:left w:val="nil"/>
              <w:bottom w:val="nil"/>
              <w:right w:val="nil"/>
            </w:tcBorders>
            <w:shd w:val="clear" w:color="auto" w:fill="auto"/>
            <w:vAlign w:val="bottom"/>
          </w:tcPr>
          <w:p w:rsidR="0092299C" w:rsidRPr="00636971" w:rsidRDefault="0092299C" w:rsidP="0092299C">
            <w:pPr>
              <w:pStyle w:val="ARtabletext"/>
              <w:rPr>
                <w:b/>
              </w:rPr>
            </w:pPr>
            <w:r w:rsidRPr="0081168D">
              <w:t>Emergency department patients treated within time (per cent)</w:t>
            </w:r>
          </w:p>
        </w:tc>
        <w:tc>
          <w:tcPr>
            <w:tcW w:w="1351" w:type="dxa"/>
            <w:tcBorders>
              <w:top w:val="single" w:sz="4" w:space="0" w:color="BFBFBF" w:themeColor="background1" w:themeShade="BF"/>
              <w:left w:val="nil"/>
              <w:bottom w:val="nil"/>
              <w:right w:val="nil"/>
            </w:tcBorders>
          </w:tcPr>
          <w:p w:rsidR="0092299C" w:rsidRPr="00CD471D" w:rsidRDefault="0092299C" w:rsidP="009D30A0">
            <w:pPr>
              <w:pStyle w:val="ARtabletext"/>
            </w:pPr>
            <w:r w:rsidRPr="00CD471D">
              <w:t>75</w:t>
            </w:r>
          </w:p>
        </w:tc>
        <w:tc>
          <w:tcPr>
            <w:tcW w:w="1343" w:type="dxa"/>
            <w:tcBorders>
              <w:top w:val="single" w:sz="4" w:space="0" w:color="BFBFBF" w:themeColor="background1" w:themeShade="BF"/>
              <w:left w:val="nil"/>
              <w:bottom w:val="nil"/>
              <w:right w:val="nil"/>
            </w:tcBorders>
            <w:shd w:val="clear" w:color="auto" w:fill="auto"/>
          </w:tcPr>
          <w:p w:rsidR="0092299C" w:rsidRPr="00CD471D" w:rsidRDefault="0092299C" w:rsidP="009D30A0">
            <w:pPr>
              <w:pStyle w:val="ARtabletext"/>
            </w:pPr>
            <w:r w:rsidRPr="00CD471D">
              <w:t>75</w:t>
            </w:r>
          </w:p>
        </w:tc>
        <w:tc>
          <w:tcPr>
            <w:tcW w:w="1290" w:type="dxa"/>
            <w:tcBorders>
              <w:top w:val="single" w:sz="4" w:space="0" w:color="BFBFBF" w:themeColor="background1" w:themeShade="BF"/>
              <w:left w:val="nil"/>
              <w:bottom w:val="nil"/>
              <w:right w:val="nil"/>
            </w:tcBorders>
            <w:shd w:val="clear" w:color="auto" w:fill="auto"/>
          </w:tcPr>
          <w:p w:rsidR="0092299C" w:rsidRPr="00CD471D" w:rsidRDefault="0092299C" w:rsidP="009D30A0">
            <w:pPr>
              <w:pStyle w:val="ARtabletext"/>
            </w:pPr>
            <w:r w:rsidRPr="00CD471D">
              <w:t>74</w:t>
            </w:r>
          </w:p>
        </w:tc>
        <w:tc>
          <w:tcPr>
            <w:tcW w:w="1055" w:type="dxa"/>
            <w:tcBorders>
              <w:top w:val="single" w:sz="4" w:space="0" w:color="BFBFBF" w:themeColor="background1" w:themeShade="BF"/>
              <w:left w:val="nil"/>
              <w:bottom w:val="nil"/>
              <w:right w:val="nil"/>
            </w:tcBorders>
          </w:tcPr>
          <w:p w:rsidR="0092299C" w:rsidRPr="00CD471D" w:rsidRDefault="0092299C" w:rsidP="009D30A0">
            <w:pPr>
              <w:pStyle w:val="ARtabletext"/>
            </w:pPr>
            <w:r w:rsidRPr="00CD471D">
              <w:t>7</w:t>
            </w:r>
            <w:r w:rsidR="00EE350C">
              <w:t>3.5</w:t>
            </w:r>
          </w:p>
        </w:tc>
      </w:tr>
      <w:tr w:rsidR="0092299C" w:rsidRPr="00636971" w:rsidTr="00260FA9">
        <w:trPr>
          <w:cantSplit/>
          <w:tblHeader/>
        </w:trPr>
        <w:tc>
          <w:tcPr>
            <w:tcW w:w="9639" w:type="dxa"/>
            <w:gridSpan w:val="5"/>
            <w:tcBorders>
              <w:top w:val="nil"/>
              <w:left w:val="nil"/>
              <w:bottom w:val="single" w:sz="4" w:space="0" w:color="auto"/>
              <w:right w:val="nil"/>
            </w:tcBorders>
            <w:shd w:val="clear" w:color="auto" w:fill="auto"/>
            <w:vAlign w:val="bottom"/>
          </w:tcPr>
          <w:p w:rsidR="0092299C" w:rsidRPr="00CD471D" w:rsidRDefault="0092299C" w:rsidP="00EE350C">
            <w:pPr>
              <w:pStyle w:val="ARtablefootnote"/>
            </w:pPr>
            <w:r w:rsidRPr="0081168D">
              <w:rPr>
                <w:rFonts w:eastAsiaTheme="minorHAnsi"/>
              </w:rPr>
              <w:t>Source: Victorian Health Services performance reports 20</w:t>
            </w:r>
            <w:r>
              <w:rPr>
                <w:rFonts w:eastAsiaTheme="minorHAnsi"/>
              </w:rPr>
              <w:t>13–14</w:t>
            </w:r>
            <w:r w:rsidRPr="0081168D">
              <w:rPr>
                <w:rFonts w:eastAsiaTheme="minorHAnsi"/>
              </w:rPr>
              <w:t xml:space="preserve"> to 20</w:t>
            </w:r>
            <w:r>
              <w:rPr>
                <w:rFonts w:eastAsiaTheme="minorHAnsi"/>
              </w:rPr>
              <w:t>16–17</w:t>
            </w:r>
            <w:r w:rsidR="00AE3B8E">
              <w:rPr>
                <w:rFonts w:eastAsiaTheme="minorHAnsi"/>
              </w:rPr>
              <w:t>.</w:t>
            </w:r>
          </w:p>
        </w:tc>
      </w:tr>
      <w:tr w:rsidR="008746ED" w:rsidRPr="00636971" w:rsidTr="0010061B">
        <w:trPr>
          <w:cantSplit/>
          <w:tblHeader/>
        </w:trPr>
        <w:tc>
          <w:tcPr>
            <w:tcW w:w="9639" w:type="dxa"/>
            <w:gridSpan w:val="5"/>
            <w:tcBorders>
              <w:top w:val="single" w:sz="4" w:space="0" w:color="auto"/>
              <w:left w:val="nil"/>
              <w:bottom w:val="single" w:sz="4" w:space="0" w:color="BFBFBF" w:themeColor="background1" w:themeShade="BF"/>
            </w:tcBorders>
            <w:shd w:val="clear" w:color="auto" w:fill="auto"/>
            <w:vAlign w:val="bottom"/>
          </w:tcPr>
          <w:p w:rsidR="008746ED" w:rsidRPr="007856CF" w:rsidRDefault="008746ED" w:rsidP="008746ED">
            <w:pPr>
              <w:pStyle w:val="ARtablebluebold"/>
            </w:pPr>
            <w:r>
              <w:t xml:space="preserve">Services provided to patients are safe and of </w:t>
            </w:r>
            <w:r>
              <w:br/>
              <w:t>high quality</w:t>
            </w:r>
          </w:p>
        </w:tc>
      </w:tr>
      <w:tr w:rsidR="0092299C" w:rsidRPr="00636971" w:rsidTr="00260FA9">
        <w:trPr>
          <w:cantSplit/>
          <w:tblHeader/>
        </w:trPr>
        <w:tc>
          <w:tcPr>
            <w:tcW w:w="4600" w:type="dxa"/>
            <w:tcBorders>
              <w:top w:val="single" w:sz="4" w:space="0" w:color="BFBFBF" w:themeColor="background1" w:themeShade="BF"/>
              <w:left w:val="nil"/>
              <w:bottom w:val="nil"/>
              <w:right w:val="nil"/>
            </w:tcBorders>
            <w:shd w:val="clear" w:color="auto" w:fill="auto"/>
            <w:vAlign w:val="bottom"/>
          </w:tcPr>
          <w:p w:rsidR="0092299C" w:rsidRPr="00636971" w:rsidRDefault="0092299C" w:rsidP="0092299C">
            <w:pPr>
              <w:pStyle w:val="ARtabletext"/>
            </w:pPr>
            <w:r>
              <w:t>Rate of hand hygiene compliance (per cent)</w:t>
            </w:r>
          </w:p>
        </w:tc>
        <w:tc>
          <w:tcPr>
            <w:tcW w:w="1351" w:type="dxa"/>
            <w:tcBorders>
              <w:top w:val="single" w:sz="4" w:space="0" w:color="BFBFBF" w:themeColor="background1" w:themeShade="BF"/>
              <w:left w:val="nil"/>
              <w:bottom w:val="nil"/>
              <w:right w:val="nil"/>
            </w:tcBorders>
          </w:tcPr>
          <w:p w:rsidR="0092299C" w:rsidRPr="00CD471D" w:rsidRDefault="0092299C" w:rsidP="004B0E28">
            <w:pPr>
              <w:pStyle w:val="ARtabletext"/>
            </w:pPr>
            <w:r w:rsidRPr="00CD471D">
              <w:t>79.9</w:t>
            </w:r>
          </w:p>
        </w:tc>
        <w:tc>
          <w:tcPr>
            <w:tcW w:w="1343" w:type="dxa"/>
            <w:tcBorders>
              <w:top w:val="single" w:sz="4" w:space="0" w:color="BFBFBF" w:themeColor="background1" w:themeShade="BF"/>
              <w:left w:val="nil"/>
              <w:bottom w:val="nil"/>
              <w:right w:val="nil"/>
            </w:tcBorders>
            <w:shd w:val="clear" w:color="auto" w:fill="auto"/>
          </w:tcPr>
          <w:p w:rsidR="0092299C" w:rsidRPr="00CD471D" w:rsidRDefault="0092299C" w:rsidP="004B0E28">
            <w:pPr>
              <w:pStyle w:val="ARtabletext"/>
            </w:pPr>
            <w:r w:rsidRPr="00CD471D">
              <w:t>82.1</w:t>
            </w:r>
          </w:p>
        </w:tc>
        <w:tc>
          <w:tcPr>
            <w:tcW w:w="1290" w:type="dxa"/>
            <w:tcBorders>
              <w:top w:val="single" w:sz="4" w:space="0" w:color="BFBFBF" w:themeColor="background1" w:themeShade="BF"/>
              <w:left w:val="nil"/>
              <w:bottom w:val="nil"/>
              <w:right w:val="nil"/>
            </w:tcBorders>
            <w:shd w:val="clear" w:color="auto" w:fill="auto"/>
          </w:tcPr>
          <w:p w:rsidR="0092299C" w:rsidRPr="00CD471D" w:rsidRDefault="0092299C" w:rsidP="004B0E28">
            <w:pPr>
              <w:pStyle w:val="ARtabletext"/>
            </w:pPr>
            <w:r w:rsidRPr="00CD471D">
              <w:t>24.0</w:t>
            </w:r>
          </w:p>
        </w:tc>
        <w:tc>
          <w:tcPr>
            <w:tcW w:w="1055" w:type="dxa"/>
            <w:tcBorders>
              <w:top w:val="single" w:sz="4" w:space="0" w:color="BFBFBF" w:themeColor="background1" w:themeShade="BF"/>
              <w:left w:val="nil"/>
              <w:bottom w:val="nil"/>
              <w:right w:val="nil"/>
            </w:tcBorders>
          </w:tcPr>
          <w:p w:rsidR="0092299C" w:rsidRPr="00CD471D" w:rsidRDefault="0092299C" w:rsidP="004B0E28">
            <w:pPr>
              <w:pStyle w:val="ARtabletext"/>
            </w:pPr>
            <w:r w:rsidRPr="00CD471D">
              <w:t>84.5</w:t>
            </w:r>
          </w:p>
        </w:tc>
      </w:tr>
      <w:tr w:rsidR="0092299C" w:rsidRPr="00636971" w:rsidTr="00260FA9">
        <w:trPr>
          <w:cantSplit/>
          <w:tblHeader/>
        </w:trPr>
        <w:tc>
          <w:tcPr>
            <w:tcW w:w="9639" w:type="dxa"/>
            <w:gridSpan w:val="5"/>
            <w:tcBorders>
              <w:top w:val="nil"/>
              <w:left w:val="nil"/>
              <w:bottom w:val="single" w:sz="4" w:space="0" w:color="auto"/>
              <w:right w:val="nil"/>
            </w:tcBorders>
            <w:shd w:val="clear" w:color="auto" w:fill="auto"/>
            <w:vAlign w:val="bottom"/>
          </w:tcPr>
          <w:p w:rsidR="0092299C" w:rsidRPr="00CD471D" w:rsidRDefault="0092299C" w:rsidP="0092299C">
            <w:pPr>
              <w:pStyle w:val="ARtablefootnote"/>
            </w:pPr>
            <w:r w:rsidRPr="00231D5E">
              <w:t>Source: Victorian Health Services performance reports 20</w:t>
            </w:r>
            <w:r>
              <w:t>13–14</w:t>
            </w:r>
            <w:r w:rsidRPr="00231D5E">
              <w:t xml:space="preserve"> to 20</w:t>
            </w:r>
            <w:r>
              <w:t>16–17</w:t>
            </w:r>
            <w:r w:rsidRPr="00231D5E">
              <w:t>. Note 20</w:t>
            </w:r>
            <w:r>
              <w:t>16–17</w:t>
            </w:r>
            <w:r w:rsidRPr="00231D5E">
              <w:t xml:space="preserve"> is provisional</w:t>
            </w:r>
            <w:r>
              <w:t xml:space="preserve">. </w:t>
            </w:r>
            <w:r w:rsidRPr="00231D5E">
              <w:t>Apr</w:t>
            </w:r>
            <w:r>
              <w:t>il–</w:t>
            </w:r>
            <w:r w:rsidRPr="00231D5E">
              <w:t>Jun</w:t>
            </w:r>
            <w:r>
              <w:t>e</w:t>
            </w:r>
            <w:r w:rsidRPr="00231D5E">
              <w:t xml:space="preserve"> reported as year ending</w:t>
            </w:r>
            <w:r>
              <w:t>.</w:t>
            </w:r>
          </w:p>
        </w:tc>
      </w:tr>
      <w:tr w:rsidR="0092299C" w:rsidRPr="00636971" w:rsidTr="00260FA9">
        <w:trPr>
          <w:cantSplit/>
          <w:tblHeader/>
        </w:trPr>
        <w:tc>
          <w:tcPr>
            <w:tcW w:w="4600" w:type="dxa"/>
            <w:tcBorders>
              <w:top w:val="single" w:sz="4" w:space="0" w:color="auto"/>
              <w:left w:val="nil"/>
              <w:bottom w:val="nil"/>
              <w:right w:val="nil"/>
            </w:tcBorders>
            <w:shd w:val="clear" w:color="auto" w:fill="auto"/>
            <w:vAlign w:val="bottom"/>
          </w:tcPr>
          <w:p w:rsidR="0092299C" w:rsidRPr="00CD471D" w:rsidRDefault="0092299C" w:rsidP="0092299C">
            <w:pPr>
              <w:pStyle w:val="ARtabletext"/>
            </w:pPr>
            <w:r w:rsidRPr="00811914">
              <w:t>Intensive care unit central line associated blood stream infections per 1,000 device days</w:t>
            </w:r>
          </w:p>
        </w:tc>
        <w:tc>
          <w:tcPr>
            <w:tcW w:w="1351" w:type="dxa"/>
            <w:tcBorders>
              <w:top w:val="single" w:sz="4" w:space="0" w:color="auto"/>
              <w:left w:val="nil"/>
              <w:bottom w:val="nil"/>
              <w:right w:val="nil"/>
            </w:tcBorders>
          </w:tcPr>
          <w:p w:rsidR="0092299C" w:rsidRPr="00CD471D" w:rsidRDefault="0092299C" w:rsidP="004B0E28">
            <w:pPr>
              <w:pStyle w:val="ARtabletext"/>
            </w:pPr>
            <w:r w:rsidRPr="00CD471D">
              <w:t>1.2</w:t>
            </w:r>
          </w:p>
        </w:tc>
        <w:tc>
          <w:tcPr>
            <w:tcW w:w="1343" w:type="dxa"/>
            <w:tcBorders>
              <w:top w:val="single" w:sz="4" w:space="0" w:color="auto"/>
              <w:left w:val="nil"/>
              <w:bottom w:val="nil"/>
              <w:right w:val="nil"/>
            </w:tcBorders>
            <w:shd w:val="clear" w:color="auto" w:fill="auto"/>
          </w:tcPr>
          <w:p w:rsidR="0092299C" w:rsidRPr="00CD471D" w:rsidRDefault="0092299C" w:rsidP="004B0E28">
            <w:pPr>
              <w:pStyle w:val="ARtabletext"/>
            </w:pPr>
            <w:r w:rsidRPr="00CD471D">
              <w:t>0.5</w:t>
            </w:r>
          </w:p>
        </w:tc>
        <w:tc>
          <w:tcPr>
            <w:tcW w:w="1290" w:type="dxa"/>
            <w:tcBorders>
              <w:top w:val="single" w:sz="4" w:space="0" w:color="auto"/>
              <w:left w:val="nil"/>
              <w:bottom w:val="nil"/>
              <w:right w:val="nil"/>
            </w:tcBorders>
            <w:shd w:val="clear" w:color="auto" w:fill="auto"/>
          </w:tcPr>
          <w:p w:rsidR="0092299C" w:rsidRPr="00CD471D" w:rsidRDefault="0092299C" w:rsidP="004B0E28">
            <w:pPr>
              <w:pStyle w:val="ARtabletext"/>
            </w:pPr>
            <w:r w:rsidRPr="00CD471D">
              <w:t>0.7</w:t>
            </w:r>
          </w:p>
        </w:tc>
        <w:tc>
          <w:tcPr>
            <w:tcW w:w="1055" w:type="dxa"/>
            <w:tcBorders>
              <w:top w:val="single" w:sz="4" w:space="0" w:color="auto"/>
              <w:left w:val="nil"/>
              <w:bottom w:val="nil"/>
              <w:right w:val="nil"/>
            </w:tcBorders>
          </w:tcPr>
          <w:p w:rsidR="0092299C" w:rsidRPr="003C0100" w:rsidRDefault="00EE350C" w:rsidP="004B0E28">
            <w:pPr>
              <w:pStyle w:val="ARtabletext"/>
            </w:pPr>
            <w:r>
              <w:t>0.8</w:t>
            </w:r>
          </w:p>
        </w:tc>
      </w:tr>
      <w:tr w:rsidR="0092299C" w:rsidRPr="00636971" w:rsidTr="00260FA9">
        <w:trPr>
          <w:cantSplit/>
          <w:tblHeader/>
        </w:trPr>
        <w:tc>
          <w:tcPr>
            <w:tcW w:w="9639" w:type="dxa"/>
            <w:gridSpan w:val="5"/>
            <w:tcBorders>
              <w:top w:val="nil"/>
              <w:left w:val="nil"/>
              <w:bottom w:val="single" w:sz="4" w:space="0" w:color="auto"/>
              <w:right w:val="nil"/>
            </w:tcBorders>
            <w:shd w:val="clear" w:color="auto" w:fill="auto"/>
            <w:vAlign w:val="bottom"/>
          </w:tcPr>
          <w:p w:rsidR="0092299C" w:rsidRPr="00D01F1F" w:rsidRDefault="0092299C" w:rsidP="0092299C">
            <w:pPr>
              <w:pStyle w:val="ARtablefootnote"/>
            </w:pPr>
            <w:r>
              <w:t xml:space="preserve">Source: Victorian Health Services performance reports 2013–14 to 2016–17, </w:t>
            </w:r>
            <w:r w:rsidRPr="00231D5E">
              <w:t>Apr</w:t>
            </w:r>
            <w:r>
              <w:t>il–</w:t>
            </w:r>
            <w:r w:rsidRPr="00231D5E">
              <w:t>Jun</w:t>
            </w:r>
            <w:r>
              <w:t>e</w:t>
            </w:r>
            <w:r w:rsidDel="00CF6273">
              <w:t xml:space="preserve"> </w:t>
            </w:r>
            <w:r>
              <w:t>reported as year ending.</w:t>
            </w:r>
          </w:p>
        </w:tc>
      </w:tr>
      <w:tr w:rsidR="0092299C" w:rsidRPr="00636971" w:rsidTr="00260FA9">
        <w:trPr>
          <w:cantSplit/>
          <w:tblHeader/>
        </w:trPr>
        <w:tc>
          <w:tcPr>
            <w:tcW w:w="4600" w:type="dxa"/>
            <w:tcBorders>
              <w:top w:val="single" w:sz="4" w:space="0" w:color="auto"/>
              <w:left w:val="nil"/>
              <w:bottom w:val="nil"/>
              <w:right w:val="nil"/>
            </w:tcBorders>
            <w:shd w:val="clear" w:color="auto" w:fill="auto"/>
            <w:vAlign w:val="bottom"/>
          </w:tcPr>
          <w:p w:rsidR="0092299C" w:rsidRPr="00CD471D" w:rsidRDefault="0092299C" w:rsidP="0092299C">
            <w:pPr>
              <w:pStyle w:val="ARtabletext"/>
            </w:pPr>
            <w:r w:rsidRPr="00936711">
              <w:t>Staphylococcus</w:t>
            </w:r>
            <w:r w:rsidRPr="00BD612B">
              <w:rPr>
                <w:i/>
              </w:rPr>
              <w:t xml:space="preserve"> </w:t>
            </w:r>
            <w:r w:rsidRPr="00936711">
              <w:t>aureus</w:t>
            </w:r>
            <w:r w:rsidRPr="00F265C0">
              <w:t xml:space="preserve"> </w:t>
            </w:r>
            <w:proofErr w:type="spellStart"/>
            <w:r w:rsidRPr="00F265C0">
              <w:t>bacteraemias</w:t>
            </w:r>
            <w:proofErr w:type="spellEnd"/>
            <w:r w:rsidRPr="00F265C0">
              <w:t xml:space="preserve"> (SAB) infections per 10,000 patient days</w:t>
            </w:r>
            <w:r w:rsidRPr="00F265C0">
              <w:rPr>
                <w:i/>
                <w:sz w:val="16"/>
              </w:rPr>
              <w:t xml:space="preserve"> </w:t>
            </w:r>
          </w:p>
        </w:tc>
        <w:tc>
          <w:tcPr>
            <w:tcW w:w="1351" w:type="dxa"/>
            <w:tcBorders>
              <w:top w:val="single" w:sz="4" w:space="0" w:color="auto"/>
              <w:left w:val="nil"/>
              <w:bottom w:val="nil"/>
              <w:right w:val="nil"/>
            </w:tcBorders>
          </w:tcPr>
          <w:p w:rsidR="0092299C" w:rsidRPr="007856CF" w:rsidRDefault="0092299C" w:rsidP="004B0E28">
            <w:pPr>
              <w:pStyle w:val="ARtabletext"/>
            </w:pPr>
            <w:r>
              <w:t>0.8</w:t>
            </w:r>
          </w:p>
        </w:tc>
        <w:tc>
          <w:tcPr>
            <w:tcW w:w="1343" w:type="dxa"/>
            <w:tcBorders>
              <w:top w:val="single" w:sz="4" w:space="0" w:color="auto"/>
              <w:left w:val="nil"/>
              <w:bottom w:val="nil"/>
              <w:right w:val="nil"/>
            </w:tcBorders>
            <w:shd w:val="clear" w:color="auto" w:fill="auto"/>
          </w:tcPr>
          <w:p w:rsidR="0092299C" w:rsidRPr="007856CF" w:rsidRDefault="0092299C" w:rsidP="004B0E28">
            <w:pPr>
              <w:pStyle w:val="ARtabletext"/>
            </w:pPr>
            <w:r>
              <w:t>0.8</w:t>
            </w:r>
          </w:p>
        </w:tc>
        <w:tc>
          <w:tcPr>
            <w:tcW w:w="1290" w:type="dxa"/>
            <w:tcBorders>
              <w:top w:val="single" w:sz="4" w:space="0" w:color="auto"/>
              <w:left w:val="nil"/>
              <w:bottom w:val="nil"/>
              <w:right w:val="nil"/>
            </w:tcBorders>
            <w:shd w:val="clear" w:color="auto" w:fill="auto"/>
          </w:tcPr>
          <w:p w:rsidR="0092299C" w:rsidRPr="007856CF" w:rsidRDefault="0092299C" w:rsidP="004B0E28">
            <w:pPr>
              <w:pStyle w:val="ARtabletext"/>
            </w:pPr>
            <w:r>
              <w:t>0.8</w:t>
            </w:r>
          </w:p>
        </w:tc>
        <w:tc>
          <w:tcPr>
            <w:tcW w:w="1055" w:type="dxa"/>
            <w:tcBorders>
              <w:top w:val="single" w:sz="4" w:space="0" w:color="auto"/>
              <w:left w:val="nil"/>
              <w:bottom w:val="nil"/>
              <w:right w:val="nil"/>
            </w:tcBorders>
          </w:tcPr>
          <w:p w:rsidR="0092299C" w:rsidRPr="007856CF" w:rsidRDefault="00EE350C" w:rsidP="004B0E28">
            <w:pPr>
              <w:pStyle w:val="ARtabletext"/>
              <w:rPr>
                <w:b/>
              </w:rPr>
            </w:pPr>
            <w:r>
              <w:t>0.8</w:t>
            </w:r>
          </w:p>
        </w:tc>
      </w:tr>
      <w:tr w:rsidR="0092299C" w:rsidRPr="00636971" w:rsidTr="00260FA9">
        <w:trPr>
          <w:cantSplit/>
          <w:tblHeader/>
        </w:trPr>
        <w:tc>
          <w:tcPr>
            <w:tcW w:w="9639" w:type="dxa"/>
            <w:gridSpan w:val="5"/>
            <w:tcBorders>
              <w:top w:val="nil"/>
              <w:left w:val="nil"/>
              <w:bottom w:val="single" w:sz="4" w:space="0" w:color="auto"/>
              <w:right w:val="nil"/>
            </w:tcBorders>
            <w:shd w:val="clear" w:color="auto" w:fill="auto"/>
            <w:vAlign w:val="bottom"/>
          </w:tcPr>
          <w:p w:rsidR="0092299C" w:rsidRDefault="0092299C" w:rsidP="0092299C">
            <w:pPr>
              <w:pStyle w:val="ARtablefootnote"/>
            </w:pPr>
            <w:r>
              <w:t xml:space="preserve">Source: Victorian Health Services performance reports 2013–14 to 2016–17, </w:t>
            </w:r>
            <w:r w:rsidRPr="00231D5E">
              <w:t>Apr</w:t>
            </w:r>
            <w:r>
              <w:t>il–</w:t>
            </w:r>
            <w:r w:rsidRPr="00231D5E">
              <w:t>Jun</w:t>
            </w:r>
            <w:r>
              <w:t>e</w:t>
            </w:r>
            <w:r w:rsidDel="00CF6273">
              <w:t xml:space="preserve"> </w:t>
            </w:r>
            <w:r>
              <w:t>reported as year ending.</w:t>
            </w:r>
          </w:p>
        </w:tc>
      </w:tr>
      <w:tr w:rsidR="008746ED" w:rsidRPr="00636971" w:rsidTr="0010061B">
        <w:trPr>
          <w:cantSplit/>
        </w:trPr>
        <w:tc>
          <w:tcPr>
            <w:tcW w:w="9639" w:type="dxa"/>
            <w:gridSpan w:val="5"/>
            <w:tcBorders>
              <w:top w:val="single" w:sz="4" w:space="0" w:color="auto"/>
              <w:bottom w:val="single" w:sz="4" w:space="0" w:color="BFBFBF"/>
            </w:tcBorders>
          </w:tcPr>
          <w:p w:rsidR="008746ED" w:rsidRPr="00636971" w:rsidRDefault="008746ED" w:rsidP="0092299C">
            <w:pPr>
              <w:pStyle w:val="ARtablebluebold"/>
            </w:pPr>
            <w:r w:rsidRPr="00636971">
              <w:t xml:space="preserve">Health service performance outcomes meet </w:t>
            </w:r>
            <w:r w:rsidRPr="00636971">
              <w:br/>
              <w:t>or exceed agreed performance benchmarks</w:t>
            </w:r>
          </w:p>
        </w:tc>
      </w:tr>
      <w:tr w:rsidR="0092299C" w:rsidRPr="00636971" w:rsidTr="00260FA9">
        <w:trPr>
          <w:cantSplit/>
        </w:trPr>
        <w:tc>
          <w:tcPr>
            <w:tcW w:w="4600" w:type="dxa"/>
            <w:tcBorders>
              <w:top w:val="nil"/>
              <w:bottom w:val="nil"/>
            </w:tcBorders>
            <w:shd w:val="clear" w:color="auto" w:fill="auto"/>
          </w:tcPr>
          <w:p w:rsidR="0092299C" w:rsidRPr="00636971" w:rsidRDefault="0092299C" w:rsidP="0092299C">
            <w:pPr>
              <w:pStyle w:val="ARtabletext"/>
            </w:pPr>
            <w:r w:rsidRPr="00636971">
              <w:t>Victorian elective surgery waiting list</w:t>
            </w:r>
          </w:p>
        </w:tc>
        <w:tc>
          <w:tcPr>
            <w:tcW w:w="1351" w:type="dxa"/>
            <w:tcBorders>
              <w:top w:val="nil"/>
              <w:bottom w:val="nil"/>
            </w:tcBorders>
          </w:tcPr>
          <w:p w:rsidR="0092299C" w:rsidRPr="00636971" w:rsidRDefault="0092299C" w:rsidP="0092299C">
            <w:pPr>
              <w:pStyle w:val="ARtabletext"/>
            </w:pPr>
            <w:r w:rsidRPr="00636971">
              <w:t>38,078</w:t>
            </w:r>
          </w:p>
        </w:tc>
        <w:tc>
          <w:tcPr>
            <w:tcW w:w="1343" w:type="dxa"/>
            <w:tcBorders>
              <w:top w:val="nil"/>
              <w:bottom w:val="nil"/>
            </w:tcBorders>
            <w:shd w:val="clear" w:color="auto" w:fill="auto"/>
          </w:tcPr>
          <w:p w:rsidR="0092299C" w:rsidRPr="00636971" w:rsidRDefault="0092299C" w:rsidP="0092299C">
            <w:pPr>
              <w:pStyle w:val="ARtabletext"/>
            </w:pPr>
            <w:r w:rsidRPr="00636971">
              <w:t>40,351</w:t>
            </w:r>
          </w:p>
        </w:tc>
        <w:tc>
          <w:tcPr>
            <w:tcW w:w="1290" w:type="dxa"/>
            <w:tcBorders>
              <w:top w:val="single" w:sz="4" w:space="0" w:color="BFBFBF"/>
              <w:bottom w:val="nil"/>
            </w:tcBorders>
            <w:shd w:val="clear" w:color="auto" w:fill="auto"/>
          </w:tcPr>
          <w:p w:rsidR="0092299C" w:rsidRPr="00636971" w:rsidRDefault="0092299C" w:rsidP="0092299C">
            <w:pPr>
              <w:pStyle w:val="ARtabletext"/>
            </w:pPr>
            <w:r>
              <w:t>36,436</w:t>
            </w:r>
          </w:p>
        </w:tc>
        <w:tc>
          <w:tcPr>
            <w:tcW w:w="1055" w:type="dxa"/>
            <w:tcBorders>
              <w:top w:val="single" w:sz="4" w:space="0" w:color="BFBFBF"/>
              <w:bottom w:val="nil"/>
            </w:tcBorders>
          </w:tcPr>
          <w:p w:rsidR="0092299C" w:rsidRPr="00636971" w:rsidRDefault="0092299C" w:rsidP="0092299C">
            <w:pPr>
              <w:pStyle w:val="ARtabletext"/>
            </w:pPr>
            <w:r w:rsidRPr="00636971">
              <w:t>36,839</w:t>
            </w:r>
          </w:p>
        </w:tc>
      </w:tr>
      <w:tr w:rsidR="0092299C" w:rsidRPr="00636971" w:rsidTr="00260FA9">
        <w:trPr>
          <w:cantSplit/>
        </w:trPr>
        <w:tc>
          <w:tcPr>
            <w:tcW w:w="9639" w:type="dxa"/>
            <w:gridSpan w:val="5"/>
            <w:tcBorders>
              <w:top w:val="nil"/>
              <w:left w:val="nil"/>
              <w:bottom w:val="single" w:sz="4" w:space="0" w:color="auto"/>
              <w:right w:val="nil"/>
            </w:tcBorders>
            <w:shd w:val="clear" w:color="auto" w:fill="auto"/>
          </w:tcPr>
          <w:p w:rsidR="0092299C" w:rsidRDefault="0092299C" w:rsidP="0092299C">
            <w:pPr>
              <w:pStyle w:val="ARtablefootnote"/>
              <w:rPr>
                <w:rFonts w:eastAsia="Times"/>
                <w:lang w:eastAsia="en-AU"/>
              </w:rPr>
            </w:pPr>
            <w:r w:rsidRPr="00636971">
              <w:rPr>
                <w:rFonts w:eastAsia="Times"/>
                <w:lang w:eastAsia="en-AU"/>
              </w:rPr>
              <w:t>Source: Victorian</w:t>
            </w:r>
            <w:r>
              <w:rPr>
                <w:rFonts w:eastAsia="Times"/>
                <w:lang w:eastAsia="en-AU"/>
              </w:rPr>
              <w:t xml:space="preserve"> Health Services Performance website. Note 2016–17 is a preliminary result.</w:t>
            </w:r>
          </w:p>
          <w:p w:rsidR="0092299C" w:rsidRPr="00636971" w:rsidRDefault="0092299C" w:rsidP="0092299C">
            <w:pPr>
              <w:pStyle w:val="ARtablefootnote"/>
            </w:pPr>
            <w:r>
              <w:rPr>
                <w:rFonts w:eastAsia="Times"/>
                <w:lang w:eastAsia="en-AU"/>
              </w:rPr>
              <w:t>Note: From 1 July 2016 three additional hospitals are reporting to the Elective Surgery Information System, Wodonga Hospital, South West Healthcare (Warrnambool) and South West Healthcare (Camperdown).</w:t>
            </w:r>
          </w:p>
        </w:tc>
      </w:tr>
      <w:tr w:rsidR="0092299C" w:rsidRPr="00636971" w:rsidTr="00260FA9">
        <w:trPr>
          <w:cantSplit/>
        </w:trPr>
        <w:tc>
          <w:tcPr>
            <w:tcW w:w="4600" w:type="dxa"/>
            <w:tcBorders>
              <w:top w:val="single" w:sz="4" w:space="0" w:color="auto"/>
              <w:bottom w:val="nil"/>
            </w:tcBorders>
            <w:shd w:val="clear" w:color="auto" w:fill="auto"/>
          </w:tcPr>
          <w:p w:rsidR="0092299C" w:rsidRPr="00636971" w:rsidRDefault="0092299C" w:rsidP="0092299C">
            <w:pPr>
              <w:pStyle w:val="ARtabletext"/>
            </w:pPr>
            <w:r w:rsidRPr="00636971">
              <w:t xml:space="preserve">Victorian </w:t>
            </w:r>
            <w:r>
              <w:t>a</w:t>
            </w:r>
            <w:r w:rsidRPr="00636971">
              <w:t>mbulance patient transfers within 40 minutes</w:t>
            </w:r>
          </w:p>
        </w:tc>
        <w:tc>
          <w:tcPr>
            <w:tcW w:w="1351" w:type="dxa"/>
            <w:tcBorders>
              <w:top w:val="single" w:sz="4" w:space="0" w:color="auto"/>
              <w:bottom w:val="nil"/>
            </w:tcBorders>
          </w:tcPr>
          <w:p w:rsidR="0092299C" w:rsidRPr="00636971" w:rsidRDefault="0092299C" w:rsidP="0092299C">
            <w:pPr>
              <w:pStyle w:val="ARtabletext"/>
            </w:pPr>
            <w:r w:rsidRPr="00636971">
              <w:t>84%</w:t>
            </w:r>
          </w:p>
        </w:tc>
        <w:tc>
          <w:tcPr>
            <w:tcW w:w="1343" w:type="dxa"/>
            <w:tcBorders>
              <w:top w:val="single" w:sz="4" w:space="0" w:color="auto"/>
              <w:bottom w:val="nil"/>
            </w:tcBorders>
            <w:shd w:val="clear" w:color="auto" w:fill="auto"/>
          </w:tcPr>
          <w:p w:rsidR="0092299C" w:rsidRPr="00636971" w:rsidRDefault="0092299C" w:rsidP="0092299C">
            <w:pPr>
              <w:pStyle w:val="ARtabletext"/>
            </w:pPr>
            <w:r w:rsidRPr="00636971">
              <w:t>87.8%</w:t>
            </w:r>
          </w:p>
        </w:tc>
        <w:tc>
          <w:tcPr>
            <w:tcW w:w="1290" w:type="dxa"/>
            <w:tcBorders>
              <w:top w:val="single" w:sz="4" w:space="0" w:color="auto"/>
              <w:bottom w:val="nil"/>
            </w:tcBorders>
            <w:shd w:val="clear" w:color="auto" w:fill="auto"/>
          </w:tcPr>
          <w:p w:rsidR="0092299C" w:rsidRPr="00636971" w:rsidRDefault="0092299C" w:rsidP="0092299C">
            <w:pPr>
              <w:pStyle w:val="ARtabletext"/>
            </w:pPr>
            <w:r w:rsidRPr="00636971">
              <w:t>85.6%</w:t>
            </w:r>
          </w:p>
        </w:tc>
        <w:tc>
          <w:tcPr>
            <w:tcW w:w="1055" w:type="dxa"/>
            <w:tcBorders>
              <w:top w:val="single" w:sz="4" w:space="0" w:color="auto"/>
              <w:bottom w:val="nil"/>
            </w:tcBorders>
          </w:tcPr>
          <w:p w:rsidR="0092299C" w:rsidRPr="00636971" w:rsidRDefault="0092299C" w:rsidP="0092299C">
            <w:pPr>
              <w:pStyle w:val="ARtabletext"/>
            </w:pPr>
            <w:r w:rsidRPr="00636971">
              <w:t>86.2%</w:t>
            </w:r>
          </w:p>
        </w:tc>
      </w:tr>
      <w:tr w:rsidR="0092299C" w:rsidRPr="00636971" w:rsidTr="00260FA9">
        <w:trPr>
          <w:cantSplit/>
        </w:trPr>
        <w:tc>
          <w:tcPr>
            <w:tcW w:w="9639" w:type="dxa"/>
            <w:gridSpan w:val="5"/>
            <w:tcBorders>
              <w:top w:val="nil"/>
              <w:left w:val="nil"/>
              <w:bottom w:val="single" w:sz="4" w:space="0" w:color="auto"/>
              <w:right w:val="nil"/>
            </w:tcBorders>
            <w:shd w:val="clear" w:color="auto" w:fill="auto"/>
          </w:tcPr>
          <w:p w:rsidR="0092299C" w:rsidRPr="00636971" w:rsidRDefault="0092299C" w:rsidP="0092299C">
            <w:pPr>
              <w:pStyle w:val="ARtablefootnote"/>
            </w:pPr>
            <w:r w:rsidRPr="00636971">
              <w:rPr>
                <w:rFonts w:eastAsia="Times"/>
                <w:lang w:eastAsia="en-AU"/>
              </w:rPr>
              <w:t xml:space="preserve">Source: </w:t>
            </w:r>
            <w:r>
              <w:rPr>
                <w:rFonts w:eastAsia="Times"/>
                <w:lang w:eastAsia="en-AU"/>
              </w:rPr>
              <w:t>Data previously sourced from Ambulance Victoria. From 1 July 2016 data sourced from the Victorian emergency minimum dataset. Therefore, there is a break in the time series</w:t>
            </w:r>
          </w:p>
        </w:tc>
      </w:tr>
      <w:tr w:rsidR="0092299C" w:rsidRPr="00636971" w:rsidTr="00260FA9">
        <w:trPr>
          <w:cantSplit/>
        </w:trPr>
        <w:tc>
          <w:tcPr>
            <w:tcW w:w="4600" w:type="dxa"/>
            <w:tcBorders>
              <w:top w:val="single" w:sz="4" w:space="0" w:color="auto"/>
              <w:bottom w:val="nil"/>
            </w:tcBorders>
            <w:shd w:val="clear" w:color="auto" w:fill="auto"/>
          </w:tcPr>
          <w:p w:rsidR="0092299C" w:rsidRPr="00636971" w:rsidRDefault="0092299C" w:rsidP="0092299C">
            <w:pPr>
              <w:pStyle w:val="ARtabletext"/>
            </w:pPr>
            <w:r w:rsidRPr="00636971">
              <w:t>Rate of community follow-up within first seven days of a psychiatric admission</w:t>
            </w:r>
          </w:p>
        </w:tc>
        <w:tc>
          <w:tcPr>
            <w:tcW w:w="1351" w:type="dxa"/>
            <w:tcBorders>
              <w:top w:val="single" w:sz="4" w:space="0" w:color="auto"/>
              <w:bottom w:val="nil"/>
            </w:tcBorders>
          </w:tcPr>
          <w:p w:rsidR="0092299C" w:rsidRPr="00636971" w:rsidRDefault="0092299C" w:rsidP="0092299C">
            <w:pPr>
              <w:pStyle w:val="ARtabletext"/>
            </w:pPr>
            <w:r w:rsidRPr="00636971">
              <w:t>Source changed</w:t>
            </w:r>
          </w:p>
        </w:tc>
        <w:tc>
          <w:tcPr>
            <w:tcW w:w="1343" w:type="dxa"/>
            <w:tcBorders>
              <w:top w:val="single" w:sz="4" w:space="0" w:color="auto"/>
              <w:bottom w:val="nil"/>
            </w:tcBorders>
            <w:shd w:val="clear" w:color="auto" w:fill="auto"/>
          </w:tcPr>
          <w:p w:rsidR="0092299C" w:rsidRPr="00636971" w:rsidRDefault="0092299C" w:rsidP="0092299C">
            <w:pPr>
              <w:pStyle w:val="ARtabletext"/>
            </w:pPr>
            <w:r w:rsidRPr="00636971">
              <w:t>85%</w:t>
            </w:r>
          </w:p>
        </w:tc>
        <w:tc>
          <w:tcPr>
            <w:tcW w:w="1290" w:type="dxa"/>
            <w:tcBorders>
              <w:top w:val="single" w:sz="4" w:space="0" w:color="auto"/>
              <w:bottom w:val="nil"/>
            </w:tcBorders>
            <w:shd w:val="clear" w:color="auto" w:fill="auto"/>
          </w:tcPr>
          <w:p w:rsidR="0092299C" w:rsidRPr="00636971" w:rsidRDefault="0092299C" w:rsidP="0092299C">
            <w:pPr>
              <w:pStyle w:val="ARtabletext"/>
            </w:pPr>
            <w:r w:rsidRPr="00636971">
              <w:t>86%</w:t>
            </w:r>
          </w:p>
        </w:tc>
        <w:tc>
          <w:tcPr>
            <w:tcW w:w="1055" w:type="dxa"/>
            <w:tcBorders>
              <w:top w:val="single" w:sz="4" w:space="0" w:color="auto"/>
              <w:bottom w:val="nil"/>
            </w:tcBorders>
          </w:tcPr>
          <w:p w:rsidR="0092299C" w:rsidRPr="00636971" w:rsidRDefault="0092299C" w:rsidP="0092299C">
            <w:pPr>
              <w:pStyle w:val="ARtabletext"/>
            </w:pPr>
            <w:r w:rsidRPr="00636971">
              <w:t>84%</w:t>
            </w:r>
          </w:p>
        </w:tc>
      </w:tr>
      <w:tr w:rsidR="0092299C" w:rsidRPr="00636971" w:rsidTr="00260FA9">
        <w:trPr>
          <w:cantSplit/>
        </w:trPr>
        <w:tc>
          <w:tcPr>
            <w:tcW w:w="9639" w:type="dxa"/>
            <w:gridSpan w:val="5"/>
            <w:tcBorders>
              <w:top w:val="nil"/>
              <w:bottom w:val="single" w:sz="4" w:space="0" w:color="auto"/>
            </w:tcBorders>
            <w:shd w:val="clear" w:color="auto" w:fill="auto"/>
          </w:tcPr>
          <w:p w:rsidR="00AA035A" w:rsidRDefault="0092299C" w:rsidP="0092299C">
            <w:pPr>
              <w:pStyle w:val="ARtablefootnote"/>
              <w:rPr>
                <w:rFonts w:eastAsia="Times"/>
                <w:lang w:eastAsia="en-AU"/>
              </w:rPr>
            </w:pPr>
            <w:r w:rsidRPr="00636971">
              <w:rPr>
                <w:rFonts w:eastAsia="Times"/>
                <w:lang w:eastAsia="en-AU"/>
              </w:rPr>
              <w:t>Source: Mental Health Performance Indicators, Department of Health and Human Services.</w:t>
            </w:r>
          </w:p>
          <w:p w:rsidR="0092299C" w:rsidRPr="00636971" w:rsidRDefault="0092299C" w:rsidP="0092299C">
            <w:pPr>
              <w:pStyle w:val="ARtablefootnote"/>
            </w:pPr>
            <w:r w:rsidRPr="00636971">
              <w:rPr>
                <w:rFonts w:eastAsia="Times"/>
                <w:szCs w:val="18"/>
                <w:lang w:eastAsia="en-AU"/>
              </w:rPr>
              <w:t>Note: Data for this indicator was previously sourced from National Health Agreement Performance Information 2012–13. The source has been changed for consistency with similar items reported elsewhere in the annual report.</w:t>
            </w:r>
          </w:p>
        </w:tc>
      </w:tr>
      <w:tr w:rsidR="008746ED" w:rsidRPr="00636971" w:rsidTr="0010061B">
        <w:trPr>
          <w:cantSplit/>
        </w:trPr>
        <w:tc>
          <w:tcPr>
            <w:tcW w:w="9639" w:type="dxa"/>
            <w:gridSpan w:val="5"/>
            <w:tcBorders>
              <w:top w:val="single" w:sz="4" w:space="0" w:color="auto"/>
              <w:bottom w:val="single" w:sz="4" w:space="0" w:color="BFBFBF"/>
            </w:tcBorders>
          </w:tcPr>
          <w:p w:rsidR="008746ED" w:rsidRPr="00636971" w:rsidRDefault="008746ED" w:rsidP="0092299C">
            <w:pPr>
              <w:pStyle w:val="ARtablebluebold"/>
            </w:pPr>
            <w:r w:rsidRPr="00636971">
              <w:t xml:space="preserve">More people are treated within out-of-hospital </w:t>
            </w:r>
            <w:r w:rsidRPr="00636971">
              <w:br/>
              <w:t>care settings</w:t>
            </w:r>
          </w:p>
        </w:tc>
      </w:tr>
      <w:tr w:rsidR="0092299C" w:rsidRPr="00636971" w:rsidTr="00260FA9">
        <w:trPr>
          <w:cantSplit/>
        </w:trPr>
        <w:tc>
          <w:tcPr>
            <w:tcW w:w="4600" w:type="dxa"/>
            <w:tcBorders>
              <w:top w:val="single" w:sz="4" w:space="0" w:color="BFBFBF"/>
              <w:bottom w:val="nil"/>
            </w:tcBorders>
            <w:shd w:val="clear" w:color="auto" w:fill="auto"/>
          </w:tcPr>
          <w:p w:rsidR="0092299C" w:rsidRPr="00636971" w:rsidRDefault="0092299C" w:rsidP="0092299C">
            <w:pPr>
              <w:pStyle w:val="ARtabletext"/>
            </w:pPr>
            <w:r w:rsidRPr="00636971">
              <w:t>Number of separations where at least part of the treatment is in the patient’s home</w:t>
            </w:r>
          </w:p>
        </w:tc>
        <w:tc>
          <w:tcPr>
            <w:tcW w:w="1351" w:type="dxa"/>
            <w:tcBorders>
              <w:top w:val="single" w:sz="4" w:space="0" w:color="BFBFBF"/>
              <w:bottom w:val="nil"/>
            </w:tcBorders>
          </w:tcPr>
          <w:p w:rsidR="0092299C" w:rsidRPr="00636971" w:rsidRDefault="0092299C" w:rsidP="0092299C">
            <w:pPr>
              <w:tabs>
                <w:tab w:val="left" w:pos="1035"/>
              </w:tabs>
              <w:spacing w:before="80" w:after="60"/>
              <w:rPr>
                <w:rFonts w:eastAsia="Times" w:cs="Arial"/>
                <w:sz w:val="18"/>
                <w:szCs w:val="18"/>
                <w:lang w:eastAsia="en-AU"/>
              </w:rPr>
            </w:pPr>
            <w:r w:rsidRPr="00636971">
              <w:rPr>
                <w:rFonts w:eastAsia="Times" w:cs="Arial"/>
                <w:sz w:val="18"/>
                <w:szCs w:val="18"/>
                <w:lang w:eastAsia="en-AU"/>
              </w:rPr>
              <w:t>30,985</w:t>
            </w:r>
          </w:p>
        </w:tc>
        <w:tc>
          <w:tcPr>
            <w:tcW w:w="1343" w:type="dxa"/>
            <w:tcBorders>
              <w:top w:val="single" w:sz="4" w:space="0" w:color="BFBFBF"/>
              <w:bottom w:val="nil"/>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30,874</w:t>
            </w:r>
          </w:p>
        </w:tc>
        <w:tc>
          <w:tcPr>
            <w:tcW w:w="1290" w:type="dxa"/>
            <w:tcBorders>
              <w:top w:val="single" w:sz="4" w:space="0" w:color="BFBFBF"/>
              <w:bottom w:val="nil"/>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34,401</w:t>
            </w:r>
          </w:p>
        </w:tc>
        <w:tc>
          <w:tcPr>
            <w:tcW w:w="1055" w:type="dxa"/>
            <w:tcBorders>
              <w:top w:val="single" w:sz="4" w:space="0" w:color="BFBFBF"/>
              <w:bottom w:val="nil"/>
            </w:tcBorders>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39,303</w:t>
            </w:r>
          </w:p>
        </w:tc>
      </w:tr>
      <w:tr w:rsidR="0092299C" w:rsidRPr="00636971" w:rsidTr="00260FA9">
        <w:trPr>
          <w:cantSplit/>
        </w:trPr>
        <w:tc>
          <w:tcPr>
            <w:tcW w:w="9639" w:type="dxa"/>
            <w:gridSpan w:val="5"/>
            <w:tcBorders>
              <w:top w:val="nil"/>
              <w:bottom w:val="single" w:sz="4" w:space="0" w:color="auto"/>
            </w:tcBorders>
            <w:shd w:val="clear" w:color="auto" w:fill="auto"/>
          </w:tcPr>
          <w:p w:rsidR="0092299C" w:rsidRPr="00636971" w:rsidRDefault="0092299C" w:rsidP="0092299C">
            <w:pPr>
              <w:pStyle w:val="ARtablefootnote"/>
              <w:rPr>
                <w:rFonts w:eastAsia="Times"/>
                <w:lang w:eastAsia="en-AU"/>
              </w:rPr>
            </w:pPr>
            <w:r w:rsidRPr="00636971">
              <w:rPr>
                <w:rFonts w:eastAsia="Times"/>
                <w:lang w:eastAsia="en-AU"/>
              </w:rPr>
              <w:t>Source: Victorian Admitted Episode Dataset,</w:t>
            </w:r>
            <w:r>
              <w:rPr>
                <w:rFonts w:eastAsia="Times"/>
                <w:lang w:eastAsia="en-AU"/>
              </w:rPr>
              <w:t xml:space="preserve"> </w:t>
            </w:r>
            <w:r w:rsidRPr="00636971">
              <w:rPr>
                <w:rFonts w:eastAsia="Times"/>
                <w:lang w:eastAsia="en-AU"/>
              </w:rPr>
              <w:t>Department of Health and Human Services 2015–16</w:t>
            </w:r>
          </w:p>
        </w:tc>
      </w:tr>
      <w:tr w:rsidR="008746ED" w:rsidRPr="00636971" w:rsidTr="0010061B">
        <w:trPr>
          <w:cantSplit/>
        </w:trPr>
        <w:tc>
          <w:tcPr>
            <w:tcW w:w="9639" w:type="dxa"/>
            <w:gridSpan w:val="5"/>
            <w:tcBorders>
              <w:top w:val="single" w:sz="4" w:space="0" w:color="auto"/>
              <w:bottom w:val="single" w:sz="4" w:space="0" w:color="BFBFBF"/>
            </w:tcBorders>
            <w:shd w:val="clear" w:color="auto" w:fill="auto"/>
          </w:tcPr>
          <w:p w:rsidR="008746ED" w:rsidRPr="00636971" w:rsidRDefault="008746ED" w:rsidP="008746ED">
            <w:pPr>
              <w:pStyle w:val="ARtablebluebold"/>
            </w:pPr>
            <w:r w:rsidRPr="00636971">
              <w:t xml:space="preserve">Patient/consumer experience demonstrates </w:t>
            </w:r>
            <w:r>
              <w:br/>
            </w:r>
            <w:r w:rsidRPr="00636971">
              <w:t>improvement in service-level engagement</w:t>
            </w:r>
          </w:p>
        </w:tc>
      </w:tr>
      <w:tr w:rsidR="0092299C" w:rsidRPr="00636971" w:rsidTr="00260FA9">
        <w:trPr>
          <w:cantSplit/>
        </w:trPr>
        <w:tc>
          <w:tcPr>
            <w:tcW w:w="4600" w:type="dxa"/>
            <w:tcBorders>
              <w:top w:val="single" w:sz="4" w:space="0" w:color="BFBFBF"/>
              <w:bottom w:val="single" w:sz="4" w:space="0" w:color="FFFFFF"/>
            </w:tcBorders>
            <w:shd w:val="clear" w:color="auto" w:fill="auto"/>
          </w:tcPr>
          <w:p w:rsidR="0092299C" w:rsidRPr="00260FA9" w:rsidRDefault="0092299C" w:rsidP="00260FA9">
            <w:pPr>
              <w:pStyle w:val="ARtabletext"/>
            </w:pPr>
            <w:r w:rsidRPr="00636971">
              <w:t xml:space="preserve">Adult inpatient rating of care received while in </w:t>
            </w:r>
            <w:r w:rsidR="0076407D">
              <w:t>hospital</w:t>
            </w:r>
          </w:p>
        </w:tc>
        <w:tc>
          <w:tcPr>
            <w:tcW w:w="1351" w:type="dxa"/>
            <w:tcBorders>
              <w:top w:val="single" w:sz="4" w:space="0" w:color="BFBFBF"/>
              <w:bottom w:val="single" w:sz="4" w:space="0" w:color="FFFFFF"/>
            </w:tcBorders>
          </w:tcPr>
          <w:p w:rsidR="0092299C" w:rsidRPr="00636971" w:rsidRDefault="0092299C" w:rsidP="0092299C">
            <w:pPr>
              <w:pStyle w:val="ARtabletext"/>
            </w:pPr>
            <w:r w:rsidRPr="00636971">
              <w:t>Not comparable</w:t>
            </w:r>
          </w:p>
        </w:tc>
        <w:tc>
          <w:tcPr>
            <w:tcW w:w="1343" w:type="dxa"/>
            <w:tcBorders>
              <w:top w:val="single" w:sz="4" w:space="0" w:color="BFBFBF"/>
              <w:bottom w:val="single" w:sz="4" w:space="0" w:color="FFFFFF"/>
            </w:tcBorders>
            <w:shd w:val="clear" w:color="auto" w:fill="auto"/>
          </w:tcPr>
          <w:p w:rsidR="0092299C" w:rsidRPr="00636971" w:rsidRDefault="0092299C" w:rsidP="0092299C">
            <w:pPr>
              <w:pStyle w:val="ARtabletext"/>
            </w:pPr>
            <w:r w:rsidRPr="00636971">
              <w:t>92%</w:t>
            </w:r>
          </w:p>
        </w:tc>
        <w:tc>
          <w:tcPr>
            <w:tcW w:w="1290" w:type="dxa"/>
            <w:tcBorders>
              <w:top w:val="single" w:sz="4" w:space="0" w:color="BFBFBF"/>
              <w:bottom w:val="single" w:sz="4" w:space="0" w:color="FFFFFF"/>
            </w:tcBorders>
            <w:shd w:val="clear" w:color="auto" w:fill="auto"/>
          </w:tcPr>
          <w:p w:rsidR="0092299C" w:rsidRPr="00636971" w:rsidRDefault="0092299C" w:rsidP="0092299C">
            <w:pPr>
              <w:pStyle w:val="ARtabletext"/>
            </w:pPr>
            <w:r w:rsidRPr="00636971">
              <w:t xml:space="preserve">92% </w:t>
            </w:r>
          </w:p>
        </w:tc>
        <w:tc>
          <w:tcPr>
            <w:tcW w:w="1055" w:type="dxa"/>
            <w:tcBorders>
              <w:top w:val="single" w:sz="4" w:space="0" w:color="BFBFBF"/>
              <w:bottom w:val="single" w:sz="4" w:space="0" w:color="FFFFFF"/>
            </w:tcBorders>
          </w:tcPr>
          <w:p w:rsidR="0092299C" w:rsidRPr="00636971" w:rsidRDefault="0092299C" w:rsidP="0092299C">
            <w:pPr>
              <w:pStyle w:val="ARtabletext"/>
            </w:pPr>
            <w:r w:rsidRPr="00636971">
              <w:t>Not available</w:t>
            </w:r>
          </w:p>
        </w:tc>
      </w:tr>
      <w:tr w:rsidR="00260FA9" w:rsidRPr="00636971" w:rsidTr="00260FA9">
        <w:trPr>
          <w:cantSplit/>
        </w:trPr>
        <w:tc>
          <w:tcPr>
            <w:tcW w:w="9639" w:type="dxa"/>
            <w:gridSpan w:val="5"/>
            <w:tcBorders>
              <w:top w:val="single" w:sz="4" w:space="0" w:color="FFFFFF"/>
            </w:tcBorders>
            <w:shd w:val="clear" w:color="auto" w:fill="auto"/>
          </w:tcPr>
          <w:p w:rsidR="0076407D" w:rsidRDefault="0076407D" w:rsidP="00260FA9">
            <w:pPr>
              <w:pStyle w:val="ARtablefootnote"/>
              <w:rPr>
                <w:rFonts w:eastAsia="Times"/>
              </w:rPr>
            </w:pPr>
            <w:r w:rsidRPr="00636971">
              <w:t>Victorian Healthcare Experience Survey (VHES), Victorian Agency for Health Information. Performance is measured by the per cent of responses who rated overall experience as either ‘very good’ or good’.</w:t>
            </w:r>
          </w:p>
          <w:p w:rsidR="00260FA9" w:rsidRPr="00636971" w:rsidRDefault="00260FA9" w:rsidP="00260FA9">
            <w:pPr>
              <w:pStyle w:val="ARtablefootnote"/>
            </w:pPr>
            <w:r w:rsidRPr="00636971">
              <w:rPr>
                <w:rFonts w:eastAsia="Times"/>
              </w:rPr>
              <w:t>Source: VHES annual reports, 20</w:t>
            </w:r>
            <w:r>
              <w:rPr>
                <w:rFonts w:eastAsia="Times"/>
              </w:rPr>
              <w:t>14–15</w:t>
            </w:r>
            <w:r w:rsidRPr="00636971">
              <w:rPr>
                <w:rFonts w:eastAsia="Times"/>
              </w:rPr>
              <w:t>, 20</w:t>
            </w:r>
            <w:r>
              <w:rPr>
                <w:rFonts w:eastAsia="Times"/>
              </w:rPr>
              <w:t>15–16</w:t>
            </w:r>
          </w:p>
        </w:tc>
      </w:tr>
    </w:tbl>
    <w:p w:rsidR="0092299C" w:rsidRPr="00636971" w:rsidRDefault="0092299C" w:rsidP="0092299C">
      <w:pPr>
        <w:spacing w:after="120" w:line="260" w:lineRule="atLeast"/>
        <w:rPr>
          <w:rFonts w:eastAsia="Times" w:cs="Arial"/>
          <w:sz w:val="20"/>
          <w:szCs w:val="20"/>
        </w:rPr>
        <w:sectPr w:rsidR="0092299C" w:rsidRPr="00636971" w:rsidSect="000871BD">
          <w:endnotePr>
            <w:numFmt w:val="decimal"/>
          </w:endnotePr>
          <w:pgSz w:w="11900" w:h="16840" w:code="9"/>
          <w:pgMar w:top="1531" w:right="851" w:bottom="680" w:left="1418" w:header="510" w:footer="340" w:gutter="0"/>
          <w:cols w:space="720"/>
        </w:sectPr>
      </w:pPr>
    </w:p>
    <w:p w:rsidR="0092299C" w:rsidRPr="00F63571" w:rsidRDefault="0092299C" w:rsidP="0092299C">
      <w:pPr>
        <w:pStyle w:val="Heading3"/>
        <w:spacing w:before="0"/>
      </w:pPr>
      <w:r w:rsidRPr="00F63571">
        <w:lastRenderedPageBreak/>
        <w:br w:type="page"/>
      </w:r>
      <w:r w:rsidRPr="00F63571">
        <w:lastRenderedPageBreak/>
        <w:t>Objective 3: The Victorian health system delivers best practice healthcare</w:t>
      </w:r>
    </w:p>
    <w:p w:rsidR="0092299C" w:rsidRPr="00F63571" w:rsidRDefault="0092299C" w:rsidP="0092299C">
      <w:pPr>
        <w:pStyle w:val="ARbody"/>
      </w:pPr>
      <w:r w:rsidRPr="00F63571">
        <w:t xml:space="preserve">The department funds </w:t>
      </w:r>
      <w:r>
        <w:t xml:space="preserve">safe, high-quality and </w:t>
      </w:r>
      <w:r w:rsidRPr="00F63571">
        <w:t xml:space="preserve">person-centred </w:t>
      </w:r>
      <w:r>
        <w:t xml:space="preserve">health </w:t>
      </w:r>
      <w:r w:rsidRPr="00F63571">
        <w:t>services that allow all Victorians to realise their best health, no matter where they live.</w:t>
      </w:r>
    </w:p>
    <w:p w:rsidR="00AA035A" w:rsidRDefault="0092299C" w:rsidP="0092299C">
      <w:pPr>
        <w:pStyle w:val="ARbody"/>
      </w:pPr>
      <w:r>
        <w:t xml:space="preserve">The provision of these services is underpinned </w:t>
      </w:r>
      <w:r w:rsidR="00112BB9">
        <w:br/>
      </w:r>
      <w:r>
        <w:t>by the department’s role as steward and system manager of Victoria’s health system.</w:t>
      </w:r>
    </w:p>
    <w:p w:rsidR="0092299C" w:rsidRDefault="0092299C" w:rsidP="0092299C">
      <w:pPr>
        <w:pStyle w:val="ARbody"/>
      </w:pPr>
      <w:r>
        <w:t>This includes responsibility for policy development, system design and service planning, for funding and performance management, for regulation and for strategic asset management.</w:t>
      </w:r>
    </w:p>
    <w:p w:rsidR="0092299C" w:rsidRPr="00F63571" w:rsidRDefault="0092299C" w:rsidP="0092299C">
      <w:pPr>
        <w:pStyle w:val="Heading4"/>
      </w:pPr>
      <w:r w:rsidRPr="00F63571">
        <w:t xml:space="preserve">Targeting Zero: </w:t>
      </w:r>
      <w:r>
        <w:t>T</w:t>
      </w:r>
      <w:r w:rsidRPr="00F63571">
        <w:t>he review of hospital safety and quality assurance</w:t>
      </w:r>
    </w:p>
    <w:p w:rsidR="0092299C" w:rsidRPr="00F63571" w:rsidRDefault="0092299C" w:rsidP="0092299C">
      <w:pPr>
        <w:pStyle w:val="ARbody"/>
      </w:pPr>
      <w:r w:rsidRPr="00F63571">
        <w:t>Since the</w:t>
      </w:r>
      <w:r>
        <w:t xml:space="preserve"> r</w:t>
      </w:r>
      <w:r w:rsidR="00D02C08">
        <w:t>el</w:t>
      </w:r>
      <w:r>
        <w:t>ease in</w:t>
      </w:r>
      <w:r w:rsidRPr="00F63571">
        <w:t xml:space="preserve"> October 2016 of </w:t>
      </w:r>
      <w:r w:rsidRPr="00F63571">
        <w:rPr>
          <w:i/>
        </w:rPr>
        <w:t xml:space="preserve">Targeting </w:t>
      </w:r>
      <w:r>
        <w:rPr>
          <w:i/>
        </w:rPr>
        <w:t>Z</w:t>
      </w:r>
      <w:r w:rsidRPr="00F63571">
        <w:rPr>
          <w:i/>
        </w:rPr>
        <w:t xml:space="preserve">ero: </w:t>
      </w:r>
      <w:r>
        <w:rPr>
          <w:i/>
        </w:rPr>
        <w:t>T</w:t>
      </w:r>
      <w:r w:rsidRPr="00F63571">
        <w:rPr>
          <w:i/>
        </w:rPr>
        <w:t>he review of hospital safety and quality assurance</w:t>
      </w:r>
      <w:r w:rsidRPr="00F63571">
        <w:t>, the department has been implementing the recommendations endorsed by the government.</w:t>
      </w:r>
    </w:p>
    <w:p w:rsidR="00AA035A" w:rsidRDefault="0092299C" w:rsidP="0092299C">
      <w:pPr>
        <w:pStyle w:val="ARbody"/>
      </w:pPr>
      <w:r w:rsidRPr="00F63571">
        <w:t xml:space="preserve">The reforms represent a significant overhaul of Victoria’s health system, and build on the work already undertaken by the Victorian Government </w:t>
      </w:r>
      <w:r w:rsidR="00112BB9">
        <w:br/>
      </w:r>
      <w:r w:rsidRPr="00F63571">
        <w:t>to strengthen quality and safety.</w:t>
      </w:r>
    </w:p>
    <w:p w:rsidR="00AA035A" w:rsidRDefault="0092299C" w:rsidP="0092299C">
      <w:pPr>
        <w:pStyle w:val="ARbody"/>
      </w:pPr>
      <w:r>
        <w:t>Implementation progress in 2016</w:t>
      </w:r>
      <w:r w:rsidRPr="00F63571">
        <w:t>–17</w:t>
      </w:r>
      <w:r>
        <w:t xml:space="preserve"> included:</w:t>
      </w:r>
    </w:p>
    <w:p w:rsidR="00AA035A" w:rsidRDefault="0092299C" w:rsidP="0092299C">
      <w:pPr>
        <w:pStyle w:val="ARbullet1"/>
      </w:pPr>
      <w:r>
        <w:t xml:space="preserve">establishment of </w:t>
      </w:r>
      <w:r w:rsidRPr="00F63571">
        <w:t>Safer Care Victoria and the Victorian Health Information Agency</w:t>
      </w:r>
    </w:p>
    <w:p w:rsidR="0092299C" w:rsidRPr="00DD1857" w:rsidRDefault="0092299C" w:rsidP="0092299C">
      <w:pPr>
        <w:pStyle w:val="ARbullet1"/>
      </w:pPr>
      <w:r w:rsidRPr="00F63571">
        <w:t>establishment of the Boards Ministerial Advisory Committee in the first half of 2017 to advise the Minister on board appointments for public hospitals and public health services</w:t>
      </w:r>
    </w:p>
    <w:p w:rsidR="00AA035A" w:rsidRDefault="0092299C" w:rsidP="0092299C">
      <w:pPr>
        <w:pStyle w:val="ARbullet1"/>
      </w:pPr>
      <w:r w:rsidRPr="00F63571">
        <w:t>delivery of clinical governance training for health service boards, through interactive sessions across 17 rural and three metropolitan locations. More than 300 directors attended</w:t>
      </w:r>
    </w:p>
    <w:p w:rsidR="0092299C" w:rsidRPr="00DD1857" w:rsidRDefault="0092299C" w:rsidP="0092299C">
      <w:pPr>
        <w:pStyle w:val="ARbullet1"/>
      </w:pPr>
      <w:r w:rsidRPr="00F63571">
        <w:t>significant increase in the number of clinicians on rural public hospital and multipurpose service boards. This is an improvement from less than 66 per cent with a clinician in 2016, to 89 per cent after the 2017 board appointments round. Regional public health services also improved, with 100 per cent of public health service boards having a clinician on the board in 2017</w:t>
      </w:r>
    </w:p>
    <w:p w:rsidR="0092299C" w:rsidRPr="00DD1857" w:rsidRDefault="0092299C" w:rsidP="0092299C">
      <w:pPr>
        <w:pStyle w:val="ARbullet1"/>
      </w:pPr>
      <w:r w:rsidRPr="00F63571">
        <w:t>establishment of Rural and Regional Health Partnerships, led by regional health services, to contribute to consistent and systematised approaches to health service provision and clinical governance in their catchments</w:t>
      </w:r>
    </w:p>
    <w:p w:rsidR="0092299C" w:rsidRPr="00DD1857" w:rsidRDefault="008E006D" w:rsidP="006F1F77">
      <w:pPr>
        <w:pStyle w:val="ARbullet1"/>
      </w:pPr>
      <w:r>
        <w:br w:type="column"/>
      </w:r>
      <w:r w:rsidR="0092299C" w:rsidRPr="00F63571">
        <w:lastRenderedPageBreak/>
        <w:t>development of a performance monitoring framework, which introduced a documented risk assessment approach that eliminates potential masking of vulnerabilities in quality and safety, while aiding more comprehensive analysis of performance.</w:t>
      </w:r>
    </w:p>
    <w:p w:rsidR="0092299C" w:rsidRPr="00F63571" w:rsidRDefault="0092299C" w:rsidP="0092299C">
      <w:pPr>
        <w:pStyle w:val="Heading4"/>
      </w:pPr>
      <w:r w:rsidRPr="00F63571">
        <w:t>Safer Care Victoria</w:t>
      </w:r>
    </w:p>
    <w:p w:rsidR="00AA035A" w:rsidRDefault="0092299C" w:rsidP="0092299C">
      <w:pPr>
        <w:pStyle w:val="ARbody"/>
      </w:pPr>
      <w:r w:rsidRPr="004F4AF4">
        <w:t>Safer Care Victoria (SCV) is the state's peak authority for quality and safety improvement in healthcare.</w:t>
      </w:r>
    </w:p>
    <w:p w:rsidR="00AA035A" w:rsidRDefault="0092299C" w:rsidP="0092299C">
      <w:pPr>
        <w:pStyle w:val="ARbody"/>
      </w:pPr>
      <w:r w:rsidRPr="004F4AF4">
        <w:t>Established in January 2017, SCV oversees and supports health services to provide outstanding health care to all Victorians.</w:t>
      </w:r>
    </w:p>
    <w:p w:rsidR="00AA035A" w:rsidRDefault="0092299C" w:rsidP="0092299C">
      <w:pPr>
        <w:pStyle w:val="ARbody"/>
      </w:pPr>
      <w:r w:rsidRPr="00112BB9">
        <w:rPr>
          <w:spacing w:val="-2"/>
        </w:rPr>
        <w:t>In 2016–17, SCV worked with consumers, clinicians,</w:t>
      </w:r>
      <w:r w:rsidRPr="004F4AF4">
        <w:t xml:space="preserve"> health service executives and boards to prioriti</w:t>
      </w:r>
      <w:r>
        <w:t>s</w:t>
      </w:r>
      <w:r w:rsidRPr="004F4AF4">
        <w:t>e support for</w:t>
      </w:r>
      <w:r>
        <w:t xml:space="preserve"> health services, </w:t>
      </w:r>
      <w:r w:rsidRPr="004F4AF4">
        <w:t>meeting their needs</w:t>
      </w:r>
      <w:r>
        <w:t>, and</w:t>
      </w:r>
      <w:r w:rsidRPr="004F4AF4">
        <w:t xml:space="preserve"> </w:t>
      </w:r>
      <w:r>
        <w:t>improvement of services</w:t>
      </w:r>
      <w:r w:rsidRPr="004F4AF4">
        <w:t>. Reflecting those needs, SCV has established five priority areas:</w:t>
      </w:r>
    </w:p>
    <w:p w:rsidR="0092299C" w:rsidRDefault="0092299C" w:rsidP="0092299C">
      <w:pPr>
        <w:pStyle w:val="Heading5"/>
      </w:pPr>
      <w:r w:rsidRPr="004F4AF4">
        <w:t>Partnering with consumers, families and carers</w:t>
      </w:r>
    </w:p>
    <w:p w:rsidR="0092299C" w:rsidRPr="004F4AF4" w:rsidRDefault="0092299C" w:rsidP="0092299C">
      <w:pPr>
        <w:pStyle w:val="ARbody"/>
      </w:pPr>
      <w:r w:rsidRPr="004F4AF4">
        <w:t>Safer Care Victoria has supported health services to resolve patient concerns, and worked to ensure consumers are increasingly embedded in healthcare delivery structures. SCV had led the Victorian response to ensure women with adverse outcomes following mesh surgery hav</w:t>
      </w:r>
      <w:r>
        <w:t>e access to the care they need.</w:t>
      </w:r>
    </w:p>
    <w:p w:rsidR="0092299C" w:rsidRDefault="0092299C" w:rsidP="0092299C">
      <w:pPr>
        <w:pStyle w:val="Heading5"/>
      </w:pPr>
      <w:r>
        <w:t>Partnering with clinicians</w:t>
      </w:r>
    </w:p>
    <w:p w:rsidR="0092299C" w:rsidRPr="004F4AF4" w:rsidRDefault="0092299C" w:rsidP="0092299C">
      <w:pPr>
        <w:pStyle w:val="ARbody"/>
      </w:pPr>
      <w:r w:rsidRPr="004F4AF4">
        <w:t>Safer Care Victoria revitalised its clinical networks so that they are be</w:t>
      </w:r>
      <w:r>
        <w:t>tter enabled to meet the changing</w:t>
      </w:r>
      <w:r w:rsidRPr="004F4AF4">
        <w:t xml:space="preserve"> needs of consumers and health services. The new Victorian Clinical Council was launched to utilise the expertise of lead clinicians and consumers from across Victoria to improve system design, policy and implementation. A key focus of the June meeting of the Victorian Clinical Council was how to improve the safety of the health workforce.</w:t>
      </w:r>
    </w:p>
    <w:p w:rsidR="0092299C" w:rsidRPr="000E06EC" w:rsidRDefault="0092299C" w:rsidP="0092299C">
      <w:pPr>
        <w:pStyle w:val="Heading5"/>
      </w:pPr>
      <w:r w:rsidRPr="00A00E60">
        <w:t>Leadership and culture</w:t>
      </w:r>
    </w:p>
    <w:p w:rsidR="0092299C" w:rsidRPr="004F4AF4" w:rsidRDefault="0092299C" w:rsidP="0092299C">
      <w:pPr>
        <w:pStyle w:val="ARbody"/>
      </w:pPr>
      <w:r>
        <w:t xml:space="preserve">Safer Care Victoria, </w:t>
      </w:r>
      <w:r w:rsidRPr="004F4AF4">
        <w:t>in conjunction with its innovation and improvement arm</w:t>
      </w:r>
      <w:r>
        <w:t>,</w:t>
      </w:r>
      <w:r w:rsidRPr="004F4AF4">
        <w:t xml:space="preserve"> Better Care Victoria, ran leadership development programs for emerging and existing leaders to support cultures of continuous improvement and learning</w:t>
      </w:r>
      <w:r>
        <w:t>. It also</w:t>
      </w:r>
      <w:r w:rsidRPr="004F4AF4">
        <w:t xml:space="preserve"> partnered with other agencies to bolster the number of rural chief medical officers. A new Clinical Governance Framework was launched and released. This resource will be the basis for governance training for boards, executives and cl</w:t>
      </w:r>
      <w:r>
        <w:t>inicians.</w:t>
      </w:r>
    </w:p>
    <w:p w:rsidR="0092299C" w:rsidRDefault="0092299C" w:rsidP="0092299C">
      <w:pPr>
        <w:pStyle w:val="Heading5"/>
      </w:pPr>
      <w:r w:rsidRPr="004F4AF4">
        <w:lastRenderedPageBreak/>
        <w:t>Review and response</w:t>
      </w:r>
    </w:p>
    <w:p w:rsidR="0092299C" w:rsidRPr="004F4AF4" w:rsidRDefault="0092299C" w:rsidP="0092299C">
      <w:pPr>
        <w:pStyle w:val="ARbody"/>
      </w:pPr>
      <w:r w:rsidRPr="004F4AF4">
        <w:t>Safer Care Victoria has strengthened the response to critical incidents and began work to restructure the adverse event</w:t>
      </w:r>
      <w:r>
        <w:t>s</w:t>
      </w:r>
      <w:r w:rsidRPr="004F4AF4">
        <w:t xml:space="preserve"> reporting and response system. The agency supported several internal health service reviews of serious incidents.</w:t>
      </w:r>
    </w:p>
    <w:p w:rsidR="0092299C" w:rsidRDefault="0092299C" w:rsidP="0092299C">
      <w:pPr>
        <w:pStyle w:val="Heading5"/>
      </w:pPr>
      <w:r w:rsidRPr="004F4AF4">
        <w:t>System improvement and innovation</w:t>
      </w:r>
    </w:p>
    <w:p w:rsidR="0092299C" w:rsidRPr="004F4AF4" w:rsidRDefault="0092299C" w:rsidP="0092299C">
      <w:pPr>
        <w:pStyle w:val="ARbody"/>
      </w:pPr>
      <w:r w:rsidRPr="004F4AF4">
        <w:t>Safer Care Victoria, through Better Care Victoria, continued to lead on the testing and implementation of innovation. Work was also undertaken with the sector to identify a number of targeted objectives for future work.</w:t>
      </w:r>
    </w:p>
    <w:p w:rsidR="00AA035A" w:rsidRDefault="0092299C" w:rsidP="0092299C">
      <w:pPr>
        <w:pStyle w:val="Heading4"/>
      </w:pPr>
      <w:r w:rsidRPr="00F63571">
        <w:t>Victorian Agency for Health Information</w:t>
      </w:r>
    </w:p>
    <w:p w:rsidR="00AA035A" w:rsidRDefault="0092299C" w:rsidP="0092299C">
      <w:pPr>
        <w:pStyle w:val="ARbody"/>
      </w:pPr>
      <w:r w:rsidRPr="00F63571">
        <w:t>The Victorian Agency for Health Information (VAHI) measures patient care and outcomes for three key purposes</w:t>
      </w:r>
      <w:r w:rsidRPr="00F63571">
        <w:rPr>
          <w:i/>
        </w:rPr>
        <w:t xml:space="preserve">: </w:t>
      </w:r>
      <w:r w:rsidRPr="00F63571">
        <w:t>public reporting, oversight</w:t>
      </w:r>
      <w:r>
        <w:t>,</w:t>
      </w:r>
      <w:r w:rsidRPr="00F63571">
        <w:t xml:space="preserve"> and clinical improvement.</w:t>
      </w:r>
    </w:p>
    <w:p w:rsidR="0092299C" w:rsidRPr="00F63571" w:rsidRDefault="0092299C" w:rsidP="0092299C">
      <w:pPr>
        <w:pStyle w:val="ARbody"/>
      </w:pPr>
      <w:r w:rsidRPr="00F63571">
        <w:t>In 2016–17, VAHI developed a series of initiatives to ensure that data and information on the performance of the Victorian health system is readily available to health services, Safer Care Victoria, the department, other government agencies, the public and researchers. These included:</w:t>
      </w:r>
    </w:p>
    <w:p w:rsidR="0092299C" w:rsidRPr="00F63571" w:rsidRDefault="0092299C" w:rsidP="0092299C">
      <w:pPr>
        <w:pStyle w:val="ARbullet1"/>
      </w:pPr>
      <w:r w:rsidRPr="00F63571">
        <w:t xml:space="preserve">public and board reporting, including the development and release of the inaugural </w:t>
      </w:r>
      <w:r w:rsidRPr="00F63571">
        <w:rPr>
          <w:rFonts w:eastAsia="Calibri" w:cs="Helv"/>
          <w:i/>
          <w:color w:val="000000"/>
        </w:rPr>
        <w:t xml:space="preserve">Board safety and quality report </w:t>
      </w:r>
      <w:r w:rsidRPr="00F63571">
        <w:rPr>
          <w:rFonts w:eastAsia="Calibri" w:cs="Helv"/>
          <w:color w:val="000000"/>
        </w:rPr>
        <w:t xml:space="preserve">in April </w:t>
      </w:r>
      <w:r>
        <w:rPr>
          <w:rFonts w:eastAsia="Calibri" w:cs="Helv"/>
          <w:color w:val="000000"/>
        </w:rPr>
        <w:t>2017</w:t>
      </w:r>
    </w:p>
    <w:p w:rsidR="00AA035A" w:rsidRDefault="0092299C" w:rsidP="0092299C">
      <w:pPr>
        <w:pStyle w:val="ARbullet1"/>
      </w:pPr>
      <w:r w:rsidRPr="00F63571">
        <w:t>driving improvements in the safety and quality of clinical services through the development of INSPIRE, a report to provide information, tools and resources that support conversations on safety and quality performance improvement</w:t>
      </w:r>
    </w:p>
    <w:p w:rsidR="0092299C" w:rsidRPr="00F63571" w:rsidRDefault="0092299C" w:rsidP="0092299C">
      <w:pPr>
        <w:pStyle w:val="ARbullet1"/>
      </w:pPr>
      <w:r w:rsidRPr="00F63571">
        <w:t>conducting a review of 23 health services to improve data integrity</w:t>
      </w:r>
      <w:r>
        <w:t>,</w:t>
      </w:r>
      <w:r w:rsidRPr="00F63571">
        <w:t xml:space="preserve"> and releasing a report, </w:t>
      </w:r>
      <w:r w:rsidRPr="00F63571">
        <w:rPr>
          <w:i/>
        </w:rPr>
        <w:t>Elective surgery waiting lists: a rapid review to ensure full transparency</w:t>
      </w:r>
    </w:p>
    <w:p w:rsidR="0092299C" w:rsidRPr="00F63571" w:rsidRDefault="0092299C" w:rsidP="0092299C">
      <w:pPr>
        <w:pStyle w:val="ARbullet1"/>
      </w:pPr>
      <w:r w:rsidRPr="00F63571">
        <w:t xml:space="preserve">facilitating the </w:t>
      </w:r>
      <w:r w:rsidRPr="00DD1857">
        <w:t xml:space="preserve">Better </w:t>
      </w:r>
      <w:r w:rsidRPr="00F63571">
        <w:t>S</w:t>
      </w:r>
      <w:r w:rsidRPr="00DD1857">
        <w:t xml:space="preserve">marter </w:t>
      </w:r>
      <w:r w:rsidRPr="00F63571">
        <w:t>C</w:t>
      </w:r>
      <w:r w:rsidRPr="00DD1857">
        <w:t xml:space="preserve">are: </w:t>
      </w:r>
      <w:r w:rsidRPr="00F63571">
        <w:t>R</w:t>
      </w:r>
      <w:r w:rsidRPr="00DD1857">
        <w:t xml:space="preserve">educing </w:t>
      </w:r>
      <w:r w:rsidRPr="00F63571">
        <w:t>U</w:t>
      </w:r>
      <w:r w:rsidRPr="00DD1857">
        <w:t xml:space="preserve">nwarranted </w:t>
      </w:r>
      <w:r w:rsidRPr="00F63571">
        <w:t>V</w:t>
      </w:r>
      <w:r w:rsidRPr="00DD1857">
        <w:t>ariation</w:t>
      </w:r>
      <w:r w:rsidRPr="00F63571">
        <w:t xml:space="preserve"> conference with more than 200 Australian and international guests from five countries</w:t>
      </w:r>
    </w:p>
    <w:p w:rsidR="0092299C" w:rsidRPr="00F63571" w:rsidRDefault="0092299C" w:rsidP="0092299C">
      <w:pPr>
        <w:pStyle w:val="ARbullet1"/>
      </w:pPr>
      <w:r w:rsidRPr="00F63571">
        <w:t>establishing a range of peak stakeholder committees.</w:t>
      </w:r>
    </w:p>
    <w:p w:rsidR="0092299C" w:rsidRPr="00F63571" w:rsidRDefault="0092299C" w:rsidP="0092299C">
      <w:pPr>
        <w:pStyle w:val="Heading4"/>
      </w:pPr>
      <w:r w:rsidRPr="00F63571">
        <w:t>Alcohol and other drugs program guidelines</w:t>
      </w:r>
    </w:p>
    <w:p w:rsidR="00AA035A" w:rsidRDefault="0092299C" w:rsidP="0092299C">
      <w:pPr>
        <w:pStyle w:val="ARbody"/>
      </w:pPr>
      <w:r w:rsidRPr="00F63571">
        <w:rPr>
          <w:shd w:val="clear" w:color="auto" w:fill="FFFFFF"/>
        </w:rPr>
        <w:t xml:space="preserve">New </w:t>
      </w:r>
      <w:r w:rsidRPr="00F63571">
        <w:rPr>
          <w:i/>
          <w:shd w:val="clear" w:color="auto" w:fill="FFFFFF"/>
        </w:rPr>
        <w:t>Alcohol and other drugs program guidelines</w:t>
      </w:r>
      <w:r w:rsidRPr="00F63571">
        <w:rPr>
          <w:shd w:val="clear" w:color="auto" w:fill="FFFFFF"/>
        </w:rPr>
        <w:t xml:space="preserve">, released in April 2017, provide greater clarity and guidance to the alcohol and other drug sector on service delivery expectations. </w:t>
      </w:r>
      <w:r w:rsidRPr="00F63571">
        <w:t>Consistent with directions identified in the</w:t>
      </w:r>
      <w:r w:rsidRPr="00896C3E">
        <w:t> </w:t>
      </w:r>
      <w:r w:rsidRPr="00F63571">
        <w:rPr>
          <w:rStyle w:val="Emphasis"/>
          <w:shd w:val="clear" w:color="auto" w:fill="FFFFFF"/>
        </w:rPr>
        <w:t>Independent review of new arrangements for the delivery of mental health community support services and drug treatment services</w:t>
      </w:r>
      <w:r w:rsidRPr="00694703">
        <w:t> </w:t>
      </w:r>
      <w:r w:rsidRPr="008A0B1E">
        <w:t xml:space="preserve">and extensive consultation, the guidelines </w:t>
      </w:r>
      <w:r w:rsidRPr="008A0B1E">
        <w:lastRenderedPageBreak/>
        <w:t>are one part of a range of initiatives to improve client access to services.</w:t>
      </w:r>
    </w:p>
    <w:p w:rsidR="0092299C" w:rsidRPr="00F63571" w:rsidRDefault="0092299C" w:rsidP="0092299C">
      <w:pPr>
        <w:pStyle w:val="Heading4"/>
      </w:pPr>
      <w:r w:rsidRPr="00F63571">
        <w:t>Healthcare facilities</w:t>
      </w:r>
    </w:p>
    <w:p w:rsidR="00AA035A" w:rsidRDefault="0092299C" w:rsidP="0092299C">
      <w:pPr>
        <w:pStyle w:val="ARbody"/>
      </w:pPr>
      <w:r w:rsidRPr="00F63571">
        <w:t>The department has continued to deliver new healthcare facilities and upgrades to existing facilities</w:t>
      </w:r>
      <w:r>
        <w:t>, through</w:t>
      </w:r>
      <w:r w:rsidRPr="00F63571">
        <w:t xml:space="preserve"> </w:t>
      </w:r>
      <w:r>
        <w:t>the $3.1 billion overall capital building program,</w:t>
      </w:r>
      <w:r w:rsidRPr="00F63571">
        <w:t xml:space="preserve"> to ensure that Victorians receive the care they need, close to home.</w:t>
      </w:r>
    </w:p>
    <w:p w:rsidR="0092299C" w:rsidRPr="00F63571" w:rsidRDefault="0092299C" w:rsidP="0092299C">
      <w:pPr>
        <w:pStyle w:val="Heading5"/>
      </w:pPr>
      <w:r w:rsidRPr="00F63571">
        <w:t>Bendigo Hospital</w:t>
      </w:r>
    </w:p>
    <w:p w:rsidR="00AA035A" w:rsidRDefault="0092299C" w:rsidP="0092299C">
      <w:pPr>
        <w:pStyle w:val="ARbody"/>
      </w:pPr>
      <w:r w:rsidRPr="00F63571">
        <w:t xml:space="preserve">The new Bendigo Hospital was completed ahead </w:t>
      </w:r>
      <w:r w:rsidR="00112BB9">
        <w:br/>
      </w:r>
      <w:r w:rsidRPr="00F63571">
        <w:t xml:space="preserve">of schedule and opened in January 2017. </w:t>
      </w:r>
      <w:r>
        <w:t>As t</w:t>
      </w:r>
      <w:r w:rsidRPr="00F63571">
        <w:t>he largest regional hospital delivered in Victoria, the $630 million hospital will provide high-quality services through 372 inpatients beds, 72 same-day beds, 10 operating theatres, a regional cancer centre, an 80-bed integrated mental health facility, and a mother and baby unit. Stage 2 of the project is ongoing, and will include car parking, a helipad, short-stay accommodation and additional retail outlets.</w:t>
      </w:r>
    </w:p>
    <w:p w:rsidR="0092299C" w:rsidRPr="00F63571" w:rsidRDefault="0092299C" w:rsidP="0092299C">
      <w:pPr>
        <w:pStyle w:val="Heading5"/>
      </w:pPr>
      <w:r w:rsidRPr="00F63571">
        <w:t>Monash Children’s Hospital</w:t>
      </w:r>
    </w:p>
    <w:p w:rsidR="0092299C" w:rsidRDefault="0092299C" w:rsidP="0092299C">
      <w:pPr>
        <w:pStyle w:val="ARbody"/>
      </w:pPr>
      <w:r w:rsidRPr="00F63571">
        <w:t>Construction of the Monash Children’s Hospital was completed in December 2016</w:t>
      </w:r>
      <w:r>
        <w:t>,</w:t>
      </w:r>
      <w:r w:rsidRPr="00F63571">
        <w:t xml:space="preserve"> and it opened its doors to the first patients in April 2017. It is a new 230-bed hospital dedicated to children and families that will provide tertiary-level paediatric services for the growing population in Melbourne’s south-eastern suburbs. The hospital includes 96 in</w:t>
      </w:r>
      <w:r>
        <w:t>patient</w:t>
      </w:r>
      <w:r w:rsidRPr="00F63571">
        <w:t xml:space="preserve"> acute and 20 same-day beds, as well as 10 paediatric intensive care beds.</w:t>
      </w:r>
    </w:p>
    <w:p w:rsidR="00AA035A" w:rsidRDefault="0092299C" w:rsidP="0092299C">
      <w:pPr>
        <w:pStyle w:val="ARbody"/>
      </w:pPr>
      <w:r w:rsidRPr="006867E4">
        <w:t>The hospital also includes a brand new helipad, which provides time-critical emergency air ambulance transfers to both the new Monash Children’s Hospital and the Monash Medical Centre.</w:t>
      </w:r>
      <w:r w:rsidR="00F8267D">
        <w:t xml:space="preserve"> </w:t>
      </w:r>
      <w:r w:rsidRPr="006867E4">
        <w:t>The rooftop helipad improves patient safety and removes the need for road ambulance transports from the previous helipad north of the hospital, freeing up ambulances to respond to other emergencies.</w:t>
      </w:r>
    </w:p>
    <w:p w:rsidR="0092299C" w:rsidRPr="006867E4" w:rsidRDefault="0092299C" w:rsidP="0092299C">
      <w:pPr>
        <w:pStyle w:val="ARbody"/>
      </w:pPr>
      <w:r w:rsidRPr="006867E4">
        <w:t>Work is continuing on site to finish the integrated Early In Life Mental Health Service, which was funded in the 2016</w:t>
      </w:r>
      <w:r w:rsidR="000B6B03">
        <w:t>–</w:t>
      </w:r>
      <w:r w:rsidRPr="006867E4">
        <w:t xml:space="preserve">17 </w:t>
      </w:r>
      <w:r w:rsidR="000B6B03">
        <w:t xml:space="preserve">Victorian </w:t>
      </w:r>
      <w:r w:rsidRPr="006867E4">
        <w:t>Budget.</w:t>
      </w:r>
      <w:r w:rsidR="00F8267D">
        <w:t xml:space="preserve"> </w:t>
      </w:r>
      <w:r w:rsidRPr="006867E4">
        <w:t>It is anticipated that the project will be completed in 2017-18 finan</w:t>
      </w:r>
      <w:r w:rsidR="00DC3CFB">
        <w:t>cial year</w:t>
      </w:r>
      <w:r w:rsidRPr="006867E4">
        <w:t>.</w:t>
      </w:r>
    </w:p>
    <w:p w:rsidR="0092299C" w:rsidRPr="00F63571" w:rsidRDefault="0092299C" w:rsidP="0092299C">
      <w:pPr>
        <w:pStyle w:val="Heading5"/>
      </w:pPr>
      <w:r w:rsidRPr="00F63571">
        <w:t xml:space="preserve">Northern </w:t>
      </w:r>
      <w:r>
        <w:t>Health</w:t>
      </w:r>
      <w:r w:rsidRPr="00F63571">
        <w:t xml:space="preserve"> </w:t>
      </w:r>
      <w:r>
        <w:t>r</w:t>
      </w:r>
      <w:r w:rsidRPr="00F63571">
        <w:t>edevelopment</w:t>
      </w:r>
    </w:p>
    <w:p w:rsidR="0092299C" w:rsidRDefault="0092299C" w:rsidP="0092299C">
      <w:pPr>
        <w:pStyle w:val="ARbody"/>
      </w:pPr>
      <w:r w:rsidRPr="00F63571">
        <w:t xml:space="preserve">A $17.3 million expansion of surgery capacity at Broadmeadows Health Services was completed ahead of schedule in June 2017. The new elective surgery centre doubles the number of operating theatres, and includes two new cutting-edge, larger </w:t>
      </w:r>
      <w:r w:rsidRPr="00F63571">
        <w:lastRenderedPageBreak/>
        <w:t>operating theatres. It is expected the expanded surgery capacity will enable Northern Health to perform more than 2,500 additional procedures at Broadmeadows.</w:t>
      </w:r>
    </w:p>
    <w:p w:rsidR="0092299C" w:rsidRPr="006867E4" w:rsidRDefault="0092299C" w:rsidP="0092299C">
      <w:pPr>
        <w:pStyle w:val="ARbody"/>
      </w:pPr>
      <w:r w:rsidRPr="006867E4">
        <w:t>The Broadmeadows expansion will also assist Northern Health to continue to provide high quality services to its community, during the expansion of the Northern Hospital which was funded in the 2017</w:t>
      </w:r>
      <w:r w:rsidR="000B6B03">
        <w:t>–</w:t>
      </w:r>
      <w:r w:rsidRPr="006867E4">
        <w:t xml:space="preserve">18 </w:t>
      </w:r>
      <w:r w:rsidR="000B6B03">
        <w:t xml:space="preserve">Victorian </w:t>
      </w:r>
      <w:r w:rsidRPr="006867E4">
        <w:t>Budget.</w:t>
      </w:r>
      <w:r w:rsidR="00F8267D">
        <w:t xml:space="preserve"> </w:t>
      </w:r>
      <w:r w:rsidRPr="006867E4">
        <w:t xml:space="preserve">The $162.7 million expansion project will be managed by the department to help meet the health care needs </w:t>
      </w:r>
      <w:r w:rsidR="00112BB9">
        <w:br/>
      </w:r>
      <w:r w:rsidRPr="006867E4">
        <w:t xml:space="preserve">of Melbourne’s rapidly growing outer northern suburbs, and will provide 96 new inpatient beds, </w:t>
      </w:r>
      <w:r w:rsidR="000B6B03">
        <w:t>three</w:t>
      </w:r>
      <w:r w:rsidRPr="006867E4">
        <w:t xml:space="preserve"> new operating theatres and more treatment rooms.</w:t>
      </w:r>
    </w:p>
    <w:p w:rsidR="0092299C" w:rsidRPr="00F63571" w:rsidRDefault="0092299C" w:rsidP="0092299C">
      <w:pPr>
        <w:pStyle w:val="Heading5"/>
      </w:pPr>
      <w:r w:rsidRPr="00F63571">
        <w:t>Healesville Hospital</w:t>
      </w:r>
    </w:p>
    <w:p w:rsidR="00AA035A" w:rsidRDefault="0092299C" w:rsidP="0092299C">
      <w:pPr>
        <w:pStyle w:val="ARbody"/>
      </w:pPr>
      <w:r w:rsidRPr="00F63571">
        <w:t>A major redevelopment of Healesville Hospital was completed in late 2016</w:t>
      </w:r>
      <w:r w:rsidR="000B6B03">
        <w:t>.</w:t>
      </w:r>
      <w:r w:rsidRPr="00F63571">
        <w:t xml:space="preserve"> </w:t>
      </w:r>
      <w:r w:rsidR="000B6B03">
        <w:t>It provides</w:t>
      </w:r>
      <w:r w:rsidR="000B6B03" w:rsidRPr="00F63571">
        <w:t xml:space="preserve"> </w:t>
      </w:r>
      <w:r w:rsidRPr="00F63571">
        <w:t>a new, enlarged operating theatre complex with access to modern technology and separate theatre and ward entrances, a new renal dialysis unit, commencing with six chairs, and a redeveloped community health centre, with an increase in the number of consulting rooms and capacity to extend the Primary Care G</w:t>
      </w:r>
      <w:r>
        <w:t xml:space="preserve">eneral </w:t>
      </w:r>
      <w:r w:rsidRPr="00F63571">
        <w:t>P</w:t>
      </w:r>
      <w:r>
        <w:t>ractitioner</w:t>
      </w:r>
      <w:r w:rsidRPr="00F63571">
        <w:t xml:space="preserve"> Service staffing and hours.</w:t>
      </w:r>
    </w:p>
    <w:p w:rsidR="0092299C" w:rsidRPr="00F63571" w:rsidRDefault="0092299C" w:rsidP="0092299C">
      <w:pPr>
        <w:pStyle w:val="Heading5"/>
      </w:pPr>
      <w:r w:rsidRPr="00F63571">
        <w:t>Ballarat Hospital</w:t>
      </w:r>
    </w:p>
    <w:p w:rsidR="0092299C" w:rsidRPr="00F63571" w:rsidRDefault="0092299C" w:rsidP="0092299C">
      <w:pPr>
        <w:pStyle w:val="ARbody"/>
      </w:pPr>
      <w:r w:rsidRPr="00F63571">
        <w:t>The Gardiner-</w:t>
      </w:r>
      <w:proofErr w:type="spellStart"/>
      <w:r w:rsidRPr="00F63571">
        <w:t>Pittard</w:t>
      </w:r>
      <w:proofErr w:type="spellEnd"/>
      <w:r w:rsidRPr="00F63571">
        <w:t xml:space="preserve"> Building at Ballarat Hospital was completed in late 2016, and it opened to the public in early 2017. The building includes a new ground-level entry that provides a clear entry point for patients and visitors to the hospital. </w:t>
      </w:r>
      <w:r>
        <w:t xml:space="preserve">It provides 30 </w:t>
      </w:r>
      <w:r w:rsidRPr="00F63571">
        <w:t xml:space="preserve">new acute beds, </w:t>
      </w:r>
      <w:r>
        <w:t>and is</w:t>
      </w:r>
      <w:r w:rsidRPr="00F63571">
        <w:t xml:space="preserve"> designed to accommodate future expansion of the operating theatre complex and additional levels.</w:t>
      </w:r>
    </w:p>
    <w:p w:rsidR="00AA035A" w:rsidRDefault="0092299C" w:rsidP="0092299C">
      <w:pPr>
        <w:pStyle w:val="Heading5"/>
      </w:pPr>
      <w:r w:rsidRPr="00F63571">
        <w:t>Regional Health Infrastructure Fund</w:t>
      </w:r>
    </w:p>
    <w:p w:rsidR="0092299C" w:rsidRDefault="0092299C" w:rsidP="0092299C">
      <w:pPr>
        <w:pStyle w:val="ARbody"/>
      </w:pPr>
      <w:r w:rsidRPr="002C5C5A">
        <w:t>The $200 million Regional Health Infrastructure Fund commenced</w:t>
      </w:r>
      <w:r>
        <w:t>,</w:t>
      </w:r>
      <w:r w:rsidRPr="002C5C5A">
        <w:t xml:space="preserve"> with funding </w:t>
      </w:r>
      <w:r>
        <w:t>allocated</w:t>
      </w:r>
      <w:r w:rsidRPr="002C5C5A">
        <w:t xml:space="preserve"> to 93 projects a</w:t>
      </w:r>
      <w:r w:rsidRPr="005645F0">
        <w:t xml:space="preserve">cross regional Victoria during </w:t>
      </w:r>
      <w:r>
        <w:t>round</w:t>
      </w:r>
      <w:r w:rsidRPr="002C5C5A">
        <w:t xml:space="preserve"> 1. </w:t>
      </w:r>
      <w:r>
        <w:t>The program is funded over four years with remaining funds to be allocated in subsequent rounds.</w:t>
      </w:r>
    </w:p>
    <w:p w:rsidR="00AA035A" w:rsidRDefault="008E006D" w:rsidP="0092299C">
      <w:pPr>
        <w:pStyle w:val="ARbody"/>
      </w:pPr>
      <w:r>
        <w:br w:type="column"/>
      </w:r>
      <w:r w:rsidR="0092299C">
        <w:lastRenderedPageBreak/>
        <w:t>Projects include:</w:t>
      </w:r>
    </w:p>
    <w:p w:rsidR="0092299C" w:rsidRDefault="0092299C" w:rsidP="0092299C">
      <w:pPr>
        <w:pStyle w:val="ARbullet1"/>
      </w:pPr>
      <w:r>
        <w:t xml:space="preserve">$15.1 million to Northeast Health Wangaratta for the construction of a new 12 bed </w:t>
      </w:r>
      <w:r w:rsidR="00152A4D">
        <w:t>c</w:t>
      </w:r>
      <w:r>
        <w:t xml:space="preserve">ritical </w:t>
      </w:r>
      <w:r w:rsidR="00152A4D">
        <w:t>c</w:t>
      </w:r>
      <w:r>
        <w:t xml:space="preserve">are </w:t>
      </w:r>
      <w:r w:rsidR="00152A4D">
        <w:t>u</w:t>
      </w:r>
      <w:r>
        <w:t xml:space="preserve">nit, expansion of the </w:t>
      </w:r>
      <w:r w:rsidR="00152A4D">
        <w:t>e</w:t>
      </w:r>
      <w:r>
        <w:t xml:space="preserve">mergency </w:t>
      </w:r>
      <w:r w:rsidR="00152A4D">
        <w:t>d</w:t>
      </w:r>
      <w:r>
        <w:t>epartment and other critical infrastructure upgrades</w:t>
      </w:r>
    </w:p>
    <w:p w:rsidR="0092299C" w:rsidRDefault="0092299C" w:rsidP="0092299C">
      <w:pPr>
        <w:pStyle w:val="ARbullet1"/>
      </w:pPr>
      <w:r>
        <w:t xml:space="preserve">$10.3 million to West Gippsland Healthcare Group for the establishment of an eight bed </w:t>
      </w:r>
      <w:r w:rsidR="00152A4D">
        <w:t>s</w:t>
      </w:r>
      <w:r>
        <w:t xml:space="preserve">hort </w:t>
      </w:r>
      <w:r w:rsidR="00152A4D">
        <w:t>s</w:t>
      </w:r>
      <w:r>
        <w:t xml:space="preserve">tay </w:t>
      </w:r>
      <w:r w:rsidR="00152A4D">
        <w:t>u</w:t>
      </w:r>
      <w:r>
        <w:t xml:space="preserve">nit, a third </w:t>
      </w:r>
      <w:r w:rsidR="00152A4D">
        <w:t>o</w:t>
      </w:r>
      <w:r>
        <w:t xml:space="preserve">perating </w:t>
      </w:r>
      <w:r w:rsidR="00152A4D">
        <w:t>r</w:t>
      </w:r>
      <w:r>
        <w:t>oom and associated infrastructure, as well as for planning of the redevelopment of Warragul Hospital</w:t>
      </w:r>
    </w:p>
    <w:p w:rsidR="0092299C" w:rsidRDefault="0092299C" w:rsidP="0092299C">
      <w:pPr>
        <w:pStyle w:val="ARbullet1"/>
      </w:pPr>
      <w:r>
        <w:t xml:space="preserve">$10.6 million to </w:t>
      </w:r>
      <w:proofErr w:type="spellStart"/>
      <w:r>
        <w:t>Djerriwarrh</w:t>
      </w:r>
      <w:proofErr w:type="spellEnd"/>
      <w:r>
        <w:t xml:space="preserve"> Health Services to renovate operating theatres and the </w:t>
      </w:r>
      <w:r w:rsidR="00152A4D">
        <w:t>m</w:t>
      </w:r>
      <w:r>
        <w:t xml:space="preserve">aternity </w:t>
      </w:r>
      <w:r w:rsidR="00152A4D">
        <w:t>u</w:t>
      </w:r>
      <w:r>
        <w:t>nit</w:t>
      </w:r>
    </w:p>
    <w:p w:rsidR="0092299C" w:rsidRDefault="0092299C" w:rsidP="0092299C">
      <w:pPr>
        <w:pStyle w:val="ARbullet1"/>
      </w:pPr>
      <w:r>
        <w:t xml:space="preserve">$10.0 million to Goulburn Valley Health Service to redevelop the </w:t>
      </w:r>
      <w:proofErr w:type="spellStart"/>
      <w:r>
        <w:t>Waranga</w:t>
      </w:r>
      <w:proofErr w:type="spellEnd"/>
      <w:r>
        <w:t xml:space="preserve"> Campus, bringing acute health, aged care and community health services into a single central site in Rushworth</w:t>
      </w:r>
    </w:p>
    <w:p w:rsidR="0092299C" w:rsidRDefault="0092299C" w:rsidP="0092299C">
      <w:pPr>
        <w:pStyle w:val="ARbullet1"/>
      </w:pPr>
      <w:r>
        <w:t xml:space="preserve">$9.7 million to </w:t>
      </w:r>
      <w:proofErr w:type="spellStart"/>
      <w:r>
        <w:t>Cobaw</w:t>
      </w:r>
      <w:proofErr w:type="spellEnd"/>
      <w:r>
        <w:t xml:space="preserve"> Community Health Services Ltd for the construction of a new </w:t>
      </w:r>
      <w:r w:rsidR="00152A4D">
        <w:t>h</w:t>
      </w:r>
      <w:r>
        <w:t xml:space="preserve">ealth </w:t>
      </w:r>
      <w:r w:rsidR="00152A4D">
        <w:t>c</w:t>
      </w:r>
      <w:r>
        <w:t xml:space="preserve">ommunity </w:t>
      </w:r>
      <w:r w:rsidR="00152A4D">
        <w:t>a</w:t>
      </w:r>
      <w:r>
        <w:t xml:space="preserve">ccess </w:t>
      </w:r>
      <w:r w:rsidR="00152A4D">
        <w:t>h</w:t>
      </w:r>
      <w:r>
        <w:t>ub</w:t>
      </w:r>
    </w:p>
    <w:p w:rsidR="0092299C" w:rsidRDefault="0092299C" w:rsidP="0092299C">
      <w:pPr>
        <w:pStyle w:val="ARbullet1"/>
      </w:pPr>
      <w:r>
        <w:t>$6.3 million to Edenhope and District Memorial Hospital to redevelop aged care facilities at the hospital</w:t>
      </w:r>
    </w:p>
    <w:p w:rsidR="0092299C" w:rsidRDefault="0092299C" w:rsidP="0092299C">
      <w:pPr>
        <w:pStyle w:val="ARbullet1"/>
      </w:pPr>
      <w:r>
        <w:t>$6.0 million to Ballarat and District Aboriginal Co-operative Ltd, for a new standalone medical clinic and regional health hub, housing new and existing health and specialist services</w:t>
      </w:r>
    </w:p>
    <w:p w:rsidR="0092299C" w:rsidRDefault="0092299C" w:rsidP="0092299C">
      <w:pPr>
        <w:pStyle w:val="ARbullet1"/>
      </w:pPr>
      <w:r>
        <w:t>$5.5 million to South West Healthcare for planning for stage 2 of the Warrnambool Base Hospital redevelopment</w:t>
      </w:r>
    </w:p>
    <w:p w:rsidR="0092299C" w:rsidRDefault="0092299C" w:rsidP="0092299C">
      <w:pPr>
        <w:pStyle w:val="ARbullet1"/>
      </w:pPr>
      <w:r>
        <w:t>$4.1 million to Central Gippsland Health Service for expansion of the surgical services at Sale Hospital</w:t>
      </w:r>
    </w:p>
    <w:p w:rsidR="0092299C" w:rsidRDefault="0092299C" w:rsidP="0092299C">
      <w:pPr>
        <w:pStyle w:val="ARbullet1"/>
      </w:pPr>
      <w:r>
        <w:t xml:space="preserve">$4.1 million to East Grampians Health Service </w:t>
      </w:r>
      <w:r w:rsidR="005D2F3F">
        <w:br/>
      </w:r>
      <w:r>
        <w:t xml:space="preserve">to expand the </w:t>
      </w:r>
      <w:r w:rsidR="00152A4D">
        <w:t>c</w:t>
      </w:r>
      <w:r>
        <w:t xml:space="preserve">ommunity </w:t>
      </w:r>
      <w:r w:rsidR="00152A4D">
        <w:t>h</w:t>
      </w:r>
      <w:r>
        <w:t xml:space="preserve">ealth </w:t>
      </w:r>
      <w:r w:rsidR="00152A4D">
        <w:t>c</w:t>
      </w:r>
      <w:r>
        <w:t>entre</w:t>
      </w:r>
    </w:p>
    <w:p w:rsidR="0092299C" w:rsidRPr="008C4E5B" w:rsidRDefault="0092299C" w:rsidP="0092299C">
      <w:pPr>
        <w:pStyle w:val="ARbullet1"/>
      </w:pPr>
      <w:r>
        <w:t>$4.0 million to Yarram and District Health Service for the construction of a new integrated health care centre at Yarram Hospital.</w:t>
      </w:r>
    </w:p>
    <w:p w:rsidR="0092299C" w:rsidRPr="00F63571" w:rsidRDefault="0092299C" w:rsidP="0092299C">
      <w:pPr>
        <w:pStyle w:val="Heading5"/>
      </w:pPr>
      <w:r w:rsidRPr="00F63571">
        <w:t>Registered community health service capital funding</w:t>
      </w:r>
    </w:p>
    <w:p w:rsidR="0092299C" w:rsidRPr="00F63571" w:rsidRDefault="0092299C" w:rsidP="0092299C">
      <w:pPr>
        <w:pStyle w:val="ARbody"/>
      </w:pPr>
      <w:r>
        <w:t>In 2016</w:t>
      </w:r>
      <w:r w:rsidRPr="00F63571">
        <w:t>–1</w:t>
      </w:r>
      <w:r>
        <w:t>7, 23</w:t>
      </w:r>
      <w:r w:rsidRPr="00F63571">
        <w:t xml:space="preserve"> community health services shared in $9.8 million of funding to redevelop, refurbish and upgrade infrastructure. These projects ranged from major roof replacements or site relocations, to upgrading waiting rooms or clinical equipment. More than half of the funding went to regional registered community health services. </w:t>
      </w:r>
    </w:p>
    <w:tbl>
      <w:tblPr>
        <w:tblW w:w="4593"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593"/>
      </w:tblGrid>
      <w:tr w:rsidR="0092299C" w:rsidRPr="00F63571" w:rsidTr="0092299C">
        <w:tc>
          <w:tcPr>
            <w:tcW w:w="4593" w:type="dxa"/>
            <w:tcBorders>
              <w:top w:val="single" w:sz="4" w:space="0" w:color="004C97"/>
              <w:left w:val="single" w:sz="4" w:space="0" w:color="004C97"/>
              <w:bottom w:val="single" w:sz="4" w:space="0" w:color="004C97"/>
              <w:right w:val="single" w:sz="4" w:space="0" w:color="004C97"/>
            </w:tcBorders>
            <w:shd w:val="clear" w:color="auto" w:fill="auto"/>
          </w:tcPr>
          <w:p w:rsidR="0092299C" w:rsidRPr="00F63571" w:rsidRDefault="0092299C" w:rsidP="0092299C">
            <w:pPr>
              <w:pStyle w:val="ARcasestudysubhead"/>
              <w:rPr>
                <w:lang w:val="en-AU"/>
              </w:rPr>
            </w:pPr>
            <w:r>
              <w:lastRenderedPageBreak/>
              <w:br w:type="column"/>
            </w:r>
            <w:r w:rsidRPr="00FD3E5B">
              <w:rPr>
                <w:lang w:val="en-AU"/>
              </w:rPr>
              <w:t>Award-winning design</w:t>
            </w:r>
          </w:p>
          <w:p w:rsidR="0092299C" w:rsidRDefault="0092299C" w:rsidP="0092299C">
            <w:pPr>
              <w:pStyle w:val="ARcasestudytext"/>
            </w:pPr>
            <w:r>
              <w:t>Both the Victorian Comprehensive Cancer Centre (VCCC) and the Albury Wodonga Integrated Cancer Centre won design awards.</w:t>
            </w:r>
          </w:p>
          <w:p w:rsidR="00AA035A" w:rsidRDefault="0092299C" w:rsidP="0092299C">
            <w:pPr>
              <w:pStyle w:val="ARcasestudytext"/>
            </w:pPr>
            <w:r>
              <w:t>The VCCC won the prestigious Victorian Architecture Medal at the 2017 Victorian Architecture Awards, as well as the Best Project Award at the Design 100 Government Design Awards.</w:t>
            </w:r>
          </w:p>
          <w:p w:rsidR="0092299C" w:rsidRPr="00F63571" w:rsidRDefault="0092299C" w:rsidP="0092299C">
            <w:pPr>
              <w:pStyle w:val="ARcasestudytext"/>
            </w:pPr>
            <w:r>
              <w:t>The project was also awarded the 2017 National Infrastructure Award for Government Partnership Excellence, recognising the excellent partnerships between the Department of Health and Human Services, the VCCC alliance partners, and commercial project partners.</w:t>
            </w:r>
          </w:p>
        </w:tc>
      </w:tr>
    </w:tbl>
    <w:p w:rsidR="0092299C" w:rsidRPr="00F63571" w:rsidRDefault="0092299C" w:rsidP="0092299C">
      <w:pPr>
        <w:pStyle w:val="ARbody"/>
      </w:pPr>
    </w:p>
    <w:p w:rsidR="0092299C" w:rsidRDefault="0092299C" w:rsidP="0092299C">
      <w:pPr>
        <w:keepNext/>
        <w:keepLines/>
        <w:spacing w:before="280" w:after="80" w:line="280" w:lineRule="atLeast"/>
        <w:outlineLvl w:val="2"/>
        <w:rPr>
          <w:rFonts w:eastAsia="MS Gothic"/>
          <w:bCs/>
          <w:color w:val="004C97"/>
          <w:lang w:eastAsia="en-AU"/>
        </w:rPr>
        <w:sectPr w:rsidR="0092299C" w:rsidSect="00690070">
          <w:endnotePr>
            <w:numFmt w:val="decimal"/>
          </w:endnotePr>
          <w:type w:val="continuous"/>
          <w:pgSz w:w="11900" w:h="16840" w:code="9"/>
          <w:pgMar w:top="1531" w:right="851" w:bottom="680" w:left="1418" w:header="510" w:footer="340" w:gutter="0"/>
          <w:cols w:num="2" w:space="454"/>
        </w:sectPr>
      </w:pPr>
    </w:p>
    <w:p w:rsidR="0092299C" w:rsidRPr="00636971" w:rsidRDefault="0092299C" w:rsidP="009D62BD">
      <w:pPr>
        <w:pStyle w:val="Heading3"/>
        <w:spacing w:before="0"/>
      </w:pPr>
      <w:r w:rsidRPr="00636971">
        <w:lastRenderedPageBreak/>
        <w:t>Objective 3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4580"/>
        <w:gridCol w:w="1263"/>
        <w:gridCol w:w="1265"/>
        <w:gridCol w:w="1265"/>
        <w:gridCol w:w="1266"/>
      </w:tblGrid>
      <w:tr w:rsidR="0092299C" w:rsidRPr="00636971" w:rsidTr="00397E11">
        <w:trPr>
          <w:cantSplit/>
          <w:tblHeader/>
        </w:trPr>
        <w:tc>
          <w:tcPr>
            <w:tcW w:w="4580"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p>
        </w:tc>
        <w:tc>
          <w:tcPr>
            <w:tcW w:w="1263" w:type="dxa"/>
            <w:tcBorders>
              <w:bottom w:val="single" w:sz="4" w:space="0" w:color="auto"/>
            </w:tcBorders>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2013–14</w:t>
            </w:r>
          </w:p>
        </w:tc>
        <w:tc>
          <w:tcPr>
            <w:tcW w:w="1265"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2014–15</w:t>
            </w:r>
          </w:p>
        </w:tc>
        <w:tc>
          <w:tcPr>
            <w:tcW w:w="1265" w:type="dxa"/>
            <w:tcBorders>
              <w:bottom w:val="single" w:sz="4" w:space="0" w:color="auto"/>
            </w:tcBorders>
            <w:shd w:val="clear" w:color="auto" w:fill="auto"/>
            <w:vAlign w:val="bottom"/>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2015–16</w:t>
            </w:r>
          </w:p>
        </w:tc>
        <w:tc>
          <w:tcPr>
            <w:tcW w:w="1266" w:type="dxa"/>
            <w:tcBorders>
              <w:bottom w:val="single" w:sz="4" w:space="0" w:color="auto"/>
            </w:tcBorders>
          </w:tcPr>
          <w:p w:rsidR="0092299C" w:rsidRPr="00636971" w:rsidRDefault="0092299C" w:rsidP="0092299C">
            <w:pPr>
              <w:spacing w:before="80" w:after="60" w:line="216" w:lineRule="auto"/>
              <w:rPr>
                <w:rFonts w:eastAsia="Times" w:cs="Arial"/>
                <w:b/>
                <w:sz w:val="18"/>
                <w:szCs w:val="18"/>
              </w:rPr>
            </w:pPr>
            <w:r w:rsidRPr="00636971">
              <w:rPr>
                <w:rFonts w:eastAsia="Times" w:cs="Arial"/>
                <w:b/>
                <w:sz w:val="18"/>
                <w:szCs w:val="18"/>
              </w:rPr>
              <w:t>20</w:t>
            </w:r>
            <w:r>
              <w:rPr>
                <w:rFonts w:eastAsia="Times" w:cs="Arial"/>
                <w:b/>
                <w:sz w:val="18"/>
                <w:szCs w:val="18"/>
              </w:rPr>
              <w:t>16–17</w:t>
            </w:r>
          </w:p>
        </w:tc>
      </w:tr>
      <w:tr w:rsidR="008746ED" w:rsidRPr="00636971" w:rsidTr="0010061B">
        <w:trPr>
          <w:cantSplit/>
          <w:trHeight w:val="570"/>
        </w:trPr>
        <w:tc>
          <w:tcPr>
            <w:tcW w:w="9639" w:type="dxa"/>
            <w:gridSpan w:val="5"/>
            <w:tcBorders>
              <w:top w:val="single" w:sz="4" w:space="0" w:color="auto"/>
              <w:bottom w:val="single" w:sz="4" w:space="0" w:color="BFBFBF"/>
            </w:tcBorders>
          </w:tcPr>
          <w:p w:rsidR="008746ED" w:rsidRPr="00636971" w:rsidRDefault="008746ED" w:rsidP="0092299C">
            <w:pPr>
              <w:pStyle w:val="ARtablebluebold"/>
            </w:pPr>
            <w:r w:rsidRPr="00636971">
              <w:t xml:space="preserve">Victoria derives greater value from its health </w:t>
            </w:r>
            <w:r>
              <w:br/>
            </w:r>
            <w:r w:rsidRPr="00636971">
              <w:t>investments</w:t>
            </w:r>
          </w:p>
        </w:tc>
      </w:tr>
      <w:tr w:rsidR="0092299C" w:rsidRPr="00636971" w:rsidTr="00397E11">
        <w:trPr>
          <w:cantSplit/>
        </w:trPr>
        <w:tc>
          <w:tcPr>
            <w:tcW w:w="4580" w:type="dxa"/>
            <w:tcBorders>
              <w:top w:val="single" w:sz="4" w:space="0" w:color="BFBFBF"/>
              <w:bottom w:val="single" w:sz="4" w:space="0" w:color="FFFFFF"/>
            </w:tcBorders>
            <w:shd w:val="clear" w:color="auto" w:fill="auto"/>
          </w:tcPr>
          <w:p w:rsidR="0092299C" w:rsidRPr="00397E11" w:rsidRDefault="0092299C" w:rsidP="0092299C">
            <w:pPr>
              <w:spacing w:before="80" w:after="60"/>
              <w:rPr>
                <w:rFonts w:eastAsia="Times" w:cs="Arial"/>
                <w:sz w:val="18"/>
                <w:szCs w:val="18"/>
                <w:lang w:eastAsia="en-AU"/>
              </w:rPr>
            </w:pPr>
            <w:r w:rsidRPr="00636971">
              <w:rPr>
                <w:rFonts w:eastAsia="Times" w:cs="Arial"/>
                <w:sz w:val="18"/>
                <w:szCs w:val="18"/>
                <w:lang w:eastAsia="en-AU"/>
              </w:rPr>
              <w:t xml:space="preserve">Total </w:t>
            </w:r>
            <w:r w:rsidR="00397E11">
              <w:rPr>
                <w:rFonts w:eastAsia="Times" w:cs="Arial"/>
                <w:sz w:val="18"/>
                <w:szCs w:val="18"/>
                <w:lang w:eastAsia="en-AU"/>
              </w:rPr>
              <w:t>hospital surplus as at 30 June.</w:t>
            </w:r>
          </w:p>
        </w:tc>
        <w:tc>
          <w:tcPr>
            <w:tcW w:w="1263" w:type="dxa"/>
            <w:tcBorders>
              <w:top w:val="single" w:sz="4" w:space="0" w:color="BFBFBF"/>
              <w:bottom w:val="single" w:sz="4" w:space="0" w:color="FFFFFF"/>
            </w:tcBorders>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$30.8 m</w:t>
            </w:r>
          </w:p>
        </w:tc>
        <w:tc>
          <w:tcPr>
            <w:tcW w:w="1265" w:type="dxa"/>
            <w:tcBorders>
              <w:top w:val="single" w:sz="4" w:space="0" w:color="BFBF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$23.7 m</w:t>
            </w:r>
          </w:p>
        </w:tc>
        <w:tc>
          <w:tcPr>
            <w:tcW w:w="1265" w:type="dxa"/>
            <w:tcBorders>
              <w:top w:val="single" w:sz="4" w:space="0" w:color="BFBF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$21.9</w:t>
            </w:r>
            <w:r>
              <w:rPr>
                <w:rFonts w:eastAsia="Times" w:cs="Arial"/>
                <w:sz w:val="18"/>
                <w:szCs w:val="18"/>
                <w:lang w:eastAsia="en-AU"/>
              </w:rPr>
              <w:t xml:space="preserve"> m</w:t>
            </w:r>
          </w:p>
        </w:tc>
        <w:tc>
          <w:tcPr>
            <w:tcW w:w="1266" w:type="dxa"/>
            <w:tcBorders>
              <w:top w:val="single" w:sz="4" w:space="0" w:color="BFBFBF"/>
              <w:bottom w:val="single" w:sz="4" w:space="0" w:color="FFFFFF"/>
            </w:tcBorders>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Not yet available</w:t>
            </w:r>
          </w:p>
        </w:tc>
      </w:tr>
      <w:tr w:rsidR="00397E11" w:rsidRPr="00636971" w:rsidTr="00397E11">
        <w:trPr>
          <w:cantSplit/>
        </w:trPr>
        <w:tc>
          <w:tcPr>
            <w:tcW w:w="9639" w:type="dxa"/>
            <w:gridSpan w:val="5"/>
            <w:tcBorders>
              <w:top w:val="single" w:sz="4" w:space="0" w:color="FFFFFF"/>
              <w:bottom w:val="single" w:sz="4" w:space="0" w:color="BFBFBF"/>
            </w:tcBorders>
            <w:shd w:val="clear" w:color="auto" w:fill="auto"/>
          </w:tcPr>
          <w:p w:rsidR="00397E11" w:rsidRPr="00636971" w:rsidRDefault="00397E11" w:rsidP="0092299C">
            <w:pPr>
              <w:spacing w:before="80" w:after="60"/>
              <w:rPr>
                <w:rFonts w:eastAsia="Times" w:cs="Arial"/>
                <w:sz w:val="18"/>
                <w:szCs w:val="18"/>
                <w:lang w:eastAsia="en-AU"/>
              </w:rPr>
            </w:pPr>
            <w:r w:rsidRPr="00636971">
              <w:rPr>
                <w:rFonts w:eastAsia="Times" w:cs="Arial"/>
                <w:i/>
                <w:sz w:val="16"/>
                <w:szCs w:val="18"/>
                <w:lang w:eastAsia="en-AU"/>
              </w:rPr>
              <w:t>Source: Agency Information Management System F1 financial report. Health services are required to submit audited data. All results exclude capital and controlled entities (foundations).</w:t>
            </w:r>
          </w:p>
        </w:tc>
      </w:tr>
      <w:tr w:rsidR="0092299C" w:rsidRPr="00636971" w:rsidTr="00397E11">
        <w:trPr>
          <w:cantSplit/>
        </w:trPr>
        <w:tc>
          <w:tcPr>
            <w:tcW w:w="4580" w:type="dxa"/>
            <w:tcBorders>
              <w:top w:val="single" w:sz="4" w:space="0" w:color="BFBFBF"/>
              <w:bottom w:val="single" w:sz="4" w:space="0" w:color="FFFFFF"/>
            </w:tcBorders>
            <w:shd w:val="clear" w:color="auto" w:fill="auto"/>
          </w:tcPr>
          <w:p w:rsidR="0092299C" w:rsidRPr="00397E11" w:rsidRDefault="0092299C" w:rsidP="0092299C">
            <w:pPr>
              <w:spacing w:before="80" w:after="60"/>
              <w:rPr>
                <w:rFonts w:eastAsia="Times" w:cs="Arial"/>
                <w:sz w:val="18"/>
                <w:szCs w:val="18"/>
                <w:lang w:eastAsia="en-AU"/>
              </w:rPr>
            </w:pPr>
            <w:r w:rsidRPr="00636971">
              <w:rPr>
                <w:rFonts w:eastAsia="Times" w:cs="Arial"/>
                <w:sz w:val="18"/>
                <w:szCs w:val="18"/>
                <w:lang w:eastAsia="en-AU"/>
              </w:rPr>
              <w:t>Victorian total rea</w:t>
            </w:r>
            <w:r w:rsidR="00397E11">
              <w:rPr>
                <w:rFonts w:eastAsia="Times" w:cs="Arial"/>
                <w:sz w:val="18"/>
                <w:szCs w:val="18"/>
                <w:lang w:eastAsia="en-AU"/>
              </w:rPr>
              <w:t>l health expenditure per capita</w:t>
            </w:r>
          </w:p>
        </w:tc>
        <w:tc>
          <w:tcPr>
            <w:tcW w:w="1263" w:type="dxa"/>
            <w:tcBorders>
              <w:top w:val="single" w:sz="4" w:space="0" w:color="BFBFBF"/>
              <w:bottom w:val="single" w:sz="4" w:space="0" w:color="FFFFFF"/>
            </w:tcBorders>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$2,480</w:t>
            </w:r>
          </w:p>
        </w:tc>
        <w:tc>
          <w:tcPr>
            <w:tcW w:w="1265" w:type="dxa"/>
            <w:tcBorders>
              <w:top w:val="single" w:sz="4" w:space="0" w:color="BFBF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$2,603</w:t>
            </w:r>
          </w:p>
        </w:tc>
        <w:tc>
          <w:tcPr>
            <w:tcW w:w="1265" w:type="dxa"/>
            <w:tcBorders>
              <w:top w:val="single" w:sz="4" w:space="0" w:color="BFBF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$2,661</w:t>
            </w:r>
          </w:p>
        </w:tc>
        <w:tc>
          <w:tcPr>
            <w:tcW w:w="1266" w:type="dxa"/>
            <w:tcBorders>
              <w:top w:val="single" w:sz="4" w:space="0" w:color="BFBFBF"/>
              <w:bottom w:val="single" w:sz="4" w:space="0" w:color="FFFFFF"/>
            </w:tcBorders>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$2,819</w:t>
            </w:r>
          </w:p>
        </w:tc>
      </w:tr>
      <w:tr w:rsidR="00397E11" w:rsidRPr="00636971" w:rsidTr="00397E11">
        <w:trPr>
          <w:cantSplit/>
        </w:trPr>
        <w:tc>
          <w:tcPr>
            <w:tcW w:w="9639" w:type="dxa"/>
            <w:gridSpan w:val="5"/>
            <w:tcBorders>
              <w:top w:val="single" w:sz="4" w:space="0" w:color="FFFFFF"/>
              <w:bottom w:val="single" w:sz="4" w:space="0" w:color="BFBFBF"/>
            </w:tcBorders>
            <w:shd w:val="clear" w:color="auto" w:fill="auto"/>
          </w:tcPr>
          <w:p w:rsidR="00397E11" w:rsidRPr="00636971" w:rsidRDefault="00397E11" w:rsidP="0092299C">
            <w:pPr>
              <w:spacing w:before="80" w:after="60"/>
              <w:rPr>
                <w:rFonts w:eastAsia="Times" w:cs="Arial"/>
                <w:sz w:val="18"/>
                <w:szCs w:val="18"/>
                <w:lang w:eastAsia="en-AU"/>
              </w:rPr>
            </w:pPr>
            <w:r w:rsidRPr="00636971">
              <w:rPr>
                <w:rFonts w:eastAsia="Times" w:cs="Arial"/>
                <w:i/>
                <w:sz w:val="16"/>
                <w:szCs w:val="18"/>
                <w:lang w:eastAsia="en-AU"/>
              </w:rPr>
              <w:t xml:space="preserve">Source: Victorian Budget Paper </w:t>
            </w:r>
            <w:r>
              <w:rPr>
                <w:rFonts w:eastAsia="Times" w:cs="Arial"/>
                <w:i/>
                <w:sz w:val="16"/>
                <w:szCs w:val="18"/>
                <w:lang w:eastAsia="en-AU"/>
              </w:rPr>
              <w:t xml:space="preserve">3, Chapter 2 and ABS estimated </w:t>
            </w:r>
            <w:r w:rsidRPr="00636971">
              <w:rPr>
                <w:rFonts w:eastAsia="Times" w:cs="Arial"/>
                <w:i/>
                <w:sz w:val="16"/>
                <w:szCs w:val="18"/>
                <w:lang w:eastAsia="en-AU"/>
              </w:rPr>
              <w:t>resident population</w:t>
            </w:r>
          </w:p>
        </w:tc>
      </w:tr>
      <w:tr w:rsidR="0092299C" w:rsidRPr="00636971" w:rsidTr="00397E11">
        <w:trPr>
          <w:cantSplit/>
        </w:trPr>
        <w:tc>
          <w:tcPr>
            <w:tcW w:w="4580" w:type="dxa"/>
            <w:tcBorders>
              <w:top w:val="single" w:sz="4" w:space="0" w:color="BFBFBF"/>
              <w:bottom w:val="single" w:sz="4" w:space="0" w:color="FFFFFF"/>
            </w:tcBorders>
            <w:shd w:val="clear" w:color="auto" w:fill="auto"/>
          </w:tcPr>
          <w:p w:rsidR="0092299C" w:rsidRPr="00636971" w:rsidRDefault="0092299C" w:rsidP="00397E11">
            <w:pPr>
              <w:spacing w:before="80" w:after="60"/>
              <w:rPr>
                <w:rFonts w:eastAsia="Times" w:cs="Arial"/>
                <w:i/>
                <w:sz w:val="16"/>
                <w:szCs w:val="18"/>
                <w:lang w:eastAsia="en-AU"/>
              </w:rPr>
            </w:pPr>
            <w:r w:rsidRPr="00636971">
              <w:rPr>
                <w:rFonts w:eastAsia="Times" w:cs="Arial"/>
                <w:sz w:val="18"/>
                <w:szCs w:val="18"/>
                <w:lang w:eastAsia="en-AU"/>
              </w:rPr>
              <w:t>Victorian government expenditure per capita (acute health expenditure)</w:t>
            </w:r>
          </w:p>
        </w:tc>
        <w:tc>
          <w:tcPr>
            <w:tcW w:w="1263" w:type="dxa"/>
            <w:tcBorders>
              <w:top w:val="single" w:sz="4" w:space="0" w:color="BFBFBF"/>
              <w:bottom w:val="single" w:sz="4" w:space="0" w:color="FFFFFF"/>
            </w:tcBorders>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$1,727</w:t>
            </w:r>
          </w:p>
        </w:tc>
        <w:tc>
          <w:tcPr>
            <w:tcW w:w="1265" w:type="dxa"/>
            <w:tcBorders>
              <w:top w:val="single" w:sz="4" w:space="0" w:color="BFBF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$1,819</w:t>
            </w:r>
          </w:p>
        </w:tc>
        <w:tc>
          <w:tcPr>
            <w:tcW w:w="1265" w:type="dxa"/>
            <w:tcBorders>
              <w:top w:val="single" w:sz="4" w:space="0" w:color="BFBF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$1,829</w:t>
            </w:r>
          </w:p>
        </w:tc>
        <w:tc>
          <w:tcPr>
            <w:tcW w:w="1266" w:type="dxa"/>
            <w:tcBorders>
              <w:top w:val="single" w:sz="4" w:space="0" w:color="BFBFBF"/>
              <w:bottom w:val="single" w:sz="4" w:space="0" w:color="FFFFFF"/>
            </w:tcBorders>
          </w:tcPr>
          <w:p w:rsidR="0092299C" w:rsidRPr="00636971" w:rsidRDefault="0092299C" w:rsidP="0092299C">
            <w:pPr>
              <w:spacing w:before="80" w:after="60"/>
              <w:rPr>
                <w:rFonts w:eastAsia="Times" w:cs="Arial"/>
                <w:sz w:val="18"/>
                <w:szCs w:val="18"/>
                <w:lang w:eastAsia="en-AU"/>
              </w:rPr>
            </w:pPr>
            <w:r w:rsidRPr="00636971">
              <w:rPr>
                <w:rFonts w:eastAsia="Times" w:cs="Arial"/>
                <w:sz w:val="18"/>
                <w:szCs w:val="18"/>
                <w:lang w:eastAsia="en-AU"/>
              </w:rPr>
              <w:t>$2,044</w:t>
            </w:r>
          </w:p>
        </w:tc>
      </w:tr>
      <w:tr w:rsidR="00397E11" w:rsidRPr="00636971" w:rsidTr="00397E11">
        <w:trPr>
          <w:cantSplit/>
        </w:trPr>
        <w:tc>
          <w:tcPr>
            <w:tcW w:w="9639" w:type="dxa"/>
            <w:gridSpan w:val="5"/>
            <w:tcBorders>
              <w:top w:val="single" w:sz="4" w:space="0" w:color="FFFFFF"/>
              <w:bottom w:val="single" w:sz="4" w:space="0" w:color="auto"/>
            </w:tcBorders>
            <w:shd w:val="clear" w:color="auto" w:fill="auto"/>
          </w:tcPr>
          <w:p w:rsidR="00397E11" w:rsidRPr="00636971" w:rsidRDefault="00397E11" w:rsidP="00397E11">
            <w:pPr>
              <w:spacing w:before="80" w:after="60"/>
              <w:rPr>
                <w:rFonts w:eastAsia="Times" w:cs="Arial"/>
                <w:sz w:val="18"/>
                <w:szCs w:val="18"/>
                <w:lang w:eastAsia="en-AU"/>
              </w:rPr>
            </w:pPr>
            <w:r w:rsidRPr="00636971">
              <w:rPr>
                <w:rFonts w:eastAsia="Times" w:cs="Arial"/>
                <w:i/>
                <w:sz w:val="16"/>
                <w:szCs w:val="18"/>
                <w:lang w:eastAsia="en-AU"/>
              </w:rPr>
              <w:t xml:space="preserve">Source: Victorian Budget Paper </w:t>
            </w:r>
            <w:r>
              <w:rPr>
                <w:rFonts w:eastAsia="Times" w:cs="Arial"/>
                <w:i/>
                <w:sz w:val="16"/>
                <w:szCs w:val="18"/>
                <w:lang w:eastAsia="en-AU"/>
              </w:rPr>
              <w:t xml:space="preserve">3, Chapter 2 and ABS estimated </w:t>
            </w:r>
            <w:r w:rsidRPr="00636971">
              <w:rPr>
                <w:rFonts w:eastAsia="Times" w:cs="Arial"/>
                <w:i/>
                <w:sz w:val="16"/>
                <w:szCs w:val="18"/>
                <w:lang w:eastAsia="en-AU"/>
              </w:rPr>
              <w:t>resident population</w:t>
            </w:r>
          </w:p>
        </w:tc>
      </w:tr>
      <w:tr w:rsidR="008746ED" w:rsidRPr="00636971" w:rsidTr="0010061B">
        <w:trPr>
          <w:cantSplit/>
        </w:trPr>
        <w:tc>
          <w:tcPr>
            <w:tcW w:w="9639" w:type="dxa"/>
            <w:gridSpan w:val="5"/>
            <w:tcBorders>
              <w:top w:val="single" w:sz="4" w:space="0" w:color="auto"/>
              <w:bottom w:val="single" w:sz="4" w:space="0" w:color="BFBFBF" w:themeColor="background1" w:themeShade="BF"/>
            </w:tcBorders>
            <w:shd w:val="clear" w:color="auto" w:fill="auto"/>
          </w:tcPr>
          <w:p w:rsidR="008746ED" w:rsidRPr="00636971" w:rsidRDefault="008746ED" w:rsidP="008746ED">
            <w:pPr>
              <w:pStyle w:val="ARtablebluebold"/>
            </w:pPr>
            <w:r>
              <w:t xml:space="preserve">The Victorian public health system has a </w:t>
            </w:r>
            <w:r>
              <w:br/>
              <w:t>sustainable workforce</w:t>
            </w:r>
          </w:p>
        </w:tc>
      </w:tr>
      <w:tr w:rsidR="0092299C" w:rsidRPr="00636971" w:rsidTr="009B0919">
        <w:trPr>
          <w:cantSplit/>
        </w:trPr>
        <w:tc>
          <w:tcPr>
            <w:tcW w:w="4580" w:type="dxa"/>
            <w:tcBorders>
              <w:top w:val="single" w:sz="4" w:space="0" w:color="BFBFBF" w:themeColor="background1" w:themeShade="BF"/>
              <w:left w:val="nil"/>
              <w:bottom w:val="single" w:sz="4" w:space="0" w:color="FFFFFF"/>
            </w:tcBorders>
            <w:shd w:val="clear" w:color="auto" w:fill="auto"/>
          </w:tcPr>
          <w:p w:rsidR="0092299C" w:rsidRPr="00636971" w:rsidRDefault="0092299C" w:rsidP="009B0919">
            <w:pPr>
              <w:pStyle w:val="ARtabletext"/>
            </w:pPr>
            <w:r w:rsidRPr="00C238E6">
              <w:t>Total FTE (early graduate) nursing positions</w:t>
            </w:r>
            <w:r w:rsidR="009B0919">
              <w:t xml:space="preserve"> in public system</w:t>
            </w:r>
          </w:p>
        </w:tc>
        <w:tc>
          <w:tcPr>
            <w:tcW w:w="1263" w:type="dxa"/>
            <w:tcBorders>
              <w:top w:val="single" w:sz="4" w:space="0" w:color="BFBFBF" w:themeColor="background1" w:themeShade="BF"/>
              <w:bottom w:val="single" w:sz="4" w:space="0" w:color="FFFFFF"/>
            </w:tcBorders>
          </w:tcPr>
          <w:p w:rsidR="0092299C" w:rsidRPr="00636971" w:rsidRDefault="0092299C" w:rsidP="0092299C">
            <w:pPr>
              <w:spacing w:before="80" w:after="60"/>
              <w:rPr>
                <w:rFonts w:eastAsia="Times" w:cs="Arial"/>
                <w:sz w:val="18"/>
                <w:szCs w:val="18"/>
                <w:lang w:eastAsia="en-AU"/>
              </w:rPr>
            </w:pPr>
            <w:r>
              <w:rPr>
                <w:rFonts w:eastAsia="Times" w:cs="Arial"/>
                <w:sz w:val="18"/>
                <w:szCs w:val="18"/>
                <w:lang w:eastAsia="en-AU"/>
              </w:rPr>
              <w:t>1,468</w:t>
            </w:r>
          </w:p>
        </w:tc>
        <w:tc>
          <w:tcPr>
            <w:tcW w:w="1265" w:type="dxa"/>
            <w:tcBorders>
              <w:top w:val="single" w:sz="4" w:space="0" w:color="BFBFBF" w:themeColor="background1" w:themeShade="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Pr>
                <w:rFonts w:eastAsia="Times" w:cs="Arial"/>
                <w:sz w:val="18"/>
                <w:szCs w:val="18"/>
                <w:lang w:eastAsia="en-AU"/>
              </w:rPr>
              <w:t>1,577</w:t>
            </w:r>
          </w:p>
        </w:tc>
        <w:tc>
          <w:tcPr>
            <w:tcW w:w="1265" w:type="dxa"/>
            <w:tcBorders>
              <w:top w:val="single" w:sz="4" w:space="0" w:color="BFBFBF" w:themeColor="background1" w:themeShade="BF"/>
              <w:bottom w:val="single" w:sz="4" w:space="0" w:color="FFFFFF"/>
            </w:tcBorders>
            <w:shd w:val="clear" w:color="auto" w:fill="auto"/>
          </w:tcPr>
          <w:p w:rsidR="0092299C" w:rsidRPr="00636971" w:rsidRDefault="0092299C" w:rsidP="0092299C">
            <w:pPr>
              <w:spacing w:before="80" w:after="60"/>
              <w:rPr>
                <w:rFonts w:eastAsia="Times" w:cs="Arial"/>
                <w:sz w:val="18"/>
                <w:szCs w:val="18"/>
                <w:lang w:eastAsia="en-AU"/>
              </w:rPr>
            </w:pPr>
            <w:r>
              <w:rPr>
                <w:rFonts w:eastAsia="Times" w:cs="Arial"/>
                <w:sz w:val="18"/>
                <w:szCs w:val="18"/>
                <w:lang w:eastAsia="en-AU"/>
              </w:rPr>
              <w:t>1,591</w:t>
            </w:r>
          </w:p>
        </w:tc>
        <w:tc>
          <w:tcPr>
            <w:tcW w:w="1266" w:type="dxa"/>
            <w:tcBorders>
              <w:top w:val="single" w:sz="4" w:space="0" w:color="BFBFBF" w:themeColor="background1" w:themeShade="BF"/>
              <w:bottom w:val="single" w:sz="4" w:space="0" w:color="FFFFFF"/>
              <w:right w:val="nil"/>
            </w:tcBorders>
          </w:tcPr>
          <w:p w:rsidR="0092299C" w:rsidRPr="00636971" w:rsidRDefault="0092299C" w:rsidP="00EE350C">
            <w:pPr>
              <w:spacing w:before="80" w:after="60"/>
              <w:rPr>
                <w:rFonts w:eastAsia="Times" w:cs="Arial"/>
                <w:sz w:val="18"/>
                <w:szCs w:val="18"/>
                <w:lang w:eastAsia="en-AU"/>
              </w:rPr>
            </w:pPr>
            <w:r>
              <w:rPr>
                <w:rFonts w:eastAsia="Times" w:cs="Arial"/>
                <w:sz w:val="18"/>
                <w:szCs w:val="18"/>
                <w:lang w:eastAsia="en-AU"/>
              </w:rPr>
              <w:t>1,5</w:t>
            </w:r>
            <w:r w:rsidR="00EE350C">
              <w:rPr>
                <w:rFonts w:eastAsia="Times" w:cs="Arial"/>
                <w:sz w:val="18"/>
                <w:szCs w:val="18"/>
                <w:lang w:eastAsia="en-AU"/>
              </w:rPr>
              <w:t>25</w:t>
            </w:r>
          </w:p>
        </w:tc>
      </w:tr>
      <w:tr w:rsidR="009B0919" w:rsidRPr="00636971" w:rsidTr="009B0919">
        <w:trPr>
          <w:cantSplit/>
        </w:trPr>
        <w:tc>
          <w:tcPr>
            <w:tcW w:w="9639" w:type="dxa"/>
            <w:gridSpan w:val="5"/>
            <w:tcBorders>
              <w:top w:val="single" w:sz="4" w:space="0" w:color="FFFFFF"/>
              <w:left w:val="nil"/>
              <w:bottom w:val="single" w:sz="4" w:space="0" w:color="auto"/>
            </w:tcBorders>
            <w:shd w:val="clear" w:color="auto" w:fill="auto"/>
          </w:tcPr>
          <w:p w:rsidR="009B0919" w:rsidRDefault="009B0919" w:rsidP="00EE350C">
            <w:pPr>
              <w:pStyle w:val="ARtablefootnote"/>
              <w:rPr>
                <w:rFonts w:eastAsia="Times" w:cs="Arial"/>
                <w:sz w:val="18"/>
                <w:szCs w:val="18"/>
                <w:lang w:eastAsia="en-AU"/>
              </w:rPr>
            </w:pPr>
            <w:r w:rsidRPr="00F25183">
              <w:t xml:space="preserve">Source: </w:t>
            </w:r>
            <w:r w:rsidR="00EE350C">
              <w:t>Internal departmental data</w:t>
            </w:r>
          </w:p>
        </w:tc>
      </w:tr>
      <w:tr w:rsidR="008746ED" w:rsidRPr="00636971" w:rsidTr="0010061B">
        <w:trPr>
          <w:cantSplit/>
        </w:trPr>
        <w:tc>
          <w:tcPr>
            <w:tcW w:w="9639" w:type="dxa"/>
            <w:gridSpan w:val="5"/>
            <w:tcBorders>
              <w:top w:val="single" w:sz="4" w:space="0" w:color="auto"/>
              <w:left w:val="nil"/>
              <w:bottom w:val="single" w:sz="4" w:space="0" w:color="BFBFBF" w:themeColor="background1" w:themeShade="BF"/>
              <w:right w:val="nil"/>
            </w:tcBorders>
            <w:shd w:val="clear" w:color="auto" w:fill="auto"/>
          </w:tcPr>
          <w:p w:rsidR="008746ED" w:rsidRPr="00636971" w:rsidRDefault="008746ED" w:rsidP="008746ED">
            <w:pPr>
              <w:pStyle w:val="ARtablebluebold"/>
            </w:pPr>
            <w:r w:rsidRPr="00DA3E2E">
              <w:t xml:space="preserve">Reduced rate of hospital admissions for </w:t>
            </w:r>
            <w:r>
              <w:br/>
            </w:r>
            <w:r w:rsidRPr="00DA3E2E">
              <w:t>ambulatory care sensitive conditions</w:t>
            </w:r>
          </w:p>
        </w:tc>
      </w:tr>
      <w:tr w:rsidR="0092299C" w:rsidRPr="00636971" w:rsidTr="009B0919">
        <w:trPr>
          <w:cantSplit/>
        </w:trPr>
        <w:tc>
          <w:tcPr>
            <w:tcW w:w="4580" w:type="dxa"/>
            <w:tcBorders>
              <w:top w:val="single" w:sz="4" w:space="0" w:color="BFBFBF" w:themeColor="background1" w:themeShade="BF"/>
              <w:left w:val="nil"/>
              <w:bottom w:val="single" w:sz="4" w:space="0" w:color="FFFFFF"/>
              <w:right w:val="nil"/>
            </w:tcBorders>
            <w:shd w:val="clear" w:color="auto" w:fill="auto"/>
          </w:tcPr>
          <w:p w:rsidR="0092299C" w:rsidRPr="00636971" w:rsidRDefault="0092299C" w:rsidP="009B0919">
            <w:pPr>
              <w:pStyle w:val="ARtabletext"/>
            </w:pPr>
            <w:r w:rsidRPr="003462B8">
              <w:t>Rate of hospital admissions for selected potentially preventa</w:t>
            </w:r>
            <w:r w:rsidR="009B0919">
              <w:t>ble hospitalisations (per cent)</w:t>
            </w:r>
          </w:p>
        </w:tc>
        <w:tc>
          <w:tcPr>
            <w:tcW w:w="1263" w:type="dxa"/>
            <w:tcBorders>
              <w:top w:val="single" w:sz="4" w:space="0" w:color="BFBFBF" w:themeColor="background1" w:themeShade="BF"/>
              <w:left w:val="nil"/>
              <w:bottom w:val="single" w:sz="4" w:space="0" w:color="FFFFFF"/>
              <w:right w:val="nil"/>
            </w:tcBorders>
          </w:tcPr>
          <w:p w:rsidR="0092299C" w:rsidRPr="00636971" w:rsidRDefault="0092299C" w:rsidP="0092299C">
            <w:pPr>
              <w:spacing w:before="80" w:after="60"/>
              <w:rPr>
                <w:rFonts w:eastAsia="Times" w:cs="Arial"/>
                <w:sz w:val="18"/>
                <w:szCs w:val="18"/>
                <w:lang w:eastAsia="en-AU"/>
              </w:rPr>
            </w:pPr>
            <w:r>
              <w:rPr>
                <w:rFonts w:eastAsia="Times" w:cs="Arial"/>
                <w:sz w:val="18"/>
                <w:szCs w:val="18"/>
                <w:lang w:eastAsia="en-AU"/>
              </w:rPr>
              <w:t>6.9</w:t>
            </w:r>
          </w:p>
        </w:tc>
        <w:tc>
          <w:tcPr>
            <w:tcW w:w="1265" w:type="dxa"/>
            <w:tcBorders>
              <w:top w:val="single" w:sz="4" w:space="0" w:color="BFBFBF" w:themeColor="background1" w:themeShade="BF"/>
              <w:left w:val="nil"/>
              <w:bottom w:val="single" w:sz="4" w:space="0" w:color="FFFFFF"/>
              <w:right w:val="nil"/>
            </w:tcBorders>
            <w:shd w:val="clear" w:color="auto" w:fill="auto"/>
          </w:tcPr>
          <w:p w:rsidR="0092299C" w:rsidRPr="00636971" w:rsidRDefault="0092299C" w:rsidP="0092299C">
            <w:pPr>
              <w:spacing w:before="80" w:after="60"/>
              <w:rPr>
                <w:rFonts w:eastAsia="Times" w:cs="Arial"/>
                <w:sz w:val="18"/>
                <w:szCs w:val="18"/>
                <w:lang w:eastAsia="en-AU"/>
              </w:rPr>
            </w:pPr>
            <w:r>
              <w:rPr>
                <w:rFonts w:eastAsia="Times" w:cs="Arial"/>
                <w:sz w:val="18"/>
                <w:szCs w:val="18"/>
                <w:lang w:eastAsia="en-AU"/>
              </w:rPr>
              <w:t>7.0</w:t>
            </w:r>
          </w:p>
        </w:tc>
        <w:tc>
          <w:tcPr>
            <w:tcW w:w="1265" w:type="dxa"/>
            <w:tcBorders>
              <w:top w:val="single" w:sz="4" w:space="0" w:color="BFBFBF" w:themeColor="background1" w:themeShade="BF"/>
              <w:left w:val="nil"/>
              <w:bottom w:val="single" w:sz="4" w:space="0" w:color="FFFFFF"/>
              <w:right w:val="nil"/>
            </w:tcBorders>
            <w:shd w:val="clear" w:color="auto" w:fill="auto"/>
          </w:tcPr>
          <w:p w:rsidR="0092299C" w:rsidRPr="00636971" w:rsidRDefault="0092299C" w:rsidP="0092299C">
            <w:pPr>
              <w:spacing w:before="80" w:after="60"/>
              <w:rPr>
                <w:rFonts w:eastAsia="Times" w:cs="Arial"/>
                <w:sz w:val="18"/>
                <w:szCs w:val="18"/>
                <w:lang w:eastAsia="en-AU"/>
              </w:rPr>
            </w:pPr>
            <w:r>
              <w:rPr>
                <w:rFonts w:eastAsia="Times" w:cs="Arial"/>
                <w:sz w:val="18"/>
                <w:szCs w:val="18"/>
                <w:lang w:eastAsia="en-AU"/>
              </w:rPr>
              <w:t>7.3</w:t>
            </w:r>
          </w:p>
        </w:tc>
        <w:tc>
          <w:tcPr>
            <w:tcW w:w="1266" w:type="dxa"/>
            <w:tcBorders>
              <w:top w:val="single" w:sz="4" w:space="0" w:color="BFBFBF" w:themeColor="background1" w:themeShade="BF"/>
              <w:left w:val="nil"/>
              <w:bottom w:val="single" w:sz="4" w:space="0" w:color="FFFFFF"/>
              <w:right w:val="nil"/>
            </w:tcBorders>
          </w:tcPr>
          <w:p w:rsidR="0092299C" w:rsidRPr="00636971" w:rsidRDefault="0092299C" w:rsidP="0092299C">
            <w:pPr>
              <w:spacing w:before="80" w:after="60"/>
              <w:rPr>
                <w:rFonts w:eastAsia="Times" w:cs="Arial"/>
                <w:sz w:val="18"/>
                <w:szCs w:val="18"/>
                <w:lang w:eastAsia="en-AU"/>
              </w:rPr>
            </w:pPr>
            <w:r>
              <w:rPr>
                <w:rFonts w:eastAsia="Times" w:cs="Arial"/>
                <w:sz w:val="18"/>
                <w:szCs w:val="18"/>
                <w:lang w:eastAsia="en-AU"/>
              </w:rPr>
              <w:t>7.4</w:t>
            </w:r>
          </w:p>
        </w:tc>
      </w:tr>
      <w:tr w:rsidR="009B0919" w:rsidRPr="00636971" w:rsidTr="009B0919">
        <w:trPr>
          <w:cantSplit/>
        </w:trPr>
        <w:tc>
          <w:tcPr>
            <w:tcW w:w="9639" w:type="dxa"/>
            <w:gridSpan w:val="5"/>
            <w:tcBorders>
              <w:top w:val="single" w:sz="4" w:space="0" w:color="FFFFFF"/>
              <w:left w:val="nil"/>
              <w:bottom w:val="single" w:sz="4" w:space="0" w:color="auto"/>
              <w:right w:val="nil"/>
            </w:tcBorders>
            <w:shd w:val="clear" w:color="auto" w:fill="auto"/>
          </w:tcPr>
          <w:p w:rsidR="009B0919" w:rsidRDefault="009B0919" w:rsidP="009B0919">
            <w:pPr>
              <w:pStyle w:val="ARtablefootnote"/>
              <w:rPr>
                <w:rFonts w:eastAsia="Times" w:cs="Arial"/>
                <w:sz w:val="18"/>
                <w:szCs w:val="18"/>
                <w:lang w:eastAsia="en-AU"/>
              </w:rPr>
            </w:pPr>
            <w:r w:rsidRPr="00F25183">
              <w:t xml:space="preserve">Source: Victorian Admitted Episodes Dataset </w:t>
            </w:r>
            <w:r>
              <w:t xml:space="preserve">– public hospitals excluding Albury, </w:t>
            </w:r>
            <w:r w:rsidRPr="00F25183">
              <w:t>VHISS Ambulatory</w:t>
            </w:r>
            <w:r>
              <w:t xml:space="preserve"> care sensitive conditions PI – 2015 – Meteor: </w:t>
            </w:r>
            <w:r w:rsidRPr="00DA3E2E">
              <w:t>559032</w:t>
            </w:r>
            <w:r>
              <w:t>. This definition applies from 2014–15, however 2013–14 is reported for time series comparability. 2016–17 result is provisional.</w:t>
            </w:r>
          </w:p>
        </w:tc>
      </w:tr>
      <w:tr w:rsidR="008746ED" w:rsidRPr="00636971" w:rsidTr="0010061B">
        <w:trPr>
          <w:cantSplit/>
        </w:trPr>
        <w:tc>
          <w:tcPr>
            <w:tcW w:w="9639" w:type="dxa"/>
            <w:gridSpan w:val="5"/>
            <w:tcBorders>
              <w:top w:val="single" w:sz="4" w:space="0" w:color="auto"/>
              <w:bottom w:val="single" w:sz="4" w:space="0" w:color="BFBFBF" w:themeColor="background1" w:themeShade="BF"/>
            </w:tcBorders>
            <w:shd w:val="clear" w:color="auto" w:fill="auto"/>
          </w:tcPr>
          <w:p w:rsidR="008746ED" w:rsidRDefault="008746ED" w:rsidP="008746ED">
            <w:pPr>
              <w:pStyle w:val="ARtablebluebold"/>
            </w:pPr>
            <w:r>
              <w:t xml:space="preserve">Victoria has a framework for sustainable </w:t>
            </w:r>
            <w:r w:rsidR="00C11E2D">
              <w:br/>
            </w:r>
            <w:r>
              <w:t>infrastructure and fabric</w:t>
            </w:r>
          </w:p>
        </w:tc>
      </w:tr>
      <w:tr w:rsidR="0092299C" w:rsidRPr="00636971" w:rsidTr="00A42B72">
        <w:trPr>
          <w:cantSplit/>
        </w:trPr>
        <w:tc>
          <w:tcPr>
            <w:tcW w:w="4580" w:type="dxa"/>
            <w:tcBorders>
              <w:top w:val="single" w:sz="4" w:space="0" w:color="BFBFBF" w:themeColor="background1" w:themeShade="BF"/>
              <w:left w:val="nil"/>
              <w:bottom w:val="single" w:sz="4" w:space="0" w:color="FFFFFF"/>
              <w:right w:val="nil"/>
            </w:tcBorders>
            <w:shd w:val="clear" w:color="auto" w:fill="auto"/>
          </w:tcPr>
          <w:p w:rsidR="0092299C" w:rsidRPr="00A42B72" w:rsidRDefault="0092299C" w:rsidP="0092299C">
            <w:pPr>
              <w:pStyle w:val="ARtabletext"/>
              <w:rPr>
                <w:rFonts w:cs="Times New Roman"/>
                <w:i/>
                <w:iCs/>
                <w:sz w:val="16"/>
                <w:lang w:eastAsia="en-US"/>
              </w:rPr>
            </w:pPr>
            <w:r>
              <w:t>Total estimated capital investment in acute health and mental health ($ thousand)</w:t>
            </w:r>
          </w:p>
        </w:tc>
        <w:tc>
          <w:tcPr>
            <w:tcW w:w="1263" w:type="dxa"/>
            <w:tcBorders>
              <w:top w:val="single" w:sz="4" w:space="0" w:color="BFBFBF" w:themeColor="background1" w:themeShade="BF"/>
              <w:left w:val="nil"/>
              <w:bottom w:val="single" w:sz="4" w:space="0" w:color="FFFFFF"/>
              <w:right w:val="nil"/>
            </w:tcBorders>
          </w:tcPr>
          <w:p w:rsidR="0092299C" w:rsidRDefault="0092299C" w:rsidP="0092299C">
            <w:pPr>
              <w:spacing w:before="80" w:after="60"/>
              <w:rPr>
                <w:rFonts w:eastAsia="Times" w:cs="Arial"/>
                <w:sz w:val="18"/>
                <w:szCs w:val="18"/>
                <w:lang w:eastAsia="en-AU"/>
              </w:rPr>
            </w:pPr>
            <w:r>
              <w:rPr>
                <w:rFonts w:eastAsia="Times" w:cs="Arial"/>
                <w:sz w:val="18"/>
                <w:szCs w:val="18"/>
                <w:lang w:eastAsia="en-AU"/>
              </w:rPr>
              <w:t>313,280</w:t>
            </w:r>
          </w:p>
        </w:tc>
        <w:tc>
          <w:tcPr>
            <w:tcW w:w="1265" w:type="dxa"/>
            <w:tcBorders>
              <w:top w:val="single" w:sz="4" w:space="0" w:color="BFBFBF" w:themeColor="background1" w:themeShade="BF"/>
              <w:left w:val="nil"/>
              <w:bottom w:val="single" w:sz="4" w:space="0" w:color="FFFFFF"/>
              <w:right w:val="nil"/>
            </w:tcBorders>
            <w:shd w:val="clear" w:color="auto" w:fill="auto"/>
          </w:tcPr>
          <w:p w:rsidR="0092299C" w:rsidRDefault="0092299C" w:rsidP="0092299C">
            <w:pPr>
              <w:spacing w:before="80" w:after="60"/>
              <w:rPr>
                <w:rFonts w:eastAsia="Times" w:cs="Arial"/>
                <w:sz w:val="18"/>
                <w:szCs w:val="18"/>
                <w:lang w:eastAsia="en-AU"/>
              </w:rPr>
            </w:pPr>
            <w:r>
              <w:rPr>
                <w:rFonts w:eastAsia="Times" w:cs="Arial"/>
                <w:sz w:val="18"/>
                <w:szCs w:val="18"/>
                <w:lang w:eastAsia="en-AU"/>
              </w:rPr>
              <w:t>173,763</w:t>
            </w:r>
          </w:p>
        </w:tc>
        <w:tc>
          <w:tcPr>
            <w:tcW w:w="1265" w:type="dxa"/>
            <w:tcBorders>
              <w:top w:val="single" w:sz="4" w:space="0" w:color="BFBFBF" w:themeColor="background1" w:themeShade="BF"/>
              <w:left w:val="nil"/>
              <w:bottom w:val="single" w:sz="4" w:space="0" w:color="FFFFFF"/>
              <w:right w:val="nil"/>
            </w:tcBorders>
            <w:shd w:val="clear" w:color="auto" w:fill="auto"/>
          </w:tcPr>
          <w:p w:rsidR="0092299C" w:rsidRDefault="0092299C" w:rsidP="0092299C">
            <w:pPr>
              <w:spacing w:before="80" w:after="60"/>
              <w:rPr>
                <w:rFonts w:eastAsia="Times" w:cs="Arial"/>
                <w:sz w:val="18"/>
                <w:szCs w:val="18"/>
                <w:lang w:eastAsia="en-AU"/>
              </w:rPr>
            </w:pPr>
            <w:r>
              <w:rPr>
                <w:rFonts w:eastAsia="Times" w:cs="Arial"/>
                <w:sz w:val="18"/>
                <w:szCs w:val="18"/>
                <w:lang w:eastAsia="en-AU"/>
              </w:rPr>
              <w:t>564,450</w:t>
            </w:r>
          </w:p>
        </w:tc>
        <w:tc>
          <w:tcPr>
            <w:tcW w:w="1266" w:type="dxa"/>
            <w:tcBorders>
              <w:top w:val="single" w:sz="4" w:space="0" w:color="BFBFBF" w:themeColor="background1" w:themeShade="BF"/>
              <w:left w:val="nil"/>
              <w:bottom w:val="single" w:sz="4" w:space="0" w:color="FFFFFF"/>
              <w:right w:val="nil"/>
            </w:tcBorders>
          </w:tcPr>
          <w:p w:rsidR="0092299C" w:rsidRDefault="0092299C" w:rsidP="0092299C">
            <w:pPr>
              <w:spacing w:before="80" w:after="60"/>
              <w:rPr>
                <w:rFonts w:eastAsia="Times" w:cs="Arial"/>
                <w:sz w:val="18"/>
                <w:szCs w:val="18"/>
                <w:lang w:eastAsia="en-AU"/>
              </w:rPr>
            </w:pPr>
            <w:r>
              <w:rPr>
                <w:rFonts w:eastAsia="Times" w:cs="Arial"/>
                <w:sz w:val="18"/>
                <w:szCs w:val="18"/>
                <w:lang w:eastAsia="en-AU"/>
              </w:rPr>
              <w:t>846,540</w:t>
            </w:r>
          </w:p>
        </w:tc>
      </w:tr>
      <w:tr w:rsidR="00A42B72" w:rsidRPr="00636971" w:rsidTr="00A42B72">
        <w:trPr>
          <w:cantSplit/>
        </w:trPr>
        <w:tc>
          <w:tcPr>
            <w:tcW w:w="9639" w:type="dxa"/>
            <w:gridSpan w:val="5"/>
            <w:tcBorders>
              <w:top w:val="single" w:sz="4" w:space="0" w:color="FFFFFF"/>
              <w:left w:val="nil"/>
              <w:bottom w:val="single" w:sz="4" w:space="0" w:color="auto"/>
              <w:right w:val="nil"/>
            </w:tcBorders>
            <w:shd w:val="clear" w:color="auto" w:fill="auto"/>
          </w:tcPr>
          <w:p w:rsidR="00A42B72" w:rsidRDefault="00A42B72" w:rsidP="0092299C">
            <w:pPr>
              <w:spacing w:before="80" w:after="60"/>
              <w:rPr>
                <w:rFonts w:eastAsia="Times" w:cs="Arial"/>
                <w:sz w:val="18"/>
                <w:szCs w:val="18"/>
                <w:lang w:eastAsia="en-AU"/>
              </w:rPr>
            </w:pPr>
            <w:r w:rsidRPr="00E22B48">
              <w:rPr>
                <w:rStyle w:val="ARtablenoteindentChar"/>
              </w:rPr>
              <w:t>Source: Budget Paper 4, Chapter 2</w:t>
            </w:r>
          </w:p>
        </w:tc>
      </w:tr>
    </w:tbl>
    <w:p w:rsidR="0092299C" w:rsidRDefault="0092299C" w:rsidP="0092299C">
      <w:pPr>
        <w:spacing w:after="120" w:line="260" w:lineRule="atLeast"/>
        <w:rPr>
          <w:rFonts w:eastAsia="Times" w:cs="Arial"/>
          <w:sz w:val="20"/>
          <w:szCs w:val="20"/>
        </w:rPr>
        <w:sectPr w:rsidR="0092299C" w:rsidSect="00C14C59">
          <w:endnotePr>
            <w:numFmt w:val="decimal"/>
          </w:endnotePr>
          <w:type w:val="continuous"/>
          <w:pgSz w:w="11900" w:h="16840" w:code="9"/>
          <w:pgMar w:top="1531" w:right="851" w:bottom="680" w:left="1418" w:header="510" w:footer="340" w:gutter="0"/>
          <w:cols w:space="720"/>
        </w:sectPr>
      </w:pPr>
    </w:p>
    <w:p w:rsidR="0092299C" w:rsidRDefault="0092299C" w:rsidP="0092299C">
      <w:pPr>
        <w:pStyle w:val="Heading3"/>
        <w:spacing w:before="0"/>
        <w:sectPr w:rsidR="0092299C" w:rsidSect="004F009C">
          <w:endnotePr>
            <w:numFmt w:val="decimal"/>
          </w:endnotePr>
          <w:type w:val="continuous"/>
          <w:pgSz w:w="11900" w:h="16840" w:code="9"/>
          <w:pgMar w:top="1531" w:right="851" w:bottom="680" w:left="1418" w:header="510" w:footer="340" w:gutter="0"/>
          <w:cols w:num="2" w:space="720"/>
        </w:sectPr>
      </w:pPr>
    </w:p>
    <w:p w:rsidR="0092299C" w:rsidRPr="00F63571" w:rsidRDefault="0092299C" w:rsidP="0092299C">
      <w:pPr>
        <w:pStyle w:val="Heading3"/>
        <w:spacing w:before="0"/>
      </w:pPr>
      <w:r w:rsidRPr="00F63571">
        <w:lastRenderedPageBreak/>
        <w:t>Objective 4: Immediate support – with its partners, the department supports people in crisis, and helps individuals and families get their lives back on track</w:t>
      </w:r>
    </w:p>
    <w:p w:rsidR="0092299C" w:rsidRPr="00F63571" w:rsidRDefault="0092299C" w:rsidP="0092299C">
      <w:pPr>
        <w:pStyle w:val="ARbody"/>
      </w:pPr>
      <w:r w:rsidRPr="00F63571">
        <w:t>The department and funded agencies provide immediate services for people when a crisis occurs in their lives.</w:t>
      </w:r>
    </w:p>
    <w:p w:rsidR="0092299C" w:rsidRPr="00F63571" w:rsidRDefault="0092299C" w:rsidP="0092299C">
      <w:pPr>
        <w:pStyle w:val="ARbody"/>
      </w:pPr>
      <w:r w:rsidRPr="00F63571">
        <w:t xml:space="preserve">This immediate support prevents a crisis from escalating, and allows people and families </w:t>
      </w:r>
      <w:r>
        <w:t xml:space="preserve">to </w:t>
      </w:r>
      <w:r w:rsidRPr="00F63571">
        <w:t>stabilise their lives and begin to recover.</w:t>
      </w:r>
    </w:p>
    <w:p w:rsidR="0092299C" w:rsidRPr="00F63571" w:rsidRDefault="0092299C" w:rsidP="0092299C">
      <w:pPr>
        <w:pStyle w:val="ARbody"/>
      </w:pPr>
      <w:r w:rsidRPr="00F63571">
        <w:t>The department provide</w:t>
      </w:r>
      <w:r>
        <w:t>d</w:t>
      </w:r>
      <w:r w:rsidRPr="00F63571">
        <w:t xml:space="preserve"> crisis services in the areas of children and family services, family violence, housing and youth justice.</w:t>
      </w:r>
      <w:r>
        <w:t xml:space="preserve"> </w:t>
      </w:r>
      <w:r>
        <w:rPr>
          <w:color w:val="000000"/>
          <w:szCs w:val="20"/>
          <w:lang w:eastAsia="en-AU"/>
        </w:rPr>
        <w:t>From 3</w:t>
      </w:r>
      <w:r w:rsidRPr="00F63571">
        <w:t> </w:t>
      </w:r>
      <w:r>
        <w:rPr>
          <w:color w:val="000000"/>
          <w:szCs w:val="20"/>
          <w:lang w:eastAsia="en-AU"/>
        </w:rPr>
        <w:t>April</w:t>
      </w:r>
      <w:r w:rsidRPr="00F63571">
        <w:t> </w:t>
      </w:r>
      <w:r>
        <w:rPr>
          <w:color w:val="000000"/>
          <w:szCs w:val="20"/>
          <w:lang w:eastAsia="en-AU"/>
        </w:rPr>
        <w:t xml:space="preserve">2017, responsibility for </w:t>
      </w:r>
      <w:r>
        <w:rPr>
          <w:color w:val="000000"/>
          <w:lang w:eastAsia="en-AU"/>
        </w:rPr>
        <w:t xml:space="preserve">youth justice custodial services and community-based services </w:t>
      </w:r>
      <w:r>
        <w:rPr>
          <w:color w:val="000000"/>
          <w:szCs w:val="20"/>
          <w:lang w:eastAsia="en-AU"/>
        </w:rPr>
        <w:t>was transferred to the Department of Justice and Regulation.</w:t>
      </w:r>
    </w:p>
    <w:p w:rsidR="00AA035A" w:rsidRDefault="0092299C" w:rsidP="0092299C">
      <w:pPr>
        <w:pStyle w:val="Heading4"/>
      </w:pPr>
      <w:r w:rsidRPr="00F63571">
        <w:t>Family violence</w:t>
      </w:r>
    </w:p>
    <w:p w:rsidR="0092299C" w:rsidRPr="00F63571" w:rsidRDefault="0092299C" w:rsidP="0092299C">
      <w:pPr>
        <w:pStyle w:val="Heading5"/>
      </w:pPr>
      <w:r w:rsidRPr="00F63571">
        <w:t>Boost in demand funding</w:t>
      </w:r>
    </w:p>
    <w:p w:rsidR="0092299C" w:rsidRPr="00DD1857" w:rsidRDefault="0092299C" w:rsidP="0092299C">
      <w:pPr>
        <w:pStyle w:val="ARbody"/>
      </w:pPr>
      <w:r w:rsidRPr="00DD1857">
        <w:t xml:space="preserve">In September 2016, the </w:t>
      </w:r>
      <w:r>
        <w:t>government provided funding of</w:t>
      </w:r>
      <w:r w:rsidRPr="00DD1857">
        <w:t xml:space="preserve"> $87 million to address demand and build system capacity across key family violence and sexual assault service responses.</w:t>
      </w:r>
    </w:p>
    <w:p w:rsidR="0092299C" w:rsidRPr="00DD1857" w:rsidRDefault="0092299C" w:rsidP="0092299C">
      <w:pPr>
        <w:pStyle w:val="ARbody"/>
      </w:pPr>
      <w:r w:rsidRPr="00DD1857">
        <w:t>The boost included:</w:t>
      </w:r>
    </w:p>
    <w:p w:rsidR="0092299C" w:rsidRPr="00DD1857" w:rsidRDefault="0092299C" w:rsidP="0092299C">
      <w:pPr>
        <w:pStyle w:val="ARbullet1"/>
      </w:pPr>
      <w:r>
        <w:t>$45.6 million over two years</w:t>
      </w:r>
      <w:r w:rsidRPr="00DD1857">
        <w:t xml:space="preserve"> to boost specialist family violence client support</w:t>
      </w:r>
    </w:p>
    <w:p w:rsidR="0092299C" w:rsidRPr="00DD1857" w:rsidRDefault="0092299C" w:rsidP="0092299C">
      <w:pPr>
        <w:pStyle w:val="ARbullet1"/>
      </w:pPr>
      <w:r w:rsidRPr="00DD1857">
        <w:t xml:space="preserve">$17.0 million in 2016–17 to boost </w:t>
      </w:r>
      <w:r>
        <w:t>Flexible Support Packages</w:t>
      </w:r>
    </w:p>
    <w:p w:rsidR="0092299C" w:rsidRPr="00DD1857" w:rsidRDefault="0092299C" w:rsidP="0092299C">
      <w:pPr>
        <w:pStyle w:val="ARbullet1"/>
      </w:pPr>
      <w:r>
        <w:t>$6.4 million over two years</w:t>
      </w:r>
      <w:r w:rsidRPr="00DD1857">
        <w:t xml:space="preserve"> to boost to sexual assault support services</w:t>
      </w:r>
    </w:p>
    <w:p w:rsidR="0092299C" w:rsidRPr="00DD1857" w:rsidRDefault="0092299C" w:rsidP="0092299C">
      <w:pPr>
        <w:pStyle w:val="ARbullet1"/>
      </w:pPr>
      <w:r w:rsidRPr="00DD1857">
        <w:t>$5.2 million in 2016–17 to strengthen responses to men who use violence</w:t>
      </w:r>
    </w:p>
    <w:p w:rsidR="0092299C" w:rsidRDefault="0092299C" w:rsidP="0092299C">
      <w:pPr>
        <w:pStyle w:val="ARbullet1"/>
      </w:pPr>
      <w:r w:rsidRPr="00DD1857">
        <w:t xml:space="preserve">$5.0 million </w:t>
      </w:r>
      <w:r>
        <w:t>over two years</w:t>
      </w:r>
      <w:r w:rsidRPr="00DD1857">
        <w:t xml:space="preserve"> for counselling for women and children</w:t>
      </w:r>
    </w:p>
    <w:p w:rsidR="0092299C" w:rsidRDefault="0092299C" w:rsidP="0092299C">
      <w:pPr>
        <w:pStyle w:val="ARbullet1"/>
      </w:pPr>
      <w:r>
        <w:t>$6 million over two years for the design and implementation of new family violence services</w:t>
      </w:r>
    </w:p>
    <w:p w:rsidR="0092299C" w:rsidRPr="00DD1857" w:rsidRDefault="0092299C" w:rsidP="006F1F77">
      <w:pPr>
        <w:pStyle w:val="ARbullet1"/>
      </w:pPr>
      <w:r>
        <w:t>$1.7 million over two years for interpreting and translation services for women and children from culturally and linguistically diverse backgrounds.</w:t>
      </w:r>
    </w:p>
    <w:p w:rsidR="0092299C" w:rsidRPr="00DD1857" w:rsidRDefault="0092299C" w:rsidP="006F1F77">
      <w:pPr>
        <w:pStyle w:val="ARbodyafterbullets"/>
      </w:pPr>
      <w:r w:rsidRPr="00DD1857">
        <w:t>In particular, the funding significantly increased the capacity of specialist family violence services to offer case management to family violence victims</w:t>
      </w:r>
      <w:r>
        <w:t>,</w:t>
      </w:r>
      <w:r w:rsidRPr="00DD1857">
        <w:t xml:space="preserve"> </w:t>
      </w:r>
      <w:r>
        <w:t>and</w:t>
      </w:r>
      <w:r w:rsidRPr="00DD1857">
        <w:t xml:space="preserve"> </w:t>
      </w:r>
      <w:r>
        <w:t xml:space="preserve">provided access for an additional </w:t>
      </w:r>
      <w:r w:rsidRPr="00DD1857">
        <w:t>9,000 women and children in 2016–17.</w:t>
      </w:r>
    </w:p>
    <w:p w:rsidR="0092299C" w:rsidRPr="00F63571" w:rsidRDefault="0092299C" w:rsidP="0092299C">
      <w:pPr>
        <w:pStyle w:val="Heading5"/>
        <w:rPr>
          <w:i w:val="0"/>
        </w:rPr>
      </w:pPr>
      <w:r w:rsidRPr="00F63571">
        <w:t>Flexible Support Packages</w:t>
      </w:r>
    </w:p>
    <w:p w:rsidR="0092299C" w:rsidRPr="00DD1857" w:rsidRDefault="0092299C" w:rsidP="0092299C">
      <w:pPr>
        <w:pStyle w:val="ARbody"/>
      </w:pPr>
      <w:r w:rsidRPr="00DD1857">
        <w:t>Through the Flexible Support Packages initiative,</w:t>
      </w:r>
      <w:r>
        <w:t xml:space="preserve"> over 5,000</w:t>
      </w:r>
      <w:r w:rsidRPr="00DD1857">
        <w:t xml:space="preserve"> packages of up to $7,000 </w:t>
      </w:r>
      <w:r>
        <w:t xml:space="preserve">were </w:t>
      </w:r>
      <w:r>
        <w:lastRenderedPageBreak/>
        <w:t>allocated to address victim/survivor</w:t>
      </w:r>
      <w:r w:rsidRPr="00DD1857">
        <w:t xml:space="preserve"> needs, including</w:t>
      </w:r>
      <w:r>
        <w:t xml:space="preserve"> through</w:t>
      </w:r>
      <w:r w:rsidRPr="00DD1857">
        <w:t>:</w:t>
      </w:r>
    </w:p>
    <w:p w:rsidR="0092299C" w:rsidRPr="00DD1857" w:rsidRDefault="0092299C" w:rsidP="0092299C">
      <w:pPr>
        <w:pStyle w:val="ARbullet1"/>
      </w:pPr>
      <w:r>
        <w:t xml:space="preserve">provision of </w:t>
      </w:r>
      <w:r w:rsidRPr="00DD1857">
        <w:t>suitable and stable housing</w:t>
      </w:r>
    </w:p>
    <w:p w:rsidR="0092299C" w:rsidRPr="00DD1857" w:rsidRDefault="0092299C" w:rsidP="0092299C">
      <w:pPr>
        <w:pStyle w:val="ARbullet1"/>
      </w:pPr>
      <w:r w:rsidRPr="00DD1857">
        <w:t>health and wellbeing needs such as medical or pharmaceutical needs</w:t>
      </w:r>
    </w:p>
    <w:p w:rsidR="0092299C" w:rsidRPr="00DD1857" w:rsidRDefault="0092299C" w:rsidP="0092299C">
      <w:pPr>
        <w:pStyle w:val="ARbullet1"/>
      </w:pPr>
      <w:r w:rsidRPr="00DD1857">
        <w:t>schooling and educational costs</w:t>
      </w:r>
    </w:p>
    <w:p w:rsidR="0092299C" w:rsidRPr="00DD1857" w:rsidRDefault="0092299C" w:rsidP="0092299C">
      <w:pPr>
        <w:pStyle w:val="ARbullet1"/>
      </w:pPr>
      <w:r w:rsidRPr="00DD1857">
        <w:t>access to professional services, including legal assistance and financial counselling</w:t>
      </w:r>
    </w:p>
    <w:p w:rsidR="0092299C" w:rsidRPr="00DD1857" w:rsidRDefault="0092299C" w:rsidP="0092299C">
      <w:pPr>
        <w:pStyle w:val="ARbullet1"/>
      </w:pPr>
      <w:r w:rsidRPr="00DD1857">
        <w:t>safety and security responses.</w:t>
      </w:r>
    </w:p>
    <w:p w:rsidR="0092299C" w:rsidRPr="00F63571" w:rsidRDefault="0092299C" w:rsidP="0092299C">
      <w:pPr>
        <w:pStyle w:val="Heading5"/>
      </w:pPr>
      <w:r w:rsidRPr="00F63571">
        <w:t>Personal safety initiative</w:t>
      </w:r>
    </w:p>
    <w:p w:rsidR="0092299C" w:rsidRPr="00DD1857" w:rsidRDefault="0092299C" w:rsidP="0092299C">
      <w:pPr>
        <w:pStyle w:val="ARbody"/>
      </w:pPr>
      <w:r w:rsidRPr="00DD1857">
        <w:t>The Personal Safety Initiative (PSI) supports victim</w:t>
      </w:r>
      <w:r>
        <w:t>s</w:t>
      </w:r>
      <w:r w:rsidRPr="00DD1857">
        <w:t>/survivors at high risk of family violence to remain safe</w:t>
      </w:r>
      <w:r>
        <w:t>ly</w:t>
      </w:r>
      <w:r w:rsidRPr="00DD1857">
        <w:t xml:space="preserve"> in their own homes and communities. Increased funding for </w:t>
      </w:r>
      <w:r>
        <w:t>F</w:t>
      </w:r>
      <w:r w:rsidRPr="00DD1857">
        <w:t xml:space="preserve">lexible </w:t>
      </w:r>
      <w:r>
        <w:t>S</w:t>
      </w:r>
      <w:r w:rsidRPr="00DD1857">
        <w:t xml:space="preserve">upport </w:t>
      </w:r>
      <w:r>
        <w:t>P</w:t>
      </w:r>
      <w:r w:rsidRPr="00DD1857">
        <w:t xml:space="preserve">ackages </w:t>
      </w:r>
      <w:r>
        <w:t>has been</w:t>
      </w:r>
      <w:r w:rsidRPr="00DD1857">
        <w:t xml:space="preserve"> used to ensure access to safety and security responses, such as CCTV and personal alarms.</w:t>
      </w:r>
    </w:p>
    <w:p w:rsidR="0092299C" w:rsidRPr="00DD1857" w:rsidRDefault="0092299C" w:rsidP="0092299C">
      <w:pPr>
        <w:pStyle w:val="ARbody"/>
      </w:pPr>
      <w:r w:rsidRPr="00DD1857">
        <w:t>In April 2017,</w:t>
      </w:r>
      <w:r w:rsidR="00F8267D">
        <w:t xml:space="preserve"> </w:t>
      </w:r>
      <w:r w:rsidRPr="00DD1857">
        <w:t xml:space="preserve">the department commenced a </w:t>
      </w:r>
      <w:proofErr w:type="spellStart"/>
      <w:r w:rsidRPr="00DD1857">
        <w:t>statewide</w:t>
      </w:r>
      <w:proofErr w:type="spellEnd"/>
      <w:r w:rsidRPr="00DD1857">
        <w:t xml:space="preserve"> expansion of the PSI, informed by a successful pilot in 2015–16.</w:t>
      </w:r>
    </w:p>
    <w:p w:rsidR="0092299C" w:rsidRPr="00F63571" w:rsidRDefault="0092299C" w:rsidP="0092299C">
      <w:pPr>
        <w:pStyle w:val="Heading5"/>
      </w:pPr>
      <w:r w:rsidRPr="00F63571">
        <w:t>Risk Assessment and Management Panels (RAMPs)</w:t>
      </w:r>
    </w:p>
    <w:p w:rsidR="0092299C" w:rsidRPr="00F63571" w:rsidRDefault="0092299C" w:rsidP="0092299C">
      <w:pPr>
        <w:pStyle w:val="ARbody"/>
      </w:pPr>
      <w:r w:rsidRPr="00F63571">
        <w:t>RAMPs bring together key agencies to share critical information and facilitate comprehensive risk assessment and action planning to support women and children at the highest risk of family violence. Core member agencies include Victoria Police, specialist women’s family violence services, child protection, Child FIRST, Corrections Victoria, mental health, alcohol and other drugs services, housing and men’s family violence services.</w:t>
      </w:r>
    </w:p>
    <w:p w:rsidR="0092299C" w:rsidRPr="00F63571" w:rsidRDefault="0092299C" w:rsidP="0092299C">
      <w:pPr>
        <w:pStyle w:val="ARbody"/>
      </w:pPr>
      <w:r w:rsidRPr="005D2F3F">
        <w:rPr>
          <w:spacing w:val="-2"/>
        </w:rPr>
        <w:t xml:space="preserve">RAMPs were implemented </w:t>
      </w:r>
      <w:proofErr w:type="spellStart"/>
      <w:r w:rsidRPr="005D2F3F">
        <w:rPr>
          <w:spacing w:val="-2"/>
        </w:rPr>
        <w:t>statewide</w:t>
      </w:r>
      <w:proofErr w:type="spellEnd"/>
      <w:r w:rsidRPr="005D2F3F">
        <w:rPr>
          <w:spacing w:val="-2"/>
        </w:rPr>
        <w:t xml:space="preserve"> in June 2016,</w:t>
      </w:r>
      <w:r w:rsidRPr="00F63571">
        <w:t xml:space="preserve"> with 18 panels operating across Victoria – one in each of the department’s 17 areas, and an additional RAMP in Wimmera South West.</w:t>
      </w:r>
    </w:p>
    <w:p w:rsidR="0092299C" w:rsidRPr="00F63571" w:rsidRDefault="0092299C" w:rsidP="0092299C">
      <w:pPr>
        <w:pStyle w:val="ARbody"/>
        <w:keepNext/>
        <w:keepLines/>
      </w:pPr>
      <w:r w:rsidRPr="00F63571">
        <w:t xml:space="preserve">A web-based information sharing and record management application was developed and implemented </w:t>
      </w:r>
      <w:proofErr w:type="spellStart"/>
      <w:r w:rsidRPr="00F63571">
        <w:t>statewide</w:t>
      </w:r>
      <w:proofErr w:type="spellEnd"/>
      <w:r w:rsidRPr="00F63571">
        <w:t xml:space="preserve"> to support the critical work of RAMPs.</w:t>
      </w:r>
    </w:p>
    <w:p w:rsidR="0092299C" w:rsidRPr="00F63571" w:rsidRDefault="0092299C" w:rsidP="0092299C">
      <w:pPr>
        <w:pStyle w:val="Heading5"/>
      </w:pPr>
      <w:r w:rsidRPr="00F63571">
        <w:t>Therapeutic responses to family violence</w:t>
      </w:r>
    </w:p>
    <w:p w:rsidR="0092299C" w:rsidRPr="00F63571" w:rsidRDefault="0092299C" w:rsidP="0092299C">
      <w:pPr>
        <w:pStyle w:val="ARbody"/>
      </w:pPr>
      <w:r w:rsidRPr="00F63571">
        <w:t>In May 2017, the government announced $22.87 million to</w:t>
      </w:r>
      <w:r>
        <w:t>wards</w:t>
      </w:r>
      <w:r w:rsidRPr="00F63571">
        <w:t xml:space="preserve"> 26 therapeutic demonstration projects across Victoria</w:t>
      </w:r>
      <w:r>
        <w:t>,</w:t>
      </w:r>
      <w:r w:rsidRPr="00F63571">
        <w:t xml:space="preserve"> including four specifically tailored to Aboriginal families. These projects trial innovative therapies for women, children and families who have experienced family violence.</w:t>
      </w:r>
    </w:p>
    <w:p w:rsidR="0092299C" w:rsidRPr="00F63571" w:rsidRDefault="0092299C" w:rsidP="0092299C">
      <w:pPr>
        <w:pStyle w:val="ARbody"/>
      </w:pPr>
      <w:r w:rsidRPr="00F63571">
        <w:lastRenderedPageBreak/>
        <w:t>This initiative increase</w:t>
      </w:r>
      <w:r>
        <w:t>s</w:t>
      </w:r>
      <w:r w:rsidRPr="00F63571">
        <w:t xml:space="preserve"> the range and accessibility of therapies available to victims/survivors and will build on the growing evidence base underpinning therapeutic responses to family violence.</w:t>
      </w:r>
    </w:p>
    <w:p w:rsidR="0092299C" w:rsidRPr="00F63571" w:rsidRDefault="0092299C" w:rsidP="0092299C">
      <w:pPr>
        <w:pStyle w:val="Heading5"/>
      </w:pPr>
      <w:r w:rsidRPr="00F63571">
        <w:t>Refuge redevelopment</w:t>
      </w:r>
    </w:p>
    <w:p w:rsidR="0092299C" w:rsidRPr="00F63571" w:rsidRDefault="0092299C" w:rsidP="0092299C">
      <w:pPr>
        <w:pStyle w:val="ARbody"/>
      </w:pPr>
      <w:r w:rsidRPr="00F63571">
        <w:t xml:space="preserve">Acting on the recommendations of the Royal Commission into Family Violence, the department is redeveloping family violence refuges to phase out the communal refuge model, and move towards </w:t>
      </w:r>
      <w:r>
        <w:t>a</w:t>
      </w:r>
      <w:r w:rsidRPr="00F63571">
        <w:t xml:space="preserve"> core and cluster accommodation model. The core and cluster model promotes safety, is accessible to people with disabilities, provides private units, and enables connections with the community, work and school.</w:t>
      </w:r>
    </w:p>
    <w:p w:rsidR="0092299C" w:rsidRPr="00F63571" w:rsidRDefault="0092299C" w:rsidP="0092299C">
      <w:pPr>
        <w:pStyle w:val="Heading5"/>
        <w:rPr>
          <w:i w:val="0"/>
        </w:rPr>
      </w:pPr>
      <w:r w:rsidRPr="00F63571">
        <w:t>Child Protection Family Violence Partnership</w:t>
      </w:r>
    </w:p>
    <w:p w:rsidR="00AA035A" w:rsidRDefault="0092299C" w:rsidP="0092299C">
      <w:pPr>
        <w:pStyle w:val="ARbody"/>
      </w:pPr>
      <w:r w:rsidRPr="00F63571">
        <w:t xml:space="preserve">The Child Protection Family Violence Partnership </w:t>
      </w:r>
      <w:r w:rsidRPr="00915516">
        <w:t>co-locates 17</w:t>
      </w:r>
      <w:r w:rsidRPr="00F63571">
        <w:t xml:space="preserve"> family violence workers in child protection offices across the state to strengthen child protection practice, enable joint assessments, assist child protection</w:t>
      </w:r>
      <w:r>
        <w:t xml:space="preserve"> workers</w:t>
      </w:r>
      <w:r w:rsidRPr="00F63571">
        <w:t xml:space="preserve"> to navigate the family violence system and strengthen opportunities to divert children away from statutory responses. Most of the specialist family violence workers commenced in October</w:t>
      </w:r>
      <w:r w:rsidR="00152A4D">
        <w:t> </w:t>
      </w:r>
      <w:r w:rsidRPr="00F63571">
        <w:t>2016.</w:t>
      </w:r>
    </w:p>
    <w:p w:rsidR="00AA035A" w:rsidRDefault="0092299C" w:rsidP="0092299C">
      <w:pPr>
        <w:pStyle w:val="Heading4"/>
        <w:rPr>
          <w:b w:val="0"/>
          <w:i/>
        </w:rPr>
      </w:pPr>
      <w:r w:rsidRPr="00DD1857">
        <w:rPr>
          <w:b w:val="0"/>
          <w:i/>
        </w:rPr>
        <w:t>L17 Family Violence Portal</w:t>
      </w:r>
    </w:p>
    <w:p w:rsidR="0092299C" w:rsidRDefault="0092299C" w:rsidP="0092299C">
      <w:pPr>
        <w:pStyle w:val="ARbody"/>
      </w:pPr>
      <w:r>
        <w:t>Police use L17 forms to report family violence incidents to child protection, family services and specialist family violence services to ensure families receive a response.</w:t>
      </w:r>
    </w:p>
    <w:p w:rsidR="0092299C" w:rsidRPr="00F63571" w:rsidRDefault="0092299C" w:rsidP="0092299C">
      <w:pPr>
        <w:pStyle w:val="ARbody"/>
      </w:pPr>
      <w:r w:rsidRPr="00F63571">
        <w:t xml:space="preserve">The L17 Family Violence Portal was launched in December 2016. It </w:t>
      </w:r>
      <w:r>
        <w:t xml:space="preserve">replaces the previous, outdated fax system with </w:t>
      </w:r>
      <w:r w:rsidRPr="00F63571">
        <w:t xml:space="preserve">electronic referrals/reports of family violence between Victoria Police, child protection and community services to improve flow of information about </w:t>
      </w:r>
      <w:r w:rsidR="005D2F3F">
        <w:br/>
      </w:r>
      <w:r w:rsidRPr="00F63571">
        <w:t>L17s and client outcomes.</w:t>
      </w:r>
    </w:p>
    <w:p w:rsidR="0092299C" w:rsidRPr="00F63571" w:rsidRDefault="0092299C" w:rsidP="0092299C">
      <w:pPr>
        <w:pStyle w:val="Heading5"/>
        <w:rPr>
          <w:lang w:eastAsia="en-AU"/>
        </w:rPr>
      </w:pPr>
      <w:r w:rsidRPr="00F63571">
        <w:rPr>
          <w:lang w:eastAsia="en-AU"/>
        </w:rPr>
        <w:t>Family violence in Aboriginal communities</w:t>
      </w:r>
    </w:p>
    <w:p w:rsidR="00AA035A" w:rsidRDefault="0092299C" w:rsidP="0092299C">
      <w:pPr>
        <w:pStyle w:val="ARbody"/>
        <w:rPr>
          <w:lang w:eastAsia="en-AU"/>
        </w:rPr>
      </w:pPr>
      <w:r>
        <w:rPr>
          <w:lang w:eastAsia="en-AU"/>
        </w:rPr>
        <w:t>In 2016</w:t>
      </w:r>
      <w:r w:rsidRPr="00F63571">
        <w:t>–1</w:t>
      </w:r>
      <w:r>
        <w:rPr>
          <w:lang w:eastAsia="en-AU"/>
        </w:rPr>
        <w:t>7, the department worked to r</w:t>
      </w:r>
      <w:r w:rsidRPr="00F63571">
        <w:rPr>
          <w:lang w:eastAsia="en-AU"/>
        </w:rPr>
        <w:t>educ</w:t>
      </w:r>
      <w:r>
        <w:rPr>
          <w:lang w:eastAsia="en-AU"/>
        </w:rPr>
        <w:t>e</w:t>
      </w:r>
      <w:r w:rsidRPr="00F63571">
        <w:rPr>
          <w:lang w:eastAsia="en-AU"/>
        </w:rPr>
        <w:t xml:space="preserve"> family violence in Aboriginal communities in a culturally sensitive way </w:t>
      </w:r>
      <w:r w:rsidR="00152A4D">
        <w:rPr>
          <w:lang w:eastAsia="en-AU"/>
        </w:rPr>
        <w:t>that</w:t>
      </w:r>
      <w:r w:rsidR="00152A4D" w:rsidRPr="00F63571">
        <w:rPr>
          <w:lang w:eastAsia="en-AU"/>
        </w:rPr>
        <w:t xml:space="preserve"> </w:t>
      </w:r>
      <w:r w:rsidRPr="00F63571">
        <w:rPr>
          <w:lang w:eastAsia="en-AU"/>
        </w:rPr>
        <w:t>responds to local needs</w:t>
      </w:r>
      <w:r>
        <w:rPr>
          <w:lang w:eastAsia="en-AU"/>
        </w:rPr>
        <w:t>. T</w:t>
      </w:r>
      <w:r w:rsidRPr="00F63571">
        <w:rPr>
          <w:lang w:eastAsia="en-AU"/>
        </w:rPr>
        <w:t>his include</w:t>
      </w:r>
      <w:r>
        <w:rPr>
          <w:lang w:eastAsia="en-AU"/>
        </w:rPr>
        <w:t>d</w:t>
      </w:r>
      <w:r w:rsidRPr="00F63571">
        <w:rPr>
          <w:lang w:eastAsia="en-AU"/>
        </w:rPr>
        <w:t xml:space="preserve"> investing $650,000 in 40 place-based projects to prevent and raise awareness of family violence in Aboriginal communities across Victoria.</w:t>
      </w:r>
    </w:p>
    <w:p w:rsidR="009A6CF6" w:rsidRPr="00F63571" w:rsidRDefault="009A6CF6" w:rsidP="009A6CF6">
      <w:pPr>
        <w:pStyle w:val="Heading4"/>
      </w:pPr>
      <w:bookmarkStart w:id="21" w:name="_Ref492928307"/>
      <w:r w:rsidRPr="00F63571">
        <w:lastRenderedPageBreak/>
        <w:t xml:space="preserve">Families and </w:t>
      </w:r>
      <w:r w:rsidRPr="009D0A68">
        <w:t>children</w:t>
      </w:r>
      <w:bookmarkEnd w:id="21"/>
    </w:p>
    <w:p w:rsidR="00AA035A" w:rsidRDefault="001D0A73" w:rsidP="00102E49">
      <w:pPr>
        <w:pStyle w:val="Heading5"/>
      </w:pPr>
      <w:r w:rsidRPr="00F63571">
        <w:t>Roadmap for reform</w:t>
      </w:r>
    </w:p>
    <w:p w:rsidR="00226878" w:rsidRDefault="00226878" w:rsidP="00226878">
      <w:pPr>
        <w:pStyle w:val="ARbody"/>
      </w:pPr>
      <w:r w:rsidRPr="00F63571">
        <w:t xml:space="preserve">The </w:t>
      </w:r>
      <w:r w:rsidRPr="00F63571">
        <w:rPr>
          <w:i/>
        </w:rPr>
        <w:t>Roadmap for reform: strong families, safe children</w:t>
      </w:r>
      <w:r w:rsidRPr="00F63571">
        <w:t xml:space="preserve"> – </w:t>
      </w:r>
      <w:r w:rsidRPr="00F63571">
        <w:rPr>
          <w:i/>
        </w:rPr>
        <w:t>the first steps</w:t>
      </w:r>
      <w:r w:rsidRPr="00F63571">
        <w:t xml:space="preserve"> was released on 13 April 2016. It sets out how better lives can be created for vulnerable children, young people and families in Victoria, </w:t>
      </w:r>
      <w:r>
        <w:t>ho</w:t>
      </w:r>
      <w:r w:rsidRPr="00345959">
        <w:t>w to make the children and family services system more sustainable and, importantly, how to make it a system that works towards better outcomes for vulnerable children and young people.</w:t>
      </w:r>
    </w:p>
    <w:p w:rsidR="00226878" w:rsidRDefault="00226878" w:rsidP="00226878">
      <w:pPr>
        <w:pStyle w:val="ARbody"/>
        <w:rPr>
          <w:lang w:eastAsia="en-AU"/>
        </w:rPr>
      </w:pPr>
      <w:r>
        <w:t xml:space="preserve">The 2016–17 State Budget provided </w:t>
      </w:r>
      <w:r>
        <w:rPr>
          <w:lang w:eastAsia="en-AU"/>
        </w:rPr>
        <w:t>$168</w:t>
      </w:r>
      <w:r w:rsidRPr="00702D40">
        <w:rPr>
          <w:lang w:eastAsia="en-AU"/>
        </w:rPr>
        <w:t xml:space="preserve"> million over two years</w:t>
      </w:r>
      <w:r w:rsidRPr="00BA614D">
        <w:rPr>
          <w:lang w:eastAsia="en-AU"/>
        </w:rPr>
        <w:t xml:space="preserve"> </w:t>
      </w:r>
      <w:r w:rsidRPr="00702D40">
        <w:rPr>
          <w:lang w:eastAsia="en-AU"/>
        </w:rPr>
        <w:t>to</w:t>
      </w:r>
      <w:r>
        <w:rPr>
          <w:lang w:eastAsia="en-AU"/>
        </w:rPr>
        <w:t>wards</w:t>
      </w:r>
      <w:r w:rsidRPr="00702D40">
        <w:rPr>
          <w:lang w:eastAsia="en-AU"/>
        </w:rPr>
        <w:t xml:space="preserve"> </w:t>
      </w:r>
      <w:r>
        <w:rPr>
          <w:lang w:eastAsia="en-AU"/>
        </w:rPr>
        <w:t>implementation of the Roadmap and provision of additional services for vulnerable families.</w:t>
      </w:r>
    </w:p>
    <w:p w:rsidR="00226878" w:rsidRPr="00B82CFB" w:rsidRDefault="00226878" w:rsidP="00226878">
      <w:pPr>
        <w:pStyle w:val="ARbody"/>
        <w:rPr>
          <w:i/>
          <w:lang w:eastAsia="en-AU"/>
        </w:rPr>
      </w:pPr>
      <w:r>
        <w:rPr>
          <w:lang w:eastAsia="en-AU"/>
        </w:rPr>
        <w:t xml:space="preserve">This builds on existing investment and focus on action across the three reform directions outlined in </w:t>
      </w:r>
      <w:r>
        <w:rPr>
          <w:i/>
          <w:lang w:eastAsia="en-AU"/>
        </w:rPr>
        <w:t>Roadmap.</w:t>
      </w:r>
    </w:p>
    <w:p w:rsidR="00226878" w:rsidRPr="009954B6" w:rsidRDefault="00226878" w:rsidP="00226878">
      <w:pPr>
        <w:pStyle w:val="DHHSbody"/>
        <w:rPr>
          <w:sz w:val="20"/>
        </w:rPr>
      </w:pPr>
      <w:r>
        <w:rPr>
          <w:sz w:val="20"/>
        </w:rPr>
        <w:t>A</w:t>
      </w:r>
      <w:r w:rsidRPr="009954B6">
        <w:rPr>
          <w:sz w:val="20"/>
        </w:rPr>
        <w:t>chievements to date include:</w:t>
      </w:r>
    </w:p>
    <w:p w:rsidR="00226878" w:rsidRPr="009954B6" w:rsidRDefault="00226878" w:rsidP="00226878">
      <w:pPr>
        <w:pStyle w:val="ARbullet1"/>
        <w:rPr>
          <w:lang w:eastAsia="en-AU"/>
        </w:rPr>
      </w:pPr>
      <w:r>
        <w:rPr>
          <w:lang w:eastAsia="en-AU"/>
        </w:rPr>
        <w:t>w</w:t>
      </w:r>
      <w:r w:rsidRPr="009954B6">
        <w:rPr>
          <w:lang w:eastAsia="en-AU"/>
        </w:rPr>
        <w:t xml:space="preserve">ork to support the first authorisations under Section 18 of the </w:t>
      </w:r>
      <w:r w:rsidRPr="007223C8">
        <w:rPr>
          <w:rStyle w:val="Emphasis"/>
        </w:rPr>
        <w:t>Children, Youth and Families Act 2005</w:t>
      </w:r>
    </w:p>
    <w:p w:rsidR="00226878" w:rsidRPr="009954B6" w:rsidRDefault="00226878" w:rsidP="00226878">
      <w:pPr>
        <w:pStyle w:val="ARbullet1"/>
        <w:rPr>
          <w:lang w:eastAsia="en-AU"/>
        </w:rPr>
      </w:pPr>
      <w:r>
        <w:rPr>
          <w:lang w:eastAsia="en-AU"/>
        </w:rPr>
        <w:t xml:space="preserve">expansion of </w:t>
      </w:r>
      <w:r w:rsidRPr="009954B6">
        <w:rPr>
          <w:lang w:eastAsia="en-AU"/>
        </w:rPr>
        <w:t>Healthy Mothers, Healthy Babies from nine to 1</w:t>
      </w:r>
      <w:r>
        <w:rPr>
          <w:lang w:eastAsia="en-AU"/>
        </w:rPr>
        <w:t>8 sites</w:t>
      </w:r>
    </w:p>
    <w:p w:rsidR="00226878" w:rsidRPr="009954B6" w:rsidRDefault="00226878" w:rsidP="00226878">
      <w:pPr>
        <w:pStyle w:val="ARbullet1"/>
        <w:rPr>
          <w:lang w:eastAsia="en-AU"/>
        </w:rPr>
      </w:pPr>
      <w:proofErr w:type="spellStart"/>
      <w:r>
        <w:rPr>
          <w:lang w:eastAsia="en-AU"/>
        </w:rPr>
        <w:t>s</w:t>
      </w:r>
      <w:r w:rsidRPr="009954B6">
        <w:rPr>
          <w:lang w:eastAsia="en-AU"/>
        </w:rPr>
        <w:t>tatewide</w:t>
      </w:r>
      <w:proofErr w:type="spellEnd"/>
      <w:r w:rsidRPr="009954B6">
        <w:rPr>
          <w:lang w:eastAsia="en-AU"/>
        </w:rPr>
        <w:t xml:space="preserve"> expansion of the Cradle to Kinder program</w:t>
      </w:r>
      <w:r>
        <w:rPr>
          <w:lang w:eastAsia="en-AU"/>
        </w:rPr>
        <w:t>,</w:t>
      </w:r>
      <w:r w:rsidRPr="009954B6">
        <w:rPr>
          <w:lang w:eastAsia="en-AU"/>
        </w:rPr>
        <w:t xml:space="preserve"> which includes expanding the Aboriginal Cradle to Kinder program from t</w:t>
      </w:r>
      <w:r>
        <w:rPr>
          <w:lang w:eastAsia="en-AU"/>
        </w:rPr>
        <w:t>wo to 10 sites across Victoria</w:t>
      </w:r>
    </w:p>
    <w:p w:rsidR="00226878" w:rsidRPr="009954B6" w:rsidRDefault="00226878" w:rsidP="00226878">
      <w:pPr>
        <w:pStyle w:val="ARbullet1"/>
        <w:rPr>
          <w:lang w:eastAsia="en-AU"/>
        </w:rPr>
      </w:pPr>
      <w:r>
        <w:rPr>
          <w:lang w:eastAsia="en-AU"/>
        </w:rPr>
        <w:t>d</w:t>
      </w:r>
      <w:r w:rsidRPr="009954B6">
        <w:rPr>
          <w:lang w:eastAsia="en-AU"/>
        </w:rPr>
        <w:t>esigning 10 new innovative service models for children and young people in, or at risk of entering, Out of Home Care</w:t>
      </w:r>
    </w:p>
    <w:p w:rsidR="00226878" w:rsidRPr="009954B6" w:rsidRDefault="00226878" w:rsidP="00226878">
      <w:pPr>
        <w:pStyle w:val="ARbullet1"/>
        <w:rPr>
          <w:lang w:eastAsia="en-AU"/>
        </w:rPr>
      </w:pPr>
      <w:r w:rsidRPr="009954B6">
        <w:rPr>
          <w:lang w:eastAsia="en-AU"/>
        </w:rPr>
        <w:t>development of the Intensive Support Service aimed at young people in residential care who have complex t</w:t>
      </w:r>
      <w:r>
        <w:rPr>
          <w:lang w:eastAsia="en-AU"/>
        </w:rPr>
        <w:t>rauma and mental health issues</w:t>
      </w:r>
    </w:p>
    <w:p w:rsidR="00226878" w:rsidRPr="009954B6" w:rsidRDefault="00226878" w:rsidP="00226878">
      <w:pPr>
        <w:pStyle w:val="ARbullet1"/>
        <w:rPr>
          <w:lang w:eastAsia="en-AU"/>
        </w:rPr>
      </w:pPr>
      <w:r>
        <w:rPr>
          <w:lang w:eastAsia="en-AU"/>
        </w:rPr>
        <w:t>t</w:t>
      </w:r>
      <w:r w:rsidRPr="009954B6">
        <w:rPr>
          <w:lang w:eastAsia="en-AU"/>
        </w:rPr>
        <w:t xml:space="preserve">rial of a new model of </w:t>
      </w:r>
      <w:r>
        <w:rPr>
          <w:lang w:eastAsia="en-AU"/>
        </w:rPr>
        <w:t xml:space="preserve">professionalised </w:t>
      </w:r>
      <w:r w:rsidRPr="009954B6">
        <w:rPr>
          <w:lang w:eastAsia="en-AU"/>
        </w:rPr>
        <w:t>foster care with the potential to transform the way vulnerable children and young people are supported.</w:t>
      </w:r>
    </w:p>
    <w:p w:rsidR="0092299C" w:rsidRPr="00DD1857" w:rsidRDefault="0092299C" w:rsidP="0092299C">
      <w:pPr>
        <w:pStyle w:val="Heading4"/>
        <w:rPr>
          <w:b w:val="0"/>
          <w:i/>
        </w:rPr>
      </w:pPr>
      <w:r w:rsidRPr="00DD1857">
        <w:rPr>
          <w:b w:val="0"/>
          <w:i/>
        </w:rPr>
        <w:t>Child protection recruitment</w:t>
      </w:r>
    </w:p>
    <w:p w:rsidR="00AA035A" w:rsidRDefault="0092299C" w:rsidP="0092299C">
      <w:pPr>
        <w:pStyle w:val="ARbody"/>
      </w:pPr>
      <w:r>
        <w:t xml:space="preserve">The </w:t>
      </w:r>
      <w:r w:rsidRPr="00F63571">
        <w:t xml:space="preserve">2016–17 </w:t>
      </w:r>
      <w:r w:rsidR="00152A4D">
        <w:t>Victorian</w:t>
      </w:r>
      <w:r w:rsidR="00152A4D" w:rsidRPr="00F63571">
        <w:t xml:space="preserve"> </w:t>
      </w:r>
      <w:r w:rsidRPr="00F63571">
        <w:t>Budget provided a further $3.4 million</w:t>
      </w:r>
      <w:r>
        <w:t xml:space="preserve"> funding for child protection workers, building on the 2015–16 funding provided for 148 child protection practitioners</w:t>
      </w:r>
      <w:r w:rsidRPr="00F63571">
        <w:t>. This include</w:t>
      </w:r>
      <w:r>
        <w:t>d</w:t>
      </w:r>
      <w:r w:rsidRPr="00F63571">
        <w:t xml:space="preserve"> positions to support case planning and allocations, provide</w:t>
      </w:r>
      <w:r>
        <w:t xml:space="preserve"> </w:t>
      </w:r>
      <w:r w:rsidRPr="00F63571">
        <w:t xml:space="preserve">enhancement to the department’s interface with other child protection jurisdictions, and funding to support authorisation of an approved Aboriginal </w:t>
      </w:r>
      <w:r w:rsidR="00806AA6">
        <w:t>community-controlled</w:t>
      </w:r>
      <w:r w:rsidRPr="00F63571">
        <w:t xml:space="preserve"> organisation to progress self-determination.</w:t>
      </w:r>
    </w:p>
    <w:p w:rsidR="00AA035A" w:rsidRDefault="0092299C" w:rsidP="0092299C">
      <w:pPr>
        <w:pStyle w:val="ARbody"/>
      </w:pPr>
      <w:r w:rsidRPr="00F63571">
        <w:lastRenderedPageBreak/>
        <w:t xml:space="preserve">These additional positions </w:t>
      </w:r>
      <w:r>
        <w:t xml:space="preserve">have </w:t>
      </w:r>
      <w:r w:rsidRPr="00F63571">
        <w:t>increase</w:t>
      </w:r>
      <w:r>
        <w:t>d</w:t>
      </w:r>
      <w:r w:rsidRPr="00F63571">
        <w:t xml:space="preserve"> case allocation capacity, with a focus on those </w:t>
      </w:r>
      <w:r>
        <w:t xml:space="preserve">children </w:t>
      </w:r>
      <w:r w:rsidRPr="00F63571">
        <w:t>most at risk and in need of support. A comprehensive attraction, recruitment and retention strategy</w:t>
      </w:r>
      <w:r>
        <w:t>,</w:t>
      </w:r>
      <w:r w:rsidRPr="00F63571">
        <w:t xml:space="preserve"> </w:t>
      </w:r>
      <w:r w:rsidR="00152A4D">
        <w:t>which</w:t>
      </w:r>
      <w:r w:rsidR="00152A4D" w:rsidRPr="00F63571">
        <w:t xml:space="preserve"> </w:t>
      </w:r>
      <w:r w:rsidRPr="00F63571">
        <w:t>commenced in May 2015</w:t>
      </w:r>
      <w:r>
        <w:t>,</w:t>
      </w:r>
      <w:r w:rsidRPr="00F63571">
        <w:t xml:space="preserve"> continues to provide a steady pipeline of suitable candidates.</w:t>
      </w:r>
    </w:p>
    <w:p w:rsidR="0092299C" w:rsidRPr="00F63571" w:rsidRDefault="0092299C" w:rsidP="0092299C">
      <w:pPr>
        <w:pStyle w:val="Heading5"/>
      </w:pPr>
      <w:r w:rsidRPr="00F63571">
        <w:t xml:space="preserve">Child FIRST and </w:t>
      </w:r>
      <w:r>
        <w:t>f</w:t>
      </w:r>
      <w:r w:rsidRPr="00F63571">
        <w:t xml:space="preserve">amily </w:t>
      </w:r>
      <w:r>
        <w:t>s</w:t>
      </w:r>
      <w:r w:rsidRPr="00F63571">
        <w:t>ervices</w:t>
      </w:r>
    </w:p>
    <w:p w:rsidR="00AA035A" w:rsidRDefault="0092299C" w:rsidP="0092299C">
      <w:pPr>
        <w:pStyle w:val="ARbody"/>
      </w:pPr>
      <w:r w:rsidRPr="00F63571">
        <w:t xml:space="preserve">Child FIRST assessments and interventions </w:t>
      </w:r>
      <w:r>
        <w:t>have</w:t>
      </w:r>
      <w:r w:rsidR="00304546">
        <w:t> </w:t>
      </w:r>
      <w:r>
        <w:t>exceeded</w:t>
      </w:r>
      <w:r w:rsidRPr="00F63571">
        <w:t xml:space="preserve"> the target</w:t>
      </w:r>
      <w:r>
        <w:t xml:space="preserve"> of 11,931</w:t>
      </w:r>
      <w:r w:rsidRPr="00F63571">
        <w:t>, reflecting continuing high demand for assistance.</w:t>
      </w:r>
    </w:p>
    <w:p w:rsidR="0092299C" w:rsidRPr="00F63571" w:rsidRDefault="0092299C" w:rsidP="0092299C">
      <w:pPr>
        <w:pStyle w:val="ARbody"/>
      </w:pPr>
      <w:r w:rsidRPr="00F63571">
        <w:t xml:space="preserve">In response to this demand, the 2016–17 </w:t>
      </w:r>
      <w:r w:rsidR="00152A4D">
        <w:t>Victorian</w:t>
      </w:r>
      <w:r w:rsidR="00152A4D" w:rsidRPr="00F63571">
        <w:t xml:space="preserve"> </w:t>
      </w:r>
      <w:r w:rsidRPr="00F63571">
        <w:t xml:space="preserve">Budget provided an additional $5.6 million for 12 months to strengthen Child FIRST and Family Services. This </w:t>
      </w:r>
      <w:r>
        <w:t xml:space="preserve">funded an </w:t>
      </w:r>
      <w:r w:rsidRPr="00F63571">
        <w:t>additional 1,900 episodes of support for families during 2016–17.</w:t>
      </w:r>
    </w:p>
    <w:p w:rsidR="0092299C" w:rsidRPr="00F63571" w:rsidRDefault="0092299C" w:rsidP="0092299C">
      <w:pPr>
        <w:pStyle w:val="Heading4"/>
      </w:pPr>
      <w:r>
        <w:t>Out-of-home care</w:t>
      </w:r>
    </w:p>
    <w:p w:rsidR="0092299C" w:rsidRDefault="0092299C" w:rsidP="0092299C">
      <w:pPr>
        <w:pStyle w:val="ARbody"/>
      </w:pPr>
      <w:r w:rsidRPr="00F63571">
        <w:t xml:space="preserve">The 2016–17 </w:t>
      </w:r>
      <w:r w:rsidR="00152A4D">
        <w:t>Victorian</w:t>
      </w:r>
      <w:r w:rsidR="00152A4D" w:rsidRPr="00F63571">
        <w:t xml:space="preserve"> </w:t>
      </w:r>
      <w:r w:rsidRPr="00F63571">
        <w:t xml:space="preserve">Budget provided </w:t>
      </w:r>
      <w:r>
        <w:t xml:space="preserve">funding </w:t>
      </w:r>
      <w:r w:rsidRPr="00F63571">
        <w:t xml:space="preserve">for an increase in </w:t>
      </w:r>
      <w:r>
        <w:t>places in</w:t>
      </w:r>
      <w:r w:rsidRPr="00F63571">
        <w:t xml:space="preserve"> out-of-home care services, improved supports and training for carers, and boosts to support increased overnight safety and supervision in residential care. These initiatives improve the safety and wellbeing of children, young people and families. </w:t>
      </w:r>
      <w:r>
        <w:t>They include:</w:t>
      </w:r>
    </w:p>
    <w:p w:rsidR="0092299C" w:rsidRPr="007A6A35" w:rsidRDefault="0092299C" w:rsidP="0092299C">
      <w:pPr>
        <w:pStyle w:val="ARbullet1"/>
        <w:rPr>
          <w:b/>
          <w:bCs/>
        </w:rPr>
      </w:pPr>
      <w:r>
        <w:t>f</w:t>
      </w:r>
      <w:r w:rsidRPr="007A6A35">
        <w:t>unding of $35.9</w:t>
      </w:r>
      <w:r w:rsidR="00572729">
        <w:t xml:space="preserve"> </w:t>
      </w:r>
      <w:r w:rsidRPr="007A6A35">
        <w:t>m</w:t>
      </w:r>
      <w:r w:rsidR="00572729">
        <w:t>illion</w:t>
      </w:r>
      <w:r w:rsidRPr="007A6A35">
        <w:t xml:space="preserve"> to transition all residential care intermediate (RP2) targets </w:t>
      </w:r>
      <w:r>
        <w:t>to the</w:t>
      </w:r>
      <w:r w:rsidRPr="007A6A35">
        <w:t xml:space="preserve"> complex residential care (RP3)</w:t>
      </w:r>
      <w:r>
        <w:t xml:space="preserve"> level of support and</w:t>
      </w:r>
      <w:r w:rsidRPr="007A6A35">
        <w:t xml:space="preserve"> strengthen ov</w:t>
      </w:r>
      <w:r w:rsidR="00304546">
        <w:t>ernight safety and </w:t>
      </w:r>
      <w:r w:rsidRPr="007A6A35">
        <w:t xml:space="preserve">supervision requirements </w:t>
      </w:r>
      <w:proofErr w:type="spellStart"/>
      <w:r w:rsidRPr="007A6A35">
        <w:t>statewide</w:t>
      </w:r>
      <w:proofErr w:type="spellEnd"/>
      <w:r w:rsidRPr="007A6A35">
        <w:t xml:space="preserve">. Improvements include a stand-up staff member in all four bed homes and an overnight safety plan </w:t>
      </w:r>
      <w:r w:rsidR="00304546">
        <w:t>for every residential care </w:t>
      </w:r>
      <w:r>
        <w:t>home</w:t>
      </w:r>
    </w:p>
    <w:p w:rsidR="00AA035A" w:rsidRDefault="0092299C" w:rsidP="0092299C">
      <w:pPr>
        <w:pStyle w:val="ARbullet1"/>
      </w:pPr>
      <w:r w:rsidRPr="007A6A35">
        <w:t>$8.7 million for flexible supports for foster and formal kinship carers, in addition to the care</w:t>
      </w:r>
      <w:r w:rsidR="00572729">
        <w:t>r’s</w:t>
      </w:r>
      <w:r w:rsidRPr="007A6A35">
        <w:t xml:space="preserve"> allowance</w:t>
      </w:r>
    </w:p>
    <w:p w:rsidR="0092299C" w:rsidRPr="007A6A35" w:rsidRDefault="0092299C" w:rsidP="0092299C">
      <w:pPr>
        <w:pStyle w:val="ARbullet1"/>
      </w:pPr>
      <w:r>
        <w:t>a</w:t>
      </w:r>
      <w:r w:rsidRPr="007A6A35">
        <w:t xml:space="preserve">n additional $2.12 million for a combined foster and kinship carer training strategy that launched as the Carer </w:t>
      </w:r>
      <w:proofErr w:type="spellStart"/>
      <w:r w:rsidR="00152A4D" w:rsidRPr="007A6A35">
        <w:t>KaF</w:t>
      </w:r>
      <w:r w:rsidR="00152A4D" w:rsidRPr="00800469">
        <w:t>É</w:t>
      </w:r>
      <w:proofErr w:type="spellEnd"/>
      <w:r w:rsidRPr="007A6A35">
        <w:t xml:space="preserve">: Kinship and Foster </w:t>
      </w:r>
      <w:r w:rsidR="00152A4D">
        <w:t>C</w:t>
      </w:r>
      <w:r w:rsidRPr="007A6A35">
        <w:t xml:space="preserve">are Education on 21 April 2017 </w:t>
      </w:r>
      <w:r w:rsidR="00304546">
        <w:t>and </w:t>
      </w:r>
      <w:r w:rsidRPr="007A6A35">
        <w:t>includes a centralised training calendar, fa</w:t>
      </w:r>
      <w:r>
        <w:t>ce-to-face and online training</w:t>
      </w:r>
    </w:p>
    <w:p w:rsidR="0092299C" w:rsidRPr="007A6A35" w:rsidRDefault="0092299C" w:rsidP="0092299C">
      <w:pPr>
        <w:pStyle w:val="ARbullet1"/>
      </w:pPr>
      <w:r w:rsidRPr="007A6A35">
        <w:t>$7.1 million f</w:t>
      </w:r>
      <w:r w:rsidR="00304546">
        <w:t>or flexible funding for new and </w:t>
      </w:r>
      <w:r w:rsidRPr="007A6A35">
        <w:t>existing permanent carers and</w:t>
      </w:r>
      <w:r>
        <w:t xml:space="preserve"> a new permanent carer helpline</w:t>
      </w:r>
    </w:p>
    <w:p w:rsidR="0092299C" w:rsidRDefault="0092299C" w:rsidP="006F1F77">
      <w:pPr>
        <w:pStyle w:val="ARbullet1"/>
      </w:pPr>
      <w:r w:rsidRPr="007A6A35">
        <w:t xml:space="preserve">$1.15 million for service enhancements to improve the experience of kinship carers, including the development of new tools and resources, such as a new </w:t>
      </w:r>
      <w:r w:rsidRPr="007A6A35">
        <w:rPr>
          <w:i/>
          <w:iCs/>
        </w:rPr>
        <w:t xml:space="preserve">Kinship Care Manual </w:t>
      </w:r>
      <w:r w:rsidRPr="007A6A35">
        <w:t xml:space="preserve">and kinship carer-specific podcasts. </w:t>
      </w:r>
    </w:p>
    <w:tbl>
      <w:tblPr>
        <w:tblW w:w="4593"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593"/>
      </w:tblGrid>
      <w:tr w:rsidR="009E2DDA" w:rsidRPr="00F63571" w:rsidTr="004A5E98">
        <w:tc>
          <w:tcPr>
            <w:tcW w:w="4593" w:type="dxa"/>
            <w:tcBorders>
              <w:top w:val="single" w:sz="4" w:space="0" w:color="004C97"/>
              <w:left w:val="single" w:sz="4" w:space="0" w:color="004C97"/>
              <w:bottom w:val="single" w:sz="4" w:space="0" w:color="004C97"/>
              <w:right w:val="single" w:sz="4" w:space="0" w:color="004C97"/>
            </w:tcBorders>
            <w:shd w:val="clear" w:color="auto" w:fill="auto"/>
          </w:tcPr>
          <w:p w:rsidR="009E2DDA" w:rsidRPr="009E2DDA" w:rsidRDefault="009E2DDA" w:rsidP="009E2DDA">
            <w:pPr>
              <w:pStyle w:val="ARcasestudysubhead"/>
              <w:rPr>
                <w:lang w:val="en-AU"/>
              </w:rPr>
            </w:pPr>
            <w:r w:rsidRPr="009E2DDA">
              <w:rPr>
                <w:lang w:val="en-AU"/>
              </w:rPr>
              <w:lastRenderedPageBreak/>
              <w:t>Treatment Foster Care Oregon model</w:t>
            </w:r>
          </w:p>
          <w:p w:rsidR="009E2DDA" w:rsidRPr="00102E49" w:rsidRDefault="00102E49" w:rsidP="009E2DDA">
            <w:pPr>
              <w:pStyle w:val="ARcasestudysubhead"/>
              <w:rPr>
                <w:b w:val="0"/>
                <w:lang w:val="en-AU"/>
              </w:rPr>
            </w:pPr>
            <w:r>
              <w:rPr>
                <w:b w:val="0"/>
                <w:lang w:val="en-AU"/>
              </w:rPr>
              <w:t>Jo* is a 13-year-</w:t>
            </w:r>
            <w:r w:rsidR="009E2DDA" w:rsidRPr="00102E49">
              <w:rPr>
                <w:b w:val="0"/>
                <w:lang w:val="en-AU"/>
              </w:rPr>
              <w:t>old. She has been in residential car</w:t>
            </w:r>
            <w:r>
              <w:rPr>
                <w:b w:val="0"/>
                <w:lang w:val="en-AU"/>
              </w:rPr>
              <w:t>e for over 12 months and during </w:t>
            </w:r>
            <w:r w:rsidR="009E2DDA" w:rsidRPr="00102E49">
              <w:rPr>
                <w:b w:val="0"/>
                <w:lang w:val="en-AU"/>
              </w:rPr>
              <w:t>this time she has moved placements a number of times as she exhibite</w:t>
            </w:r>
            <w:r w:rsidR="00A66EB5">
              <w:rPr>
                <w:b w:val="0"/>
                <w:lang w:val="en-AU"/>
              </w:rPr>
              <w:t>d challenging behaviours. While</w:t>
            </w:r>
            <w:r w:rsidR="009E2DDA" w:rsidRPr="00102E49">
              <w:rPr>
                <w:b w:val="0"/>
                <w:lang w:val="en-AU"/>
              </w:rPr>
              <w:t xml:space="preserve"> in residential care, Jo was registered at an alternative school where her attendance was poor.</w:t>
            </w:r>
          </w:p>
          <w:p w:rsidR="009E2DDA" w:rsidRPr="00102E49" w:rsidRDefault="009E2DDA" w:rsidP="009E2DDA">
            <w:pPr>
              <w:pStyle w:val="ARcasestudysubhead"/>
              <w:rPr>
                <w:b w:val="0"/>
                <w:lang w:val="en-AU"/>
              </w:rPr>
            </w:pPr>
            <w:r w:rsidRPr="00102E49">
              <w:rPr>
                <w:b w:val="0"/>
                <w:lang w:val="en-AU"/>
              </w:rPr>
              <w:t>Four months ago Jo was referred to the Treatment Foster Care Oregon model – a ground-breaking program that delivers intensive support to the child, foster carer and birth family. Jo now has the support of her foster carers, has regular respite carers, and engages positively. Over this time she has flourished. Jo is enrolled and attending a local mainstream</w:t>
            </w:r>
            <w:r w:rsidR="00A66EB5">
              <w:rPr>
                <w:b w:val="0"/>
                <w:lang w:val="en-AU"/>
              </w:rPr>
              <w:t xml:space="preserve"> school on a full-</w:t>
            </w:r>
            <w:r w:rsidRPr="00102E49">
              <w:rPr>
                <w:b w:val="0"/>
                <w:lang w:val="en-AU"/>
              </w:rPr>
              <w:t>time basis. She has new friends and is a member of a local soccer team.</w:t>
            </w:r>
          </w:p>
          <w:p w:rsidR="009E2DDA" w:rsidRPr="00F63571" w:rsidRDefault="009E2DDA" w:rsidP="009E2DDA">
            <w:pPr>
              <w:pStyle w:val="ARcasestudytext"/>
            </w:pPr>
            <w:r w:rsidRPr="009E2DDA">
              <w:t>*</w:t>
            </w:r>
            <w:r w:rsidR="00102E49">
              <w:t xml:space="preserve"> </w:t>
            </w:r>
            <w:r w:rsidRPr="009E2DDA">
              <w:t>Name has been changed</w:t>
            </w:r>
          </w:p>
        </w:tc>
      </w:tr>
    </w:tbl>
    <w:p w:rsidR="0092299C" w:rsidRPr="00DD1857" w:rsidRDefault="0092299C" w:rsidP="0092299C">
      <w:pPr>
        <w:pStyle w:val="Heading4"/>
      </w:pPr>
      <w:r w:rsidRPr="00DD1857">
        <w:t>Aboriginal children</w:t>
      </w:r>
    </w:p>
    <w:p w:rsidR="00AA035A" w:rsidRDefault="0092299C" w:rsidP="001D0A73">
      <w:pPr>
        <w:pStyle w:val="ARbody"/>
      </w:pPr>
      <w:r w:rsidRPr="00F63571">
        <w:t xml:space="preserve">Building on the work of Taskforce 1000, a collaborative project between the department and the Commission for Children and Young People that reviewed approximately 1,000 Aboriginal children and young people in out-of-home care, the </w:t>
      </w:r>
      <w:r>
        <w:t xml:space="preserve">department </w:t>
      </w:r>
      <w:r w:rsidRPr="00F63571">
        <w:t>has continued to focus on initiatives to improve outcomes for Aboriginal children and young people.</w:t>
      </w:r>
    </w:p>
    <w:p w:rsidR="0092299C" w:rsidRPr="00F63571" w:rsidRDefault="001D0A73" w:rsidP="001D0A73">
      <w:pPr>
        <w:pStyle w:val="ARbody"/>
      </w:pPr>
      <w:r w:rsidRPr="005B4BDD">
        <w:t>The department continued to support the convening of the A</w:t>
      </w:r>
      <w:r>
        <w:t>boriginal c</w:t>
      </w:r>
      <w:r w:rsidRPr="005B4BDD">
        <w:t xml:space="preserve">hildren’s forum. </w:t>
      </w:r>
      <w:r>
        <w:br/>
      </w:r>
      <w:r w:rsidRPr="005B4BDD">
        <w:t>This forum is held quarterly,</w:t>
      </w:r>
      <w:r>
        <w:t xml:space="preserve"> and</w:t>
      </w:r>
      <w:r w:rsidRPr="005B4BDD">
        <w:t xml:space="preserve"> is co-chaired by the Minister for Children and Families and a local A</w:t>
      </w:r>
      <w:r>
        <w:t xml:space="preserve">boriginal community-controlled organisation. </w:t>
      </w:r>
      <w:r>
        <w:br/>
        <w:t>It</w:t>
      </w:r>
      <w:r w:rsidRPr="005B4BDD">
        <w:t xml:space="preserve"> is attended by government</w:t>
      </w:r>
      <w:r>
        <w:t xml:space="preserve"> representatives</w:t>
      </w:r>
      <w:r w:rsidRPr="005B4BDD">
        <w:t>, A</w:t>
      </w:r>
      <w:r>
        <w:t xml:space="preserve">boriginal community-controlled organisations </w:t>
      </w:r>
      <w:r w:rsidRPr="005B4BDD">
        <w:t>and sector partners c</w:t>
      </w:r>
      <w:r>
        <w:t>ommitted to addressing the over-</w:t>
      </w:r>
      <w:r w:rsidRPr="005B4BDD">
        <w:t xml:space="preserve">representation of Aboriginal children </w:t>
      </w:r>
      <w:r>
        <w:t>in the child protection system.</w:t>
      </w:r>
    </w:p>
    <w:p w:rsidR="0009632D" w:rsidRDefault="0009632D" w:rsidP="0009632D">
      <w:pPr>
        <w:pStyle w:val="ARbody"/>
      </w:pPr>
      <w:r>
        <w:t xml:space="preserve">As part of the </w:t>
      </w:r>
      <w:r w:rsidR="0092299C" w:rsidRPr="005B4BDD">
        <w:t>$16.48 million package to support Aboriginal children and families, the 2016</w:t>
      </w:r>
      <w:r w:rsidR="00152A4D">
        <w:t>–</w:t>
      </w:r>
      <w:r w:rsidR="0092299C" w:rsidRPr="005B4BDD">
        <w:t xml:space="preserve">17 </w:t>
      </w:r>
      <w:r w:rsidR="00152A4D">
        <w:t xml:space="preserve">Victorian </w:t>
      </w:r>
      <w:r w:rsidR="0092299C" w:rsidRPr="005B4BDD">
        <w:t>Budget provided</w:t>
      </w:r>
      <w:r>
        <w:t>:</w:t>
      </w:r>
    </w:p>
    <w:p w:rsidR="0092299C" w:rsidRDefault="0092299C" w:rsidP="00285CD7">
      <w:pPr>
        <w:pStyle w:val="ARbullet1"/>
      </w:pPr>
      <w:r w:rsidRPr="005B4BDD">
        <w:t>$2</w:t>
      </w:r>
      <w:r>
        <w:t xml:space="preserve">.24 million over two years to </w:t>
      </w:r>
      <w:r w:rsidR="00285CD7">
        <w:t>11</w:t>
      </w:r>
      <w:r w:rsidRPr="005B4BDD">
        <w:t xml:space="preserve"> Aboriginal organisations for Aboriginal foster care recruitment and carer capacity building</w:t>
      </w:r>
    </w:p>
    <w:p w:rsidR="0092299C" w:rsidRDefault="0092299C" w:rsidP="00285CD7">
      <w:pPr>
        <w:pStyle w:val="ARbullet1"/>
      </w:pPr>
      <w:r w:rsidRPr="005B4BDD">
        <w:t>$3.608 million</w:t>
      </w:r>
      <w:r w:rsidR="0009632D">
        <w:t xml:space="preserve"> over two years</w:t>
      </w:r>
      <w:r w:rsidRPr="005B4BDD">
        <w:t xml:space="preserve"> to expand the Aboriginal Child Specialist Advice and Support Service (ACSASS). ACSASS provides consultation to child protection about all significant decisions to ensure a culturally appropriate response</w:t>
      </w:r>
    </w:p>
    <w:p w:rsidR="0092299C" w:rsidRPr="00647772" w:rsidRDefault="0092299C" w:rsidP="00285CD7">
      <w:pPr>
        <w:pStyle w:val="ARbullet1"/>
      </w:pPr>
      <w:r w:rsidRPr="00647772">
        <w:lastRenderedPageBreak/>
        <w:t>$880,000 over two years to the Victorian Aboriginal</w:t>
      </w:r>
      <w:r w:rsidR="00A87306">
        <w:t xml:space="preserve"> Child Care Agency (VACCA), and </w:t>
      </w:r>
      <w:r w:rsidRPr="00647772">
        <w:t xml:space="preserve">$238,000 to the Bendigo and District Aboriginal Community Co-operative </w:t>
      </w:r>
      <w:r w:rsidR="0009632D">
        <w:t xml:space="preserve">to </w:t>
      </w:r>
      <w:r>
        <w:t xml:space="preserve">support the </w:t>
      </w:r>
      <w:r w:rsidR="009D0A68">
        <w:t>Section 18</w:t>
      </w:r>
      <w:r w:rsidR="009D0A68" w:rsidRPr="00647772">
        <w:t xml:space="preserve"> </w:t>
      </w:r>
      <w:r w:rsidRPr="00647772">
        <w:t>implementation</w:t>
      </w:r>
      <w:r w:rsidR="0009632D">
        <w:t>, which enabl</w:t>
      </w:r>
      <w:r w:rsidR="009D0A68">
        <w:t>es the Secretary to authorise the principal officer of an Aboriginal agency to undertake specified functions and powers in relation to a Children’s Court protection order for an Aboriginal child or young person</w:t>
      </w:r>
    </w:p>
    <w:p w:rsidR="00102AA4" w:rsidRDefault="00102AA4" w:rsidP="00102AA4">
      <w:pPr>
        <w:pStyle w:val="ARbullet1"/>
      </w:pPr>
      <w:r w:rsidRPr="005B4BDD">
        <w:t xml:space="preserve">$5.33 million over two years to support cultural planning. </w:t>
      </w:r>
      <w:r>
        <w:t>A</w:t>
      </w:r>
      <w:r w:rsidRPr="005B4BDD">
        <w:t xml:space="preserve"> new model </w:t>
      </w:r>
      <w:r>
        <w:t xml:space="preserve">for cultural planning </w:t>
      </w:r>
      <w:r w:rsidRPr="005B4BDD">
        <w:t xml:space="preserve">includes 18 </w:t>
      </w:r>
      <w:r>
        <w:t>s</w:t>
      </w:r>
      <w:r w:rsidRPr="005B4BDD">
        <w:t xml:space="preserve">enior </w:t>
      </w:r>
      <w:r>
        <w:t>a</w:t>
      </w:r>
      <w:r w:rsidRPr="005B4BDD">
        <w:t xml:space="preserve">dvisors – Aboriginal </w:t>
      </w:r>
      <w:r>
        <w:t>c</w:t>
      </w:r>
      <w:r w:rsidRPr="005B4BDD">
        <w:t xml:space="preserve">ultural </w:t>
      </w:r>
      <w:r>
        <w:t>p</w:t>
      </w:r>
      <w:r w:rsidRPr="005B4BDD">
        <w:t xml:space="preserve">lanners, employed by Aboriginal </w:t>
      </w:r>
      <w:r>
        <w:t>c</w:t>
      </w:r>
      <w:r w:rsidRPr="005B4BDD">
        <w:t>ommunity</w:t>
      </w:r>
      <w:r>
        <w:t>-c</w:t>
      </w:r>
      <w:r w:rsidRPr="005B4BDD">
        <w:t xml:space="preserve">ontrolled </w:t>
      </w:r>
      <w:r>
        <w:t>o</w:t>
      </w:r>
      <w:r w:rsidRPr="005B4BDD">
        <w:t>rganisations across the state</w:t>
      </w:r>
      <w:r>
        <w:t>,</w:t>
      </w:r>
      <w:r w:rsidRPr="005B4BDD">
        <w:t xml:space="preserve"> to work with child protection and care teams, </w:t>
      </w:r>
      <w:r>
        <w:t>and</w:t>
      </w:r>
      <w:r w:rsidRPr="005B4BDD">
        <w:t xml:space="preserve"> develop and implement meaningful cultural plans. The model also includes funding for a </w:t>
      </w:r>
      <w:proofErr w:type="spellStart"/>
      <w:r w:rsidRPr="005B4BDD">
        <w:t>statewide</w:t>
      </w:r>
      <w:proofErr w:type="spellEnd"/>
      <w:r w:rsidRPr="005B4BDD">
        <w:t xml:space="preserve"> co-ordinator, a cultural information portal and portal administrator to enable the sharing of information between professionals, carers, children and young people to assist with cultural planning and support their conn</w:t>
      </w:r>
      <w:r w:rsidR="009A6CF6">
        <w:t>ection to community and culture</w:t>
      </w:r>
    </w:p>
    <w:p w:rsidR="00102AA4" w:rsidRPr="00F63571" w:rsidRDefault="00102AA4" w:rsidP="00102AA4">
      <w:pPr>
        <w:pStyle w:val="ARbullet1"/>
      </w:pPr>
      <w:r>
        <w:t>$3.</w:t>
      </w:r>
      <w:r w:rsidR="006C45E2">
        <w:t>0</w:t>
      </w:r>
      <w:r>
        <w:t xml:space="preserve">2 million over two years </w:t>
      </w:r>
      <w:r w:rsidRPr="00F63571">
        <w:t xml:space="preserve">for </w:t>
      </w:r>
      <w:r>
        <w:t>88</w:t>
      </w:r>
      <w:r w:rsidRPr="00F63571">
        <w:t xml:space="preserve"> additional case-contracted kinship care </w:t>
      </w:r>
      <w:r>
        <w:t>places</w:t>
      </w:r>
      <w:r w:rsidRPr="00F63571">
        <w:t>.</w:t>
      </w:r>
    </w:p>
    <w:p w:rsidR="0092299C" w:rsidRPr="00F63571" w:rsidRDefault="0092299C" w:rsidP="00AA3E8C">
      <w:pPr>
        <w:pStyle w:val="ARbodyafterbullets"/>
      </w:pPr>
      <w:r w:rsidRPr="00647772">
        <w:t xml:space="preserve">Alongside this work, the department initiated </w:t>
      </w:r>
      <w:r w:rsidR="005D2F3F">
        <w:br/>
      </w:r>
      <w:r w:rsidRPr="00647772">
        <w:t xml:space="preserve">co-designed approaches with Aboriginal </w:t>
      </w:r>
      <w:r w:rsidR="00806AA6">
        <w:t>community-controlled</w:t>
      </w:r>
      <w:r w:rsidRPr="00647772">
        <w:t xml:space="preserve"> organisations to enable </w:t>
      </w:r>
      <w:r w:rsidR="00AA3E8C">
        <w:t>the </w:t>
      </w:r>
      <w:r w:rsidRPr="00647772">
        <w:t>transfer</w:t>
      </w:r>
      <w:r w:rsidR="0009632D">
        <w:t xml:space="preserve"> to them</w:t>
      </w:r>
      <w:r w:rsidRPr="00647772">
        <w:t xml:space="preserve"> of case management and care of Aborigin</w:t>
      </w:r>
      <w:r w:rsidR="00AA3E8C">
        <w:t>al children and young people in </w:t>
      </w:r>
      <w:r w:rsidRPr="00647772">
        <w:t>out-of-home care. A new team has been established to support that transfer</w:t>
      </w:r>
      <w:r w:rsidR="00102AA4">
        <w:t>.</w:t>
      </w:r>
    </w:p>
    <w:p w:rsidR="00AA035A" w:rsidRDefault="0092299C" w:rsidP="0092299C">
      <w:pPr>
        <w:pStyle w:val="Heading4"/>
        <w:rPr>
          <w:lang w:eastAsia="en-AU"/>
        </w:rPr>
      </w:pPr>
      <w:r w:rsidRPr="00F63571">
        <w:rPr>
          <w:lang w:eastAsia="en-AU"/>
        </w:rPr>
        <w:t>Housing assistance</w:t>
      </w:r>
    </w:p>
    <w:p w:rsidR="0092299C" w:rsidRPr="00F63571" w:rsidRDefault="0092299C" w:rsidP="0092299C">
      <w:pPr>
        <w:pStyle w:val="ARbody"/>
      </w:pPr>
      <w:r w:rsidRPr="00F63571">
        <w:t>The Victorian Housing Register was</w:t>
      </w:r>
      <w:r>
        <w:t xml:space="preserve"> launched</w:t>
      </w:r>
      <w:r w:rsidRPr="00F63571">
        <w:t xml:space="preserve"> in September 2016 and </w:t>
      </w:r>
      <w:r>
        <w:t xml:space="preserve">makes applying for social housing in Victoria easier, by </w:t>
      </w:r>
      <w:r w:rsidRPr="00F63571">
        <w:t>provid</w:t>
      </w:r>
      <w:r>
        <w:t xml:space="preserve">ing </w:t>
      </w:r>
      <w:r w:rsidRPr="00F63571">
        <w:t>a single point of entry</w:t>
      </w:r>
      <w:r>
        <w:t>.</w:t>
      </w:r>
    </w:p>
    <w:p w:rsidR="0092299C" w:rsidRDefault="0092299C" w:rsidP="0092299C">
      <w:pPr>
        <w:pStyle w:val="ARbody"/>
      </w:pPr>
      <w:r>
        <w:t>In 2016</w:t>
      </w:r>
      <w:r w:rsidRPr="00F63571">
        <w:t>–1</w:t>
      </w:r>
      <w:r>
        <w:t>7</w:t>
      </w:r>
      <w:r w:rsidR="00152A4D">
        <w:t>,</w:t>
      </w:r>
      <w:r>
        <w:t xml:space="preserve"> u</w:t>
      </w:r>
      <w:r w:rsidRPr="00F63571">
        <w:t>pgrades to public dwellings</w:t>
      </w:r>
      <w:r>
        <w:t xml:space="preserve"> </w:t>
      </w:r>
      <w:r w:rsidRPr="00F63571">
        <w:t>exceed</w:t>
      </w:r>
      <w:r>
        <w:t>ed</w:t>
      </w:r>
      <w:r w:rsidRPr="00F63571">
        <w:t xml:space="preserve"> the original target of 2,298</w:t>
      </w:r>
      <w:r>
        <w:t>,</w:t>
      </w:r>
      <w:r w:rsidRPr="00F63571">
        <w:t xml:space="preserve"> with 2,301 upgr</w:t>
      </w:r>
      <w:r w:rsidR="00AA3E8C">
        <w:t>ades delivered by 30 June 2017.</w:t>
      </w:r>
    </w:p>
    <w:p w:rsidR="00AA035A" w:rsidRDefault="0092299C" w:rsidP="0092299C">
      <w:pPr>
        <w:pStyle w:val="ARbody"/>
      </w:pPr>
      <w:r w:rsidRPr="00F63571">
        <w:t xml:space="preserve">The </w:t>
      </w:r>
      <w:r>
        <w:t xml:space="preserve">social housing </w:t>
      </w:r>
      <w:r w:rsidRPr="00F63571">
        <w:t>acquisition program</w:t>
      </w:r>
      <w:r>
        <w:t xml:space="preserve"> delivers new dwellings to increase the available housing stock within the social housing portfolio. It delivered</w:t>
      </w:r>
      <w:r w:rsidRPr="00F63571">
        <w:t xml:space="preserve"> </w:t>
      </w:r>
      <w:r w:rsidR="00BA5AE2">
        <w:t>651</w:t>
      </w:r>
      <w:r w:rsidRPr="00F63571">
        <w:t xml:space="preserve"> new homes against an original target of 640 dwellings, which contributes to the total number of social housing dwellings measure.</w:t>
      </w:r>
    </w:p>
    <w:p w:rsidR="00AA035A" w:rsidRDefault="0092299C" w:rsidP="0092299C">
      <w:pPr>
        <w:pStyle w:val="ARbody"/>
      </w:pPr>
      <w:r w:rsidRPr="00F63571">
        <w:t>The total number of</w:t>
      </w:r>
      <w:r w:rsidR="00AA3E8C">
        <w:t xml:space="preserve"> social housing dwellings at 30 </w:t>
      </w:r>
      <w:r w:rsidR="00BA5AE2">
        <w:t>June 2017</w:t>
      </w:r>
      <w:r w:rsidRPr="00F63571">
        <w:t xml:space="preserve"> was </w:t>
      </w:r>
      <w:r w:rsidR="00BA5AE2" w:rsidRPr="00BA5AE2">
        <w:t>86,418</w:t>
      </w:r>
      <w:r w:rsidRPr="00F63571">
        <w:t>, which exceeded the target.</w:t>
      </w:r>
    </w:p>
    <w:p w:rsidR="0092299C" w:rsidRPr="00F63571" w:rsidRDefault="0092299C" w:rsidP="0092299C">
      <w:pPr>
        <w:pStyle w:val="ARbody"/>
      </w:pPr>
      <w:r w:rsidRPr="00F63571">
        <w:lastRenderedPageBreak/>
        <w:t>Tenant satisfaction related to completed urgent maintenance and repair works also exceeded the annual target of 85 per cent</w:t>
      </w:r>
      <w:r>
        <w:t>,</w:t>
      </w:r>
      <w:r w:rsidRPr="00F63571">
        <w:t xml:space="preserve"> with </w:t>
      </w:r>
      <w:r>
        <w:t xml:space="preserve">an </w:t>
      </w:r>
      <w:r w:rsidRPr="00F63571">
        <w:t>88 per cent satisfaction</w:t>
      </w:r>
      <w:r>
        <w:t xml:space="preserve"> rating</w:t>
      </w:r>
      <w:r w:rsidRPr="00F63571">
        <w:t>.</w:t>
      </w:r>
    </w:p>
    <w:p w:rsidR="0092299C" w:rsidRPr="00F63571" w:rsidRDefault="0092299C" w:rsidP="0092299C">
      <w:pPr>
        <w:pStyle w:val="Heading4"/>
        <w:rPr>
          <w:lang w:eastAsia="en-AU"/>
        </w:rPr>
      </w:pPr>
      <w:r w:rsidRPr="00F63571">
        <w:rPr>
          <w:lang w:eastAsia="en-AU"/>
        </w:rPr>
        <w:t>Homelessness</w:t>
      </w:r>
    </w:p>
    <w:p w:rsidR="0092299C" w:rsidRPr="00F63571" w:rsidRDefault="0092299C" w:rsidP="0092299C">
      <w:pPr>
        <w:pStyle w:val="ARbody"/>
        <w:rPr>
          <w:lang w:eastAsia="en-AU"/>
        </w:rPr>
      </w:pPr>
      <w:r w:rsidRPr="00F63571">
        <w:rPr>
          <w:lang w:eastAsia="en-AU"/>
        </w:rPr>
        <w:t>The government has committed $799 million since March 2016 in additional housing and homelessness support, including:</w:t>
      </w:r>
    </w:p>
    <w:p w:rsidR="0092299C" w:rsidRPr="00F63571" w:rsidRDefault="0092299C" w:rsidP="0092299C">
      <w:pPr>
        <w:pStyle w:val="ARbullet1"/>
        <w:rPr>
          <w:lang w:eastAsia="en-AU"/>
        </w:rPr>
      </w:pPr>
      <w:r w:rsidRPr="00F63571">
        <w:rPr>
          <w:lang w:eastAsia="en-AU"/>
        </w:rPr>
        <w:t xml:space="preserve">a $109 million homelessness package to intervene early </w:t>
      </w:r>
      <w:r w:rsidR="00A87306">
        <w:rPr>
          <w:lang w:eastAsia="en-AU"/>
        </w:rPr>
        <w:t>and provide targeted support to </w:t>
      </w:r>
      <w:r w:rsidRPr="00F63571">
        <w:rPr>
          <w:lang w:eastAsia="en-AU"/>
        </w:rPr>
        <w:t>help get people back on their feet</w:t>
      </w:r>
    </w:p>
    <w:p w:rsidR="0092299C" w:rsidRPr="00F63571" w:rsidRDefault="0092299C" w:rsidP="0092299C">
      <w:pPr>
        <w:pStyle w:val="ARbullet1"/>
        <w:rPr>
          <w:lang w:eastAsia="en-AU"/>
        </w:rPr>
      </w:pPr>
      <w:r w:rsidRPr="00F63571">
        <w:rPr>
          <w:lang w:eastAsia="en-AU"/>
        </w:rPr>
        <w:t>a $152 million family violence housing blitz to improve accommodation for women and children escaping family violence</w:t>
      </w:r>
    </w:p>
    <w:p w:rsidR="0092299C" w:rsidRPr="00F63571" w:rsidRDefault="0092299C" w:rsidP="0092299C">
      <w:pPr>
        <w:pStyle w:val="ARbullet1"/>
        <w:rPr>
          <w:lang w:eastAsia="en-AU"/>
        </w:rPr>
      </w:pPr>
      <w:r w:rsidRPr="00F63571">
        <w:rPr>
          <w:lang w:eastAsia="en-AU"/>
        </w:rPr>
        <w:t>$23 million to increase the supply of short-term housing for homeless Victorians</w:t>
      </w:r>
    </w:p>
    <w:p w:rsidR="0092299C" w:rsidRPr="00F63571" w:rsidRDefault="0092299C" w:rsidP="0092299C">
      <w:pPr>
        <w:pStyle w:val="ARbullet1"/>
        <w:rPr>
          <w:lang w:eastAsia="en-AU"/>
        </w:rPr>
      </w:pPr>
      <w:r w:rsidRPr="00F63571">
        <w:rPr>
          <w:lang w:eastAsia="en-AU"/>
        </w:rPr>
        <w:t>$33 million to extend private rental brokerage to improve access to the private rental market for a further two years</w:t>
      </w:r>
    </w:p>
    <w:p w:rsidR="0092299C" w:rsidRPr="00F63571" w:rsidRDefault="0092299C" w:rsidP="006F1F77">
      <w:pPr>
        <w:pStyle w:val="ARbullet1"/>
        <w:rPr>
          <w:lang w:eastAsia="en-AU"/>
        </w:rPr>
      </w:pPr>
      <w:r w:rsidRPr="00F63571">
        <w:rPr>
          <w:lang w:eastAsia="en-AU"/>
        </w:rPr>
        <w:t>$133 million fo</w:t>
      </w:r>
      <w:r w:rsidR="00A87306">
        <w:rPr>
          <w:lang w:eastAsia="en-AU"/>
        </w:rPr>
        <w:t>r extra long-term housing, more </w:t>
      </w:r>
      <w:r w:rsidRPr="00F63571">
        <w:rPr>
          <w:lang w:eastAsia="en-AU"/>
        </w:rPr>
        <w:t>rental assistance, improved crisis accommodation and better support for people fleeing family violence.</w:t>
      </w:r>
    </w:p>
    <w:p w:rsidR="00AA035A" w:rsidRDefault="0092299C" w:rsidP="006F1F77">
      <w:pPr>
        <w:pStyle w:val="ARbodyafterbullets"/>
      </w:pPr>
      <w:r w:rsidRPr="00E57D68">
        <w:rPr>
          <w:lang w:eastAsia="en-AU"/>
        </w:rPr>
        <w:t>As part of this additional housing and homelessness support, the Towards Home program was announced on 27 January 2017, providing $9.8 million over two years to rapidly rehouse and provide wrap-around support for 40 vulnerable rough sleepers, and to develop a longer-term strategy to reduce rough sleeping across the state.</w:t>
      </w:r>
    </w:p>
    <w:p w:rsidR="0092299C" w:rsidRDefault="0092299C" w:rsidP="0092299C">
      <w:pPr>
        <w:pStyle w:val="ARbody"/>
      </w:pPr>
      <w:r>
        <w:t>T</w:t>
      </w:r>
      <w:r w:rsidRPr="00F63571">
        <w:t xml:space="preserve">here </w:t>
      </w:r>
      <w:r>
        <w:t>are over</w:t>
      </w:r>
      <w:r w:rsidRPr="00F63571">
        <w:t xml:space="preserve"> 500</w:t>
      </w:r>
      <w:r w:rsidR="00A87306">
        <w:t xml:space="preserve"> units available for people who </w:t>
      </w:r>
      <w:r w:rsidRPr="00F63571">
        <w:t>are homeless and in need of crisis accommodation in Victoria. This includes units in congregate crisis accommodation facilities and transitional housing management properties.</w:t>
      </w:r>
    </w:p>
    <w:p w:rsidR="00AA035A" w:rsidRDefault="0092299C" w:rsidP="0092299C">
      <w:pPr>
        <w:pStyle w:val="Heading4"/>
        <w:rPr>
          <w:lang w:eastAsia="en-AU"/>
        </w:rPr>
      </w:pPr>
      <w:r w:rsidRPr="00F63571">
        <w:rPr>
          <w:lang w:eastAsia="en-AU"/>
        </w:rPr>
        <w:t>Social Services Sector of Tomorrow</w:t>
      </w:r>
    </w:p>
    <w:p w:rsidR="0092299C" w:rsidRDefault="0092299C" w:rsidP="0092299C">
      <w:pPr>
        <w:pStyle w:val="ARbody"/>
        <w:rPr>
          <w:lang w:eastAsia="en-AU"/>
        </w:rPr>
      </w:pPr>
      <w:r w:rsidRPr="00F63571">
        <w:rPr>
          <w:lang w:eastAsia="en-AU"/>
        </w:rPr>
        <w:t>In March 2017, the department hosted the Social Services Sector of Tomorrow, a community services industry planning symposium, in partnership with the Victorian Council of Social Services. Approximately 150 representatives from the community services sector and government attended the forum. The forum signalled the first step towards the government and the sector working more closely together to create a 10-year community services industry plan, which will outline a vision for the future and address the effects of a wide range of reforms on community services.</w:t>
      </w:r>
    </w:p>
    <w:p w:rsidR="0092299C" w:rsidRDefault="0092299C" w:rsidP="0092299C">
      <w:pPr>
        <w:pStyle w:val="ARcasestudysubhead"/>
        <w:rPr>
          <w:lang w:eastAsia="en-AU"/>
        </w:rPr>
        <w:sectPr w:rsidR="0092299C" w:rsidSect="007856CF">
          <w:endnotePr>
            <w:numFmt w:val="decimal"/>
          </w:endnotePr>
          <w:pgSz w:w="11900" w:h="16840" w:code="9"/>
          <w:pgMar w:top="1531" w:right="851" w:bottom="680" w:left="1418" w:header="510" w:footer="340" w:gutter="0"/>
          <w:cols w:num="2" w:space="720"/>
        </w:sectPr>
      </w:pPr>
    </w:p>
    <w:tbl>
      <w:tblPr>
        <w:tblW w:w="4423"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423"/>
      </w:tblGrid>
      <w:tr w:rsidR="0092299C" w:rsidRPr="00F63571" w:rsidTr="009D62BD">
        <w:tc>
          <w:tcPr>
            <w:tcW w:w="4423" w:type="dxa"/>
            <w:tcBorders>
              <w:top w:val="single" w:sz="4" w:space="0" w:color="004C97"/>
              <w:left w:val="single" w:sz="4" w:space="0" w:color="004C97"/>
              <w:bottom w:val="single" w:sz="4" w:space="0" w:color="004C97"/>
              <w:right w:val="single" w:sz="4" w:space="0" w:color="004C97"/>
            </w:tcBorders>
            <w:shd w:val="clear" w:color="auto" w:fill="auto"/>
          </w:tcPr>
          <w:p w:rsidR="0092299C" w:rsidRPr="00544B41" w:rsidRDefault="0092299C" w:rsidP="0092299C">
            <w:pPr>
              <w:pStyle w:val="ARcasestudysubhead"/>
            </w:pPr>
            <w:r>
              <w:rPr>
                <w:lang w:eastAsia="en-AU"/>
              </w:rPr>
              <w:lastRenderedPageBreak/>
              <w:br w:type="column"/>
            </w:r>
            <w:r w:rsidRPr="00DD1857">
              <w:rPr>
                <w:lang w:val="en-AU"/>
              </w:rPr>
              <w:t>Towards Home</w:t>
            </w:r>
          </w:p>
          <w:p w:rsidR="00AA035A" w:rsidRDefault="0092299C" w:rsidP="0092299C">
            <w:pPr>
              <w:pStyle w:val="ARcasestudytext"/>
            </w:pPr>
            <w:r w:rsidRPr="00F63571">
              <w:t>Towards Home is a $9.8 million project to rapidly rehouse vulnerable rough sleepers in inner Melbourne, and provide them with targeted supports to maintain their housing.</w:t>
            </w:r>
          </w:p>
          <w:p w:rsidR="0092299C" w:rsidRPr="00F63571" w:rsidRDefault="0092299C" w:rsidP="0092299C">
            <w:pPr>
              <w:pStyle w:val="ARcasestudytext"/>
            </w:pPr>
            <w:r w:rsidRPr="00F63571">
              <w:t>Initiatives include</w:t>
            </w:r>
            <w:r>
              <w:t xml:space="preserve"> </w:t>
            </w:r>
            <w:r w:rsidRPr="00F63571">
              <w:t xml:space="preserve">40 transitional housing units </w:t>
            </w:r>
            <w:r>
              <w:t xml:space="preserve">to rapidly rehouse people </w:t>
            </w:r>
            <w:r w:rsidRPr="00F63571">
              <w:t xml:space="preserve">across Melbourne until new additional permanent housing is in place by the end of 2017, 30 new modular and relocatable homes on public land to be in place by the end of 2017, and case management and targeted supports through </w:t>
            </w:r>
            <w:r>
              <w:t>F</w:t>
            </w:r>
            <w:r w:rsidRPr="00F63571">
              <w:t xml:space="preserve">lexible </w:t>
            </w:r>
            <w:r>
              <w:t>S</w:t>
            </w:r>
            <w:r w:rsidRPr="00F63571">
              <w:t xml:space="preserve">upport </w:t>
            </w:r>
            <w:r>
              <w:t>P</w:t>
            </w:r>
            <w:r w:rsidRPr="00F63571">
              <w:t>ackages for 40 vulnerable rough sleepers for up to two years to help them maintain their housing.</w:t>
            </w:r>
          </w:p>
          <w:p w:rsidR="0092299C" w:rsidRPr="00F63571" w:rsidRDefault="0092299C" w:rsidP="0092299C">
            <w:pPr>
              <w:pStyle w:val="ARcasestudytext"/>
            </w:pPr>
            <w:r w:rsidRPr="00F63571">
              <w:t>As part of Towards Home, Tony Nicholson, the Executive Director of the Brotherhood of St Laurence, was appointed as the Chair of the Rough Sleeping Strategy to provide advice regarding implementation of the above initiatives, and to develop a long-term strategy to red</w:t>
            </w:r>
            <w:r w:rsidR="00AA035A">
              <w:t>uce rough sleeping in Victoria.</w:t>
            </w:r>
          </w:p>
        </w:tc>
      </w:tr>
    </w:tbl>
    <w:p w:rsidR="0092299C" w:rsidRPr="002B1770" w:rsidRDefault="0092299C" w:rsidP="0092299C">
      <w:pPr>
        <w:pStyle w:val="Heading3"/>
      </w:pPr>
      <w:r>
        <w:t>O</w:t>
      </w:r>
      <w:r w:rsidRPr="002B1770">
        <w:t>bjective 4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4679"/>
        <w:gridCol w:w="1287"/>
        <w:gridCol w:w="1287"/>
        <w:gridCol w:w="1312"/>
        <w:gridCol w:w="1074"/>
      </w:tblGrid>
      <w:tr w:rsidR="0092299C" w:rsidRPr="002B1770" w:rsidTr="00DD34D6">
        <w:trPr>
          <w:cantSplit/>
          <w:tblHeader/>
        </w:trPr>
        <w:tc>
          <w:tcPr>
            <w:tcW w:w="4679" w:type="dxa"/>
            <w:tcBorders>
              <w:bottom w:val="single" w:sz="4" w:space="0" w:color="auto"/>
            </w:tcBorders>
            <w:shd w:val="clear" w:color="auto" w:fill="auto"/>
            <w:vAlign w:val="bottom"/>
          </w:tcPr>
          <w:p w:rsidR="0092299C" w:rsidRPr="002B1770" w:rsidRDefault="0092299C" w:rsidP="0092299C">
            <w:pPr>
              <w:spacing w:before="80" w:after="60" w:line="216" w:lineRule="auto"/>
              <w:rPr>
                <w:rFonts w:eastAsia="Times" w:cs="Arial"/>
                <w:b/>
                <w:sz w:val="18"/>
                <w:szCs w:val="18"/>
              </w:rPr>
            </w:pPr>
          </w:p>
        </w:tc>
        <w:tc>
          <w:tcPr>
            <w:tcW w:w="1287" w:type="dxa"/>
            <w:tcBorders>
              <w:bottom w:val="single" w:sz="4" w:space="0" w:color="auto"/>
            </w:tcBorders>
          </w:tcPr>
          <w:p w:rsidR="0092299C" w:rsidRPr="002B1770" w:rsidRDefault="0092299C" w:rsidP="0092299C">
            <w:pPr>
              <w:pStyle w:val="ARtablecolhead"/>
            </w:pPr>
            <w:r w:rsidRPr="002B1770">
              <w:t>2013–14</w:t>
            </w:r>
          </w:p>
        </w:tc>
        <w:tc>
          <w:tcPr>
            <w:tcW w:w="1287" w:type="dxa"/>
            <w:tcBorders>
              <w:bottom w:val="single" w:sz="4" w:space="0" w:color="auto"/>
            </w:tcBorders>
            <w:shd w:val="clear" w:color="auto" w:fill="auto"/>
            <w:vAlign w:val="bottom"/>
          </w:tcPr>
          <w:p w:rsidR="0092299C" w:rsidRPr="002B1770" w:rsidRDefault="0092299C" w:rsidP="0092299C">
            <w:pPr>
              <w:pStyle w:val="ARtablecolhead"/>
            </w:pPr>
            <w:r w:rsidRPr="002B1770">
              <w:t>2014–15</w:t>
            </w:r>
          </w:p>
        </w:tc>
        <w:tc>
          <w:tcPr>
            <w:tcW w:w="1312" w:type="dxa"/>
            <w:tcBorders>
              <w:bottom w:val="single" w:sz="4" w:space="0" w:color="auto"/>
            </w:tcBorders>
            <w:shd w:val="clear" w:color="auto" w:fill="auto"/>
            <w:vAlign w:val="bottom"/>
          </w:tcPr>
          <w:p w:rsidR="0092299C" w:rsidRPr="002B1770" w:rsidRDefault="0092299C" w:rsidP="0092299C">
            <w:pPr>
              <w:pStyle w:val="ARtablecolhead"/>
            </w:pPr>
            <w:r w:rsidRPr="002B1770">
              <w:t>2015–16</w:t>
            </w:r>
          </w:p>
        </w:tc>
        <w:tc>
          <w:tcPr>
            <w:tcW w:w="1074" w:type="dxa"/>
            <w:tcBorders>
              <w:bottom w:val="single" w:sz="4" w:space="0" w:color="auto"/>
            </w:tcBorders>
          </w:tcPr>
          <w:p w:rsidR="0092299C" w:rsidRPr="002B1770" w:rsidRDefault="0092299C" w:rsidP="0092299C">
            <w:pPr>
              <w:pStyle w:val="ARtablecolhead"/>
            </w:pPr>
            <w:r w:rsidRPr="002B1770">
              <w:t>20</w:t>
            </w:r>
            <w:r>
              <w:t>16–17</w:t>
            </w:r>
          </w:p>
        </w:tc>
      </w:tr>
      <w:tr w:rsidR="00C11E2D" w:rsidRPr="002B1770" w:rsidTr="0010061B">
        <w:trPr>
          <w:cantSplit/>
        </w:trPr>
        <w:tc>
          <w:tcPr>
            <w:tcW w:w="9639" w:type="dxa"/>
            <w:gridSpan w:val="5"/>
            <w:tcBorders>
              <w:top w:val="single" w:sz="4" w:space="0" w:color="auto"/>
              <w:bottom w:val="single" w:sz="4" w:space="0" w:color="BFBFBF"/>
            </w:tcBorders>
          </w:tcPr>
          <w:p w:rsidR="00C11E2D" w:rsidRPr="002B1770" w:rsidRDefault="00C11E2D" w:rsidP="0092299C">
            <w:pPr>
              <w:pStyle w:val="ARtablebluebold"/>
            </w:pPr>
            <w:r w:rsidRPr="002B1770">
              <w:t>Stability of out-of-home care placements</w:t>
            </w:r>
          </w:p>
        </w:tc>
      </w:tr>
      <w:tr w:rsidR="0092299C" w:rsidRPr="002B1770" w:rsidTr="00DD34D6">
        <w:trPr>
          <w:cantSplit/>
        </w:trPr>
        <w:tc>
          <w:tcPr>
            <w:tcW w:w="4679" w:type="dxa"/>
            <w:tcBorders>
              <w:top w:val="single" w:sz="4" w:space="0" w:color="BFBFBF"/>
              <w:bottom w:val="single" w:sz="4" w:space="0" w:color="FFFFFF"/>
            </w:tcBorders>
            <w:shd w:val="clear" w:color="auto" w:fill="auto"/>
          </w:tcPr>
          <w:p w:rsidR="0092299C" w:rsidRPr="00DD34D6" w:rsidRDefault="0092299C" w:rsidP="00DD34D6">
            <w:pPr>
              <w:spacing w:before="80" w:after="60"/>
              <w:rPr>
                <w:rFonts w:eastAsia="Times" w:cs="Arial"/>
                <w:sz w:val="18"/>
                <w:szCs w:val="18"/>
                <w:lang w:eastAsia="en-AU"/>
              </w:rPr>
            </w:pPr>
            <w:r w:rsidRPr="002B1770">
              <w:rPr>
                <w:rFonts w:eastAsia="Times" w:cs="Arial"/>
                <w:sz w:val="18"/>
                <w:szCs w:val="18"/>
                <w:lang w:eastAsia="en-AU"/>
              </w:rPr>
              <w:t xml:space="preserve">Proportion of children and young people who had </w:t>
            </w:r>
            <w:r>
              <w:rPr>
                <w:rFonts w:eastAsia="Times" w:cs="Arial"/>
                <w:sz w:val="18"/>
                <w:szCs w:val="18"/>
                <w:lang w:eastAsia="en-AU"/>
              </w:rPr>
              <w:br/>
            </w:r>
            <w:r w:rsidRPr="002B1770">
              <w:rPr>
                <w:rFonts w:eastAsia="Times" w:cs="Arial"/>
                <w:sz w:val="18"/>
                <w:szCs w:val="18"/>
                <w:lang w:eastAsia="en-AU"/>
              </w:rPr>
              <w:t>two</w:t>
            </w:r>
            <w:r>
              <w:rPr>
                <w:rFonts w:eastAsia="Times" w:cs="Arial"/>
                <w:sz w:val="18"/>
                <w:szCs w:val="18"/>
                <w:lang w:eastAsia="en-AU"/>
              </w:rPr>
              <w:t xml:space="preserve"> </w:t>
            </w:r>
            <w:r w:rsidRPr="002B1770">
              <w:rPr>
                <w:rFonts w:eastAsia="Times" w:cs="Arial"/>
                <w:sz w:val="18"/>
                <w:szCs w:val="18"/>
                <w:lang w:eastAsia="en-AU"/>
              </w:rPr>
              <w:t xml:space="preserve">or </w:t>
            </w:r>
            <w:r>
              <w:rPr>
                <w:rFonts w:eastAsia="Times" w:cs="Arial"/>
                <w:sz w:val="18"/>
                <w:szCs w:val="18"/>
                <w:lang w:eastAsia="en-AU"/>
              </w:rPr>
              <w:t>fewer</w:t>
            </w:r>
            <w:r w:rsidRPr="002B1770">
              <w:rPr>
                <w:rFonts w:eastAsia="Times" w:cs="Arial"/>
                <w:sz w:val="18"/>
                <w:szCs w:val="18"/>
                <w:lang w:eastAsia="en-AU"/>
              </w:rPr>
              <w:t xml:space="preserve"> pl</w:t>
            </w:r>
            <w:r w:rsidR="00DD34D6">
              <w:rPr>
                <w:rFonts w:eastAsia="Times" w:cs="Arial"/>
                <w:sz w:val="18"/>
                <w:szCs w:val="18"/>
                <w:lang w:eastAsia="en-AU"/>
              </w:rPr>
              <w:t>acements in the last 12 months.</w:t>
            </w:r>
          </w:p>
        </w:tc>
        <w:tc>
          <w:tcPr>
            <w:tcW w:w="1287" w:type="dxa"/>
            <w:tcBorders>
              <w:top w:val="single" w:sz="4" w:space="0" w:color="BFBFBF"/>
              <w:bottom w:val="single" w:sz="4" w:space="0" w:color="FFFFFF"/>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91.0%</w:t>
            </w:r>
          </w:p>
        </w:tc>
        <w:tc>
          <w:tcPr>
            <w:tcW w:w="1287" w:type="dxa"/>
            <w:tcBorders>
              <w:top w:val="single" w:sz="4" w:space="0" w:color="BFBFBF"/>
              <w:bottom w:val="single" w:sz="4" w:space="0" w:color="FFFFFF"/>
            </w:tcBorders>
            <w:shd w:val="clear" w:color="auto" w:fill="auto"/>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90.3</w:t>
            </w:r>
            <w:r>
              <w:rPr>
                <w:rFonts w:eastAsia="Times" w:cs="Arial"/>
                <w:sz w:val="18"/>
                <w:szCs w:val="18"/>
                <w:lang w:eastAsia="en-AU"/>
              </w:rPr>
              <w:t>%</w:t>
            </w:r>
          </w:p>
        </w:tc>
        <w:tc>
          <w:tcPr>
            <w:tcW w:w="1312" w:type="dxa"/>
            <w:tcBorders>
              <w:top w:val="single" w:sz="4" w:space="0" w:color="BFBFBF"/>
              <w:bottom w:val="single" w:sz="4" w:space="0" w:color="FFFFFF"/>
            </w:tcBorders>
            <w:shd w:val="clear" w:color="auto" w:fill="auto"/>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91.0%</w:t>
            </w:r>
          </w:p>
        </w:tc>
        <w:tc>
          <w:tcPr>
            <w:tcW w:w="1074" w:type="dxa"/>
            <w:tcBorders>
              <w:top w:val="single" w:sz="4" w:space="0" w:color="BFBFBF"/>
              <w:bottom w:val="single" w:sz="4" w:space="0" w:color="FFFFFF"/>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91.2%</w:t>
            </w:r>
          </w:p>
        </w:tc>
      </w:tr>
      <w:tr w:rsidR="00DD34D6" w:rsidRPr="002B1770" w:rsidTr="00DD34D6">
        <w:trPr>
          <w:cantSplit/>
        </w:trPr>
        <w:tc>
          <w:tcPr>
            <w:tcW w:w="9639" w:type="dxa"/>
            <w:gridSpan w:val="5"/>
            <w:tcBorders>
              <w:top w:val="single" w:sz="4" w:space="0" w:color="FFFFFF"/>
              <w:bottom w:val="single" w:sz="4" w:space="0" w:color="auto"/>
            </w:tcBorders>
            <w:shd w:val="clear" w:color="auto" w:fill="auto"/>
          </w:tcPr>
          <w:p w:rsidR="00DD34D6" w:rsidRPr="002B1770" w:rsidRDefault="00DD34D6" w:rsidP="00DD34D6">
            <w:pPr>
              <w:pStyle w:val="ARtablefootnote"/>
              <w:rPr>
                <w:rFonts w:eastAsia="Times" w:cs="Arial"/>
                <w:sz w:val="18"/>
                <w:szCs w:val="18"/>
                <w:lang w:eastAsia="en-AU"/>
              </w:rPr>
            </w:pPr>
            <w:r w:rsidRPr="002B1770">
              <w:rPr>
                <w:rFonts w:eastAsia="Times"/>
                <w:lang w:eastAsia="en-AU"/>
              </w:rPr>
              <w:t>Source: Internal departmental data</w:t>
            </w:r>
          </w:p>
        </w:tc>
      </w:tr>
      <w:tr w:rsidR="00C11E2D" w:rsidRPr="002B1770" w:rsidTr="0010061B">
        <w:trPr>
          <w:cantSplit/>
        </w:trPr>
        <w:tc>
          <w:tcPr>
            <w:tcW w:w="9639" w:type="dxa"/>
            <w:gridSpan w:val="5"/>
            <w:tcBorders>
              <w:top w:val="single" w:sz="4" w:space="0" w:color="auto"/>
              <w:bottom w:val="single" w:sz="4" w:space="0" w:color="BFBFBF"/>
            </w:tcBorders>
          </w:tcPr>
          <w:p w:rsidR="00C11E2D" w:rsidRPr="002B1770" w:rsidRDefault="00C11E2D" w:rsidP="0092299C">
            <w:pPr>
              <w:pStyle w:val="ARtablebluebold"/>
            </w:pPr>
            <w:r w:rsidRPr="002B1770">
              <w:t xml:space="preserve">Improved safety of children reported to </w:t>
            </w:r>
            <w:r>
              <w:br/>
            </w:r>
            <w:r w:rsidRPr="002B1770">
              <w:t>child protection</w:t>
            </w:r>
          </w:p>
        </w:tc>
      </w:tr>
      <w:tr w:rsidR="0092299C" w:rsidRPr="002B1770" w:rsidTr="00DD34D6">
        <w:trPr>
          <w:cantSplit/>
        </w:trPr>
        <w:tc>
          <w:tcPr>
            <w:tcW w:w="4679" w:type="dxa"/>
            <w:tcBorders>
              <w:top w:val="single" w:sz="4" w:space="0" w:color="BFBFBF"/>
              <w:bottom w:val="single" w:sz="4" w:space="0" w:color="FFFFFF"/>
            </w:tcBorders>
            <w:shd w:val="clear" w:color="auto" w:fill="auto"/>
          </w:tcPr>
          <w:p w:rsidR="0092299C" w:rsidRPr="00DD34D6" w:rsidRDefault="0092299C" w:rsidP="00DD34D6">
            <w:pPr>
              <w:spacing w:before="80" w:after="60"/>
              <w:rPr>
                <w:rFonts w:eastAsia="Times" w:cs="Arial"/>
                <w:sz w:val="18"/>
                <w:szCs w:val="18"/>
                <w:lang w:eastAsia="en-AU"/>
              </w:rPr>
            </w:pPr>
            <w:r w:rsidRPr="002B1770">
              <w:rPr>
                <w:rFonts w:eastAsia="Times" w:cs="Arial"/>
                <w:sz w:val="18"/>
                <w:szCs w:val="18"/>
                <w:lang w:eastAsia="en-AU"/>
              </w:rPr>
              <w:t xml:space="preserve">Number of Child FIRST assessments and </w:t>
            </w:r>
            <w:r>
              <w:rPr>
                <w:rFonts w:eastAsia="Times" w:cs="Arial"/>
                <w:sz w:val="18"/>
                <w:szCs w:val="18"/>
                <w:lang w:eastAsia="en-AU"/>
              </w:rPr>
              <w:br/>
            </w:r>
            <w:r w:rsidR="00DD34D6">
              <w:rPr>
                <w:rFonts w:eastAsia="Times" w:cs="Arial"/>
                <w:sz w:val="18"/>
                <w:szCs w:val="18"/>
                <w:lang w:eastAsia="en-AU"/>
              </w:rPr>
              <w:t>interventions</w:t>
            </w:r>
          </w:p>
        </w:tc>
        <w:tc>
          <w:tcPr>
            <w:tcW w:w="1287" w:type="dxa"/>
            <w:tcBorders>
              <w:top w:val="single" w:sz="4" w:space="0" w:color="BFBFBF"/>
              <w:bottom w:val="single" w:sz="4" w:space="0" w:color="FFFFFF"/>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12,142</w:t>
            </w:r>
          </w:p>
        </w:tc>
        <w:tc>
          <w:tcPr>
            <w:tcW w:w="1287" w:type="dxa"/>
            <w:tcBorders>
              <w:top w:val="single" w:sz="4" w:space="0" w:color="BFBFBF"/>
              <w:bottom w:val="single" w:sz="4" w:space="0" w:color="FFFFFF"/>
            </w:tcBorders>
            <w:shd w:val="clear" w:color="auto" w:fill="auto"/>
          </w:tcPr>
          <w:p w:rsidR="0092299C" w:rsidRPr="002B1770" w:rsidRDefault="0092299C" w:rsidP="009619E2">
            <w:pPr>
              <w:spacing w:before="80" w:after="60"/>
              <w:rPr>
                <w:rFonts w:eastAsia="Times" w:cs="Arial"/>
                <w:sz w:val="18"/>
                <w:szCs w:val="18"/>
                <w:lang w:eastAsia="en-AU"/>
              </w:rPr>
            </w:pPr>
            <w:r w:rsidRPr="002B1770">
              <w:rPr>
                <w:rFonts w:eastAsia="Times" w:cs="Arial"/>
                <w:sz w:val="18"/>
                <w:szCs w:val="18"/>
                <w:lang w:eastAsia="en-AU"/>
              </w:rPr>
              <w:t>13,5</w:t>
            </w:r>
            <w:r w:rsidR="009619E2">
              <w:rPr>
                <w:rFonts w:eastAsia="Times" w:cs="Arial"/>
                <w:sz w:val="18"/>
                <w:szCs w:val="18"/>
                <w:lang w:eastAsia="en-AU"/>
              </w:rPr>
              <w:t>76</w:t>
            </w:r>
          </w:p>
        </w:tc>
        <w:tc>
          <w:tcPr>
            <w:tcW w:w="1312" w:type="dxa"/>
            <w:tcBorders>
              <w:top w:val="single" w:sz="4" w:space="0" w:color="BFBFBF"/>
              <w:bottom w:val="single" w:sz="4" w:space="0" w:color="FFFFFF"/>
            </w:tcBorders>
            <w:shd w:val="clear" w:color="auto" w:fill="auto"/>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15,190</w:t>
            </w:r>
          </w:p>
        </w:tc>
        <w:tc>
          <w:tcPr>
            <w:tcW w:w="1074" w:type="dxa"/>
            <w:tcBorders>
              <w:top w:val="single" w:sz="4" w:space="0" w:color="BFBFBF"/>
              <w:bottom w:val="single" w:sz="4" w:space="0" w:color="FFFFFF"/>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20,016</w:t>
            </w:r>
          </w:p>
        </w:tc>
      </w:tr>
      <w:tr w:rsidR="00DD34D6" w:rsidRPr="002B1770" w:rsidTr="00DD34D6">
        <w:trPr>
          <w:cantSplit/>
        </w:trPr>
        <w:tc>
          <w:tcPr>
            <w:tcW w:w="9639" w:type="dxa"/>
            <w:gridSpan w:val="5"/>
            <w:tcBorders>
              <w:top w:val="single" w:sz="4" w:space="0" w:color="FFFFFF"/>
              <w:bottom w:val="single" w:sz="4" w:space="0" w:color="BFBFBF"/>
            </w:tcBorders>
            <w:shd w:val="clear" w:color="auto" w:fill="auto"/>
          </w:tcPr>
          <w:p w:rsidR="00DD34D6" w:rsidRPr="002B1770" w:rsidRDefault="00DD34D6" w:rsidP="00DD34D6">
            <w:pPr>
              <w:pStyle w:val="ARtablefootnote"/>
              <w:rPr>
                <w:rFonts w:eastAsia="Times" w:cs="Arial"/>
                <w:sz w:val="18"/>
                <w:szCs w:val="18"/>
                <w:lang w:eastAsia="en-AU"/>
              </w:rPr>
            </w:pPr>
            <w:r w:rsidRPr="002B1770">
              <w:rPr>
                <w:rFonts w:eastAsia="Times"/>
                <w:lang w:eastAsia="en-AU"/>
              </w:rPr>
              <w:t>Source: Internal departmental data</w:t>
            </w:r>
          </w:p>
        </w:tc>
      </w:tr>
      <w:tr w:rsidR="0092299C" w:rsidRPr="002B1770" w:rsidTr="00DD34D6">
        <w:trPr>
          <w:cantSplit/>
        </w:trPr>
        <w:tc>
          <w:tcPr>
            <w:tcW w:w="4679" w:type="dxa"/>
            <w:tcBorders>
              <w:top w:val="single" w:sz="4" w:space="0" w:color="BFBFBF"/>
              <w:bottom w:val="nil"/>
            </w:tcBorders>
            <w:shd w:val="clear" w:color="auto" w:fill="auto"/>
          </w:tcPr>
          <w:p w:rsidR="0092299C" w:rsidRPr="002B1770" w:rsidRDefault="0092299C" w:rsidP="003054ED">
            <w:pPr>
              <w:spacing w:before="80" w:after="60"/>
              <w:rPr>
                <w:rFonts w:eastAsia="Times"/>
                <w:lang w:eastAsia="en-AU"/>
              </w:rPr>
            </w:pPr>
            <w:r w:rsidRPr="002B1770">
              <w:rPr>
                <w:rFonts w:eastAsia="Times" w:cs="Arial"/>
                <w:sz w:val="18"/>
                <w:szCs w:val="18"/>
                <w:lang w:eastAsia="en-AU"/>
              </w:rPr>
              <w:t>Substantiated cases of neglect</w:t>
            </w:r>
          </w:p>
        </w:tc>
        <w:tc>
          <w:tcPr>
            <w:tcW w:w="1287" w:type="dxa"/>
            <w:tcBorders>
              <w:top w:val="single" w:sz="4" w:space="0" w:color="BFBFBF"/>
              <w:bottom w:val="nil"/>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5.0%</w:t>
            </w:r>
          </w:p>
          <w:p w:rsidR="0092299C" w:rsidRPr="002B1770" w:rsidRDefault="0092299C" w:rsidP="0092299C">
            <w:pPr>
              <w:spacing w:before="80" w:after="60"/>
              <w:rPr>
                <w:rFonts w:eastAsia="Times" w:cs="Arial"/>
                <w:i/>
                <w:sz w:val="16"/>
                <w:szCs w:val="18"/>
                <w:lang w:eastAsia="en-AU"/>
              </w:rPr>
            </w:pPr>
            <w:r w:rsidRPr="002B1770">
              <w:rPr>
                <w:rFonts w:eastAsia="Times" w:cs="Arial"/>
                <w:i/>
                <w:sz w:val="16"/>
                <w:szCs w:val="18"/>
                <w:lang w:eastAsia="en-AU"/>
              </w:rPr>
              <w:t>(Aust. lowest)</w:t>
            </w:r>
          </w:p>
        </w:tc>
        <w:tc>
          <w:tcPr>
            <w:tcW w:w="1287" w:type="dxa"/>
            <w:tcBorders>
              <w:top w:val="single" w:sz="4" w:space="0" w:color="BFBFBF"/>
              <w:bottom w:val="nil"/>
            </w:tcBorders>
            <w:shd w:val="clear" w:color="auto" w:fill="auto"/>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4.4%</w:t>
            </w:r>
          </w:p>
        </w:tc>
        <w:tc>
          <w:tcPr>
            <w:tcW w:w="1312" w:type="dxa"/>
            <w:tcBorders>
              <w:top w:val="single" w:sz="4" w:space="0" w:color="BFBFBF"/>
              <w:bottom w:val="nil"/>
            </w:tcBorders>
            <w:shd w:val="clear" w:color="auto" w:fill="auto"/>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4.1%</w:t>
            </w:r>
          </w:p>
        </w:tc>
        <w:tc>
          <w:tcPr>
            <w:tcW w:w="1074" w:type="dxa"/>
            <w:tcBorders>
              <w:top w:val="single" w:sz="4" w:space="0" w:color="BFBFBF"/>
              <w:bottom w:val="nil"/>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 xml:space="preserve">Not </w:t>
            </w:r>
            <w:r w:rsidRPr="002B1770">
              <w:rPr>
                <w:rFonts w:eastAsia="Times" w:cs="Arial"/>
                <w:sz w:val="18"/>
                <w:szCs w:val="18"/>
                <w:lang w:eastAsia="en-AU"/>
              </w:rPr>
              <w:br/>
              <w:t>available</w:t>
            </w:r>
          </w:p>
        </w:tc>
      </w:tr>
      <w:tr w:rsidR="0092299C" w:rsidRPr="002B1770" w:rsidTr="00DD34D6">
        <w:trPr>
          <w:cantSplit/>
        </w:trPr>
        <w:tc>
          <w:tcPr>
            <w:tcW w:w="9639" w:type="dxa"/>
            <w:gridSpan w:val="5"/>
            <w:tcBorders>
              <w:top w:val="nil"/>
              <w:left w:val="nil"/>
              <w:bottom w:val="single" w:sz="4" w:space="0" w:color="auto"/>
              <w:right w:val="nil"/>
            </w:tcBorders>
            <w:shd w:val="clear" w:color="auto" w:fill="auto"/>
          </w:tcPr>
          <w:p w:rsidR="0092299C" w:rsidRPr="009C1C31" w:rsidRDefault="0092299C" w:rsidP="0092299C">
            <w:pPr>
              <w:pStyle w:val="ARtablefootnote"/>
              <w:rPr>
                <w:rFonts w:eastAsia="Times"/>
                <w:lang w:eastAsia="en-AU"/>
              </w:rPr>
            </w:pPr>
            <w:r w:rsidRPr="002B1770">
              <w:rPr>
                <w:rFonts w:eastAsia="Times"/>
                <w:lang w:eastAsia="en-AU"/>
              </w:rPr>
              <w:t xml:space="preserve">Source: AIHW Child Protection Australia </w:t>
            </w:r>
            <w:r w:rsidRPr="00847FC4">
              <w:rPr>
                <w:rFonts w:eastAsia="Times"/>
                <w:lang w:eastAsia="en-AU"/>
              </w:rPr>
              <w:t>201</w:t>
            </w:r>
            <w:r w:rsidRPr="00DD1857">
              <w:rPr>
                <w:rFonts w:eastAsia="Times"/>
                <w:lang w:eastAsia="en-AU"/>
              </w:rPr>
              <w:t>5</w:t>
            </w:r>
            <w:r w:rsidRPr="00847FC4">
              <w:rPr>
                <w:rFonts w:eastAsia="Times"/>
                <w:lang w:eastAsia="en-AU"/>
              </w:rPr>
              <w:t>–16</w:t>
            </w:r>
            <w:r w:rsidR="00455A80">
              <w:rPr>
                <w:rFonts w:eastAsia="Times"/>
                <w:lang w:eastAsia="en-AU"/>
              </w:rPr>
              <w:t xml:space="preserve"> </w:t>
            </w:r>
            <w:r>
              <w:rPr>
                <w:rFonts w:eastAsia="Times"/>
                <w:lang w:eastAsia="en-AU"/>
              </w:rPr>
              <w:t>(Table S12</w:t>
            </w:r>
            <w:r w:rsidRPr="002B1770">
              <w:rPr>
                <w:rFonts w:eastAsia="Times"/>
                <w:lang w:eastAsia="en-AU"/>
              </w:rPr>
              <w:t>)</w:t>
            </w:r>
            <w:r>
              <w:rPr>
                <w:rFonts w:eastAsia="Times"/>
                <w:lang w:eastAsia="en-AU"/>
              </w:rPr>
              <w:t xml:space="preserve"> </w:t>
            </w:r>
            <w:r w:rsidRPr="000034ED">
              <w:t xml:space="preserve">AIHW </w:t>
            </w:r>
            <w:r>
              <w:t xml:space="preserve">2016-17 </w:t>
            </w:r>
            <w:r w:rsidRPr="000034ED">
              <w:t>report will not be available until early 2018</w:t>
            </w:r>
            <w:r>
              <w:t>. T</w:t>
            </w:r>
            <w:r w:rsidRPr="000034ED">
              <w:t xml:space="preserve">he report is compiled </w:t>
            </w:r>
            <w:r>
              <w:t>from</w:t>
            </w:r>
            <w:r w:rsidRPr="000034ED">
              <w:t xml:space="preserve"> the national minimum dataset and the </w:t>
            </w:r>
            <w:r>
              <w:t>Report</w:t>
            </w:r>
            <w:r w:rsidRPr="000034ED">
              <w:t xml:space="preserve"> </w:t>
            </w:r>
            <w:r>
              <w:t>O</w:t>
            </w:r>
            <w:r w:rsidRPr="000034ED">
              <w:t xml:space="preserve">n </w:t>
            </w:r>
            <w:r>
              <w:t>G</w:t>
            </w:r>
            <w:r w:rsidRPr="000034ED">
              <w:t xml:space="preserve">overnment </w:t>
            </w:r>
            <w:r>
              <w:t>S</w:t>
            </w:r>
            <w:r w:rsidRPr="000034ED">
              <w:t>ervices</w:t>
            </w:r>
          </w:p>
        </w:tc>
      </w:tr>
      <w:tr w:rsidR="00C11E2D" w:rsidRPr="002B1770" w:rsidTr="0010061B">
        <w:trPr>
          <w:cantSplit/>
        </w:trPr>
        <w:tc>
          <w:tcPr>
            <w:tcW w:w="9639" w:type="dxa"/>
            <w:gridSpan w:val="5"/>
            <w:tcBorders>
              <w:top w:val="single" w:sz="4" w:space="0" w:color="auto"/>
              <w:bottom w:val="single" w:sz="4" w:space="0" w:color="BFBFBF"/>
            </w:tcBorders>
          </w:tcPr>
          <w:p w:rsidR="00C11E2D" w:rsidRPr="002B1770" w:rsidRDefault="00C11E2D" w:rsidP="0092299C">
            <w:pPr>
              <w:pStyle w:val="ARtablebluebold"/>
            </w:pPr>
            <w:r w:rsidRPr="002B1770">
              <w:t xml:space="preserve">Achievement of independent and sustainable </w:t>
            </w:r>
            <w:r>
              <w:br/>
            </w:r>
            <w:r w:rsidRPr="002B1770">
              <w:t>housing on exit from homelessness services</w:t>
            </w:r>
          </w:p>
        </w:tc>
      </w:tr>
      <w:tr w:rsidR="0092299C" w:rsidRPr="002B1770" w:rsidTr="00B21F15">
        <w:trPr>
          <w:cantSplit/>
        </w:trPr>
        <w:tc>
          <w:tcPr>
            <w:tcW w:w="4679" w:type="dxa"/>
            <w:tcBorders>
              <w:top w:val="single" w:sz="4" w:space="0" w:color="BFBFBF"/>
              <w:bottom w:val="single" w:sz="4" w:space="0" w:color="FFFFFF"/>
            </w:tcBorders>
            <w:shd w:val="clear" w:color="auto" w:fill="auto"/>
          </w:tcPr>
          <w:p w:rsidR="0092299C" w:rsidRPr="002B1770" w:rsidRDefault="0092299C" w:rsidP="00B21F15">
            <w:pPr>
              <w:pStyle w:val="ARtabletext"/>
            </w:pPr>
            <w:r w:rsidRPr="002B1770">
              <w:t>Homelessness clients who achieved independent</w:t>
            </w:r>
            <w:r>
              <w:br/>
            </w:r>
            <w:r w:rsidR="00B21F15">
              <w:t>housing after support</w:t>
            </w:r>
          </w:p>
        </w:tc>
        <w:tc>
          <w:tcPr>
            <w:tcW w:w="1287" w:type="dxa"/>
            <w:tcBorders>
              <w:top w:val="single" w:sz="4" w:space="0" w:color="BFBFBF"/>
              <w:bottom w:val="single" w:sz="4" w:space="0" w:color="FFFFFF"/>
            </w:tcBorders>
          </w:tcPr>
          <w:p w:rsidR="0092299C" w:rsidRPr="002B1770" w:rsidRDefault="0092299C" w:rsidP="0092299C">
            <w:pPr>
              <w:pStyle w:val="ARtabletext"/>
            </w:pPr>
            <w:r w:rsidRPr="002B1770">
              <w:t>21,438</w:t>
            </w:r>
          </w:p>
        </w:tc>
        <w:tc>
          <w:tcPr>
            <w:tcW w:w="1287" w:type="dxa"/>
            <w:tcBorders>
              <w:top w:val="single" w:sz="4" w:space="0" w:color="BFBFBF"/>
              <w:bottom w:val="single" w:sz="4" w:space="0" w:color="FFFFFF"/>
            </w:tcBorders>
            <w:shd w:val="clear" w:color="auto" w:fill="auto"/>
          </w:tcPr>
          <w:p w:rsidR="0092299C" w:rsidRPr="002B1770" w:rsidRDefault="0092299C" w:rsidP="0092299C">
            <w:pPr>
              <w:pStyle w:val="ARtabletext"/>
            </w:pPr>
            <w:r w:rsidRPr="002B1770">
              <w:t>26,954</w:t>
            </w:r>
          </w:p>
        </w:tc>
        <w:tc>
          <w:tcPr>
            <w:tcW w:w="1312" w:type="dxa"/>
            <w:tcBorders>
              <w:top w:val="single" w:sz="4" w:space="0" w:color="BFBFBF"/>
              <w:bottom w:val="single" w:sz="4" w:space="0" w:color="FFFFFF"/>
            </w:tcBorders>
            <w:shd w:val="clear" w:color="auto" w:fill="auto"/>
          </w:tcPr>
          <w:p w:rsidR="0092299C" w:rsidRPr="00DD1857" w:rsidRDefault="0092299C" w:rsidP="0092299C">
            <w:pPr>
              <w:pStyle w:val="ARtabletext"/>
              <w:rPr>
                <w:highlight w:val="yellow"/>
              </w:rPr>
            </w:pPr>
            <w:r w:rsidRPr="00433BDF">
              <w:t>25,891</w:t>
            </w:r>
          </w:p>
        </w:tc>
        <w:tc>
          <w:tcPr>
            <w:tcW w:w="1074" w:type="dxa"/>
            <w:tcBorders>
              <w:top w:val="single" w:sz="4" w:space="0" w:color="BFBFBF"/>
              <w:bottom w:val="single" w:sz="4" w:space="0" w:color="FFFFFF"/>
            </w:tcBorders>
          </w:tcPr>
          <w:p w:rsidR="0092299C" w:rsidRPr="002B1770" w:rsidRDefault="0092299C" w:rsidP="0092299C">
            <w:pPr>
              <w:pStyle w:val="ARtabletext"/>
            </w:pPr>
            <w:r w:rsidRPr="00433BDF">
              <w:t xml:space="preserve">Not </w:t>
            </w:r>
            <w:r w:rsidRPr="00433BDF">
              <w:br/>
              <w:t>available</w:t>
            </w:r>
          </w:p>
        </w:tc>
      </w:tr>
      <w:tr w:rsidR="00B21F15" w:rsidRPr="002B1770" w:rsidTr="00B21F15">
        <w:trPr>
          <w:cantSplit/>
        </w:trPr>
        <w:tc>
          <w:tcPr>
            <w:tcW w:w="9639" w:type="dxa"/>
            <w:gridSpan w:val="5"/>
            <w:tcBorders>
              <w:top w:val="single" w:sz="4" w:space="0" w:color="FFFFFF"/>
              <w:bottom w:val="single" w:sz="4" w:space="0" w:color="auto"/>
            </w:tcBorders>
            <w:shd w:val="clear" w:color="auto" w:fill="auto"/>
          </w:tcPr>
          <w:p w:rsidR="00B21F15" w:rsidRPr="00433BDF" w:rsidRDefault="00B21F15" w:rsidP="00B21F15">
            <w:pPr>
              <w:pStyle w:val="ARtablefootnote"/>
            </w:pPr>
            <w:r w:rsidRPr="002B1770">
              <w:rPr>
                <w:rFonts w:eastAsia="Times"/>
              </w:rPr>
              <w:t>Source: Rep</w:t>
            </w:r>
            <w:r>
              <w:rPr>
                <w:rFonts w:eastAsia="Times"/>
              </w:rPr>
              <w:t>ort on Government Services 2016–17 (Table 19</w:t>
            </w:r>
            <w:r w:rsidRPr="002B1770">
              <w:rPr>
                <w:rFonts w:eastAsia="Times"/>
              </w:rPr>
              <w:t>A.29)</w:t>
            </w:r>
          </w:p>
        </w:tc>
      </w:tr>
    </w:tbl>
    <w:p w:rsidR="0092299C" w:rsidRPr="002B1770" w:rsidRDefault="0092299C" w:rsidP="0092299C">
      <w:pPr>
        <w:spacing w:after="120" w:line="260" w:lineRule="atLeast"/>
        <w:rPr>
          <w:rFonts w:eastAsia="Times" w:cs="Arial"/>
          <w:sz w:val="20"/>
          <w:szCs w:val="20"/>
        </w:rPr>
      </w:pPr>
    </w:p>
    <w:p w:rsidR="0092299C" w:rsidRDefault="0092299C" w:rsidP="0092299C">
      <w:pPr>
        <w:pStyle w:val="ARbody"/>
        <w:sectPr w:rsidR="0092299C" w:rsidSect="00BE218F">
          <w:endnotePr>
            <w:numFmt w:val="decimal"/>
          </w:endnotePr>
          <w:pgSz w:w="11900" w:h="16840" w:code="9"/>
          <w:pgMar w:top="1531" w:right="851" w:bottom="680" w:left="1418" w:header="510" w:footer="340" w:gutter="0"/>
          <w:cols w:space="720"/>
        </w:sectPr>
      </w:pPr>
    </w:p>
    <w:p w:rsidR="0092299C" w:rsidRPr="00F63571" w:rsidRDefault="0092299C" w:rsidP="006A2A7B">
      <w:pPr>
        <w:pStyle w:val="Heading3"/>
        <w:spacing w:before="0"/>
      </w:pPr>
      <w:r w:rsidRPr="00F63571">
        <w:lastRenderedPageBreak/>
        <w:t>Objective 5: Capabilities and participation – with its partners, the department works with families, individuals, young people and communities to improve their lives through building capabilities and resilience, supporting participation in work, education and the community</w:t>
      </w:r>
    </w:p>
    <w:p w:rsidR="0092299C" w:rsidRPr="00F63571" w:rsidRDefault="0092299C" w:rsidP="0092299C">
      <w:pPr>
        <w:pStyle w:val="ARbody"/>
      </w:pPr>
      <w:r w:rsidRPr="00F63571">
        <w:t xml:space="preserve">Capability and resilience are core components </w:t>
      </w:r>
      <w:r>
        <w:t>that</w:t>
      </w:r>
      <w:r w:rsidRPr="00F63571">
        <w:t xml:space="preserve"> sustain the </w:t>
      </w:r>
      <w:r w:rsidRPr="00DC7FED">
        <w:t>wellbeing</w:t>
      </w:r>
      <w:r w:rsidRPr="00F63571">
        <w:t xml:space="preserve"> of individuals, families and </w:t>
      </w:r>
      <w:r>
        <w:t>communities.</w:t>
      </w:r>
    </w:p>
    <w:p w:rsidR="0092299C" w:rsidRPr="00F63571" w:rsidRDefault="0092299C" w:rsidP="0092299C">
      <w:pPr>
        <w:pStyle w:val="ARbody"/>
      </w:pPr>
      <w:r w:rsidRPr="00F63571">
        <w:t>The department</w:t>
      </w:r>
      <w:r>
        <w:t xml:space="preserve"> delivers and </w:t>
      </w:r>
      <w:r w:rsidRPr="00F63571">
        <w:t xml:space="preserve">funds </w:t>
      </w:r>
      <w:r w:rsidR="00D04DF2">
        <w:t>a range of </w:t>
      </w:r>
      <w:r>
        <w:t>evidence-based</w:t>
      </w:r>
      <w:r w:rsidRPr="00F63571">
        <w:t xml:space="preserve"> education and community activities </w:t>
      </w:r>
      <w:r>
        <w:t>that build peoples’ capability and resilience.</w:t>
      </w:r>
    </w:p>
    <w:p w:rsidR="0092299C" w:rsidRPr="00F63571" w:rsidRDefault="0092299C" w:rsidP="0092299C">
      <w:pPr>
        <w:pStyle w:val="ARbody"/>
      </w:pPr>
      <w:r w:rsidRPr="00F63571">
        <w:t>These activities support Victorians of all abilities and backgrounds to live safely and productively</w:t>
      </w:r>
      <w:r>
        <w:t xml:space="preserve"> contribute to the community.</w:t>
      </w:r>
    </w:p>
    <w:p w:rsidR="0092299C" w:rsidRPr="00F63571" w:rsidRDefault="0092299C" w:rsidP="0092299C">
      <w:pPr>
        <w:pStyle w:val="Heading4"/>
      </w:pPr>
      <w:r w:rsidRPr="00F63571">
        <w:t>Youth</w:t>
      </w:r>
      <w:r>
        <w:t xml:space="preserve"> </w:t>
      </w:r>
      <w:r w:rsidR="00806AA6">
        <w:t>a</w:t>
      </w:r>
      <w:r>
        <w:t>ffairs</w:t>
      </w:r>
    </w:p>
    <w:p w:rsidR="0092299C" w:rsidRDefault="0092299C" w:rsidP="0092299C">
      <w:pPr>
        <w:pStyle w:val="ARbody"/>
      </w:pPr>
      <w:r>
        <w:t>T</w:t>
      </w:r>
      <w:r w:rsidRPr="00F63571">
        <w:t>he inaugu</w:t>
      </w:r>
      <w:r w:rsidR="00AA035A">
        <w:t>ral Youth Summit was held on 31 </w:t>
      </w:r>
      <w:r w:rsidRPr="00F63571">
        <w:t>March 2017</w:t>
      </w:r>
      <w:r>
        <w:t>, marking the start of National Youth Week</w:t>
      </w:r>
      <w:r w:rsidRPr="00F63571">
        <w:t>.</w:t>
      </w:r>
      <w:r>
        <w:t xml:space="preserve"> The summit was attended by </w:t>
      </w:r>
      <w:r w:rsidR="00AA035A">
        <w:t>nearly </w:t>
      </w:r>
      <w:r w:rsidR="009A6CF6">
        <w:t xml:space="preserve">400 </w:t>
      </w:r>
      <w:r>
        <w:t>young people.</w:t>
      </w:r>
    </w:p>
    <w:p w:rsidR="00AA035A" w:rsidRDefault="0092299C" w:rsidP="0092299C">
      <w:pPr>
        <w:pStyle w:val="ARbody"/>
      </w:pPr>
      <w:r w:rsidRPr="00F63571">
        <w:t xml:space="preserve">In the lead up to the </w:t>
      </w:r>
      <w:r>
        <w:t>summit</w:t>
      </w:r>
      <w:r w:rsidRPr="00F63571">
        <w:t xml:space="preserve">, 12 regional youth forums were held across Victoria, with </w:t>
      </w:r>
      <w:r w:rsidR="00D57675">
        <w:t>almost</w:t>
      </w:r>
      <w:r w:rsidRPr="00F63571">
        <w:t xml:space="preserve"> </w:t>
      </w:r>
      <w:r w:rsidR="00D57675">
        <w:t>50</w:t>
      </w:r>
      <w:r w:rsidR="00AA035A">
        <w:t>0 </w:t>
      </w:r>
      <w:r w:rsidRPr="00F63571">
        <w:t xml:space="preserve">young people </w:t>
      </w:r>
      <w:r>
        <w:t>having</w:t>
      </w:r>
      <w:r w:rsidRPr="00F63571">
        <w:t xml:space="preserve"> the chance to discuss issues and ideas for action to improve outcomes for young Victorians. These forums shaped the summit, where hundreds of young people from across the state attended to discuss issues affecting young people, including mental health, housing and education.</w:t>
      </w:r>
    </w:p>
    <w:p w:rsidR="0092299C" w:rsidRPr="00F63571" w:rsidRDefault="0092299C" w:rsidP="0092299C">
      <w:pPr>
        <w:pStyle w:val="Heading5"/>
      </w:pPr>
      <w:r w:rsidRPr="00F63571">
        <w:t>Empower Youth</w:t>
      </w:r>
    </w:p>
    <w:p w:rsidR="0092299C" w:rsidRPr="00915516" w:rsidRDefault="0092299C" w:rsidP="0092299C">
      <w:pPr>
        <w:pStyle w:val="ARbody"/>
        <w:rPr>
          <w:b/>
          <w:bCs/>
          <w:color w:val="000000" w:themeColor="text1"/>
          <w:lang w:eastAsia="en-AU"/>
        </w:rPr>
      </w:pPr>
      <w:r>
        <w:t xml:space="preserve">In 2016–17, </w:t>
      </w:r>
      <w:r w:rsidRPr="00AB50CB">
        <w:t xml:space="preserve">$4 million in funding was provided </w:t>
      </w:r>
      <w:r>
        <w:t>over three years</w:t>
      </w:r>
      <w:r w:rsidRPr="00AB50CB">
        <w:t xml:space="preserve"> to support eight organisations to deliver an exciting new program </w:t>
      </w:r>
      <w:r>
        <w:t>called</w:t>
      </w:r>
      <w:r w:rsidRPr="00AB50CB">
        <w:t xml:space="preserve"> Empower Youth. The program allows organisations to engage youth workers to provide intensive, coordinated suppor</w:t>
      </w:r>
      <w:r w:rsidR="00AA035A">
        <w:t>t to vulnerable young people in </w:t>
      </w:r>
      <w:r w:rsidRPr="00AB50CB">
        <w:t xml:space="preserve">areas experiencing social and economic disadvantage, </w:t>
      </w:r>
      <w:r>
        <w:t>including the City of Greater</w:t>
      </w:r>
      <w:r w:rsidRPr="00AB50CB">
        <w:t xml:space="preserve"> </w:t>
      </w:r>
      <w:r w:rsidRPr="00915516">
        <w:rPr>
          <w:bCs/>
          <w:color w:val="000000" w:themeColor="text1"/>
          <w:lang w:eastAsia="en-AU"/>
        </w:rPr>
        <w:t>Geelong, Ballarat, Melton, Wyndham, Hume, Frankston, Latrobe Valley, Dandenong and Casey</w:t>
      </w:r>
      <w:r>
        <w:rPr>
          <w:bCs/>
          <w:color w:val="000000" w:themeColor="text1"/>
          <w:lang w:eastAsia="en-AU"/>
        </w:rPr>
        <w:t>.</w:t>
      </w:r>
    </w:p>
    <w:p w:rsidR="00D04DF2" w:rsidRDefault="0092299C" w:rsidP="0092299C">
      <w:pPr>
        <w:pStyle w:val="ARbody"/>
        <w:rPr>
          <w:szCs w:val="20"/>
        </w:rPr>
      </w:pPr>
      <w:r w:rsidRPr="0097397E">
        <w:rPr>
          <w:szCs w:val="20"/>
        </w:rPr>
        <w:t>This support allows young people to build their connection to community, their engagement in education and training, an</w:t>
      </w:r>
      <w:r w:rsidR="00024F45">
        <w:rPr>
          <w:szCs w:val="20"/>
        </w:rPr>
        <w:t>d their pathways to employment.</w:t>
      </w:r>
    </w:p>
    <w:p w:rsidR="0092299C" w:rsidRPr="00017A76" w:rsidRDefault="00D04DF2" w:rsidP="00D04DF2">
      <w:pPr>
        <w:pStyle w:val="Heading5"/>
        <w:rPr>
          <w:sz w:val="24"/>
        </w:rPr>
      </w:pPr>
      <w:r>
        <w:br w:type="column"/>
      </w:r>
      <w:r w:rsidR="0092299C" w:rsidRPr="002771B6">
        <w:lastRenderedPageBreak/>
        <w:t>Aboriginal Youth Mentoring Program</w:t>
      </w:r>
    </w:p>
    <w:p w:rsidR="0092299C" w:rsidRPr="00017A76" w:rsidRDefault="0092299C" w:rsidP="0092299C">
      <w:pPr>
        <w:pStyle w:val="ARbody"/>
      </w:pPr>
      <w:r w:rsidRPr="00017A76">
        <w:t>The Aborigina</w:t>
      </w:r>
      <w:r w:rsidR="00D04DF2">
        <w:t>l Youth Mentoring Program helps </w:t>
      </w:r>
      <w:r w:rsidRPr="00017A76">
        <w:t>young Aboriginal people develop skills, relationships and networks that keep them connected to their culture, families and friends.</w:t>
      </w:r>
    </w:p>
    <w:p w:rsidR="00AA035A" w:rsidRDefault="0092299C" w:rsidP="0092299C">
      <w:pPr>
        <w:pStyle w:val="ARbody"/>
      </w:pPr>
      <w:r w:rsidRPr="00017A76">
        <w:t xml:space="preserve">In 2016–17, </w:t>
      </w:r>
      <w:proofErr w:type="spellStart"/>
      <w:r w:rsidRPr="008E02A3">
        <w:rPr>
          <w:i/>
        </w:rPr>
        <w:t>Wayapa</w:t>
      </w:r>
      <w:proofErr w:type="spellEnd"/>
      <w:r w:rsidRPr="008E02A3">
        <w:rPr>
          <w:i/>
        </w:rPr>
        <w:t xml:space="preserve"> </w:t>
      </w:r>
      <w:proofErr w:type="spellStart"/>
      <w:r w:rsidRPr="008E02A3">
        <w:rPr>
          <w:i/>
        </w:rPr>
        <w:t>Wuurrk</w:t>
      </w:r>
      <w:proofErr w:type="spellEnd"/>
      <w:r w:rsidR="004A0ED0">
        <w:t xml:space="preserve"> was funded to work </w:t>
      </w:r>
      <w:r w:rsidRPr="00017A76">
        <w:t>with young men in Wyndham and Melton, providing them with an opportunity to share in cultural knowledge and traditional practices.</w:t>
      </w:r>
    </w:p>
    <w:p w:rsidR="0092299C" w:rsidRPr="00017A76" w:rsidRDefault="0092299C" w:rsidP="0092299C">
      <w:pPr>
        <w:pStyle w:val="ARbody"/>
      </w:pPr>
      <w:proofErr w:type="spellStart"/>
      <w:r w:rsidRPr="001F2E2D">
        <w:t>Rumbalara</w:t>
      </w:r>
      <w:proofErr w:type="spellEnd"/>
      <w:r w:rsidRPr="00017A76">
        <w:t xml:space="preserve"> </w:t>
      </w:r>
      <w:r w:rsidR="00806AA6">
        <w:t xml:space="preserve">Aboriginal Cooperative </w:t>
      </w:r>
      <w:r w:rsidRPr="00017A76">
        <w:t>was also funded to work in Shepparton with young women, in particular young mothers, supporting them through financial education, healthy lifestyle choices, employment opportunities and advocating for affordable housing and community connectedness.</w:t>
      </w:r>
    </w:p>
    <w:tbl>
      <w:tblPr>
        <w:tblW w:w="4419"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419"/>
      </w:tblGrid>
      <w:tr w:rsidR="0092299C" w:rsidRPr="00F63571" w:rsidTr="009D62BD">
        <w:tc>
          <w:tcPr>
            <w:tcW w:w="4419" w:type="dxa"/>
            <w:tcBorders>
              <w:top w:val="single" w:sz="4" w:space="0" w:color="004C97"/>
              <w:left w:val="single" w:sz="4" w:space="0" w:color="004C97"/>
              <w:bottom w:val="single" w:sz="4" w:space="0" w:color="004C97"/>
              <w:right w:val="single" w:sz="4" w:space="0" w:color="004C97"/>
            </w:tcBorders>
            <w:shd w:val="clear" w:color="auto" w:fill="auto"/>
          </w:tcPr>
          <w:p w:rsidR="0092299C" w:rsidRPr="00F63571" w:rsidRDefault="0092299C" w:rsidP="0092299C">
            <w:pPr>
              <w:pStyle w:val="ARcasestudysubhead"/>
              <w:rPr>
                <w:lang w:val="en-AU"/>
              </w:rPr>
            </w:pPr>
            <w:r w:rsidRPr="00D428E7">
              <w:rPr>
                <w:lang w:val="en-AU"/>
              </w:rPr>
              <w:br w:type="page"/>
            </w:r>
            <w:r w:rsidRPr="00F63571">
              <w:rPr>
                <w:lang w:val="en-AU"/>
              </w:rPr>
              <w:t>Aboriginal Housing Victoria</w:t>
            </w:r>
          </w:p>
          <w:p w:rsidR="00AA035A" w:rsidRDefault="0092299C" w:rsidP="0092299C">
            <w:pPr>
              <w:pStyle w:val="ARcasestudytext"/>
            </w:pPr>
            <w:r>
              <w:t>Through the</w:t>
            </w:r>
            <w:r w:rsidR="004A0ED0">
              <w:t xml:space="preserve"> Housing Rapid Assistance Fund, </w:t>
            </w:r>
            <w:r w:rsidRPr="00F63571">
              <w:t xml:space="preserve">Aboriginal Housing Victoria received $1.9 million to spot purchase eight properties. This has allowed Lisa* to move into a home that is safer and more connected to the services she needs. Lisa is a mother of two and a victim of family violence. She originally lived in a remote town outside a larger rural centre, and while she was supported by family violence services, the perpetrator still lived nearby. </w:t>
            </w:r>
            <w:r>
              <w:t xml:space="preserve">This funding allowed her </w:t>
            </w:r>
            <w:r w:rsidRPr="00F63571">
              <w:t>to move closer to the larger town, and away from the perpetrator.</w:t>
            </w:r>
          </w:p>
          <w:p w:rsidR="0092299C" w:rsidRPr="00F63571" w:rsidRDefault="0092299C" w:rsidP="0092299C">
            <w:pPr>
              <w:pStyle w:val="ARcasestudytext"/>
            </w:pPr>
            <w:r w:rsidRPr="00F63571">
              <w:t>*</w:t>
            </w:r>
            <w:r w:rsidR="009863B8">
              <w:t xml:space="preserve"> </w:t>
            </w:r>
            <w:r w:rsidRPr="00F63571">
              <w:t>Name has been changed</w:t>
            </w:r>
          </w:p>
        </w:tc>
      </w:tr>
    </w:tbl>
    <w:p w:rsidR="0092299C" w:rsidRPr="00F63571" w:rsidRDefault="0092299C" w:rsidP="0092299C">
      <w:pPr>
        <w:pStyle w:val="Heading4"/>
      </w:pPr>
      <w:r w:rsidRPr="00F63571">
        <w:t>Disability</w:t>
      </w:r>
    </w:p>
    <w:p w:rsidR="0092299C" w:rsidRPr="00DD1857" w:rsidRDefault="0092299C" w:rsidP="0092299C">
      <w:pPr>
        <w:pStyle w:val="Heading5"/>
        <w:rPr>
          <w:lang w:eastAsia="en-AU"/>
        </w:rPr>
      </w:pPr>
      <w:r w:rsidRPr="00F63571">
        <w:t>State disability plan</w:t>
      </w:r>
    </w:p>
    <w:p w:rsidR="0092299C" w:rsidRPr="00DD1857" w:rsidRDefault="0092299C" w:rsidP="0092299C">
      <w:pPr>
        <w:pStyle w:val="ARbody"/>
        <w:keepNext/>
        <w:keepLines/>
        <w:rPr>
          <w:lang w:eastAsia="en-AU"/>
        </w:rPr>
      </w:pPr>
      <w:r w:rsidRPr="00832F20">
        <w:rPr>
          <w:i/>
        </w:rPr>
        <w:t xml:space="preserve">Absolutely everyone: </w:t>
      </w:r>
      <w:r>
        <w:rPr>
          <w:i/>
        </w:rPr>
        <w:t>s</w:t>
      </w:r>
      <w:r w:rsidRPr="00832F20">
        <w:rPr>
          <w:i/>
        </w:rPr>
        <w:t>tate disability plan 2017–20</w:t>
      </w:r>
      <w:r w:rsidRPr="00F63571">
        <w:rPr>
          <w:i/>
        </w:rPr>
        <w:t xml:space="preserve"> </w:t>
      </w:r>
      <w:r w:rsidRPr="00F63571">
        <w:t>was released in December 2016.</w:t>
      </w:r>
      <w:r>
        <w:rPr>
          <w:lang w:eastAsia="en-AU"/>
        </w:rPr>
        <w:t xml:space="preserve">The plan </w:t>
      </w:r>
      <w:r w:rsidRPr="00F63571">
        <w:t>provides an overarching framework for improving the way mainstream services and environments work for all people with a disability living in or visiting Victoria</w:t>
      </w:r>
      <w:r w:rsidRPr="00DD1857">
        <w:rPr>
          <w:lang w:eastAsia="en-AU"/>
        </w:rPr>
        <w:t xml:space="preserve">. It sets out </w:t>
      </w:r>
      <w:r>
        <w:rPr>
          <w:lang w:eastAsia="en-AU"/>
        </w:rPr>
        <w:t xml:space="preserve">the government’s </w:t>
      </w:r>
      <w:r w:rsidRPr="00DD1857">
        <w:rPr>
          <w:lang w:eastAsia="en-AU"/>
        </w:rPr>
        <w:t xml:space="preserve">commitment to achieving greater inclusion and </w:t>
      </w:r>
      <w:r w:rsidRPr="00F63571">
        <w:rPr>
          <w:color w:val="000000"/>
        </w:rPr>
        <w:t>addressing current barriers and exclusions experienced by people with a disability</w:t>
      </w:r>
      <w:r>
        <w:rPr>
          <w:color w:val="000000"/>
        </w:rPr>
        <w:t>.</w:t>
      </w:r>
    </w:p>
    <w:p w:rsidR="0092299C" w:rsidRPr="00DD1857" w:rsidRDefault="0092299C" w:rsidP="0092299C">
      <w:pPr>
        <w:pStyle w:val="ARbody"/>
        <w:rPr>
          <w:lang w:eastAsia="en-AU"/>
        </w:rPr>
      </w:pPr>
      <w:r w:rsidRPr="00DD1857">
        <w:rPr>
          <w:lang w:eastAsia="en-AU"/>
        </w:rPr>
        <w:t>The plan focuses on key areas to drive change, such as adopting a universal design approach, changing attitudes, increasing access to affordable housing,</w:t>
      </w:r>
      <w:r w:rsidR="00D04DF2">
        <w:rPr>
          <w:lang w:eastAsia="en-AU"/>
        </w:rPr>
        <w:t xml:space="preserve"> public transport, schools, and </w:t>
      </w:r>
      <w:r w:rsidRPr="00DD1857">
        <w:rPr>
          <w:lang w:eastAsia="en-AU"/>
        </w:rPr>
        <w:t>jobs. It also aims to ens</w:t>
      </w:r>
      <w:r w:rsidR="00D04DF2">
        <w:rPr>
          <w:lang w:eastAsia="en-AU"/>
        </w:rPr>
        <w:t>ure that people with a </w:t>
      </w:r>
      <w:r w:rsidRPr="00DD1857">
        <w:rPr>
          <w:lang w:eastAsia="en-AU"/>
        </w:rPr>
        <w:t>disability are able to make the most of the National Disability Insurance Scheme.</w:t>
      </w:r>
    </w:p>
    <w:p w:rsidR="0092299C" w:rsidRPr="00F63571" w:rsidRDefault="0092299C" w:rsidP="0092299C">
      <w:pPr>
        <w:pStyle w:val="ARbody"/>
        <w:rPr>
          <w:color w:val="000000"/>
        </w:rPr>
      </w:pPr>
      <w:r w:rsidRPr="00F63571">
        <w:rPr>
          <w:color w:val="000000"/>
        </w:rPr>
        <w:lastRenderedPageBreak/>
        <w:t>Disability advocacy is a key priority of</w:t>
      </w:r>
      <w:r w:rsidRPr="00F63571">
        <w:rPr>
          <w:i/>
        </w:rPr>
        <w:t xml:space="preserve"> Absolutely everyone</w:t>
      </w:r>
      <w:r>
        <w:t>.</w:t>
      </w:r>
      <w:r w:rsidRPr="00F63571">
        <w:rPr>
          <w:i/>
        </w:rPr>
        <w:t xml:space="preserve"> </w:t>
      </w:r>
      <w:r>
        <w:t>Advocacy is</w:t>
      </w:r>
      <w:r w:rsidRPr="00DD1857">
        <w:t xml:space="preserve"> a</w:t>
      </w:r>
      <w:r w:rsidRPr="00F63571">
        <w:rPr>
          <w:i/>
        </w:rPr>
        <w:t xml:space="preserve"> </w:t>
      </w:r>
      <w:r w:rsidRPr="00F63571">
        <w:t>critical safeguard to protect and promote</w:t>
      </w:r>
      <w:r w:rsidRPr="00F63571">
        <w:rPr>
          <w:i/>
        </w:rPr>
        <w:t xml:space="preserve"> </w:t>
      </w:r>
      <w:r w:rsidRPr="00F63571">
        <w:t>the rights and representation of people with a disability and their families.</w:t>
      </w:r>
      <w:r w:rsidRPr="00F63571">
        <w:rPr>
          <w:color w:val="000000"/>
        </w:rPr>
        <w:t xml:space="preserve"> </w:t>
      </w:r>
      <w:r>
        <w:rPr>
          <w:color w:val="000000"/>
        </w:rPr>
        <w:t>More than 1,800 people received support in 2016</w:t>
      </w:r>
      <w:r w:rsidRPr="00F63571">
        <w:t>–17</w:t>
      </w:r>
      <w:r>
        <w:rPr>
          <w:color w:val="000000"/>
        </w:rPr>
        <w:t>, which exceeded the targets and highlights the increased demand for advocacy.</w:t>
      </w:r>
    </w:p>
    <w:p w:rsidR="00AA035A" w:rsidRDefault="0092299C" w:rsidP="0092299C">
      <w:pPr>
        <w:pStyle w:val="Heading5"/>
      </w:pPr>
      <w:r w:rsidRPr="00F63571">
        <w:t xml:space="preserve">Transition to the National </w:t>
      </w:r>
      <w:r w:rsidRPr="00DD1857">
        <w:t xml:space="preserve">Disability </w:t>
      </w:r>
      <w:r w:rsidRPr="00F63571">
        <w:t>Insurance Scheme</w:t>
      </w:r>
    </w:p>
    <w:p w:rsidR="0092299C" w:rsidRDefault="0092299C" w:rsidP="0092299C">
      <w:pPr>
        <w:pStyle w:val="ARbody"/>
      </w:pPr>
      <w:r w:rsidRPr="00017A76">
        <w:t>By the end of June 2019, 105,000 Victorians are expected to enter the National Disability Insurance Scheme (NDIS). This includes an estimated 61,000 clients of state-funded services managed by the department.</w:t>
      </w:r>
    </w:p>
    <w:p w:rsidR="0092299C" w:rsidRPr="00017A76" w:rsidRDefault="0092299C" w:rsidP="0092299C">
      <w:pPr>
        <w:pStyle w:val="ARbody"/>
      </w:pPr>
      <w:r w:rsidRPr="00017A76">
        <w:t xml:space="preserve">As of the end of June 2017, </w:t>
      </w:r>
      <w:r w:rsidR="00471ED9">
        <w:t>almost</w:t>
      </w:r>
      <w:r w:rsidRPr="00017A76">
        <w:t xml:space="preserve"> 15,000 Victorians had b</w:t>
      </w:r>
      <w:r>
        <w:t>ecome participants of the NDIS.</w:t>
      </w:r>
    </w:p>
    <w:p w:rsidR="0092299C" w:rsidRPr="00017A76" w:rsidRDefault="0092299C" w:rsidP="0092299C">
      <w:pPr>
        <w:pStyle w:val="ARbody"/>
      </w:pPr>
      <w:r w:rsidRPr="00017A76">
        <w:t>Barwon and North Eastern Melbourne</w:t>
      </w:r>
      <w:r w:rsidR="00806AA6">
        <w:t xml:space="preserve"> Areas</w:t>
      </w:r>
      <w:r w:rsidRPr="00017A76">
        <w:t xml:space="preserve"> moved to the </w:t>
      </w:r>
      <w:r>
        <w:t xml:space="preserve">full </w:t>
      </w:r>
      <w:r w:rsidRPr="00017A76">
        <w:t>NDIS</w:t>
      </w:r>
      <w:r>
        <w:t xml:space="preserve"> scheme</w:t>
      </w:r>
      <w:r w:rsidRPr="00017A76">
        <w:t xml:space="preserve"> on 1 July 2016, followed by Central Highlands on 1 January 2017 and Loddon on 1 May 2017. Further rollouts are planned across the state until 2019.</w:t>
      </w:r>
    </w:p>
    <w:p w:rsidR="0092299C" w:rsidRPr="00017A76" w:rsidRDefault="0092299C" w:rsidP="0092299C">
      <w:pPr>
        <w:pStyle w:val="ARbody"/>
      </w:pPr>
      <w:r w:rsidRPr="00017A76">
        <w:t>Significant work has been undertaken in rollout sites and across Victoria to ready participants, service providers, staff and systems for transition to the NDIS.</w:t>
      </w:r>
    </w:p>
    <w:p w:rsidR="00AA035A" w:rsidRDefault="0092299C" w:rsidP="0092299C">
      <w:pPr>
        <w:pStyle w:val="ARbody"/>
      </w:pPr>
      <w:r w:rsidRPr="00017A76">
        <w:t>In 2016–17, as part of the government’s $10 million NDIS Transition Support Package, funding was provided to a range of organisations representing people with a disability, their families, carers and advocates, as well as service providers from the mental health, aged care, and disability sectors. This enabled these organisations to provide practical information and resources to support NDIS transition.</w:t>
      </w:r>
    </w:p>
    <w:p w:rsidR="0092299C" w:rsidRPr="00017A76" w:rsidRDefault="0092299C" w:rsidP="0092299C">
      <w:pPr>
        <w:pStyle w:val="ARbody"/>
      </w:pPr>
      <w:r w:rsidRPr="00017A76">
        <w:t>This has contributed to more than 300 providers attending NDIS readiness events, and more than 300 readiness sessions for participants, their families and carers across Victoria. Sessions have been well attended, for example, in North East Melbourne</w:t>
      </w:r>
      <w:r w:rsidR="00806AA6">
        <w:t xml:space="preserve"> Area</w:t>
      </w:r>
      <w:r w:rsidRPr="00017A76">
        <w:t xml:space="preserve">, more than 2,300 participants attended </w:t>
      </w:r>
      <w:r>
        <w:t>readiness information sessions.</w:t>
      </w:r>
    </w:p>
    <w:p w:rsidR="0092299C" w:rsidRPr="00F63571" w:rsidRDefault="0092299C" w:rsidP="0092299C">
      <w:pPr>
        <w:pStyle w:val="Heading4"/>
      </w:pPr>
      <w:r w:rsidRPr="00F63571">
        <w:t>Aboriginal housing</w:t>
      </w:r>
    </w:p>
    <w:p w:rsidR="0092299C" w:rsidRPr="00F63571" w:rsidRDefault="0092299C" w:rsidP="0092299C">
      <w:pPr>
        <w:pStyle w:val="ARbody"/>
      </w:pPr>
      <w:r w:rsidRPr="00F63571">
        <w:t>The Director of Housing has transferred 511 public housing property titles to Aboriginal Housing Victoria. This is part of a total of 1,448 property titles to be transferred</w:t>
      </w:r>
      <w:r>
        <w:t xml:space="preserve"> as part of an initiative to </w:t>
      </w:r>
      <w:r w:rsidRPr="00F63571">
        <w:t xml:space="preserve">enable more culturally responsive housing services and assist Aboriginal Housing Victoria to develop innovative solutions to promote socioeconomic independence among </w:t>
      </w:r>
      <w:r w:rsidRPr="00F63571">
        <w:lastRenderedPageBreak/>
        <w:t>Aboriginal people, families and communities.</w:t>
      </w:r>
      <w:r>
        <w:t xml:space="preserve"> T</w:t>
      </w:r>
      <w:r w:rsidRPr="00F63571">
        <w:t>he homes are owned and managed by an Aboriginal organisation, which is a significant step toward</w:t>
      </w:r>
      <w:r>
        <w:t>s</w:t>
      </w:r>
      <w:r w:rsidRPr="00F63571">
        <w:t xml:space="preserve"> self-determination for Aboriginal Victorians.</w:t>
      </w:r>
    </w:p>
    <w:tbl>
      <w:tblPr>
        <w:tblW w:w="4395"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395"/>
      </w:tblGrid>
      <w:tr w:rsidR="0092299C" w:rsidRPr="00F63571" w:rsidTr="009D62BD">
        <w:tc>
          <w:tcPr>
            <w:tcW w:w="4395" w:type="dxa"/>
            <w:tcBorders>
              <w:top w:val="single" w:sz="4" w:space="0" w:color="004C97"/>
              <w:left w:val="single" w:sz="4" w:space="0" w:color="004C97"/>
              <w:bottom w:val="single" w:sz="4" w:space="0" w:color="004C97"/>
              <w:right w:val="single" w:sz="4" w:space="0" w:color="004C97"/>
            </w:tcBorders>
            <w:shd w:val="clear" w:color="auto" w:fill="auto"/>
          </w:tcPr>
          <w:p w:rsidR="0092299C" w:rsidRPr="00F63571" w:rsidRDefault="0092299C" w:rsidP="0092299C">
            <w:pPr>
              <w:pStyle w:val="ARcasestudysubhead"/>
              <w:rPr>
                <w:lang w:val="en-AU"/>
              </w:rPr>
            </w:pPr>
            <w:r w:rsidRPr="00D428E7">
              <w:rPr>
                <w:lang w:val="en-AU"/>
              </w:rPr>
              <w:br w:type="page"/>
            </w:r>
            <w:r w:rsidRPr="00DD1857">
              <w:rPr>
                <w:lang w:val="en-AU"/>
              </w:rPr>
              <w:t xml:space="preserve">Early </w:t>
            </w:r>
            <w:r>
              <w:rPr>
                <w:lang w:val="en-AU"/>
              </w:rPr>
              <w:t>t</w:t>
            </w:r>
            <w:r w:rsidRPr="00DD1857">
              <w:rPr>
                <w:lang w:val="en-AU"/>
              </w:rPr>
              <w:t>ransition</w:t>
            </w:r>
          </w:p>
          <w:p w:rsidR="00AA035A" w:rsidRDefault="0092299C" w:rsidP="0092299C">
            <w:pPr>
              <w:pStyle w:val="ARcasestudytext"/>
            </w:pPr>
            <w:r w:rsidRPr="00F63571">
              <w:t>In early 2016, Jamie</w:t>
            </w:r>
            <w:r>
              <w:t>*</w:t>
            </w:r>
            <w:r w:rsidRPr="00F63571">
              <w:t xml:space="preserve"> transitioned to the NDIS ahead of the official rollout of the scheme in the Loddon Area. Jamie was identified as eligible for an early transition to the NDIS due to his immediate need for support. The transition has given Jamie the ability to live more independently. As part of this NDIS plan, Jamie has a </w:t>
            </w:r>
            <w:proofErr w:type="spellStart"/>
            <w:r w:rsidRPr="00F63571">
              <w:t>carer</w:t>
            </w:r>
            <w:proofErr w:type="spellEnd"/>
            <w:r w:rsidRPr="00F63571">
              <w:t xml:space="preserve"> and is building his independent living skills</w:t>
            </w:r>
            <w:r>
              <w:t>,</w:t>
            </w:r>
            <w:r w:rsidRPr="00F63571">
              <w:t xml:space="preserve"> such as travelling to see his siblings and preparing meals.</w:t>
            </w:r>
          </w:p>
          <w:p w:rsidR="0092299C" w:rsidRPr="00F63571" w:rsidRDefault="0092299C" w:rsidP="0092299C">
            <w:pPr>
              <w:pStyle w:val="ARcasestudytext"/>
            </w:pPr>
            <w:r>
              <w:t>*</w:t>
            </w:r>
            <w:r w:rsidR="009863B8">
              <w:t xml:space="preserve"> </w:t>
            </w:r>
            <w:r>
              <w:t>Name has been changed.</w:t>
            </w:r>
          </w:p>
        </w:tc>
      </w:tr>
    </w:tbl>
    <w:p w:rsidR="0092299C" w:rsidRPr="00F63571" w:rsidRDefault="0092299C" w:rsidP="0092299C">
      <w:pPr>
        <w:pStyle w:val="ARbody"/>
      </w:pPr>
    </w:p>
    <w:tbl>
      <w:tblPr>
        <w:tblW w:w="4395"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395"/>
      </w:tblGrid>
      <w:tr w:rsidR="0092299C" w:rsidRPr="00F63571" w:rsidTr="009D62BD">
        <w:tc>
          <w:tcPr>
            <w:tcW w:w="4395" w:type="dxa"/>
            <w:tcBorders>
              <w:top w:val="single" w:sz="4" w:space="0" w:color="004C97"/>
              <w:left w:val="single" w:sz="4" w:space="0" w:color="004C97"/>
              <w:bottom w:val="single" w:sz="4" w:space="0" w:color="004C97"/>
              <w:right w:val="single" w:sz="4" w:space="0" w:color="004C97"/>
            </w:tcBorders>
            <w:shd w:val="clear" w:color="auto" w:fill="auto"/>
          </w:tcPr>
          <w:p w:rsidR="0092299C" w:rsidRPr="00F63571" w:rsidRDefault="0092299C" w:rsidP="0092299C">
            <w:pPr>
              <w:pStyle w:val="ARcasestudysubhead"/>
              <w:rPr>
                <w:lang w:val="en-AU"/>
              </w:rPr>
            </w:pPr>
            <w:r w:rsidRPr="00D428E7">
              <w:rPr>
                <w:lang w:val="en-AU"/>
              </w:rPr>
              <w:br w:type="page"/>
            </w:r>
            <w:r w:rsidRPr="00DD1857">
              <w:rPr>
                <w:lang w:val="en-AU"/>
              </w:rPr>
              <w:t>Transition Support Packages</w:t>
            </w:r>
          </w:p>
          <w:p w:rsidR="00AA035A" w:rsidRDefault="0092299C" w:rsidP="0092299C">
            <w:pPr>
              <w:pStyle w:val="ARcasestudytext"/>
            </w:pPr>
            <w:r w:rsidRPr="00F63571">
              <w:t>The $10 million Transition Support Package</w:t>
            </w:r>
            <w:r>
              <w:t>s program</w:t>
            </w:r>
            <w:r w:rsidRPr="00F63571">
              <w:t xml:space="preserve"> provides practical and targeted information and resources to people with a disability, their families and carers and service providers to help them adapt to the new way the NDIS will work.</w:t>
            </w:r>
          </w:p>
          <w:p w:rsidR="00AA035A" w:rsidRDefault="0092299C" w:rsidP="0092299C">
            <w:pPr>
              <w:pStyle w:val="ARcasestudytext"/>
            </w:pPr>
            <w:r w:rsidRPr="00F63571">
              <w:t>Recipients of funding have developed innovative approaches to help people understand how to get ready for the NDIS.</w:t>
            </w:r>
          </w:p>
          <w:p w:rsidR="0092299C" w:rsidRPr="00F63571" w:rsidRDefault="0092299C" w:rsidP="0092299C">
            <w:pPr>
              <w:pStyle w:val="ARcasestudytext"/>
            </w:pPr>
            <w:r>
              <w:t xml:space="preserve">This includes </w:t>
            </w:r>
            <w:r w:rsidRPr="00F63571">
              <w:t>VALID’s Families as Planning Partners project, which</w:t>
            </w:r>
            <w:r>
              <w:t xml:space="preserve"> </w:t>
            </w:r>
            <w:r w:rsidRPr="00F63571">
              <w:t xml:space="preserve">focuses on the essential role of families for many people with a cognitive impairment, and draws on the wisdom of experienced family mentors to </w:t>
            </w:r>
            <w:r>
              <w:t>share</w:t>
            </w:r>
            <w:r w:rsidRPr="00F63571">
              <w:t xml:space="preserve"> knowledge</w:t>
            </w:r>
            <w:r>
              <w:t xml:space="preserve"> with</w:t>
            </w:r>
            <w:r w:rsidRPr="00F63571">
              <w:t xml:space="preserve"> other families about the NDIS planning process.</w:t>
            </w:r>
          </w:p>
        </w:tc>
      </w:tr>
    </w:tbl>
    <w:p w:rsidR="00E42637" w:rsidRDefault="00E42637" w:rsidP="000C2968">
      <w:pPr>
        <w:pStyle w:val="Heading4"/>
      </w:pPr>
      <w:r w:rsidRPr="00E42637">
        <w:t>Abor</w:t>
      </w:r>
      <w:r w:rsidR="001B1CFB">
        <w:t xml:space="preserve">iginal Employment Strategy </w:t>
      </w:r>
      <w:r w:rsidR="005D2F3F">
        <w:t>2016–</w:t>
      </w:r>
      <w:r w:rsidRPr="00E42637">
        <w:t>2021</w:t>
      </w:r>
    </w:p>
    <w:p w:rsidR="00CC6367" w:rsidRDefault="00CC6367" w:rsidP="00CC6367">
      <w:pPr>
        <w:pStyle w:val="ARbody"/>
      </w:pPr>
      <w:r>
        <w:t>Since the launch of the</w:t>
      </w:r>
      <w:r w:rsidRPr="005D2F3F">
        <w:rPr>
          <w:i/>
        </w:rPr>
        <w:t xml:space="preserve"> Ab</w:t>
      </w:r>
      <w:r w:rsidR="001B1CFB" w:rsidRPr="005D2F3F">
        <w:rPr>
          <w:i/>
        </w:rPr>
        <w:t xml:space="preserve">original Employment Strategy </w:t>
      </w:r>
      <w:r w:rsidR="005D2F3F" w:rsidRPr="005D2F3F">
        <w:rPr>
          <w:i/>
        </w:rPr>
        <w:t>2016–</w:t>
      </w:r>
      <w:r w:rsidRPr="005D2F3F">
        <w:rPr>
          <w:i/>
        </w:rPr>
        <w:t xml:space="preserve">2021 </w:t>
      </w:r>
      <w:r>
        <w:t>there has been a significant increase in the number of Aboriginal staff working for the Department of Health and Human Services. Aboriginal people working for the department increased from 126 (0.97</w:t>
      </w:r>
      <w:r w:rsidR="00C37EA4">
        <w:t xml:space="preserve"> per cent</w:t>
      </w:r>
      <w:r w:rsidR="00D04DF2">
        <w:t>) to </w:t>
      </w:r>
      <w:r>
        <w:t xml:space="preserve">173 </w:t>
      </w:r>
      <w:r w:rsidR="001B1CFB">
        <w:t>(1.34</w:t>
      </w:r>
      <w:r w:rsidR="00C37EA4">
        <w:t xml:space="preserve"> per cent</w:t>
      </w:r>
      <w:r w:rsidR="001B1CFB">
        <w:t>) in the first year. The s</w:t>
      </w:r>
      <w:r>
        <w:t>trategy has produced a positive shift in our Aboriginal staff profile, tripling the number of Aboriginal senior leadership and executive level roles and tripling our Aboriginal child protection workforce.</w:t>
      </w:r>
    </w:p>
    <w:p w:rsidR="00AA035A" w:rsidRDefault="00CC6367" w:rsidP="00CC6367">
      <w:pPr>
        <w:pStyle w:val="ARbody"/>
      </w:pPr>
      <w:r>
        <w:lastRenderedPageBreak/>
        <w:t>We have introduced pipeline initiatives such as the Career Trackers Internship offering paid summer internships to Aboriginal tertiary students in both generalist and child protection streams with outcomes for part time employment while students complete their degrees.</w:t>
      </w:r>
    </w:p>
    <w:p w:rsidR="00CC6367" w:rsidRDefault="00CC6367" w:rsidP="00CC6367">
      <w:pPr>
        <w:pStyle w:val="ARbody"/>
      </w:pPr>
      <w:r>
        <w:t xml:space="preserve">A scholarship program offering tertiary, secondary and professional development opportunities resulted in three Aboriginal tertiary students receiving scholarships, 30 Aboriginal secondary school student scholarships, and Aboriginal staff were supported to undertake the ANZSOG </w:t>
      </w:r>
      <w:proofErr w:type="spellStart"/>
      <w:r>
        <w:t>Masters</w:t>
      </w:r>
      <w:proofErr w:type="spellEnd"/>
      <w:r>
        <w:t xml:space="preserve"> Program and PhD studies.</w:t>
      </w:r>
    </w:p>
    <w:p w:rsidR="00E42637" w:rsidRDefault="00CC6367" w:rsidP="000C2968">
      <w:pPr>
        <w:pStyle w:val="ARbody"/>
      </w:pPr>
      <w:r>
        <w:t xml:space="preserve">The </w:t>
      </w:r>
      <w:r w:rsidRPr="001B1CFB">
        <w:rPr>
          <w:i/>
        </w:rPr>
        <w:t xml:space="preserve">Aboriginal </w:t>
      </w:r>
      <w:r w:rsidR="001B1CFB">
        <w:rPr>
          <w:i/>
        </w:rPr>
        <w:t>E</w:t>
      </w:r>
      <w:r w:rsidR="001B1CFB" w:rsidRPr="001B1CFB">
        <w:rPr>
          <w:i/>
        </w:rPr>
        <w:t xml:space="preserve">mployment </w:t>
      </w:r>
      <w:r w:rsidR="001B1CFB">
        <w:rPr>
          <w:i/>
        </w:rPr>
        <w:t>S</w:t>
      </w:r>
      <w:r w:rsidR="001B1CFB" w:rsidRPr="001B1CFB">
        <w:rPr>
          <w:i/>
        </w:rPr>
        <w:t>trategy</w:t>
      </w:r>
      <w:r w:rsidR="001B1CFB">
        <w:t xml:space="preserve"> </w:t>
      </w:r>
      <w:r>
        <w:t>is a testament to the great things that can be achieved with concerted effort and commitment.</w:t>
      </w:r>
    </w:p>
    <w:p w:rsidR="0092299C" w:rsidRPr="00F63571" w:rsidRDefault="0092299C" w:rsidP="000C2968">
      <w:pPr>
        <w:pStyle w:val="Heading4"/>
      </w:pPr>
      <w:r w:rsidRPr="00F63571">
        <w:t>Sport and recreation</w:t>
      </w:r>
    </w:p>
    <w:p w:rsidR="0092299C" w:rsidRPr="008E02A3" w:rsidRDefault="0092299C" w:rsidP="0092299C">
      <w:pPr>
        <w:pStyle w:val="Heading5"/>
      </w:pPr>
      <w:r w:rsidRPr="008E02A3">
        <w:t>Improving sport and recreation facilities</w:t>
      </w:r>
    </w:p>
    <w:p w:rsidR="0092299C" w:rsidRPr="00F63571" w:rsidRDefault="0092299C" w:rsidP="0092299C">
      <w:pPr>
        <w:pStyle w:val="ARbody"/>
      </w:pPr>
      <w:r>
        <w:t>T</w:t>
      </w:r>
      <w:r w:rsidRPr="00F63571">
        <w:t>he government is providing $175 million to build and upgrade a range of important community sports and recreation facilities throughout Victoria.</w:t>
      </w:r>
    </w:p>
    <w:p w:rsidR="0092299C" w:rsidRPr="00F63571" w:rsidRDefault="0092299C" w:rsidP="0092299C">
      <w:pPr>
        <w:pStyle w:val="ARbody"/>
      </w:pPr>
      <w:r>
        <w:t>In 2016</w:t>
      </w:r>
      <w:r w:rsidRPr="00017A76">
        <w:t>–17</w:t>
      </w:r>
      <w:r>
        <w:t>, a</w:t>
      </w:r>
      <w:r w:rsidRPr="00F63571">
        <w:t xml:space="preserve"> total of 177 community facility grants were approved under the Community Sports Infrastructure Fund and other community facility funding programs</w:t>
      </w:r>
      <w:r>
        <w:t>,</w:t>
      </w:r>
      <w:r w:rsidRPr="00F63571">
        <w:t xml:space="preserve"> such as the Inner-City Netball Progra</w:t>
      </w:r>
      <w:r>
        <w:t>m, exceeding the target of 140.</w:t>
      </w:r>
    </w:p>
    <w:p w:rsidR="0092299C" w:rsidRPr="00F63571" w:rsidRDefault="0092299C" w:rsidP="0092299C">
      <w:pPr>
        <w:pStyle w:val="ARbody"/>
      </w:pPr>
      <w:r w:rsidRPr="00F63571">
        <w:t xml:space="preserve">A number of community facility projects funded in previous years were completed and opened in 2016–17, including the </w:t>
      </w:r>
      <w:proofErr w:type="spellStart"/>
      <w:r w:rsidRPr="00F63571">
        <w:t>Booran</w:t>
      </w:r>
      <w:proofErr w:type="spellEnd"/>
      <w:r w:rsidRPr="00F63571">
        <w:t xml:space="preserve"> Reserve </w:t>
      </w:r>
      <w:r>
        <w:t>r</w:t>
      </w:r>
      <w:r w:rsidRPr="00F63571">
        <w:t>edevelopment in Glen Huntly and the installation of lighting at Kyneton Football and Netball Club.</w:t>
      </w:r>
    </w:p>
    <w:p w:rsidR="0092299C" w:rsidRPr="00F63571" w:rsidRDefault="0092299C" w:rsidP="0092299C">
      <w:pPr>
        <w:pStyle w:val="ARbody"/>
      </w:pPr>
      <w:r w:rsidRPr="00F63571">
        <w:t>The department continued to roll out its initiative to install 1,000 defibrillators in Victorian sporting clubs and facilities with nearly 600 defibrillators allocated and approximately 450 delivered.</w:t>
      </w:r>
    </w:p>
    <w:p w:rsidR="0092299C" w:rsidRPr="00F63571" w:rsidRDefault="0092299C" w:rsidP="0092299C">
      <w:pPr>
        <w:pStyle w:val="ARbody"/>
      </w:pPr>
      <w:r w:rsidRPr="00F63571">
        <w:t>In May 2017, Sport and Recreation Victoria hosted the inaugural Female-Friendly Facilities Symposium at the Melbourne Cricket Ground. The symposium provided opportunities for stakeholders to hear and share information relating to the demand and development of facilities for female sport and active recreation.</w:t>
      </w:r>
    </w:p>
    <w:p w:rsidR="0092299C" w:rsidRPr="00F63571" w:rsidRDefault="00B62091" w:rsidP="0092299C">
      <w:pPr>
        <w:pStyle w:val="ARbody"/>
      </w:pPr>
      <w:r>
        <w:br w:type="column"/>
      </w:r>
      <w:r w:rsidR="0092299C" w:rsidRPr="00F63571">
        <w:lastRenderedPageBreak/>
        <w:t xml:space="preserve">Victoria’s reputation as </w:t>
      </w:r>
      <w:r w:rsidR="0092299C">
        <w:t>Australia’s</w:t>
      </w:r>
      <w:r w:rsidR="0092299C" w:rsidRPr="00F63571">
        <w:t xml:space="preserve"> sporting capital has been enhanced through investment in redeveloping key state sport facilities. This includes the transformation of Melbourne Park, which continued in 2016–17 with the completion of </w:t>
      </w:r>
      <w:proofErr w:type="spellStart"/>
      <w:r w:rsidR="0092299C" w:rsidRPr="00F63571">
        <w:t>Tanderrum</w:t>
      </w:r>
      <w:proofErr w:type="spellEnd"/>
      <w:r w:rsidR="0092299C" w:rsidRPr="00F63571">
        <w:t xml:space="preserve"> Bridge, the precinct’s new gateway from the city via </w:t>
      </w:r>
      <w:proofErr w:type="spellStart"/>
      <w:r w:rsidR="0092299C" w:rsidRPr="00F63571">
        <w:t>Birrarung</w:t>
      </w:r>
      <w:proofErr w:type="spellEnd"/>
      <w:r w:rsidR="0092299C" w:rsidRPr="00F63571">
        <w:t xml:space="preserve"> Marr, and the commencement of detailed planning for stage 3 </w:t>
      </w:r>
      <w:r w:rsidR="001B1CFB">
        <w:br/>
      </w:r>
      <w:r w:rsidR="0092299C" w:rsidRPr="00F63571">
        <w:t>of the redevelopment.</w:t>
      </w:r>
    </w:p>
    <w:p w:rsidR="0092299C" w:rsidRPr="00F63571" w:rsidRDefault="0092299C" w:rsidP="0092299C">
      <w:pPr>
        <w:pStyle w:val="ARbody"/>
      </w:pPr>
      <w:r w:rsidRPr="00F63571">
        <w:t>The fourth stage of the redevelopment of Kardinia Park (Simonds) Stadium in Geelong was completed during 2016–17, and funding was allocated for the fifth and final stage of redevelopment, which will lift the stadium’s capacity to approximately 40,000, allowing it to at</w:t>
      </w:r>
      <w:r>
        <w:t>tract larger events to Geelong.</w:t>
      </w:r>
    </w:p>
    <w:p w:rsidR="0092299C" w:rsidRPr="00F63571" w:rsidRDefault="0092299C" w:rsidP="0092299C">
      <w:pPr>
        <w:pStyle w:val="ARbody"/>
        <w:rPr>
          <w:i/>
        </w:rPr>
      </w:pPr>
      <w:r w:rsidRPr="00F63571">
        <w:t xml:space="preserve">The development of the State Cricket Centre at Junction Oval in St Kilda progressed. This included the </w:t>
      </w:r>
      <w:r>
        <w:t xml:space="preserve">staged </w:t>
      </w:r>
      <w:r w:rsidRPr="00F63571">
        <w:t>completion of works on the oval in March 2017</w:t>
      </w:r>
      <w:r w:rsidRPr="00F63571">
        <w:rPr>
          <w:rFonts w:ascii="Calibri" w:hAnsi="Calibri"/>
          <w:sz w:val="27"/>
          <w:szCs w:val="27"/>
        </w:rPr>
        <w:t>.</w:t>
      </w:r>
    </w:p>
    <w:p w:rsidR="0092299C" w:rsidRPr="00F63571" w:rsidRDefault="0092299C" w:rsidP="0092299C">
      <w:pPr>
        <w:pStyle w:val="ARbody"/>
        <w:rPr>
          <w:i/>
        </w:rPr>
      </w:pPr>
      <w:r w:rsidRPr="00DD1857">
        <w:t xml:space="preserve">Construction work at Mars (formerly Eureka) Stadium in Ballarat continued with the installation of eight light towers and the progressive implementation of the east and west grandstand infrastructure. A new video scoreboard was opened on 5 June 2017, </w:t>
      </w:r>
      <w:r>
        <w:t>and</w:t>
      </w:r>
      <w:r w:rsidRPr="00DD1857">
        <w:t xml:space="preserve"> stadium se</w:t>
      </w:r>
      <w:r>
        <w:t>ating was also completed.</w:t>
      </w:r>
    </w:p>
    <w:p w:rsidR="00AA035A" w:rsidRDefault="0092299C" w:rsidP="0092299C">
      <w:pPr>
        <w:pStyle w:val="Heading5"/>
      </w:pPr>
      <w:r w:rsidRPr="00F63571">
        <w:t>Inspiring Victoria’s aspiring athletes through significant sporting events</w:t>
      </w:r>
    </w:p>
    <w:p w:rsidR="0092299C" w:rsidRPr="00F63571" w:rsidRDefault="0092299C" w:rsidP="0092299C">
      <w:pPr>
        <w:pStyle w:val="ARbody"/>
      </w:pPr>
      <w:r w:rsidRPr="00F63571">
        <w:t>Eighty events, mainly funded through the Significant Sporting Events Program, were held around Victoria</w:t>
      </w:r>
      <w:r>
        <w:t xml:space="preserve"> in 2016</w:t>
      </w:r>
      <w:r w:rsidRPr="00017A76">
        <w:t>–17</w:t>
      </w:r>
      <w:r w:rsidRPr="00F63571">
        <w:t>, including a large number in regional Victoria. These events increase the liveability of regional communities, and provide opportunities for sports to develop their coaches and officials and promote participation to the wider community.</w:t>
      </w:r>
    </w:p>
    <w:p w:rsidR="00AA035A" w:rsidRDefault="0092299C" w:rsidP="0092299C">
      <w:pPr>
        <w:pStyle w:val="Heading5"/>
      </w:pPr>
      <w:r w:rsidRPr="00F63571">
        <w:t>Increasing and enhancing sport and recreation opportunities</w:t>
      </w:r>
    </w:p>
    <w:p w:rsidR="0092299C" w:rsidRDefault="0092299C" w:rsidP="0092299C">
      <w:pPr>
        <w:pStyle w:val="ARbody"/>
      </w:pPr>
      <w:r w:rsidRPr="00F63571">
        <w:t>The Supporting Victorian Sport and Recreation program provided funding to 97 state sporting associations and state sport and recreation bodies</w:t>
      </w:r>
      <w:r>
        <w:t xml:space="preserve"> in 2016</w:t>
      </w:r>
      <w:r w:rsidRPr="00F63571">
        <w:t>–17 to increase participation in community sp</w:t>
      </w:r>
      <w:r>
        <w:t>ort and recreation in Victoria.</w:t>
      </w:r>
    </w:p>
    <w:p w:rsidR="0092299C" w:rsidRPr="00F63571" w:rsidRDefault="0092299C" w:rsidP="0092299C">
      <w:pPr>
        <w:pStyle w:val="ARbody"/>
      </w:pPr>
      <w:r w:rsidRPr="00F63571">
        <w:t>Other initiatives to increase participation, including Premier’s Active April and Ride2School, continued in 2016–17. A record 112,568 people registered for Premier’s Active April.</w:t>
      </w:r>
    </w:p>
    <w:p w:rsidR="0092299C" w:rsidRPr="00F63571" w:rsidRDefault="0092299C" w:rsidP="0092299C">
      <w:pPr>
        <w:pStyle w:val="Heading5"/>
      </w:pPr>
      <w:r w:rsidRPr="00F63571">
        <w:lastRenderedPageBreak/>
        <w:t xml:space="preserve">Inquiry into </w:t>
      </w:r>
      <w:r>
        <w:t>W</w:t>
      </w:r>
      <w:r w:rsidRPr="00F63571">
        <w:t xml:space="preserve">omen and </w:t>
      </w:r>
      <w:r>
        <w:t>G</w:t>
      </w:r>
      <w:r w:rsidRPr="00F63571">
        <w:t xml:space="preserve">irls in </w:t>
      </w:r>
      <w:r>
        <w:t>S</w:t>
      </w:r>
      <w:r w:rsidRPr="00F63571">
        <w:t xml:space="preserve">port and </w:t>
      </w:r>
      <w:r>
        <w:t>A</w:t>
      </w:r>
      <w:r w:rsidRPr="00F63571">
        <w:t xml:space="preserve">ctive </w:t>
      </w:r>
      <w:r>
        <w:t>R</w:t>
      </w:r>
      <w:r w:rsidRPr="00F63571">
        <w:t>ecreation</w:t>
      </w:r>
    </w:p>
    <w:p w:rsidR="00AA035A" w:rsidRDefault="0092299C" w:rsidP="0092299C">
      <w:pPr>
        <w:pStyle w:val="ARbody"/>
      </w:pPr>
      <w:r w:rsidRPr="00F63571">
        <w:t xml:space="preserve">The </w:t>
      </w:r>
      <w:r>
        <w:t xml:space="preserve">department worked </w:t>
      </w:r>
      <w:r w:rsidRPr="00F63571">
        <w:t xml:space="preserve">closely with the sector to implement the </w:t>
      </w:r>
      <w:r>
        <w:t>i</w:t>
      </w:r>
      <w:r w:rsidRPr="00F63571">
        <w:t xml:space="preserve">nquiry’s </w:t>
      </w:r>
      <w:r>
        <w:t>r</w:t>
      </w:r>
      <w:r w:rsidRPr="00F63571">
        <w:t>ecommendations.</w:t>
      </w:r>
    </w:p>
    <w:p w:rsidR="0092299C" w:rsidRPr="00F63571" w:rsidRDefault="0092299C" w:rsidP="0092299C">
      <w:pPr>
        <w:pStyle w:val="ARbody"/>
      </w:pPr>
      <w:r w:rsidRPr="00F63571">
        <w:t>In November 2016, the Change Our Game initiative was announced. The initiative is designed to bring organisations together in a shared, collaborative effort to increase leadership and participation by women and girls. It includes:</w:t>
      </w:r>
    </w:p>
    <w:p w:rsidR="0092299C" w:rsidRPr="00F63571" w:rsidRDefault="0092299C" w:rsidP="00970C36">
      <w:pPr>
        <w:pStyle w:val="ARbullet1"/>
      </w:pPr>
      <w:r w:rsidRPr="00F63571">
        <w:t xml:space="preserve">a social media campaign and </w:t>
      </w:r>
      <w:hyperlink r:id="rId35" w:history="1">
        <w:r w:rsidRPr="00CE0105">
          <w:rPr>
            <w:rStyle w:val="Hyperlink"/>
          </w:rPr>
          <w:t xml:space="preserve">website </w:t>
        </w:r>
        <w:r w:rsidR="000E5341" w:rsidRPr="00CE0105">
          <w:rPr>
            <w:rStyle w:val="Hyperlink"/>
          </w:rPr>
          <w:t>to </w:t>
        </w:r>
        <w:r w:rsidRPr="00CE0105">
          <w:rPr>
            <w:rStyle w:val="Hyperlink"/>
          </w:rPr>
          <w:t>inspire and motivate change</w:t>
        </w:r>
      </w:hyperlink>
      <w:r w:rsidR="000E5341">
        <w:t xml:space="preserve"> </w:t>
      </w:r>
      <w:r w:rsidR="000E5341" w:rsidRPr="00970C36">
        <w:t>&lt;</w:t>
      </w:r>
      <w:r w:rsidR="000E5341" w:rsidRPr="000E5341">
        <w:t>http://www.changeourgame.vic.gov.au</w:t>
      </w:r>
      <w:r w:rsidR="000E5341">
        <w:t>&gt;</w:t>
      </w:r>
    </w:p>
    <w:p w:rsidR="0092299C" w:rsidRDefault="0092299C" w:rsidP="00F91CA3">
      <w:pPr>
        <w:pStyle w:val="ARbullet1"/>
      </w:pPr>
      <w:r w:rsidRPr="00F63571">
        <w:t>a toolkit for sport and recreation organisations seeking to increase the number of women on boards and in executive roles.</w:t>
      </w:r>
    </w:p>
    <w:p w:rsidR="0092299C" w:rsidRPr="00365324" w:rsidRDefault="00BF2BF1" w:rsidP="0092299C">
      <w:pPr>
        <w:pStyle w:val="Heading5"/>
      </w:pPr>
      <w:r>
        <w:br w:type="column"/>
      </w:r>
      <w:r w:rsidR="0092299C" w:rsidRPr="00365324">
        <w:lastRenderedPageBreak/>
        <w:t>Sporting Club Grants Program</w:t>
      </w:r>
    </w:p>
    <w:p w:rsidR="0092299C" w:rsidRPr="00365324" w:rsidRDefault="0092299C" w:rsidP="0092299C">
      <w:pPr>
        <w:pStyle w:val="ARbody"/>
      </w:pPr>
      <w:r w:rsidRPr="00365324">
        <w:t>This program provided a total of 739 grants to local sporting clubs in 2016</w:t>
      </w:r>
      <w:r w:rsidRPr="00F63571">
        <w:t>–17</w:t>
      </w:r>
      <w:r w:rsidRPr="00365324">
        <w:t xml:space="preserve"> to:</w:t>
      </w:r>
    </w:p>
    <w:p w:rsidR="0092299C" w:rsidRPr="00365324" w:rsidRDefault="0092299C" w:rsidP="0092299C">
      <w:pPr>
        <w:pStyle w:val="ARbullet1"/>
      </w:pPr>
      <w:r w:rsidRPr="00365324">
        <w:t>assist in the purchase of sporting uniforms and equipment</w:t>
      </w:r>
    </w:p>
    <w:p w:rsidR="0092299C" w:rsidRPr="00365324" w:rsidRDefault="0092299C" w:rsidP="0092299C">
      <w:pPr>
        <w:pStyle w:val="ARbullet1"/>
      </w:pPr>
      <w:r w:rsidRPr="00365324">
        <w:t>improve the capacity and accessibility of clubs and other community sport and recreation organisations</w:t>
      </w:r>
    </w:p>
    <w:p w:rsidR="00AA035A" w:rsidRDefault="0092299C" w:rsidP="00F91CA3">
      <w:pPr>
        <w:pStyle w:val="ARbullet1"/>
      </w:pPr>
      <w:r w:rsidRPr="00365324">
        <w:t>increase the skills of coaches, officials and managers.</w:t>
      </w:r>
    </w:p>
    <w:p w:rsidR="0092299C" w:rsidRPr="00F63571" w:rsidRDefault="0092299C" w:rsidP="0092299C">
      <w:pPr>
        <w:pStyle w:val="Heading5"/>
      </w:pPr>
      <w:r w:rsidRPr="00F63571">
        <w:t>Athlete pathway travel grants</w:t>
      </w:r>
    </w:p>
    <w:p w:rsidR="0092299C" w:rsidRPr="00F63571" w:rsidRDefault="0092299C" w:rsidP="0092299C">
      <w:pPr>
        <w:pStyle w:val="ARbody"/>
      </w:pPr>
      <w:r w:rsidRPr="00F63571">
        <w:t>This program provides a single entry point to improve Victorian athlete development pathways from community to national representation. It provides grants to help remove the barrier of travel and accommodation costs to Victoria’s aspiring athletes</w:t>
      </w:r>
      <w:r>
        <w:t>.</w:t>
      </w:r>
      <w:r w:rsidRPr="00F63571">
        <w:t xml:space="preserve"> In 2016–17, the program allocated 328</w:t>
      </w:r>
      <w:r>
        <w:t> </w:t>
      </w:r>
      <w:r w:rsidRPr="00F63571">
        <w:t xml:space="preserve">grants </w:t>
      </w:r>
      <w:r>
        <w:t>with a total value of $561,500.</w:t>
      </w:r>
    </w:p>
    <w:p w:rsidR="00F31B4D" w:rsidRDefault="00F31B4D" w:rsidP="0092299C">
      <w:pPr>
        <w:pStyle w:val="ARbody"/>
        <w:sectPr w:rsidR="00F31B4D" w:rsidSect="0093192F">
          <w:endnotePr>
            <w:numFmt w:val="decimal"/>
          </w:endnotePr>
          <w:type w:val="continuous"/>
          <w:pgSz w:w="11900" w:h="16840" w:code="9"/>
          <w:pgMar w:top="1531" w:right="851" w:bottom="680" w:left="1418" w:header="510" w:footer="340" w:gutter="0"/>
          <w:cols w:num="2" w:space="720"/>
        </w:sectPr>
      </w:pPr>
    </w:p>
    <w:p w:rsidR="0092299C" w:rsidRPr="002B1770" w:rsidRDefault="0092299C" w:rsidP="00BF2BF1">
      <w:pPr>
        <w:pStyle w:val="Heading3"/>
        <w:spacing w:before="400"/>
      </w:pPr>
      <w:r>
        <w:lastRenderedPageBreak/>
        <w:t>O</w:t>
      </w:r>
      <w:r w:rsidRPr="002B1770">
        <w:t xml:space="preserve">bjective 5 </w:t>
      </w:r>
      <w:r w:rsidRPr="00BE218F">
        <w:t>indicator</w:t>
      </w:r>
      <w:r w:rsidRPr="002B1770">
        <w:t xml:space="preserve">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4647"/>
        <w:gridCol w:w="1288"/>
        <w:gridCol w:w="1288"/>
        <w:gridCol w:w="1322"/>
        <w:gridCol w:w="1094"/>
      </w:tblGrid>
      <w:tr w:rsidR="0092299C" w:rsidRPr="002B1770" w:rsidTr="00B21F15">
        <w:trPr>
          <w:cantSplit/>
          <w:tblHeader/>
        </w:trPr>
        <w:tc>
          <w:tcPr>
            <w:tcW w:w="4647" w:type="dxa"/>
            <w:tcBorders>
              <w:bottom w:val="single" w:sz="4" w:space="0" w:color="auto"/>
            </w:tcBorders>
            <w:shd w:val="clear" w:color="auto" w:fill="auto"/>
            <w:vAlign w:val="bottom"/>
          </w:tcPr>
          <w:p w:rsidR="0092299C" w:rsidRPr="002B1770" w:rsidRDefault="0092299C" w:rsidP="0092299C">
            <w:pPr>
              <w:pStyle w:val="ARtablecolhead"/>
            </w:pPr>
          </w:p>
        </w:tc>
        <w:tc>
          <w:tcPr>
            <w:tcW w:w="1288" w:type="dxa"/>
            <w:tcBorders>
              <w:bottom w:val="single" w:sz="4" w:space="0" w:color="auto"/>
            </w:tcBorders>
          </w:tcPr>
          <w:p w:rsidR="0092299C" w:rsidRPr="002B1770" w:rsidRDefault="0092299C" w:rsidP="0092299C">
            <w:pPr>
              <w:pStyle w:val="ARtablecolhead"/>
            </w:pPr>
            <w:r w:rsidRPr="002B1770">
              <w:t>2013–14</w:t>
            </w:r>
          </w:p>
        </w:tc>
        <w:tc>
          <w:tcPr>
            <w:tcW w:w="1288" w:type="dxa"/>
            <w:tcBorders>
              <w:bottom w:val="single" w:sz="4" w:space="0" w:color="auto"/>
            </w:tcBorders>
            <w:shd w:val="clear" w:color="auto" w:fill="auto"/>
            <w:vAlign w:val="bottom"/>
          </w:tcPr>
          <w:p w:rsidR="0092299C" w:rsidRPr="002B1770" w:rsidRDefault="0092299C" w:rsidP="0092299C">
            <w:pPr>
              <w:pStyle w:val="ARtablecolhead"/>
            </w:pPr>
            <w:r w:rsidRPr="002B1770">
              <w:t>2014–15</w:t>
            </w:r>
          </w:p>
        </w:tc>
        <w:tc>
          <w:tcPr>
            <w:tcW w:w="1322" w:type="dxa"/>
            <w:tcBorders>
              <w:bottom w:val="single" w:sz="4" w:space="0" w:color="auto"/>
            </w:tcBorders>
            <w:shd w:val="clear" w:color="auto" w:fill="auto"/>
            <w:vAlign w:val="bottom"/>
          </w:tcPr>
          <w:p w:rsidR="0092299C" w:rsidRPr="002B1770" w:rsidRDefault="0092299C" w:rsidP="0092299C">
            <w:pPr>
              <w:pStyle w:val="ARtablecolhead"/>
            </w:pPr>
            <w:r w:rsidRPr="002B1770">
              <w:t>2015–16</w:t>
            </w:r>
          </w:p>
        </w:tc>
        <w:tc>
          <w:tcPr>
            <w:tcW w:w="1094" w:type="dxa"/>
            <w:tcBorders>
              <w:bottom w:val="single" w:sz="4" w:space="0" w:color="auto"/>
            </w:tcBorders>
          </w:tcPr>
          <w:p w:rsidR="0092299C" w:rsidRPr="002B1770" w:rsidRDefault="0092299C" w:rsidP="0092299C">
            <w:pPr>
              <w:pStyle w:val="ARtablecolhead"/>
            </w:pPr>
            <w:r w:rsidRPr="002B1770">
              <w:t>20</w:t>
            </w:r>
            <w:r>
              <w:t>16–17</w:t>
            </w:r>
          </w:p>
        </w:tc>
      </w:tr>
      <w:tr w:rsidR="00C11E2D" w:rsidRPr="002B1770" w:rsidTr="0010061B">
        <w:trPr>
          <w:cantSplit/>
        </w:trPr>
        <w:tc>
          <w:tcPr>
            <w:tcW w:w="9639" w:type="dxa"/>
            <w:gridSpan w:val="5"/>
            <w:tcBorders>
              <w:top w:val="single" w:sz="4" w:space="0" w:color="auto"/>
              <w:bottom w:val="single" w:sz="4" w:space="0" w:color="BFBFBF" w:themeColor="background1" w:themeShade="BF"/>
            </w:tcBorders>
          </w:tcPr>
          <w:p w:rsidR="00C11E2D" w:rsidRPr="002B1770" w:rsidRDefault="00C11E2D" w:rsidP="0092299C">
            <w:pPr>
              <w:pStyle w:val="ARtablebluebold"/>
            </w:pPr>
            <w:r w:rsidRPr="002B1770">
              <w:t xml:space="preserve">People with a disability who participate in social </w:t>
            </w:r>
            <w:r w:rsidRPr="002B1770">
              <w:br/>
              <w:t>and community activities</w:t>
            </w:r>
          </w:p>
        </w:tc>
      </w:tr>
      <w:tr w:rsidR="0092299C" w:rsidRPr="002B1770" w:rsidTr="00B21F15">
        <w:trPr>
          <w:cantSplit/>
        </w:trPr>
        <w:tc>
          <w:tcPr>
            <w:tcW w:w="4647" w:type="dxa"/>
            <w:tcBorders>
              <w:top w:val="single" w:sz="4" w:space="0" w:color="BFBFBF" w:themeColor="background1" w:themeShade="BF"/>
              <w:left w:val="nil"/>
              <w:bottom w:val="single" w:sz="4" w:space="0" w:color="FFFFFF"/>
              <w:right w:val="nil"/>
            </w:tcBorders>
            <w:shd w:val="clear" w:color="auto" w:fill="auto"/>
          </w:tcPr>
          <w:p w:rsidR="0092299C" w:rsidRPr="002B1770" w:rsidRDefault="0092299C" w:rsidP="00B21F15">
            <w:pPr>
              <w:pStyle w:val="ARtabletext"/>
            </w:pPr>
            <w:r w:rsidRPr="00847FC4">
              <w:t>Number of individuals who u</w:t>
            </w:r>
            <w:r w:rsidR="00B21F15">
              <w:t>sed disability support services</w:t>
            </w:r>
          </w:p>
        </w:tc>
        <w:tc>
          <w:tcPr>
            <w:tcW w:w="1288" w:type="dxa"/>
            <w:tcBorders>
              <w:top w:val="single" w:sz="4" w:space="0" w:color="BFBFBF" w:themeColor="background1" w:themeShade="BF"/>
              <w:left w:val="nil"/>
              <w:bottom w:val="single" w:sz="4" w:space="0" w:color="FFFFFF"/>
              <w:right w:val="nil"/>
            </w:tcBorders>
          </w:tcPr>
          <w:p w:rsidR="0092299C" w:rsidRPr="002B1770" w:rsidRDefault="0092299C" w:rsidP="0092299C">
            <w:pPr>
              <w:pStyle w:val="ARtabletext"/>
            </w:pPr>
            <w:r w:rsidRPr="002B1770">
              <w:t>74,865</w:t>
            </w:r>
          </w:p>
        </w:tc>
        <w:tc>
          <w:tcPr>
            <w:tcW w:w="1288" w:type="dxa"/>
            <w:tcBorders>
              <w:top w:val="single" w:sz="4" w:space="0" w:color="BFBFBF" w:themeColor="background1" w:themeShade="BF"/>
              <w:left w:val="nil"/>
              <w:bottom w:val="single" w:sz="4" w:space="0" w:color="FFFFFF"/>
              <w:right w:val="nil"/>
            </w:tcBorders>
            <w:shd w:val="clear" w:color="auto" w:fill="auto"/>
          </w:tcPr>
          <w:p w:rsidR="0092299C" w:rsidRPr="002B1770" w:rsidRDefault="0092299C" w:rsidP="0092299C">
            <w:pPr>
              <w:pStyle w:val="ARtabletext"/>
            </w:pPr>
            <w:r w:rsidRPr="002B1770">
              <w:t>74,241</w:t>
            </w:r>
          </w:p>
        </w:tc>
        <w:tc>
          <w:tcPr>
            <w:tcW w:w="1322" w:type="dxa"/>
            <w:tcBorders>
              <w:top w:val="single" w:sz="4" w:space="0" w:color="BFBFBF" w:themeColor="background1" w:themeShade="BF"/>
              <w:left w:val="nil"/>
              <w:bottom w:val="single" w:sz="4" w:space="0" w:color="FFFFFF"/>
              <w:right w:val="nil"/>
            </w:tcBorders>
            <w:shd w:val="clear" w:color="auto" w:fill="auto"/>
          </w:tcPr>
          <w:p w:rsidR="0092299C" w:rsidRPr="002B1770" w:rsidRDefault="0092299C" w:rsidP="0092299C">
            <w:pPr>
              <w:pStyle w:val="ARtabletext"/>
            </w:pPr>
            <w:r w:rsidRPr="002B1770">
              <w:t>73,396</w:t>
            </w:r>
          </w:p>
        </w:tc>
        <w:tc>
          <w:tcPr>
            <w:tcW w:w="1094" w:type="dxa"/>
            <w:tcBorders>
              <w:top w:val="single" w:sz="4" w:space="0" w:color="BFBFBF" w:themeColor="background1" w:themeShade="BF"/>
              <w:left w:val="nil"/>
              <w:bottom w:val="single" w:sz="4" w:space="0" w:color="FFFFFF"/>
              <w:right w:val="nil"/>
            </w:tcBorders>
          </w:tcPr>
          <w:p w:rsidR="0092299C" w:rsidRPr="002B1770" w:rsidRDefault="0092299C" w:rsidP="0092299C">
            <w:pPr>
              <w:pStyle w:val="ARtabletext"/>
            </w:pPr>
            <w:r w:rsidRPr="002B1770">
              <w:t>Not yet published</w:t>
            </w:r>
          </w:p>
        </w:tc>
      </w:tr>
      <w:tr w:rsidR="00B21F15" w:rsidRPr="002B1770" w:rsidTr="00B21F15">
        <w:trPr>
          <w:cantSplit/>
        </w:trPr>
        <w:tc>
          <w:tcPr>
            <w:tcW w:w="9639" w:type="dxa"/>
            <w:gridSpan w:val="5"/>
            <w:tcBorders>
              <w:top w:val="single" w:sz="4" w:space="0" w:color="FFFFFF"/>
              <w:left w:val="nil"/>
              <w:bottom w:val="single" w:sz="4" w:space="0" w:color="auto"/>
              <w:right w:val="nil"/>
            </w:tcBorders>
            <w:shd w:val="clear" w:color="auto" w:fill="auto"/>
          </w:tcPr>
          <w:p w:rsidR="00B21F15" w:rsidRPr="002B1770" w:rsidRDefault="00B21F15" w:rsidP="00B21F15">
            <w:pPr>
              <w:pStyle w:val="ARtablefootnote"/>
              <w:rPr>
                <w:rFonts w:eastAsia="Times"/>
                <w:lang w:eastAsia="en-AU"/>
              </w:rPr>
            </w:pPr>
            <w:r w:rsidRPr="002B1770">
              <w:rPr>
                <w:rFonts w:eastAsia="Times"/>
                <w:lang w:eastAsia="en-AU"/>
              </w:rPr>
              <w:t>Source: AIHW Disability Services Australia 201</w:t>
            </w:r>
            <w:r>
              <w:rPr>
                <w:rFonts w:eastAsia="Times"/>
                <w:lang w:eastAsia="en-AU"/>
              </w:rPr>
              <w:t>5</w:t>
            </w:r>
            <w:r w:rsidRPr="002B1770">
              <w:rPr>
                <w:rFonts w:eastAsia="Times"/>
                <w:lang w:eastAsia="en-AU"/>
              </w:rPr>
              <w:t>–1</w:t>
            </w:r>
            <w:r>
              <w:rPr>
                <w:rFonts w:eastAsia="Times"/>
                <w:lang w:eastAsia="en-AU"/>
              </w:rPr>
              <w:t>6 (Table 2.</w:t>
            </w:r>
            <w:r w:rsidRPr="002B1770">
              <w:rPr>
                <w:rFonts w:eastAsia="Times"/>
                <w:lang w:eastAsia="en-AU"/>
              </w:rPr>
              <w:t>2)</w:t>
            </w:r>
          </w:p>
          <w:p w:rsidR="00B21F15" w:rsidRPr="002B1770" w:rsidRDefault="00B21F15" w:rsidP="00B21F15">
            <w:pPr>
              <w:pStyle w:val="ARtablefootnote"/>
            </w:pPr>
            <w:r w:rsidRPr="002B1770">
              <w:rPr>
                <w:rFonts w:eastAsia="Times"/>
              </w:rPr>
              <w:t>AIHW supplementary data tables, Table S2.14</w:t>
            </w:r>
          </w:p>
        </w:tc>
      </w:tr>
      <w:tr w:rsidR="00C11E2D" w:rsidRPr="002B1770" w:rsidTr="0010061B">
        <w:trPr>
          <w:cantSplit/>
        </w:trPr>
        <w:tc>
          <w:tcPr>
            <w:tcW w:w="9639" w:type="dxa"/>
            <w:gridSpan w:val="5"/>
            <w:tcBorders>
              <w:top w:val="single" w:sz="4" w:space="0" w:color="auto"/>
              <w:left w:val="nil"/>
              <w:bottom w:val="single" w:sz="4" w:space="0" w:color="BFBFBF" w:themeColor="background1" w:themeShade="BF"/>
              <w:right w:val="nil"/>
            </w:tcBorders>
            <w:shd w:val="clear" w:color="auto" w:fill="auto"/>
          </w:tcPr>
          <w:p w:rsidR="00C11E2D" w:rsidRPr="002B1770" w:rsidRDefault="00C11E2D" w:rsidP="00C11E2D">
            <w:pPr>
              <w:pStyle w:val="ARtablebluebold"/>
            </w:pPr>
            <w:r>
              <w:t xml:space="preserve">Levels of participation in sport and recreation </w:t>
            </w:r>
            <w:r>
              <w:br/>
              <w:t>at or above the national average</w:t>
            </w:r>
          </w:p>
        </w:tc>
      </w:tr>
      <w:tr w:rsidR="0092299C" w:rsidRPr="002B1770" w:rsidTr="00B21F15">
        <w:trPr>
          <w:cantSplit/>
        </w:trPr>
        <w:tc>
          <w:tcPr>
            <w:tcW w:w="4647" w:type="dxa"/>
            <w:tcBorders>
              <w:top w:val="single" w:sz="4" w:space="0" w:color="BFBFBF" w:themeColor="background1" w:themeShade="BF"/>
              <w:left w:val="nil"/>
              <w:bottom w:val="nil"/>
              <w:right w:val="nil"/>
            </w:tcBorders>
            <w:shd w:val="clear" w:color="auto" w:fill="auto"/>
          </w:tcPr>
          <w:p w:rsidR="0092299C" w:rsidRPr="00CD471D" w:rsidRDefault="0092299C" w:rsidP="0092299C">
            <w:pPr>
              <w:pStyle w:val="ARtabletext"/>
            </w:pPr>
            <w:r>
              <w:t>Number of Victorians (aged 15 years and over) who</w:t>
            </w:r>
            <w:r>
              <w:br/>
              <w:t xml:space="preserve">report three sessions of exercise in the last week. (million) </w:t>
            </w:r>
          </w:p>
        </w:tc>
        <w:tc>
          <w:tcPr>
            <w:tcW w:w="1288" w:type="dxa"/>
            <w:tcBorders>
              <w:top w:val="single" w:sz="4" w:space="0" w:color="BFBFBF" w:themeColor="background1" w:themeShade="BF"/>
              <w:left w:val="nil"/>
              <w:bottom w:val="nil"/>
              <w:right w:val="nil"/>
            </w:tcBorders>
          </w:tcPr>
          <w:p w:rsidR="0092299C" w:rsidRPr="002B1770" w:rsidRDefault="0092299C" w:rsidP="0092299C">
            <w:pPr>
              <w:pStyle w:val="ARtabletext"/>
            </w:pPr>
            <w:r>
              <w:t xml:space="preserve">Not </w:t>
            </w:r>
            <w:r>
              <w:br/>
              <w:t>available</w:t>
            </w:r>
          </w:p>
        </w:tc>
        <w:tc>
          <w:tcPr>
            <w:tcW w:w="1288" w:type="dxa"/>
            <w:tcBorders>
              <w:top w:val="single" w:sz="4" w:space="0" w:color="BFBFBF" w:themeColor="background1" w:themeShade="BF"/>
              <w:left w:val="nil"/>
              <w:bottom w:val="nil"/>
              <w:right w:val="nil"/>
            </w:tcBorders>
            <w:shd w:val="clear" w:color="auto" w:fill="auto"/>
          </w:tcPr>
          <w:p w:rsidR="0092299C" w:rsidRPr="002B1770" w:rsidRDefault="0092299C" w:rsidP="0092299C">
            <w:pPr>
              <w:pStyle w:val="ARtabletext"/>
            </w:pPr>
            <w:r>
              <w:t xml:space="preserve">Not </w:t>
            </w:r>
            <w:r>
              <w:br/>
              <w:t>available</w:t>
            </w:r>
          </w:p>
        </w:tc>
        <w:tc>
          <w:tcPr>
            <w:tcW w:w="1322" w:type="dxa"/>
            <w:tcBorders>
              <w:top w:val="single" w:sz="4" w:space="0" w:color="BFBFBF" w:themeColor="background1" w:themeShade="BF"/>
              <w:left w:val="nil"/>
              <w:bottom w:val="nil"/>
              <w:right w:val="nil"/>
            </w:tcBorders>
            <w:shd w:val="clear" w:color="auto" w:fill="auto"/>
          </w:tcPr>
          <w:p w:rsidR="0092299C" w:rsidRPr="002B1770" w:rsidRDefault="0092299C" w:rsidP="0092299C">
            <w:pPr>
              <w:pStyle w:val="ARtabletext"/>
            </w:pPr>
            <w:r>
              <w:t xml:space="preserve">Not </w:t>
            </w:r>
            <w:r>
              <w:br/>
              <w:t>available</w:t>
            </w:r>
          </w:p>
        </w:tc>
        <w:tc>
          <w:tcPr>
            <w:tcW w:w="1094" w:type="dxa"/>
            <w:tcBorders>
              <w:top w:val="single" w:sz="4" w:space="0" w:color="BFBFBF" w:themeColor="background1" w:themeShade="BF"/>
              <w:left w:val="nil"/>
              <w:bottom w:val="nil"/>
              <w:right w:val="nil"/>
            </w:tcBorders>
          </w:tcPr>
          <w:p w:rsidR="0092299C" w:rsidRPr="002B1770" w:rsidRDefault="0092299C" w:rsidP="0092299C">
            <w:pPr>
              <w:pStyle w:val="ARtabletext"/>
            </w:pPr>
            <w:r>
              <w:t>2.957</w:t>
            </w:r>
            <w:r>
              <w:br/>
              <w:t>(59.9% of population)</w:t>
            </w:r>
          </w:p>
        </w:tc>
      </w:tr>
      <w:tr w:rsidR="0092299C" w:rsidRPr="002B1770" w:rsidTr="00D92382">
        <w:trPr>
          <w:cantSplit/>
        </w:trPr>
        <w:tc>
          <w:tcPr>
            <w:tcW w:w="4647" w:type="dxa"/>
            <w:tcBorders>
              <w:top w:val="nil"/>
              <w:left w:val="nil"/>
              <w:bottom w:val="nil"/>
              <w:right w:val="nil"/>
            </w:tcBorders>
            <w:shd w:val="clear" w:color="auto" w:fill="auto"/>
          </w:tcPr>
          <w:p w:rsidR="0092299C" w:rsidRDefault="0092299C" w:rsidP="00B21F15">
            <w:pPr>
              <w:pStyle w:val="ARtabletext"/>
            </w:pPr>
            <w:r>
              <w:t xml:space="preserve">As above compared with the total number </w:t>
            </w:r>
            <w:r w:rsidR="00B21F15">
              <w:t>of Australians</w:t>
            </w:r>
          </w:p>
        </w:tc>
        <w:tc>
          <w:tcPr>
            <w:tcW w:w="1288" w:type="dxa"/>
            <w:tcBorders>
              <w:top w:val="nil"/>
              <w:left w:val="nil"/>
              <w:bottom w:val="nil"/>
              <w:right w:val="nil"/>
            </w:tcBorders>
          </w:tcPr>
          <w:p w:rsidR="0092299C" w:rsidRPr="002B1770" w:rsidRDefault="0092299C" w:rsidP="0092299C">
            <w:pPr>
              <w:pStyle w:val="ARtabletext"/>
            </w:pPr>
            <w:r>
              <w:t xml:space="preserve">Not </w:t>
            </w:r>
            <w:r>
              <w:br/>
              <w:t>available</w:t>
            </w:r>
          </w:p>
        </w:tc>
        <w:tc>
          <w:tcPr>
            <w:tcW w:w="1288" w:type="dxa"/>
            <w:tcBorders>
              <w:top w:val="nil"/>
              <w:left w:val="nil"/>
              <w:bottom w:val="nil"/>
              <w:right w:val="nil"/>
            </w:tcBorders>
            <w:shd w:val="clear" w:color="auto" w:fill="auto"/>
          </w:tcPr>
          <w:p w:rsidR="0092299C" w:rsidRPr="002B1770" w:rsidRDefault="0092299C" w:rsidP="0092299C">
            <w:pPr>
              <w:pStyle w:val="ARtabletext"/>
            </w:pPr>
            <w:r>
              <w:t xml:space="preserve">Not </w:t>
            </w:r>
            <w:r>
              <w:br/>
              <w:t>available</w:t>
            </w:r>
          </w:p>
        </w:tc>
        <w:tc>
          <w:tcPr>
            <w:tcW w:w="1322" w:type="dxa"/>
            <w:tcBorders>
              <w:top w:val="nil"/>
              <w:left w:val="nil"/>
              <w:bottom w:val="nil"/>
              <w:right w:val="nil"/>
            </w:tcBorders>
            <w:shd w:val="clear" w:color="auto" w:fill="auto"/>
          </w:tcPr>
          <w:p w:rsidR="0092299C" w:rsidRPr="002B1770" w:rsidRDefault="0092299C" w:rsidP="0092299C">
            <w:pPr>
              <w:pStyle w:val="ARtabletext"/>
            </w:pPr>
            <w:r>
              <w:t xml:space="preserve">Not </w:t>
            </w:r>
            <w:r>
              <w:br/>
              <w:t>available</w:t>
            </w:r>
          </w:p>
        </w:tc>
        <w:tc>
          <w:tcPr>
            <w:tcW w:w="1094" w:type="dxa"/>
            <w:tcBorders>
              <w:top w:val="nil"/>
              <w:left w:val="nil"/>
              <w:bottom w:val="nil"/>
              <w:right w:val="nil"/>
            </w:tcBorders>
          </w:tcPr>
          <w:p w:rsidR="0092299C" w:rsidRDefault="0092299C" w:rsidP="0092299C">
            <w:pPr>
              <w:pStyle w:val="ARtabletext"/>
            </w:pPr>
            <w:r>
              <w:t>11.846</w:t>
            </w:r>
            <w:r>
              <w:br/>
              <w:t>(59.9% of population)</w:t>
            </w:r>
          </w:p>
        </w:tc>
      </w:tr>
      <w:tr w:rsidR="00D92382" w:rsidRPr="002B1770" w:rsidTr="0010061B">
        <w:trPr>
          <w:cantSplit/>
        </w:trPr>
        <w:tc>
          <w:tcPr>
            <w:tcW w:w="9639" w:type="dxa"/>
            <w:gridSpan w:val="5"/>
            <w:tcBorders>
              <w:top w:val="nil"/>
              <w:left w:val="nil"/>
              <w:bottom w:val="single" w:sz="4" w:space="0" w:color="auto"/>
              <w:right w:val="nil"/>
            </w:tcBorders>
            <w:shd w:val="clear" w:color="auto" w:fill="auto"/>
          </w:tcPr>
          <w:p w:rsidR="00D92382" w:rsidRDefault="00D92382" w:rsidP="00D92382">
            <w:pPr>
              <w:pStyle w:val="ARtablefootnote"/>
            </w:pPr>
            <w:r>
              <w:t xml:space="preserve">Source: </w:t>
            </w:r>
            <w:proofErr w:type="spellStart"/>
            <w:r>
              <w:t>Ausplay</w:t>
            </w:r>
            <w:proofErr w:type="spellEnd"/>
            <w:r>
              <w:t xml:space="preserve"> survey 2016</w:t>
            </w:r>
          </w:p>
        </w:tc>
      </w:tr>
    </w:tbl>
    <w:p w:rsidR="0092299C" w:rsidRPr="002B1770" w:rsidRDefault="0092299C" w:rsidP="0092299C">
      <w:pPr>
        <w:spacing w:after="120" w:line="260" w:lineRule="atLeast"/>
        <w:rPr>
          <w:rFonts w:eastAsia="Times" w:cs="Arial"/>
          <w:sz w:val="20"/>
          <w:szCs w:val="20"/>
        </w:rPr>
        <w:sectPr w:rsidR="0092299C" w:rsidRPr="002B1770" w:rsidSect="00BF2BF1">
          <w:endnotePr>
            <w:numFmt w:val="decimal"/>
          </w:endnotePr>
          <w:type w:val="continuous"/>
          <w:pgSz w:w="11900" w:h="16840" w:code="9"/>
          <w:pgMar w:top="1531" w:right="851" w:bottom="680" w:left="1418" w:header="510" w:footer="340" w:gutter="0"/>
          <w:cols w:space="720"/>
        </w:sectPr>
      </w:pPr>
    </w:p>
    <w:p w:rsidR="0092299C" w:rsidRPr="00F63571" w:rsidRDefault="0092299C" w:rsidP="0092299C">
      <w:pPr>
        <w:pStyle w:val="Heading3"/>
        <w:spacing w:after="200"/>
        <w:sectPr w:rsidR="0092299C" w:rsidRPr="00F63571" w:rsidSect="006173F7">
          <w:endnotePr>
            <w:numFmt w:val="decimal"/>
          </w:endnotePr>
          <w:type w:val="continuous"/>
          <w:pgSz w:w="11900" w:h="16840" w:code="9"/>
          <w:pgMar w:top="1531" w:right="851" w:bottom="680" w:left="1418" w:header="510" w:footer="340" w:gutter="0"/>
          <w:cols w:space="454"/>
        </w:sectPr>
      </w:pPr>
    </w:p>
    <w:p w:rsidR="0092299C" w:rsidRPr="00F63571" w:rsidRDefault="0092299C" w:rsidP="0092299C">
      <w:pPr>
        <w:pStyle w:val="Heading3"/>
        <w:spacing w:before="0"/>
      </w:pPr>
      <w:r w:rsidRPr="00F63571">
        <w:lastRenderedPageBreak/>
        <w:t xml:space="preserve">Objective 6: Quality of life – with its partners, the department provides services to support people in need </w:t>
      </w:r>
      <w:r w:rsidRPr="00F63571">
        <w:br/>
        <w:t>to enjoy a positive life</w:t>
      </w:r>
    </w:p>
    <w:p w:rsidR="0092299C" w:rsidRPr="00F63571" w:rsidRDefault="0092299C" w:rsidP="0092299C">
      <w:pPr>
        <w:pStyle w:val="ARbody"/>
      </w:pPr>
      <w:r w:rsidRPr="00F63571">
        <w:t xml:space="preserve">This objective seeks to ensure that the services the department </w:t>
      </w:r>
      <w:r>
        <w:t xml:space="preserve">provides and </w:t>
      </w:r>
      <w:r w:rsidRPr="00F63571">
        <w:t xml:space="preserve">funds enable all Victorians to </w:t>
      </w:r>
      <w:r>
        <w:t>live a life that they value.</w:t>
      </w:r>
    </w:p>
    <w:p w:rsidR="0092299C" w:rsidRPr="00F63571" w:rsidRDefault="0092299C" w:rsidP="0092299C">
      <w:pPr>
        <w:pStyle w:val="ARbody"/>
      </w:pPr>
      <w:r w:rsidRPr="00F63571">
        <w:t>It includes economic and physical support, access to housing and sport and recreation activities.</w:t>
      </w:r>
    </w:p>
    <w:p w:rsidR="0092299C" w:rsidRPr="00F63571" w:rsidRDefault="0092299C" w:rsidP="0092299C">
      <w:pPr>
        <w:pStyle w:val="ARbody"/>
      </w:pPr>
      <w:r w:rsidRPr="00F63571">
        <w:t>It also relates to giving people with a disability more choice and control over the services they receive.</w:t>
      </w:r>
    </w:p>
    <w:p w:rsidR="0092299C" w:rsidRPr="00F63571" w:rsidRDefault="0092299C" w:rsidP="0092299C">
      <w:pPr>
        <w:pStyle w:val="Heading4"/>
      </w:pPr>
      <w:r w:rsidRPr="00F63571">
        <w:t>Sport and recreation</w:t>
      </w:r>
    </w:p>
    <w:p w:rsidR="0092299C" w:rsidRPr="00F63571" w:rsidRDefault="0092299C" w:rsidP="0092299C">
      <w:pPr>
        <w:pStyle w:val="Heading5"/>
      </w:pPr>
      <w:r w:rsidRPr="00F63571">
        <w:t>Latrobe Valley initiative</w:t>
      </w:r>
    </w:p>
    <w:p w:rsidR="0092299C" w:rsidRPr="00F63571" w:rsidRDefault="0092299C" w:rsidP="0092299C">
      <w:pPr>
        <w:pStyle w:val="ARbody"/>
      </w:pPr>
      <w:r w:rsidRPr="00F63571">
        <w:t>In March 2017</w:t>
      </w:r>
      <w:r>
        <w:t>, the government made an</w:t>
      </w:r>
      <w:r w:rsidRPr="00F63571">
        <w:t xml:space="preserve"> $85 million investment in the Latrobe Valley’s sporting infrastructure, major events and community sporting activities. Th</w:t>
      </w:r>
      <w:r>
        <w:t>is</w:t>
      </w:r>
      <w:r w:rsidRPr="00F63571">
        <w:t xml:space="preserve"> includes:</w:t>
      </w:r>
    </w:p>
    <w:p w:rsidR="0092299C" w:rsidRPr="00F63571" w:rsidRDefault="0092299C" w:rsidP="0092299C">
      <w:pPr>
        <w:pStyle w:val="ARbullet1"/>
      </w:pPr>
      <w:r w:rsidRPr="00F63571">
        <w:t>$46 million for a new Gippsland Regional Aquatic and Leisure Centre in Traralgon</w:t>
      </w:r>
    </w:p>
    <w:p w:rsidR="0092299C" w:rsidRPr="00F63571" w:rsidRDefault="0092299C" w:rsidP="0092299C">
      <w:pPr>
        <w:pStyle w:val="ARbullet1"/>
      </w:pPr>
      <w:r w:rsidRPr="00F63571">
        <w:t>$17 million to redevelop the Gippsland Regional Indoor Sports and Entertainment Complex in Traralgon</w:t>
      </w:r>
    </w:p>
    <w:p w:rsidR="0092299C" w:rsidRPr="00F63571" w:rsidRDefault="0092299C" w:rsidP="0092299C">
      <w:pPr>
        <w:pStyle w:val="ARbullet1"/>
      </w:pPr>
      <w:r w:rsidRPr="00F63571">
        <w:t>$4 million to upgrade Morwell Recreation Reserve</w:t>
      </w:r>
    </w:p>
    <w:p w:rsidR="0092299C" w:rsidRPr="00F63571" w:rsidRDefault="0092299C" w:rsidP="0092299C">
      <w:pPr>
        <w:pStyle w:val="ARbullet1"/>
      </w:pPr>
      <w:r w:rsidRPr="00F63571">
        <w:t>$1.7 million to upgrade the Latrobe Sports and Entertainment Complex in Morwell</w:t>
      </w:r>
    </w:p>
    <w:p w:rsidR="0092299C" w:rsidRPr="00F63571" w:rsidRDefault="0092299C" w:rsidP="0092299C">
      <w:pPr>
        <w:pStyle w:val="ARbullet1"/>
      </w:pPr>
      <w:r w:rsidRPr="00F63571">
        <w:t>$3 million to upgrade the Ted Summerton Reserve in Moe</w:t>
      </w:r>
    </w:p>
    <w:p w:rsidR="0092299C" w:rsidRPr="00F63571" w:rsidRDefault="0092299C" w:rsidP="0092299C">
      <w:pPr>
        <w:pStyle w:val="ARbullet1"/>
      </w:pPr>
      <w:r w:rsidRPr="00F63571">
        <w:t>$1.4 million for the Sale and Traralgon Tennis Centres</w:t>
      </w:r>
    </w:p>
    <w:p w:rsidR="0092299C" w:rsidRPr="00F63571" w:rsidRDefault="0092299C" w:rsidP="00F91CA3">
      <w:pPr>
        <w:pStyle w:val="ARbullet1"/>
        <w:rPr>
          <w:color w:val="000000"/>
          <w:lang w:eastAsia="en-AU"/>
        </w:rPr>
      </w:pPr>
      <w:r w:rsidRPr="00F63571">
        <w:t>$5 million for nine local reserves to be upgraded</w:t>
      </w:r>
      <w:r w:rsidRPr="00F63571">
        <w:rPr>
          <w:color w:val="000000"/>
          <w:lang w:eastAsia="en-AU"/>
        </w:rPr>
        <w:t>.</w:t>
      </w:r>
    </w:p>
    <w:p w:rsidR="0092299C" w:rsidRPr="00F63571" w:rsidRDefault="0092299C" w:rsidP="00F91CA3">
      <w:pPr>
        <w:pStyle w:val="ARbodyafterbullets"/>
      </w:pPr>
      <w:r w:rsidRPr="00F63571">
        <w:t xml:space="preserve">As part of the package, the </w:t>
      </w:r>
      <w:r w:rsidR="00806AA6">
        <w:t>Victorian Government</w:t>
      </w:r>
      <w:r w:rsidR="00806AA6" w:rsidRPr="00F63571">
        <w:t xml:space="preserve"> </w:t>
      </w:r>
      <w:r>
        <w:t>is</w:t>
      </w:r>
      <w:r w:rsidRPr="00F63571">
        <w:t xml:space="preserve"> invest</w:t>
      </w:r>
      <w:r>
        <w:t>ing</w:t>
      </w:r>
      <w:r w:rsidRPr="00F63571">
        <w:t xml:space="preserve"> $6.9 million over five years to grow sport participation opportunities across the Latrobe Valley. This include</w:t>
      </w:r>
      <w:r>
        <w:t>s</w:t>
      </w:r>
      <w:r w:rsidRPr="00F63571">
        <w:t xml:space="preserve"> the delivery of an extensive program of major events to engage the community and sporting programs that activate young people, disadvantaged communities, women and girls, Aboriginal Victorians and other under-represented groups.</w:t>
      </w:r>
    </w:p>
    <w:p w:rsidR="0092299C" w:rsidRPr="00F63571" w:rsidRDefault="0092299C" w:rsidP="0092299C">
      <w:pPr>
        <w:pStyle w:val="Heading5"/>
      </w:pPr>
      <w:r w:rsidRPr="00F63571">
        <w:t>Providing accessible sport and recreation opportunities</w:t>
      </w:r>
    </w:p>
    <w:p w:rsidR="0092299C" w:rsidRPr="00F63571" w:rsidRDefault="0092299C" w:rsidP="0092299C">
      <w:pPr>
        <w:pStyle w:val="ARbody"/>
      </w:pPr>
      <w:r w:rsidRPr="00F63571">
        <w:t xml:space="preserve">Through the Supporting Victorian Sport and Recreation </w:t>
      </w:r>
      <w:r>
        <w:t>p</w:t>
      </w:r>
      <w:r w:rsidRPr="00F63571">
        <w:t xml:space="preserve">rogram, the department provides community sport and recreation organisations </w:t>
      </w:r>
      <w:r w:rsidR="001B1CFB">
        <w:br/>
      </w:r>
      <w:r w:rsidRPr="00F63571">
        <w:t>the opportunity to build the sustainability and inclusiveness of their sports.</w:t>
      </w:r>
    </w:p>
    <w:p w:rsidR="0092299C" w:rsidRPr="00F63571" w:rsidRDefault="0092299C" w:rsidP="0092299C">
      <w:pPr>
        <w:pStyle w:val="Heading5"/>
      </w:pPr>
      <w:r w:rsidRPr="00F63571">
        <w:lastRenderedPageBreak/>
        <w:t>Access for All Abilities program</w:t>
      </w:r>
    </w:p>
    <w:p w:rsidR="0092299C" w:rsidRPr="00F63571" w:rsidRDefault="0092299C" w:rsidP="0092299C">
      <w:pPr>
        <w:pStyle w:val="ARbody"/>
      </w:pPr>
      <w:r>
        <w:t>In 2016</w:t>
      </w:r>
      <w:r w:rsidRPr="00F63571">
        <w:t>–17</w:t>
      </w:r>
      <w:r>
        <w:t>, t</w:t>
      </w:r>
      <w:r w:rsidRPr="00F63571">
        <w:t>he Access for All Abilities program continued to support a range of sports, disability sports and community organisations to create and enhance inclusive opportunities for people with a disability. This include</w:t>
      </w:r>
      <w:r>
        <w:t>d</w:t>
      </w:r>
      <w:r w:rsidRPr="00F63571">
        <w:t xml:space="preserve"> funding to:</w:t>
      </w:r>
    </w:p>
    <w:p w:rsidR="0092299C" w:rsidRPr="00F63571" w:rsidRDefault="0092299C" w:rsidP="0092299C">
      <w:pPr>
        <w:pStyle w:val="ARbullet1"/>
        <w:rPr>
          <w:lang w:eastAsia="en-AU"/>
        </w:rPr>
      </w:pPr>
      <w:r w:rsidRPr="00F63571">
        <w:rPr>
          <w:lang w:eastAsia="en-AU"/>
        </w:rPr>
        <w:t>29 state sporting associations</w:t>
      </w:r>
    </w:p>
    <w:p w:rsidR="0092299C" w:rsidRPr="00F63571" w:rsidRDefault="0092299C" w:rsidP="0092299C">
      <w:pPr>
        <w:pStyle w:val="ARbullet1"/>
        <w:rPr>
          <w:lang w:eastAsia="en-AU"/>
        </w:rPr>
      </w:pPr>
      <w:r w:rsidRPr="00F63571">
        <w:rPr>
          <w:lang w:eastAsia="en-AU"/>
        </w:rPr>
        <w:t>17 disability sports and state sport and recreation bodies</w:t>
      </w:r>
    </w:p>
    <w:p w:rsidR="0092299C" w:rsidRPr="00F63571" w:rsidRDefault="0092299C" w:rsidP="00F91CA3">
      <w:pPr>
        <w:pStyle w:val="ARbullet1"/>
        <w:rPr>
          <w:lang w:eastAsia="en-AU"/>
        </w:rPr>
      </w:pPr>
      <w:r w:rsidRPr="00F63571">
        <w:rPr>
          <w:lang w:eastAsia="en-AU"/>
        </w:rPr>
        <w:t>nine regional sports assemblies</w:t>
      </w:r>
      <w:r>
        <w:rPr>
          <w:lang w:eastAsia="en-AU"/>
        </w:rPr>
        <w:t>.</w:t>
      </w:r>
    </w:p>
    <w:p w:rsidR="0092299C" w:rsidRPr="00F63571" w:rsidRDefault="0092299C" w:rsidP="00F91CA3">
      <w:pPr>
        <w:pStyle w:val="ARbodyafterbullets"/>
      </w:pPr>
      <w:r w:rsidRPr="00F63571">
        <w:t>Funding has also been allocated to AAA Play, a website that connects people with a disability to local clubs and sport and recreation opportunities. On average, more than 2,000 unique users access this service monthly.</w:t>
      </w:r>
    </w:p>
    <w:p w:rsidR="00AA035A" w:rsidRDefault="0092299C" w:rsidP="0092299C">
      <w:pPr>
        <w:pStyle w:val="Heading5"/>
      </w:pPr>
      <w:r w:rsidRPr="00F63571">
        <w:t>Grants for Aboriginal participation</w:t>
      </w:r>
    </w:p>
    <w:p w:rsidR="0092299C" w:rsidRPr="00F63571" w:rsidRDefault="0092299C" w:rsidP="0092299C">
      <w:pPr>
        <w:pStyle w:val="ARbody"/>
        <w:rPr>
          <w:lang w:eastAsia="en-AU"/>
        </w:rPr>
      </w:pPr>
      <w:r w:rsidRPr="00F63571">
        <w:t>A new Aboriginal participation category was introduced to the Sporting Club Grants Program in June</w:t>
      </w:r>
      <w:r>
        <w:t xml:space="preserve"> 2017</w:t>
      </w:r>
      <w:r w:rsidRPr="00F63571">
        <w:t xml:space="preserve">. This </w:t>
      </w:r>
      <w:r>
        <w:t xml:space="preserve">will </w:t>
      </w:r>
      <w:r w:rsidRPr="00F63571">
        <w:t>provide g</w:t>
      </w:r>
      <w:r w:rsidRPr="00F63571">
        <w:rPr>
          <w:lang w:eastAsia="en-AU"/>
        </w:rPr>
        <w:t>rants of up to $1,000 for uniforms and equipment, up to $2,000 for skills development training</w:t>
      </w:r>
      <w:r>
        <w:rPr>
          <w:lang w:eastAsia="en-AU"/>
        </w:rPr>
        <w:t>,</w:t>
      </w:r>
      <w:r w:rsidRPr="00F63571">
        <w:rPr>
          <w:lang w:eastAsia="en-AU"/>
        </w:rPr>
        <w:t xml:space="preserve"> and up to $750 for travel. The new category is designed to assist organisations </w:t>
      </w:r>
      <w:r w:rsidRPr="00F63571">
        <w:t>provide opportunities for Aboriginal Victorians to participate in sport and active recreation and improve the skills of the Aboriginal community members and volunteers involved in providing these activities.</w:t>
      </w:r>
    </w:p>
    <w:p w:rsidR="0092299C" w:rsidRPr="00F63571" w:rsidRDefault="0092299C" w:rsidP="0092299C">
      <w:pPr>
        <w:pStyle w:val="Heading5"/>
      </w:pPr>
      <w:r w:rsidRPr="00F63571">
        <w:t>Camps</w:t>
      </w:r>
    </w:p>
    <w:p w:rsidR="0092299C" w:rsidRPr="00F63571" w:rsidRDefault="0092299C" w:rsidP="0092299C">
      <w:pPr>
        <w:pStyle w:val="ARbody"/>
      </w:pPr>
      <w:r w:rsidRPr="00F63571">
        <w:t>Sport and Recreation Victoria’s five camps across Victoria continued to provide high</w:t>
      </w:r>
      <w:r>
        <w:t>-</w:t>
      </w:r>
      <w:r w:rsidRPr="00F63571">
        <w:t xml:space="preserve">quality and inclusive sport and active recreation opportunities to the Victorian community. Groups using the camps </w:t>
      </w:r>
      <w:r>
        <w:t>in 2016</w:t>
      </w:r>
      <w:r w:rsidRPr="00F63571">
        <w:t>–17</w:t>
      </w:r>
      <w:r>
        <w:t xml:space="preserve"> </w:t>
      </w:r>
      <w:r w:rsidRPr="00F63571">
        <w:t>included sections of the community for whom access to camps has been difficult in the past</w:t>
      </w:r>
      <w:r>
        <w:t>,</w:t>
      </w:r>
      <w:r w:rsidRPr="00F63571">
        <w:t xml:space="preserve"> such as socially disadvantaged groups, Aboriginal people, people with disabilities, people from culturally and linguistically diverse backg</w:t>
      </w:r>
      <w:r>
        <w:t>rounds, older people and youth.</w:t>
      </w:r>
    </w:p>
    <w:p w:rsidR="0092299C" w:rsidRPr="00F63571" w:rsidRDefault="0092299C" w:rsidP="0092299C">
      <w:pPr>
        <w:pStyle w:val="ARbody"/>
      </w:pPr>
      <w:r w:rsidRPr="00DD1857">
        <w:t xml:space="preserve">Camp </w:t>
      </w:r>
      <w:proofErr w:type="spellStart"/>
      <w:r w:rsidRPr="00DD1857">
        <w:t>Manyung’s</w:t>
      </w:r>
      <w:proofErr w:type="spellEnd"/>
      <w:r w:rsidRPr="00DD1857">
        <w:t xml:space="preserve"> universally designed High Challenge Ropes Course was a Gold Award winner in the Tourism</w:t>
      </w:r>
      <w:r>
        <w:t xml:space="preserve"> </w:t>
      </w:r>
      <w:r w:rsidRPr="00DD1857">
        <w:t>/</w:t>
      </w:r>
      <w:r>
        <w:t xml:space="preserve"> </w:t>
      </w:r>
      <w:r w:rsidRPr="00DD1857">
        <w:t>Inclusive Culture</w:t>
      </w:r>
      <w:r>
        <w:t xml:space="preserve"> </w:t>
      </w:r>
      <w:r w:rsidRPr="00DD1857">
        <w:t>/</w:t>
      </w:r>
      <w:r>
        <w:t xml:space="preserve"> </w:t>
      </w:r>
      <w:r w:rsidRPr="00DD1857">
        <w:t xml:space="preserve">Mobility category at the 2017 International Association for Universal Design Awards. Camp </w:t>
      </w:r>
      <w:proofErr w:type="spellStart"/>
      <w:r w:rsidRPr="00DD1857">
        <w:t>Manyung</w:t>
      </w:r>
      <w:proofErr w:type="spellEnd"/>
      <w:r w:rsidRPr="00DD1857">
        <w:t xml:space="preserve"> is pioneering the adoption of the universal design philosophy into adventure activities at camps and the High Challenge Ropes Course is an international first </w:t>
      </w:r>
      <w:r w:rsidR="001B1CFB">
        <w:br/>
      </w:r>
      <w:r w:rsidRPr="00DD1857">
        <w:t xml:space="preserve">for </w:t>
      </w:r>
      <w:r>
        <w:t>the camping and outdoor sector.</w:t>
      </w:r>
    </w:p>
    <w:p w:rsidR="0092299C" w:rsidRPr="00F63571" w:rsidRDefault="0092299C" w:rsidP="0092299C">
      <w:pPr>
        <w:pStyle w:val="Heading4"/>
      </w:pPr>
      <w:r w:rsidRPr="00F63571">
        <w:lastRenderedPageBreak/>
        <w:t>Out-of-home care</w:t>
      </w:r>
    </w:p>
    <w:p w:rsidR="0092299C" w:rsidRPr="00F63571" w:rsidRDefault="0092299C" w:rsidP="0092299C">
      <w:pPr>
        <w:pStyle w:val="Heading5"/>
        <w:rPr>
          <w:rFonts w:eastAsia="Calibri"/>
        </w:rPr>
      </w:pPr>
      <w:r w:rsidRPr="00F63571">
        <w:rPr>
          <w:rFonts w:eastAsia="Calibri"/>
        </w:rPr>
        <w:t>Targeted Care Packages</w:t>
      </w:r>
    </w:p>
    <w:p w:rsidR="0092299C" w:rsidRPr="00F63571" w:rsidRDefault="0092299C" w:rsidP="0092299C">
      <w:pPr>
        <w:pStyle w:val="ARbody"/>
      </w:pPr>
      <w:r w:rsidRPr="00F63571">
        <w:t xml:space="preserve">Targeted Care Packages </w:t>
      </w:r>
      <w:r>
        <w:t xml:space="preserve">provide </w:t>
      </w:r>
      <w:r w:rsidRPr="00F63571">
        <w:t>funding</w:t>
      </w:r>
      <w:r>
        <w:t xml:space="preserve"> that is</w:t>
      </w:r>
      <w:r w:rsidRPr="00F63571">
        <w:t xml:space="preserve"> attached to an individual child or young person based on an assessment of their needs. Targeted Care Packages continue to play a critical role in enabling children and young people to transition from residential care into an alternative living arrangement that better meets their needs, and to preve</w:t>
      </w:r>
      <w:r>
        <w:t>nt entry into residential care.</w:t>
      </w:r>
    </w:p>
    <w:p w:rsidR="0092299C" w:rsidRDefault="0092299C" w:rsidP="0092299C">
      <w:pPr>
        <w:pStyle w:val="ARbody"/>
      </w:pPr>
      <w:r w:rsidRPr="000A1EF8">
        <w:rPr>
          <w:rFonts w:ascii="Helv" w:hAnsi="Helv" w:cs="Helv"/>
          <w:szCs w:val="20"/>
          <w:lang w:eastAsia="en-AU"/>
        </w:rPr>
        <w:t>In 2016</w:t>
      </w:r>
      <w:r w:rsidRPr="00F63571">
        <w:t>–17</w:t>
      </w:r>
      <w:r w:rsidRPr="000A1EF8">
        <w:rPr>
          <w:rFonts w:ascii="Helv" w:hAnsi="Helv" w:cs="Helv"/>
          <w:szCs w:val="20"/>
          <w:lang w:eastAsia="en-AU"/>
        </w:rPr>
        <w:t xml:space="preserve">, 196 Targeted Care Packages were allocated to children and young people to support them into alternative care arrangements that better meet their needs. Of these, 44 </w:t>
      </w:r>
      <w:r w:rsidR="00F859FC">
        <w:rPr>
          <w:rFonts w:ascii="Helv" w:hAnsi="Helv" w:cs="Helv"/>
          <w:szCs w:val="20"/>
          <w:lang w:eastAsia="en-AU"/>
        </w:rPr>
        <w:t>were</w:t>
      </w:r>
      <w:r w:rsidRPr="000A1EF8">
        <w:rPr>
          <w:rFonts w:ascii="Helv" w:hAnsi="Helv" w:cs="Helv"/>
          <w:szCs w:val="20"/>
          <w:lang w:eastAsia="en-AU"/>
        </w:rPr>
        <w:t xml:space="preserve"> allocated to Aboriginal children and young </w:t>
      </w:r>
      <w:r>
        <w:rPr>
          <w:rFonts w:ascii="Helv" w:hAnsi="Helv" w:cs="Helv"/>
          <w:color w:val="000000"/>
          <w:szCs w:val="20"/>
          <w:lang w:eastAsia="en-AU"/>
        </w:rPr>
        <w:t>people.</w:t>
      </w:r>
      <w:r w:rsidR="00F859FC">
        <w:rPr>
          <w:rFonts w:ascii="Helv" w:hAnsi="Helv" w:cs="Helv"/>
          <w:color w:val="000000"/>
          <w:szCs w:val="20"/>
          <w:lang w:eastAsia="en-AU"/>
        </w:rPr>
        <w:t xml:space="preserve"> This brings the total of Targeted Care Packages allocated since April 2015 to 386.</w:t>
      </w:r>
    </w:p>
    <w:p w:rsidR="0092299C" w:rsidRPr="00F63571" w:rsidRDefault="0092299C" w:rsidP="0092299C">
      <w:pPr>
        <w:pStyle w:val="ARbody"/>
      </w:pPr>
      <w:r w:rsidRPr="00F63571">
        <w:t xml:space="preserve">In October 2016, approximately $687,000 was allocated to 10 Aboriginal </w:t>
      </w:r>
      <w:r w:rsidR="00806AA6">
        <w:t>community-controlled</w:t>
      </w:r>
      <w:r w:rsidRPr="00F63571">
        <w:t xml:space="preserve"> organisations to build the capacity of organisations to deliver Targeted Care Packages.</w:t>
      </w:r>
    </w:p>
    <w:p w:rsidR="0092299C" w:rsidRPr="00F63571" w:rsidRDefault="0092299C" w:rsidP="0092299C">
      <w:pPr>
        <w:pStyle w:val="Heading5"/>
      </w:pPr>
      <w:r w:rsidRPr="00F63571">
        <w:t xml:space="preserve">Supporting healthy lifestyle skills in residential </w:t>
      </w:r>
      <w:r w:rsidR="00806AA6">
        <w:br/>
      </w:r>
      <w:r w:rsidRPr="00F63571">
        <w:t>out-of-home care</w:t>
      </w:r>
    </w:p>
    <w:p w:rsidR="0092299C" w:rsidRPr="00F63571" w:rsidRDefault="0092299C" w:rsidP="0092299C">
      <w:pPr>
        <w:pStyle w:val="ARbody"/>
        <w:rPr>
          <w:rFonts w:eastAsia="Calibri"/>
        </w:rPr>
      </w:pPr>
      <w:r w:rsidRPr="00F63571">
        <w:t xml:space="preserve">As part of the </w:t>
      </w:r>
      <w:r w:rsidRPr="00DD1857">
        <w:rPr>
          <w:i/>
        </w:rPr>
        <w:t>Health 2040</w:t>
      </w:r>
      <w:r w:rsidRPr="00F63571">
        <w:t xml:space="preserve"> commitment to deliver better health outcomes through prevention, the healthy lifestyle skills initiative provides information and practical opportunities for young people in residential out-of-home care to develop healthy habits for life.</w:t>
      </w:r>
    </w:p>
    <w:p w:rsidR="0092299C" w:rsidRPr="00F63571" w:rsidRDefault="0092299C" w:rsidP="0092299C">
      <w:pPr>
        <w:pStyle w:val="Heading5"/>
        <w:rPr>
          <w:rFonts w:eastAsia="Calibri"/>
        </w:rPr>
      </w:pPr>
      <w:r w:rsidRPr="00F63571">
        <w:rPr>
          <w:rFonts w:eastAsia="Calibri"/>
        </w:rPr>
        <w:t>Introduction of minimum qualification for residential care</w:t>
      </w:r>
    </w:p>
    <w:p w:rsidR="0092299C" w:rsidRPr="00F63571" w:rsidRDefault="0092299C" w:rsidP="0092299C">
      <w:pPr>
        <w:pStyle w:val="ARbody"/>
      </w:pPr>
      <w:r>
        <w:t>As part of th</w:t>
      </w:r>
      <w:r w:rsidRPr="00F63571">
        <w:t xml:space="preserve">e </w:t>
      </w:r>
      <w:r w:rsidRPr="00DD1857">
        <w:rPr>
          <w:i/>
        </w:rPr>
        <w:t>Roadmap for reform</w:t>
      </w:r>
      <w:r>
        <w:rPr>
          <w:i/>
        </w:rPr>
        <w:t>,</w:t>
      </w:r>
      <w:r w:rsidRPr="00F63571">
        <w:t xml:space="preserve"> </w:t>
      </w:r>
      <w:r>
        <w:t xml:space="preserve">the government </w:t>
      </w:r>
      <w:r w:rsidRPr="00F63571">
        <w:t>committed to funding the provision of vocational qualifications for residential care staff to improve their ability to work effectively with children and their families.</w:t>
      </w:r>
    </w:p>
    <w:p w:rsidR="0092299C" w:rsidRPr="00F63571" w:rsidRDefault="0092299C" w:rsidP="0092299C">
      <w:pPr>
        <w:pStyle w:val="ARbody"/>
      </w:pPr>
      <w:r>
        <w:rPr>
          <w:color w:val="000000"/>
          <w:szCs w:val="20"/>
          <w:lang w:eastAsia="en-AU"/>
        </w:rPr>
        <w:t xml:space="preserve">In May 2016, the department announced $8 million in partnership with the Department of Education and Training to support the upskilling of residential care workers ahead of introduction of minimum qualification requirements for all residential care workers from 1 January 2018. Training in the </w:t>
      </w:r>
      <w:r>
        <w:rPr>
          <w:i/>
          <w:iCs/>
          <w:color w:val="000000"/>
          <w:szCs w:val="20"/>
          <w:lang w:eastAsia="en-AU"/>
        </w:rPr>
        <w:t>Certificate IV Child, Youth and Family Intervention (Residential and Out</w:t>
      </w:r>
      <w:r w:rsidR="00806AA6">
        <w:rPr>
          <w:i/>
          <w:iCs/>
          <w:color w:val="000000"/>
          <w:szCs w:val="20"/>
          <w:lang w:eastAsia="en-AU"/>
        </w:rPr>
        <w:t>-</w:t>
      </w:r>
      <w:r>
        <w:rPr>
          <w:i/>
          <w:iCs/>
          <w:color w:val="000000"/>
          <w:szCs w:val="20"/>
          <w:lang w:eastAsia="en-AU"/>
        </w:rPr>
        <w:t>of</w:t>
      </w:r>
      <w:r w:rsidR="00806AA6">
        <w:rPr>
          <w:i/>
          <w:iCs/>
          <w:color w:val="000000"/>
          <w:szCs w:val="20"/>
          <w:lang w:eastAsia="en-AU"/>
        </w:rPr>
        <w:t>-h</w:t>
      </w:r>
      <w:r>
        <w:rPr>
          <w:i/>
          <w:iCs/>
          <w:color w:val="000000"/>
          <w:szCs w:val="20"/>
          <w:lang w:eastAsia="en-AU"/>
        </w:rPr>
        <w:t xml:space="preserve">ome Care) </w:t>
      </w:r>
      <w:r>
        <w:rPr>
          <w:color w:val="000000"/>
          <w:szCs w:val="20"/>
          <w:lang w:eastAsia="en-AU"/>
        </w:rPr>
        <w:t xml:space="preserve">commenced through TAFE in February 2017. At the end of June 2017, more than 1100 workers had been booked into training through TAFE to meet minimum qualification requirements in line with the </w:t>
      </w:r>
      <w:r>
        <w:rPr>
          <w:i/>
          <w:iCs/>
          <w:color w:val="000000"/>
          <w:szCs w:val="20"/>
          <w:lang w:eastAsia="en-AU"/>
        </w:rPr>
        <w:t>Minimum Qualification Strategy for Residential Care Workers,</w:t>
      </w:r>
      <w:r>
        <w:rPr>
          <w:color w:val="000000"/>
          <w:szCs w:val="20"/>
          <w:lang w:eastAsia="en-AU"/>
        </w:rPr>
        <w:t xml:space="preserve"> released in May 2017.</w:t>
      </w:r>
    </w:p>
    <w:p w:rsidR="0092299C" w:rsidRPr="00F63571" w:rsidRDefault="0092299C" w:rsidP="0092299C">
      <w:pPr>
        <w:pStyle w:val="Heading4"/>
      </w:pPr>
      <w:r w:rsidRPr="00F63571">
        <w:lastRenderedPageBreak/>
        <w:t>Strengthening privacy arrangements</w:t>
      </w:r>
    </w:p>
    <w:p w:rsidR="0092299C" w:rsidRPr="00F63571" w:rsidRDefault="0092299C" w:rsidP="0092299C">
      <w:pPr>
        <w:pStyle w:val="ARbody"/>
      </w:pPr>
      <w:r>
        <w:t>In 2016</w:t>
      </w:r>
      <w:r w:rsidRPr="00F63571">
        <w:t>–17</w:t>
      </w:r>
      <w:r>
        <w:t>, the department worked to strengthen privacy and information security arrangements, including responding to four reviews. This work included:</w:t>
      </w:r>
    </w:p>
    <w:p w:rsidR="0092299C" w:rsidRPr="00F63571" w:rsidRDefault="0092299C" w:rsidP="0092299C">
      <w:pPr>
        <w:pStyle w:val="ARbullet1"/>
      </w:pPr>
      <w:r w:rsidRPr="00F63571">
        <w:t>introduc</w:t>
      </w:r>
      <w:r>
        <w:t>ing</w:t>
      </w:r>
      <w:r w:rsidRPr="00F63571">
        <w:t xml:space="preserve"> a new training module to engage staff in understanding their privacy and information security obligations, and developing new program-specific online training on privacy, targeted to program areas </w:t>
      </w:r>
      <w:r>
        <w:t>that</w:t>
      </w:r>
      <w:r w:rsidRPr="00F63571">
        <w:t xml:space="preserve"> have been identified as higher risk</w:t>
      </w:r>
    </w:p>
    <w:p w:rsidR="0092299C" w:rsidRPr="00F63571" w:rsidRDefault="0092299C" w:rsidP="0092299C">
      <w:pPr>
        <w:pStyle w:val="ARbullet1"/>
      </w:pPr>
      <w:r w:rsidRPr="00F63571">
        <w:t>updat</w:t>
      </w:r>
      <w:r>
        <w:t>ing</w:t>
      </w:r>
      <w:r w:rsidRPr="00F63571">
        <w:t xml:space="preserve"> the child protection manual to make sure staff are clear about their roles and procedures in relation to privacy, and changed information technology systems, removing the automatic population of some personal details</w:t>
      </w:r>
      <w:r>
        <w:t>,</w:t>
      </w:r>
      <w:r w:rsidRPr="00F63571">
        <w:t xml:space="preserve"> such as the names of carers in court reports</w:t>
      </w:r>
    </w:p>
    <w:p w:rsidR="0092299C" w:rsidRDefault="0092299C" w:rsidP="0092299C">
      <w:pPr>
        <w:pStyle w:val="ARbullet1"/>
      </w:pPr>
      <w:r w:rsidRPr="00F63571">
        <w:t>remind</w:t>
      </w:r>
      <w:r>
        <w:t>ing</w:t>
      </w:r>
      <w:r w:rsidRPr="00F63571">
        <w:t xml:space="preserve"> chief executive officers of funded organisations of their obligations under privacy legislation to provide privacy and information-sharing training for staff an</w:t>
      </w:r>
      <w:r w:rsidR="006F09E5">
        <w:t>d carers</w:t>
      </w:r>
    </w:p>
    <w:p w:rsidR="006F09E5" w:rsidRPr="00F63571" w:rsidRDefault="006F09E5" w:rsidP="006F09E5">
      <w:pPr>
        <w:pStyle w:val="ARbullet1"/>
        <w:spacing w:after="200"/>
      </w:pPr>
      <w:r w:rsidRPr="00F63571">
        <w:t>developing a new privacy framework, including more robust reporting and an IT tool to record, monitor a</w:t>
      </w:r>
      <w:r>
        <w:t>nd report on privacy incidents.</w:t>
      </w:r>
    </w:p>
    <w:tbl>
      <w:tblPr>
        <w:tblW w:w="4593" w:type="dxa"/>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Look w:val="04A0" w:firstRow="1" w:lastRow="0" w:firstColumn="1" w:lastColumn="0" w:noHBand="0" w:noVBand="1"/>
      </w:tblPr>
      <w:tblGrid>
        <w:gridCol w:w="4593"/>
      </w:tblGrid>
      <w:tr w:rsidR="0092299C" w:rsidRPr="00F63571" w:rsidTr="006F09E5">
        <w:tc>
          <w:tcPr>
            <w:tcW w:w="4707" w:type="dxa"/>
            <w:tcBorders>
              <w:top w:val="single" w:sz="4" w:space="0" w:color="004C97"/>
              <w:left w:val="single" w:sz="4" w:space="0" w:color="004C97"/>
              <w:bottom w:val="single" w:sz="4" w:space="0" w:color="004C97"/>
              <w:right w:val="single" w:sz="4" w:space="0" w:color="004C97"/>
            </w:tcBorders>
            <w:shd w:val="clear" w:color="auto" w:fill="auto"/>
          </w:tcPr>
          <w:p w:rsidR="0092299C" w:rsidRPr="00DD1857" w:rsidRDefault="0092299C" w:rsidP="006F09E5">
            <w:pPr>
              <w:pStyle w:val="ARcasestudysubhead"/>
              <w:ind w:left="-49"/>
              <w:rPr>
                <w:b w:val="0"/>
              </w:rPr>
            </w:pPr>
            <w:r w:rsidRPr="00D428E7">
              <w:rPr>
                <w:lang w:val="en-AU"/>
              </w:rPr>
              <w:br w:type="page"/>
            </w:r>
            <w:r w:rsidRPr="00DD1857">
              <w:rPr>
                <w:lang w:val="en-AU"/>
              </w:rPr>
              <w:t>Improving access to records</w:t>
            </w:r>
          </w:p>
          <w:p w:rsidR="0092299C" w:rsidRPr="00F63571" w:rsidRDefault="0092299C" w:rsidP="006F09E5">
            <w:pPr>
              <w:pStyle w:val="ARcasestudytext"/>
              <w:ind w:left="-49"/>
            </w:pPr>
            <w:r w:rsidRPr="00F63571">
              <w:t>In October 2016, the department established the Care Leaver Records Service (CLRS), a dedicated team to improve care leavers’ experience of accessing their records. The CLRS uses a ‘pro-release’ approach, which provides maximum access to as broad and complete a set of records as possible.</w:t>
            </w:r>
          </w:p>
          <w:p w:rsidR="0092299C" w:rsidRPr="00F63571" w:rsidRDefault="0092299C" w:rsidP="006F09E5">
            <w:pPr>
              <w:pStyle w:val="ARcasestudytext"/>
              <w:ind w:left="-49"/>
            </w:pPr>
            <w:r w:rsidRPr="00F63571">
              <w:t xml:space="preserve">A key goal of the CLRS is to extend supported release to all care leavers and former child protection clients, regardless of when they left care (previously this support was only available to care leavers </w:t>
            </w:r>
            <w:r w:rsidR="006F09E5">
              <w:t>who had left care before 1989).</w:t>
            </w:r>
          </w:p>
          <w:p w:rsidR="0092299C" w:rsidRPr="00F63571" w:rsidRDefault="0092299C" w:rsidP="006F09E5">
            <w:pPr>
              <w:pStyle w:val="ARcasestudytext"/>
              <w:ind w:left="-49"/>
            </w:pPr>
            <w:r w:rsidRPr="00F63571">
              <w:t>Supported release can help care leavers to understand the historical context of their records. It provides the opportunity to discuss any distressing content, and helps care leavers to access further records from other agencies.</w:t>
            </w:r>
          </w:p>
        </w:tc>
      </w:tr>
    </w:tbl>
    <w:p w:rsidR="0092299C" w:rsidRPr="00F63571" w:rsidRDefault="0092299C" w:rsidP="0092299C">
      <w:pPr>
        <w:pStyle w:val="ARbullet1"/>
        <w:numPr>
          <w:ilvl w:val="0"/>
          <w:numId w:val="0"/>
        </w:numPr>
        <w:ind w:left="284"/>
        <w:sectPr w:rsidR="0092299C" w:rsidRPr="00F63571" w:rsidSect="00900535">
          <w:endnotePr>
            <w:numFmt w:val="decimal"/>
          </w:endnotePr>
          <w:type w:val="nextColumn"/>
          <w:pgSz w:w="11900" w:h="16840" w:code="9"/>
          <w:pgMar w:top="1531" w:right="851" w:bottom="680" w:left="1418" w:header="510" w:footer="340" w:gutter="0"/>
          <w:cols w:num="2" w:space="454"/>
        </w:sectPr>
      </w:pPr>
    </w:p>
    <w:p w:rsidR="0092299C" w:rsidRPr="002B1770" w:rsidRDefault="0092299C" w:rsidP="009D62BD">
      <w:pPr>
        <w:pStyle w:val="Heading3"/>
        <w:spacing w:before="0"/>
      </w:pPr>
      <w:bookmarkStart w:id="22" w:name="_Ref492894367"/>
      <w:r w:rsidRPr="002B1770">
        <w:lastRenderedPageBreak/>
        <w:t>Objective 6 indicator results</w:t>
      </w:r>
      <w:bookmarkEnd w:id="2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4663"/>
        <w:gridCol w:w="1288"/>
        <w:gridCol w:w="1288"/>
        <w:gridCol w:w="1322"/>
        <w:gridCol w:w="1078"/>
      </w:tblGrid>
      <w:tr w:rsidR="0092299C" w:rsidRPr="002B1770" w:rsidTr="00D92382">
        <w:trPr>
          <w:cantSplit/>
          <w:tblHeader/>
        </w:trPr>
        <w:tc>
          <w:tcPr>
            <w:tcW w:w="4663" w:type="dxa"/>
            <w:tcBorders>
              <w:bottom w:val="single" w:sz="4" w:space="0" w:color="auto"/>
            </w:tcBorders>
            <w:shd w:val="clear" w:color="auto" w:fill="auto"/>
            <w:vAlign w:val="bottom"/>
          </w:tcPr>
          <w:p w:rsidR="0092299C" w:rsidRPr="002B1770" w:rsidRDefault="0092299C" w:rsidP="0092299C">
            <w:pPr>
              <w:pStyle w:val="ARtablecolhead"/>
            </w:pPr>
          </w:p>
        </w:tc>
        <w:tc>
          <w:tcPr>
            <w:tcW w:w="1288" w:type="dxa"/>
            <w:tcBorders>
              <w:bottom w:val="single" w:sz="4" w:space="0" w:color="auto"/>
            </w:tcBorders>
          </w:tcPr>
          <w:p w:rsidR="0092299C" w:rsidRPr="002B1770" w:rsidRDefault="0092299C" w:rsidP="0092299C">
            <w:pPr>
              <w:pStyle w:val="ARtablecolhead"/>
            </w:pPr>
            <w:r w:rsidRPr="002B1770">
              <w:t>2013–14</w:t>
            </w:r>
          </w:p>
        </w:tc>
        <w:tc>
          <w:tcPr>
            <w:tcW w:w="1288" w:type="dxa"/>
            <w:tcBorders>
              <w:bottom w:val="single" w:sz="4" w:space="0" w:color="auto"/>
            </w:tcBorders>
            <w:shd w:val="clear" w:color="auto" w:fill="auto"/>
            <w:vAlign w:val="bottom"/>
          </w:tcPr>
          <w:p w:rsidR="0092299C" w:rsidRPr="002B1770" w:rsidRDefault="0092299C" w:rsidP="0092299C">
            <w:pPr>
              <w:pStyle w:val="ARtablecolhead"/>
            </w:pPr>
            <w:r w:rsidRPr="002B1770">
              <w:t>2014–15</w:t>
            </w:r>
          </w:p>
        </w:tc>
        <w:tc>
          <w:tcPr>
            <w:tcW w:w="1322" w:type="dxa"/>
            <w:tcBorders>
              <w:bottom w:val="single" w:sz="4" w:space="0" w:color="auto"/>
            </w:tcBorders>
            <w:shd w:val="clear" w:color="auto" w:fill="auto"/>
            <w:vAlign w:val="bottom"/>
          </w:tcPr>
          <w:p w:rsidR="0092299C" w:rsidRPr="002B1770" w:rsidRDefault="0092299C" w:rsidP="0092299C">
            <w:pPr>
              <w:pStyle w:val="ARtablecolhead"/>
            </w:pPr>
            <w:r w:rsidRPr="002B1770">
              <w:t>2015–16</w:t>
            </w:r>
          </w:p>
        </w:tc>
        <w:tc>
          <w:tcPr>
            <w:tcW w:w="1078" w:type="dxa"/>
            <w:tcBorders>
              <w:bottom w:val="single" w:sz="4" w:space="0" w:color="auto"/>
            </w:tcBorders>
          </w:tcPr>
          <w:p w:rsidR="0092299C" w:rsidRPr="002B1770" w:rsidRDefault="0092299C" w:rsidP="0092299C">
            <w:pPr>
              <w:pStyle w:val="ARtablecolhead"/>
            </w:pPr>
            <w:r w:rsidRPr="002B1770">
              <w:t>20</w:t>
            </w:r>
            <w:r>
              <w:t>16–17</w:t>
            </w:r>
          </w:p>
        </w:tc>
      </w:tr>
      <w:tr w:rsidR="00C11E2D" w:rsidRPr="002B1770" w:rsidTr="0010061B">
        <w:trPr>
          <w:cantSplit/>
        </w:trPr>
        <w:tc>
          <w:tcPr>
            <w:tcW w:w="9639" w:type="dxa"/>
            <w:gridSpan w:val="5"/>
            <w:tcBorders>
              <w:top w:val="single" w:sz="4" w:space="0" w:color="auto"/>
              <w:bottom w:val="single" w:sz="4" w:space="0" w:color="BFBFBF"/>
            </w:tcBorders>
          </w:tcPr>
          <w:p w:rsidR="00C11E2D" w:rsidRPr="002B1770" w:rsidRDefault="00C11E2D" w:rsidP="0092299C">
            <w:pPr>
              <w:pStyle w:val="ARtablebluebold"/>
            </w:pPr>
            <w:r w:rsidRPr="002B1770">
              <w:t>New housing allocations to those in greatest need</w:t>
            </w:r>
          </w:p>
        </w:tc>
      </w:tr>
      <w:tr w:rsidR="0092299C" w:rsidRPr="002B1770" w:rsidTr="00D92382">
        <w:trPr>
          <w:cantSplit/>
        </w:trPr>
        <w:tc>
          <w:tcPr>
            <w:tcW w:w="4663" w:type="dxa"/>
            <w:tcBorders>
              <w:top w:val="single" w:sz="4" w:space="0" w:color="BFBFBF"/>
              <w:bottom w:val="single" w:sz="4" w:space="0" w:color="FFFFFF"/>
            </w:tcBorders>
            <w:shd w:val="clear" w:color="auto" w:fill="auto"/>
          </w:tcPr>
          <w:p w:rsidR="0092299C" w:rsidRPr="002B1770" w:rsidRDefault="00D92382" w:rsidP="00D92382">
            <w:pPr>
              <w:pStyle w:val="ARtabletext"/>
            </w:pPr>
            <w:r>
              <w:t>Public housing allocations</w:t>
            </w:r>
          </w:p>
        </w:tc>
        <w:tc>
          <w:tcPr>
            <w:tcW w:w="1288" w:type="dxa"/>
            <w:tcBorders>
              <w:top w:val="single" w:sz="4" w:space="0" w:color="BFBFBF"/>
              <w:bottom w:val="single" w:sz="4" w:space="0" w:color="FFFFFF"/>
            </w:tcBorders>
          </w:tcPr>
          <w:p w:rsidR="0092299C" w:rsidRPr="002B1770" w:rsidRDefault="0092299C" w:rsidP="0092299C">
            <w:pPr>
              <w:pStyle w:val="ARtabletext"/>
            </w:pPr>
            <w:r w:rsidRPr="002B1770">
              <w:t>79.4%</w:t>
            </w:r>
          </w:p>
        </w:tc>
        <w:tc>
          <w:tcPr>
            <w:tcW w:w="1288" w:type="dxa"/>
            <w:tcBorders>
              <w:top w:val="single" w:sz="4" w:space="0" w:color="BFBFBF"/>
              <w:bottom w:val="single" w:sz="4" w:space="0" w:color="FFFFFF"/>
            </w:tcBorders>
            <w:shd w:val="clear" w:color="auto" w:fill="auto"/>
          </w:tcPr>
          <w:p w:rsidR="0092299C" w:rsidRPr="002B1770" w:rsidRDefault="0092299C" w:rsidP="0092299C">
            <w:pPr>
              <w:pStyle w:val="ARtabletext"/>
            </w:pPr>
            <w:r w:rsidRPr="002B1770">
              <w:t>82.1%</w:t>
            </w:r>
          </w:p>
        </w:tc>
        <w:tc>
          <w:tcPr>
            <w:tcW w:w="1322" w:type="dxa"/>
            <w:tcBorders>
              <w:top w:val="single" w:sz="4" w:space="0" w:color="BFBFBF"/>
              <w:bottom w:val="single" w:sz="4" w:space="0" w:color="FFFFFF"/>
            </w:tcBorders>
            <w:shd w:val="clear" w:color="auto" w:fill="auto"/>
          </w:tcPr>
          <w:p w:rsidR="0092299C" w:rsidRPr="002B1770" w:rsidRDefault="0092299C" w:rsidP="0092299C">
            <w:pPr>
              <w:pStyle w:val="ARtabletext"/>
            </w:pPr>
            <w:r w:rsidRPr="002B1770">
              <w:t>83.8%</w:t>
            </w:r>
          </w:p>
        </w:tc>
        <w:tc>
          <w:tcPr>
            <w:tcW w:w="1078" w:type="dxa"/>
            <w:tcBorders>
              <w:top w:val="single" w:sz="4" w:space="0" w:color="BFBFBF"/>
              <w:bottom w:val="single" w:sz="4" w:space="0" w:color="FFFFFF"/>
            </w:tcBorders>
          </w:tcPr>
          <w:p w:rsidR="0092299C" w:rsidRPr="002B1770" w:rsidRDefault="0092299C" w:rsidP="0092299C">
            <w:pPr>
              <w:pStyle w:val="ARtabletext"/>
            </w:pPr>
            <w:r w:rsidRPr="002B1770">
              <w:t>Not yet published</w:t>
            </w:r>
          </w:p>
        </w:tc>
      </w:tr>
      <w:tr w:rsidR="00D92382" w:rsidRPr="002B1770" w:rsidTr="00D92382">
        <w:trPr>
          <w:cantSplit/>
        </w:trPr>
        <w:tc>
          <w:tcPr>
            <w:tcW w:w="9639" w:type="dxa"/>
            <w:gridSpan w:val="5"/>
            <w:tcBorders>
              <w:top w:val="single" w:sz="4" w:space="0" w:color="FFFFFF"/>
              <w:bottom w:val="single" w:sz="4" w:space="0" w:color="BFBFBF"/>
            </w:tcBorders>
            <w:shd w:val="clear" w:color="auto" w:fill="auto"/>
          </w:tcPr>
          <w:p w:rsidR="00D92382" w:rsidRPr="002B1770" w:rsidRDefault="00D92382" w:rsidP="00D92382">
            <w:pPr>
              <w:pStyle w:val="ARtablefootnote"/>
            </w:pPr>
            <w:r w:rsidRPr="002B1770">
              <w:rPr>
                <w:rFonts w:eastAsia="Times"/>
              </w:rPr>
              <w:t>Source: Rep</w:t>
            </w:r>
            <w:r>
              <w:rPr>
                <w:rFonts w:eastAsia="Times"/>
              </w:rPr>
              <w:t>ort on Government Services 2016 (Table 18</w:t>
            </w:r>
            <w:r w:rsidRPr="002B1770">
              <w:rPr>
                <w:rFonts w:eastAsia="Times"/>
              </w:rPr>
              <w:t>A.9)</w:t>
            </w:r>
          </w:p>
        </w:tc>
      </w:tr>
      <w:tr w:rsidR="0092299C" w:rsidRPr="002B1770" w:rsidTr="00D92382">
        <w:trPr>
          <w:cantSplit/>
        </w:trPr>
        <w:tc>
          <w:tcPr>
            <w:tcW w:w="4663" w:type="dxa"/>
            <w:tcBorders>
              <w:top w:val="single" w:sz="4" w:space="0" w:color="BFBFBF"/>
              <w:left w:val="nil"/>
              <w:bottom w:val="single" w:sz="4" w:space="0" w:color="FFFFFF"/>
              <w:right w:val="nil"/>
            </w:tcBorders>
            <w:shd w:val="clear" w:color="auto" w:fill="auto"/>
          </w:tcPr>
          <w:p w:rsidR="0092299C" w:rsidRPr="00D92382" w:rsidRDefault="00D92382" w:rsidP="00D92382">
            <w:pPr>
              <w:spacing w:before="80" w:after="60"/>
              <w:rPr>
                <w:rFonts w:eastAsia="Times" w:cs="Arial"/>
                <w:sz w:val="18"/>
                <w:szCs w:val="18"/>
                <w:lang w:eastAsia="en-AU"/>
              </w:rPr>
            </w:pPr>
            <w:r>
              <w:rPr>
                <w:rFonts w:eastAsia="Times" w:cs="Arial"/>
                <w:sz w:val="18"/>
                <w:szCs w:val="18"/>
                <w:lang w:eastAsia="en-AU"/>
              </w:rPr>
              <w:t>Community housing allocations</w:t>
            </w:r>
          </w:p>
        </w:tc>
        <w:tc>
          <w:tcPr>
            <w:tcW w:w="1288" w:type="dxa"/>
            <w:tcBorders>
              <w:top w:val="single" w:sz="4" w:space="0" w:color="BFBFBF"/>
              <w:left w:val="nil"/>
              <w:bottom w:val="single" w:sz="4" w:space="0" w:color="FFFFFF"/>
              <w:right w:val="nil"/>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86.9%</w:t>
            </w:r>
          </w:p>
        </w:tc>
        <w:tc>
          <w:tcPr>
            <w:tcW w:w="1288" w:type="dxa"/>
            <w:tcBorders>
              <w:top w:val="single" w:sz="4" w:space="0" w:color="BFBFBF"/>
              <w:left w:val="nil"/>
              <w:bottom w:val="single" w:sz="4" w:space="0" w:color="FFFFFF"/>
              <w:right w:val="nil"/>
            </w:tcBorders>
            <w:shd w:val="clear" w:color="auto" w:fill="auto"/>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84.9%</w:t>
            </w:r>
          </w:p>
        </w:tc>
        <w:tc>
          <w:tcPr>
            <w:tcW w:w="1322" w:type="dxa"/>
            <w:tcBorders>
              <w:top w:val="single" w:sz="4" w:space="0" w:color="BFBFBF"/>
              <w:left w:val="nil"/>
              <w:bottom w:val="single" w:sz="4" w:space="0" w:color="FFFFFF"/>
            </w:tcBorders>
            <w:shd w:val="clear" w:color="auto" w:fill="auto"/>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83.9%</w:t>
            </w:r>
          </w:p>
        </w:tc>
        <w:tc>
          <w:tcPr>
            <w:tcW w:w="1078" w:type="dxa"/>
            <w:tcBorders>
              <w:top w:val="single" w:sz="4" w:space="0" w:color="BFBFBF"/>
              <w:left w:val="nil"/>
              <w:bottom w:val="single" w:sz="4" w:space="0" w:color="FFFFFF"/>
            </w:tcBorders>
          </w:tcPr>
          <w:p w:rsidR="0092299C" w:rsidRPr="002B1770" w:rsidRDefault="0092299C" w:rsidP="0092299C">
            <w:pPr>
              <w:spacing w:before="80" w:after="60"/>
              <w:rPr>
                <w:rFonts w:eastAsia="Times" w:cs="Arial"/>
                <w:sz w:val="18"/>
                <w:szCs w:val="18"/>
                <w:lang w:eastAsia="en-AU"/>
              </w:rPr>
            </w:pPr>
            <w:r w:rsidRPr="002B1770">
              <w:rPr>
                <w:rFonts w:eastAsia="Times" w:cs="Arial"/>
                <w:sz w:val="18"/>
                <w:szCs w:val="18"/>
                <w:lang w:eastAsia="en-AU"/>
              </w:rPr>
              <w:t>Not yet published</w:t>
            </w:r>
          </w:p>
        </w:tc>
      </w:tr>
      <w:tr w:rsidR="00D92382" w:rsidRPr="002B1770" w:rsidTr="00D92382">
        <w:trPr>
          <w:cantSplit/>
        </w:trPr>
        <w:tc>
          <w:tcPr>
            <w:tcW w:w="9639" w:type="dxa"/>
            <w:gridSpan w:val="5"/>
            <w:tcBorders>
              <w:top w:val="single" w:sz="4" w:space="0" w:color="FFFFFF"/>
              <w:left w:val="nil"/>
              <w:bottom w:val="single" w:sz="4" w:space="0" w:color="BFBFBF"/>
            </w:tcBorders>
            <w:shd w:val="clear" w:color="auto" w:fill="auto"/>
          </w:tcPr>
          <w:p w:rsidR="00D92382" w:rsidRPr="002B1770" w:rsidRDefault="00D92382" w:rsidP="00D92382">
            <w:pPr>
              <w:pStyle w:val="ARtablefootnote"/>
              <w:rPr>
                <w:rFonts w:eastAsia="Times" w:cs="Arial"/>
                <w:sz w:val="18"/>
                <w:szCs w:val="18"/>
                <w:lang w:eastAsia="en-AU"/>
              </w:rPr>
            </w:pPr>
            <w:r w:rsidRPr="002B1770">
              <w:rPr>
                <w:rFonts w:eastAsia="Times"/>
                <w:lang w:eastAsia="en-AU"/>
              </w:rPr>
              <w:t>Source: Re</w:t>
            </w:r>
            <w:r>
              <w:rPr>
                <w:rFonts w:eastAsia="Times"/>
                <w:lang w:eastAsia="en-AU"/>
              </w:rPr>
              <w:t>port on Government Services 2016 (Table 18</w:t>
            </w:r>
            <w:r w:rsidRPr="002B1770">
              <w:rPr>
                <w:rFonts w:eastAsia="Times"/>
                <w:lang w:eastAsia="en-AU"/>
              </w:rPr>
              <w:t>A.11)</w:t>
            </w:r>
          </w:p>
        </w:tc>
      </w:tr>
      <w:tr w:rsidR="00C11E2D" w:rsidRPr="002B1770" w:rsidTr="0010061B">
        <w:trPr>
          <w:cantSplit/>
        </w:trPr>
        <w:tc>
          <w:tcPr>
            <w:tcW w:w="9639" w:type="dxa"/>
            <w:gridSpan w:val="5"/>
            <w:tcBorders>
              <w:top w:val="single" w:sz="4" w:space="0" w:color="auto"/>
              <w:bottom w:val="single" w:sz="4" w:space="0" w:color="BFBFBF"/>
            </w:tcBorders>
          </w:tcPr>
          <w:p w:rsidR="00C11E2D" w:rsidRPr="002B1770" w:rsidRDefault="00C11E2D" w:rsidP="0092299C">
            <w:pPr>
              <w:pStyle w:val="ARtablebluebold"/>
            </w:pPr>
            <w:r w:rsidRPr="002B1770">
              <w:t>Efficient management of housing stock (including</w:t>
            </w:r>
            <w:r>
              <w:br/>
            </w:r>
            <w:r w:rsidRPr="002B1770">
              <w:t>occupancy rate and turn-around time)</w:t>
            </w:r>
          </w:p>
        </w:tc>
      </w:tr>
      <w:tr w:rsidR="0092299C" w:rsidRPr="002B1770" w:rsidTr="00D92382">
        <w:trPr>
          <w:cantSplit/>
        </w:trPr>
        <w:tc>
          <w:tcPr>
            <w:tcW w:w="4663" w:type="dxa"/>
            <w:tcBorders>
              <w:top w:val="single" w:sz="4" w:space="0" w:color="BFBFBF"/>
              <w:bottom w:val="single" w:sz="4" w:space="0" w:color="FFFFFF"/>
            </w:tcBorders>
            <w:shd w:val="clear" w:color="auto" w:fill="auto"/>
          </w:tcPr>
          <w:p w:rsidR="0092299C" w:rsidRPr="002B1770" w:rsidRDefault="0092299C" w:rsidP="00D92382">
            <w:pPr>
              <w:pStyle w:val="ARtabletext"/>
            </w:pPr>
            <w:r w:rsidRPr="002B1770">
              <w:t>Average turn-around time for</w:t>
            </w:r>
            <w:r w:rsidR="00D92382">
              <w:t xml:space="preserve"> vacant stock in public housing</w:t>
            </w:r>
          </w:p>
        </w:tc>
        <w:tc>
          <w:tcPr>
            <w:tcW w:w="1288" w:type="dxa"/>
            <w:tcBorders>
              <w:top w:val="single" w:sz="4" w:space="0" w:color="BFBFBF"/>
              <w:bottom w:val="single" w:sz="4" w:space="0" w:color="FFFFFF"/>
            </w:tcBorders>
          </w:tcPr>
          <w:p w:rsidR="0092299C" w:rsidRPr="002B1770" w:rsidRDefault="0092299C" w:rsidP="0092299C">
            <w:pPr>
              <w:pStyle w:val="ARtabletext"/>
            </w:pPr>
            <w:r w:rsidRPr="002B1770">
              <w:t>32.9 days</w:t>
            </w:r>
          </w:p>
        </w:tc>
        <w:tc>
          <w:tcPr>
            <w:tcW w:w="1288" w:type="dxa"/>
            <w:tcBorders>
              <w:top w:val="single" w:sz="4" w:space="0" w:color="BFBFBF"/>
              <w:bottom w:val="single" w:sz="4" w:space="0" w:color="FFFFFF"/>
            </w:tcBorders>
            <w:shd w:val="clear" w:color="auto" w:fill="auto"/>
          </w:tcPr>
          <w:p w:rsidR="0092299C" w:rsidRPr="002B1770" w:rsidRDefault="0092299C" w:rsidP="0092299C">
            <w:pPr>
              <w:pStyle w:val="ARtabletext"/>
            </w:pPr>
            <w:r w:rsidRPr="002B1770">
              <w:t>29.1 days</w:t>
            </w:r>
          </w:p>
        </w:tc>
        <w:tc>
          <w:tcPr>
            <w:tcW w:w="1322" w:type="dxa"/>
            <w:tcBorders>
              <w:top w:val="single" w:sz="4" w:space="0" w:color="BFBFBF"/>
              <w:bottom w:val="single" w:sz="4" w:space="0" w:color="FFFFFF"/>
            </w:tcBorders>
            <w:shd w:val="clear" w:color="auto" w:fill="auto"/>
          </w:tcPr>
          <w:p w:rsidR="0092299C" w:rsidRPr="002B1770" w:rsidRDefault="0092299C" w:rsidP="0092299C">
            <w:pPr>
              <w:pStyle w:val="ARtabletext"/>
            </w:pPr>
            <w:r w:rsidRPr="002B1770">
              <w:t>28.6 days</w:t>
            </w:r>
          </w:p>
        </w:tc>
        <w:tc>
          <w:tcPr>
            <w:tcW w:w="1078" w:type="dxa"/>
            <w:tcBorders>
              <w:top w:val="single" w:sz="4" w:space="0" w:color="BFBFBF"/>
              <w:bottom w:val="single" w:sz="4" w:space="0" w:color="FFFFFF"/>
            </w:tcBorders>
          </w:tcPr>
          <w:p w:rsidR="0092299C" w:rsidRPr="002B1770" w:rsidRDefault="0092299C" w:rsidP="0092299C">
            <w:pPr>
              <w:pStyle w:val="ARtabletext"/>
            </w:pPr>
            <w:r w:rsidRPr="002B1770">
              <w:t>Not yet published</w:t>
            </w:r>
          </w:p>
        </w:tc>
      </w:tr>
      <w:tr w:rsidR="00D92382" w:rsidRPr="002B1770" w:rsidTr="00D92382">
        <w:trPr>
          <w:cantSplit/>
        </w:trPr>
        <w:tc>
          <w:tcPr>
            <w:tcW w:w="9639" w:type="dxa"/>
            <w:gridSpan w:val="5"/>
            <w:tcBorders>
              <w:top w:val="single" w:sz="4" w:space="0" w:color="FFFFFF"/>
              <w:bottom w:val="single" w:sz="4" w:space="0" w:color="auto"/>
            </w:tcBorders>
            <w:shd w:val="clear" w:color="auto" w:fill="auto"/>
          </w:tcPr>
          <w:p w:rsidR="00D92382" w:rsidRPr="002B1770" w:rsidRDefault="00D92382" w:rsidP="00D92382">
            <w:pPr>
              <w:pStyle w:val="ARtablefootnote"/>
            </w:pPr>
            <w:r w:rsidRPr="002B1770">
              <w:rPr>
                <w:rFonts w:eastAsia="Times"/>
              </w:rPr>
              <w:t>Source: Rep</w:t>
            </w:r>
            <w:r>
              <w:rPr>
                <w:rFonts w:eastAsia="Times"/>
              </w:rPr>
              <w:t>ort on Government Services 2016 (Table 18A.56</w:t>
            </w:r>
            <w:r w:rsidRPr="002B1770">
              <w:rPr>
                <w:rFonts w:eastAsia="Times"/>
              </w:rPr>
              <w:t>)</w:t>
            </w:r>
          </w:p>
        </w:tc>
      </w:tr>
      <w:tr w:rsidR="00C11E2D" w:rsidRPr="002B1770" w:rsidTr="0010061B">
        <w:trPr>
          <w:cantSplit/>
        </w:trPr>
        <w:tc>
          <w:tcPr>
            <w:tcW w:w="9639" w:type="dxa"/>
            <w:gridSpan w:val="5"/>
            <w:tcBorders>
              <w:top w:val="single" w:sz="4" w:space="0" w:color="auto"/>
              <w:bottom w:val="single" w:sz="4" w:space="0" w:color="BFBFBF"/>
            </w:tcBorders>
          </w:tcPr>
          <w:p w:rsidR="00C11E2D" w:rsidRPr="002B1770" w:rsidRDefault="00C11E2D" w:rsidP="0092299C">
            <w:pPr>
              <w:pStyle w:val="ARtablebluebold"/>
            </w:pPr>
            <w:r w:rsidRPr="002B1770">
              <w:t>Disability clients receiving individualised support</w:t>
            </w:r>
            <w:r>
              <w:br/>
            </w:r>
            <w:r w:rsidRPr="002B1770">
              <w:t>to live in the community</w:t>
            </w:r>
          </w:p>
        </w:tc>
      </w:tr>
      <w:tr w:rsidR="0092299C" w:rsidRPr="002B1770" w:rsidTr="00D92382">
        <w:trPr>
          <w:cantSplit/>
        </w:trPr>
        <w:tc>
          <w:tcPr>
            <w:tcW w:w="4663" w:type="dxa"/>
            <w:tcBorders>
              <w:top w:val="single" w:sz="4" w:space="0" w:color="BFBFBF"/>
              <w:bottom w:val="single" w:sz="4" w:space="0" w:color="FFFFFF"/>
            </w:tcBorders>
            <w:shd w:val="clear" w:color="auto" w:fill="auto"/>
          </w:tcPr>
          <w:p w:rsidR="0092299C" w:rsidRPr="002B1770" w:rsidRDefault="0092299C" w:rsidP="00D92382">
            <w:pPr>
              <w:pStyle w:val="ARtabletext"/>
            </w:pPr>
            <w:r w:rsidRPr="002B1770">
              <w:t>Number of clients provided with individualised support to live in the community</w:t>
            </w:r>
          </w:p>
        </w:tc>
        <w:tc>
          <w:tcPr>
            <w:tcW w:w="1288" w:type="dxa"/>
            <w:tcBorders>
              <w:top w:val="single" w:sz="4" w:space="0" w:color="BFBFBF"/>
              <w:bottom w:val="single" w:sz="4" w:space="0" w:color="FFFFFF"/>
            </w:tcBorders>
          </w:tcPr>
          <w:p w:rsidR="0092299C" w:rsidRPr="002B1770" w:rsidRDefault="0092299C" w:rsidP="0092299C">
            <w:pPr>
              <w:pStyle w:val="ARtabletext"/>
            </w:pPr>
            <w:r w:rsidRPr="002B1770">
              <w:t>14,593</w:t>
            </w:r>
          </w:p>
        </w:tc>
        <w:tc>
          <w:tcPr>
            <w:tcW w:w="1288" w:type="dxa"/>
            <w:tcBorders>
              <w:top w:val="single" w:sz="4" w:space="0" w:color="BFBFBF"/>
              <w:bottom w:val="single" w:sz="4" w:space="0" w:color="FFFFFF"/>
            </w:tcBorders>
            <w:shd w:val="clear" w:color="auto" w:fill="auto"/>
          </w:tcPr>
          <w:p w:rsidR="0092299C" w:rsidRPr="002B1770" w:rsidRDefault="0092299C" w:rsidP="0092299C">
            <w:pPr>
              <w:pStyle w:val="ARtabletext"/>
            </w:pPr>
            <w:r w:rsidRPr="002B1770">
              <w:t>15,110</w:t>
            </w:r>
          </w:p>
        </w:tc>
        <w:tc>
          <w:tcPr>
            <w:tcW w:w="1322" w:type="dxa"/>
            <w:tcBorders>
              <w:top w:val="single" w:sz="4" w:space="0" w:color="BFBFBF"/>
              <w:bottom w:val="single" w:sz="4" w:space="0" w:color="FFFFFF"/>
            </w:tcBorders>
            <w:shd w:val="clear" w:color="auto" w:fill="auto"/>
          </w:tcPr>
          <w:p w:rsidR="0092299C" w:rsidRPr="002B1770" w:rsidRDefault="0092299C" w:rsidP="0092299C">
            <w:pPr>
              <w:pStyle w:val="ARtabletext"/>
            </w:pPr>
            <w:r w:rsidRPr="002B1770">
              <w:t>15,205</w:t>
            </w:r>
          </w:p>
        </w:tc>
        <w:tc>
          <w:tcPr>
            <w:tcW w:w="1078" w:type="dxa"/>
            <w:tcBorders>
              <w:top w:val="single" w:sz="4" w:space="0" w:color="BFBFBF"/>
              <w:bottom w:val="single" w:sz="4" w:space="0" w:color="FFFFFF"/>
            </w:tcBorders>
          </w:tcPr>
          <w:p w:rsidR="0092299C" w:rsidRPr="002B1770" w:rsidRDefault="0092299C" w:rsidP="0092299C">
            <w:pPr>
              <w:pStyle w:val="ARtabletext"/>
            </w:pPr>
            <w:r w:rsidRPr="002B1770">
              <w:t>15,276</w:t>
            </w:r>
          </w:p>
        </w:tc>
      </w:tr>
      <w:tr w:rsidR="00D92382" w:rsidRPr="002B1770" w:rsidTr="00D92382">
        <w:trPr>
          <w:cantSplit/>
        </w:trPr>
        <w:tc>
          <w:tcPr>
            <w:tcW w:w="9639" w:type="dxa"/>
            <w:gridSpan w:val="5"/>
            <w:tcBorders>
              <w:top w:val="single" w:sz="4" w:space="0" w:color="FFFFFF"/>
              <w:bottom w:val="single" w:sz="4" w:space="0" w:color="auto"/>
            </w:tcBorders>
            <w:shd w:val="clear" w:color="auto" w:fill="auto"/>
          </w:tcPr>
          <w:p w:rsidR="00D92382" w:rsidRPr="002B1770" w:rsidRDefault="00D92382" w:rsidP="00D92382">
            <w:pPr>
              <w:pStyle w:val="ARtablefootnote"/>
            </w:pPr>
            <w:r w:rsidRPr="002B1770">
              <w:rPr>
                <w:rFonts w:eastAsia="Times"/>
              </w:rPr>
              <w:t>Source: Internal departmental data</w:t>
            </w:r>
          </w:p>
        </w:tc>
      </w:tr>
    </w:tbl>
    <w:p w:rsidR="0092299C" w:rsidRPr="002B1770" w:rsidRDefault="0092299C" w:rsidP="0092299C">
      <w:pPr>
        <w:pStyle w:val="ARbody"/>
      </w:pPr>
    </w:p>
    <w:p w:rsidR="0092299C" w:rsidRDefault="0092299C" w:rsidP="00E560D2">
      <w:pPr>
        <w:pStyle w:val="ARbody"/>
        <w:sectPr w:rsidR="0092299C" w:rsidSect="001C57F7">
          <w:headerReference w:type="even" r:id="rId36"/>
          <w:footerReference w:type="even" r:id="rId37"/>
          <w:footerReference w:type="default" r:id="rId38"/>
          <w:headerReference w:type="first" r:id="rId39"/>
          <w:footerReference w:type="first" r:id="rId40"/>
          <w:endnotePr>
            <w:numFmt w:val="decimal"/>
          </w:endnotePr>
          <w:pgSz w:w="11900" w:h="16840" w:code="9"/>
          <w:pgMar w:top="1531" w:right="851" w:bottom="680" w:left="1418" w:header="510" w:footer="340" w:gutter="0"/>
          <w:cols w:space="454"/>
        </w:sectPr>
      </w:pPr>
    </w:p>
    <w:p w:rsidR="0092299C" w:rsidRPr="00D02A2E" w:rsidRDefault="0092299C" w:rsidP="0092299C">
      <w:pPr>
        <w:pStyle w:val="Heading1"/>
      </w:pPr>
      <w:bookmarkStart w:id="23" w:name="_Ref492894463"/>
      <w:bookmarkStart w:id="24" w:name="_Ref492905644"/>
      <w:bookmarkStart w:id="25" w:name="_Toc493069459"/>
      <w:r w:rsidRPr="00D02A2E">
        <w:lastRenderedPageBreak/>
        <w:t>Performance reporting</w:t>
      </w:r>
      <w:bookmarkEnd w:id="23"/>
      <w:bookmarkEnd w:id="24"/>
      <w:bookmarkEnd w:id="25"/>
    </w:p>
    <w:p w:rsidR="0092299C" w:rsidRPr="00D02A2E" w:rsidRDefault="0092299C" w:rsidP="0092299C">
      <w:pPr>
        <w:pStyle w:val="ARbody"/>
      </w:pPr>
      <w:r w:rsidRPr="00D02A2E">
        <w:t>Results in the tables below are coded according to:</w:t>
      </w:r>
    </w:p>
    <w:p w:rsidR="0092299C" w:rsidRPr="00D02A2E" w:rsidRDefault="0092299C" w:rsidP="0092299C">
      <w:pPr>
        <w:pStyle w:val="ARbody"/>
      </w:pPr>
      <w:r w:rsidRPr="00D02A2E">
        <w:sym w:font="Wingdings" w:char="F0FC"/>
      </w:r>
      <w:r w:rsidRPr="00D02A2E">
        <w:tab/>
        <w:t>Performance target achieved or exceeded</w:t>
      </w:r>
    </w:p>
    <w:p w:rsidR="0092299C" w:rsidRPr="00D02A2E" w:rsidRDefault="0092299C" w:rsidP="0092299C">
      <w:pPr>
        <w:pStyle w:val="ARbody"/>
      </w:pPr>
      <w:r w:rsidRPr="00D02A2E">
        <w:sym w:font="Wingdings 2" w:char="F099"/>
      </w:r>
      <w:r w:rsidRPr="00D02A2E">
        <w:tab/>
        <w:t>Performance target not achieved – within five per cent variance.</w:t>
      </w:r>
    </w:p>
    <w:p w:rsidR="0092299C" w:rsidRPr="00D02A2E" w:rsidRDefault="0092299C" w:rsidP="0092299C">
      <w:pPr>
        <w:pStyle w:val="ARbody"/>
        <w:rPr>
          <w:kern w:val="28"/>
        </w:rPr>
      </w:pPr>
      <w:r w:rsidRPr="00D02A2E">
        <w:sym w:font="Wingdings" w:char="F06E"/>
      </w:r>
      <w:r w:rsidRPr="00D02A2E">
        <w:tab/>
        <w:t>Performance target not achieved – exceeds five per cent variance</w:t>
      </w:r>
    </w:p>
    <w:p w:rsidR="0092299C" w:rsidRPr="00D02A2E" w:rsidRDefault="0092299C" w:rsidP="0092299C">
      <w:pPr>
        <w:pStyle w:val="Heading2"/>
      </w:pPr>
      <w:r w:rsidRPr="00D02A2E">
        <w:t>Acute Health Services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DC4711">
        <w:trPr>
          <w:cantSplit/>
          <w:trHeight w:val="480"/>
          <w:tblHeader/>
        </w:trPr>
        <w:tc>
          <w:tcPr>
            <w:tcW w:w="4761" w:type="dxa"/>
            <w:tcBorders>
              <w:bottom w:val="single" w:sz="4" w:space="0" w:color="auto"/>
            </w:tcBorders>
            <w:shd w:val="clear" w:color="auto" w:fill="auto"/>
            <w:vAlign w:val="bottom"/>
            <w:hideMark/>
          </w:tcPr>
          <w:p w:rsidR="0092299C" w:rsidRPr="00D02A2E" w:rsidRDefault="0092299C" w:rsidP="0092299C">
            <w:pPr>
              <w:pStyle w:val="ARtablecolhead"/>
            </w:pPr>
            <w:r w:rsidRPr="00D02A2E">
              <w:t>Performance measures</w:t>
            </w:r>
          </w:p>
        </w:tc>
        <w:tc>
          <w:tcPr>
            <w:tcW w:w="1021" w:type="dxa"/>
            <w:tcBorders>
              <w:bottom w:val="single" w:sz="4" w:space="0" w:color="auto"/>
            </w:tcBorders>
            <w:shd w:val="clear" w:color="auto" w:fill="auto"/>
            <w:vAlign w:val="bottom"/>
            <w:hideMark/>
          </w:tcPr>
          <w:p w:rsidR="0092299C" w:rsidRPr="00F72126" w:rsidRDefault="0092299C" w:rsidP="001F2E2D">
            <w:pPr>
              <w:pStyle w:val="ARtablecolheadright"/>
              <w:jc w:val="center"/>
            </w:pPr>
            <w:r w:rsidRPr="00F72126">
              <w:t>Unit of measure</w:t>
            </w:r>
          </w:p>
        </w:tc>
        <w:tc>
          <w:tcPr>
            <w:tcW w:w="1021" w:type="dxa"/>
            <w:tcBorders>
              <w:bottom w:val="single" w:sz="4" w:space="0" w:color="auto"/>
            </w:tcBorders>
            <w:shd w:val="clear" w:color="auto" w:fill="auto"/>
            <w:vAlign w:val="bottom"/>
            <w:hideMark/>
          </w:tcPr>
          <w:p w:rsidR="0092299C" w:rsidRPr="00F72126" w:rsidRDefault="0092299C" w:rsidP="0092299C">
            <w:pPr>
              <w:pStyle w:val="ARtablecolheadright"/>
            </w:pPr>
            <w:r w:rsidRPr="00F72126">
              <w:t>2016–17 target</w:t>
            </w:r>
          </w:p>
        </w:tc>
        <w:tc>
          <w:tcPr>
            <w:tcW w:w="1021" w:type="dxa"/>
            <w:tcBorders>
              <w:bottom w:val="single" w:sz="4" w:space="0" w:color="auto"/>
            </w:tcBorders>
            <w:shd w:val="clear" w:color="auto" w:fill="auto"/>
            <w:vAlign w:val="bottom"/>
            <w:hideMark/>
          </w:tcPr>
          <w:p w:rsidR="0092299C" w:rsidRPr="00F72126" w:rsidRDefault="0092299C" w:rsidP="0092299C">
            <w:pPr>
              <w:pStyle w:val="ARtablecolheadright"/>
            </w:pPr>
            <w:r w:rsidRPr="00F72126">
              <w:t>2016–17 actual</w:t>
            </w:r>
          </w:p>
        </w:tc>
        <w:tc>
          <w:tcPr>
            <w:tcW w:w="1021" w:type="dxa"/>
            <w:tcBorders>
              <w:bottom w:val="single" w:sz="4" w:space="0" w:color="auto"/>
            </w:tcBorders>
            <w:shd w:val="clear" w:color="auto" w:fill="auto"/>
            <w:vAlign w:val="bottom"/>
            <w:hideMark/>
          </w:tcPr>
          <w:p w:rsidR="0092299C" w:rsidRPr="00F72126" w:rsidRDefault="0092299C" w:rsidP="0092299C">
            <w:pPr>
              <w:pStyle w:val="ARtablecolheadright"/>
            </w:pPr>
            <w:r w:rsidRPr="00F72126">
              <w:t>Variation (%)</w:t>
            </w:r>
          </w:p>
        </w:tc>
        <w:tc>
          <w:tcPr>
            <w:tcW w:w="794" w:type="dxa"/>
            <w:tcBorders>
              <w:bottom w:val="single" w:sz="4" w:space="0" w:color="auto"/>
            </w:tcBorders>
            <w:shd w:val="clear" w:color="auto" w:fill="auto"/>
            <w:vAlign w:val="bottom"/>
            <w:hideMark/>
          </w:tcPr>
          <w:p w:rsidR="0092299C" w:rsidRPr="00F72126" w:rsidRDefault="0092299C" w:rsidP="00096BE7">
            <w:pPr>
              <w:pStyle w:val="ARtablecolheadright"/>
            </w:pPr>
            <w:r w:rsidRPr="00F72126">
              <w:t>Result</w:t>
            </w:r>
          </w:p>
        </w:tc>
      </w:tr>
      <w:tr w:rsidR="0092299C" w:rsidRPr="00D02A2E" w:rsidTr="00DC4711">
        <w:trPr>
          <w:cantSplit/>
          <w:trHeight w:val="289"/>
        </w:trPr>
        <w:tc>
          <w:tcPr>
            <w:tcW w:w="4761" w:type="dxa"/>
            <w:tcBorders>
              <w:top w:val="single" w:sz="4" w:space="0" w:color="auto"/>
              <w:bottom w:val="single" w:sz="4" w:space="0" w:color="auto"/>
            </w:tcBorders>
            <w:shd w:val="clear" w:color="auto" w:fill="auto"/>
            <w:hideMark/>
          </w:tcPr>
          <w:p w:rsidR="0092299C" w:rsidRPr="00D02A2E" w:rsidRDefault="0092299C" w:rsidP="00293B30">
            <w:pPr>
              <w:pStyle w:val="ARtablebluebold"/>
            </w:pPr>
            <w:r w:rsidRPr="003736A6">
              <w:t>Admitted</w:t>
            </w:r>
            <w:r w:rsidRPr="00D02A2E">
              <w:t xml:space="preserve"> </w:t>
            </w:r>
            <w:r w:rsidRPr="003736A6">
              <w:t>Services</w:t>
            </w:r>
          </w:p>
        </w:tc>
        <w:tc>
          <w:tcPr>
            <w:tcW w:w="1021" w:type="dxa"/>
            <w:tcBorders>
              <w:top w:val="single" w:sz="4" w:space="0" w:color="auto"/>
              <w:bottom w:val="single" w:sz="4" w:space="0" w:color="auto"/>
            </w:tcBorders>
            <w:shd w:val="clear" w:color="auto" w:fill="auto"/>
            <w:hideMark/>
          </w:tcPr>
          <w:p w:rsidR="0092299C" w:rsidRPr="00D02A2E" w:rsidRDefault="0092299C" w:rsidP="00293B30">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rsidR="0092299C" w:rsidRPr="00D02A2E" w:rsidRDefault="0092299C" w:rsidP="00293B30">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rsidR="0092299C" w:rsidRPr="00D02A2E" w:rsidRDefault="0092299C" w:rsidP="00293B30">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rsidR="0092299C" w:rsidRPr="00D02A2E" w:rsidRDefault="0092299C" w:rsidP="00293B30">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rsidR="0092299C" w:rsidRPr="00D02A2E" w:rsidRDefault="0092299C" w:rsidP="00293B30">
            <w:pPr>
              <w:pStyle w:val="ARtablecaption"/>
              <w:spacing w:before="0" w:after="0"/>
              <w:rPr>
                <w:rFonts w:ascii="Wingdings" w:eastAsia="Times" w:hAnsi="Wingdings"/>
                <w:lang w:eastAsia="en-AU"/>
              </w:rPr>
            </w:pPr>
          </w:p>
        </w:tc>
      </w:tr>
      <w:tr w:rsidR="0092299C" w:rsidRPr="00D02A2E" w:rsidTr="00DC4711">
        <w:trPr>
          <w:cantSplit/>
          <w:trHeight w:val="240"/>
        </w:trPr>
        <w:tc>
          <w:tcPr>
            <w:tcW w:w="4761" w:type="dxa"/>
            <w:tcBorders>
              <w:top w:val="single" w:sz="4" w:space="0" w:color="auto"/>
            </w:tcBorders>
            <w:shd w:val="clear" w:color="auto" w:fill="auto"/>
            <w:hideMark/>
          </w:tcPr>
          <w:p w:rsidR="0092299C" w:rsidRPr="00B85B37" w:rsidRDefault="0092299C" w:rsidP="00B85B37">
            <w:pPr>
              <w:pStyle w:val="ARtablebluebold"/>
            </w:pPr>
            <w:r w:rsidRPr="00B85B37">
              <w:t>Quantity</w:t>
            </w:r>
          </w:p>
        </w:tc>
        <w:tc>
          <w:tcPr>
            <w:tcW w:w="1021" w:type="dxa"/>
            <w:tcBorders>
              <w:top w:val="single" w:sz="4" w:space="0" w:color="auto"/>
            </w:tcBorders>
            <w:shd w:val="clear" w:color="auto" w:fill="auto"/>
            <w:hideMark/>
          </w:tcPr>
          <w:p w:rsidR="0092299C" w:rsidRPr="00D02A2E" w:rsidRDefault="0092299C" w:rsidP="0092299C">
            <w:pPr>
              <w:spacing w:before="80" w:after="60"/>
              <w:jc w:val="center"/>
              <w:rPr>
                <w:rFonts w:eastAsia="Times" w:cs="Arial"/>
                <w:sz w:val="18"/>
                <w:szCs w:val="18"/>
                <w:lang w:eastAsia="en-AU"/>
              </w:rPr>
            </w:pPr>
          </w:p>
        </w:tc>
        <w:tc>
          <w:tcPr>
            <w:tcW w:w="1021" w:type="dxa"/>
            <w:tcBorders>
              <w:top w:val="single" w:sz="4" w:space="0" w:color="auto"/>
            </w:tcBorders>
            <w:shd w:val="clear" w:color="auto" w:fill="auto"/>
            <w:hideMark/>
          </w:tcPr>
          <w:p w:rsidR="0092299C" w:rsidRPr="00D02A2E" w:rsidRDefault="0092299C" w:rsidP="0092299C">
            <w:pPr>
              <w:spacing w:before="80" w:after="60"/>
              <w:jc w:val="right"/>
              <w:rPr>
                <w:rFonts w:eastAsia="Times" w:cs="Arial"/>
                <w:sz w:val="18"/>
                <w:szCs w:val="18"/>
                <w:lang w:eastAsia="en-AU"/>
              </w:rPr>
            </w:pPr>
            <w:r w:rsidRPr="00D02A2E">
              <w:rPr>
                <w:rFonts w:eastAsia="Times" w:cs="Arial"/>
                <w:sz w:val="18"/>
                <w:szCs w:val="18"/>
                <w:lang w:eastAsia="en-AU"/>
              </w:rPr>
              <w:t> </w:t>
            </w:r>
          </w:p>
        </w:tc>
        <w:tc>
          <w:tcPr>
            <w:tcW w:w="1021" w:type="dxa"/>
            <w:tcBorders>
              <w:top w:val="single" w:sz="4" w:space="0" w:color="auto"/>
            </w:tcBorders>
            <w:shd w:val="clear" w:color="auto" w:fill="auto"/>
            <w:hideMark/>
          </w:tcPr>
          <w:p w:rsidR="0092299C" w:rsidRPr="00D02A2E" w:rsidRDefault="0092299C" w:rsidP="0092299C">
            <w:pPr>
              <w:spacing w:before="80" w:after="60"/>
              <w:jc w:val="right"/>
              <w:rPr>
                <w:rFonts w:eastAsia="Times" w:cs="Arial"/>
                <w:sz w:val="18"/>
                <w:szCs w:val="18"/>
                <w:lang w:eastAsia="en-AU"/>
              </w:rPr>
            </w:pPr>
            <w:r w:rsidRPr="00D02A2E">
              <w:rPr>
                <w:rFonts w:eastAsia="Times" w:cs="Arial"/>
                <w:sz w:val="18"/>
                <w:szCs w:val="18"/>
                <w:lang w:eastAsia="en-AU"/>
              </w:rPr>
              <w:t> </w:t>
            </w:r>
          </w:p>
        </w:tc>
        <w:tc>
          <w:tcPr>
            <w:tcW w:w="1021" w:type="dxa"/>
            <w:tcBorders>
              <w:top w:val="single" w:sz="4" w:space="0" w:color="auto"/>
            </w:tcBorders>
            <w:shd w:val="clear" w:color="auto" w:fill="auto"/>
            <w:hideMark/>
          </w:tcPr>
          <w:p w:rsidR="0092299C" w:rsidRPr="00D02A2E" w:rsidRDefault="0092299C" w:rsidP="0092299C">
            <w:pPr>
              <w:spacing w:before="80" w:after="60"/>
              <w:jc w:val="right"/>
              <w:rPr>
                <w:rFonts w:eastAsia="Times" w:cs="Arial"/>
                <w:sz w:val="18"/>
                <w:szCs w:val="18"/>
                <w:lang w:eastAsia="en-AU"/>
              </w:rPr>
            </w:pPr>
            <w:r w:rsidRPr="00D02A2E">
              <w:rPr>
                <w:rFonts w:eastAsia="Times" w:cs="Arial"/>
                <w:sz w:val="18"/>
                <w:szCs w:val="18"/>
                <w:lang w:eastAsia="en-AU"/>
              </w:rPr>
              <w:t> </w:t>
            </w:r>
          </w:p>
        </w:tc>
        <w:tc>
          <w:tcPr>
            <w:tcW w:w="794" w:type="dxa"/>
            <w:tcBorders>
              <w:top w:val="single" w:sz="4" w:space="0" w:color="auto"/>
            </w:tcBorders>
            <w:shd w:val="clear" w:color="auto" w:fill="auto"/>
            <w:hideMark/>
          </w:tcPr>
          <w:p w:rsidR="0092299C" w:rsidRPr="00D02A2E" w:rsidRDefault="0092299C" w:rsidP="0092299C">
            <w:pPr>
              <w:spacing w:before="80" w:after="60"/>
              <w:jc w:val="center"/>
              <w:rPr>
                <w:rFonts w:ascii="Wingdings" w:eastAsia="Times" w:hAnsi="Wingdings" w:cs="Arial"/>
                <w:sz w:val="18"/>
                <w:szCs w:val="18"/>
                <w:lang w:eastAsia="en-AU"/>
              </w:rPr>
            </w:pPr>
          </w:p>
        </w:tc>
      </w:tr>
      <w:tr w:rsidR="0092299C" w:rsidRPr="00D02A2E" w:rsidTr="00DC4711">
        <w:trPr>
          <w:cantSplit/>
          <w:trHeight w:val="480"/>
        </w:trPr>
        <w:tc>
          <w:tcPr>
            <w:tcW w:w="4761" w:type="dxa"/>
            <w:shd w:val="clear" w:color="auto" w:fill="auto"/>
            <w:hideMark/>
          </w:tcPr>
          <w:p w:rsidR="0092299C" w:rsidRPr="00D02A2E" w:rsidRDefault="0092299C" w:rsidP="0092299C">
            <w:pPr>
              <w:pStyle w:val="ARtabletext"/>
            </w:pPr>
            <w:r w:rsidRPr="00D02A2E">
              <w:t>Palliative care bed days</w:t>
            </w:r>
          </w:p>
        </w:tc>
        <w:tc>
          <w:tcPr>
            <w:tcW w:w="1021" w:type="dxa"/>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shd w:val="clear" w:color="auto" w:fill="auto"/>
            <w:hideMark/>
          </w:tcPr>
          <w:p w:rsidR="0092299C" w:rsidRPr="00D02A2E" w:rsidRDefault="0092299C" w:rsidP="0092299C">
            <w:pPr>
              <w:pStyle w:val="ARtabletext"/>
              <w:jc w:val="right"/>
            </w:pPr>
            <w:r w:rsidRPr="00D02A2E">
              <w:t>92</w:t>
            </w:r>
          </w:p>
        </w:tc>
        <w:tc>
          <w:tcPr>
            <w:tcW w:w="1021" w:type="dxa"/>
            <w:shd w:val="clear" w:color="auto" w:fill="auto"/>
            <w:hideMark/>
          </w:tcPr>
          <w:p w:rsidR="0092299C" w:rsidRPr="00D02A2E" w:rsidRDefault="0092299C" w:rsidP="0092299C">
            <w:pPr>
              <w:pStyle w:val="ARtabletext"/>
              <w:jc w:val="right"/>
            </w:pPr>
            <w:r w:rsidRPr="00D02A2E">
              <w:t>85</w:t>
            </w:r>
          </w:p>
        </w:tc>
        <w:tc>
          <w:tcPr>
            <w:tcW w:w="1021" w:type="dxa"/>
            <w:shd w:val="clear" w:color="auto" w:fill="auto"/>
          </w:tcPr>
          <w:p w:rsidR="0092299C" w:rsidRPr="00D02A2E" w:rsidRDefault="00EC4FD8" w:rsidP="0092299C">
            <w:pPr>
              <w:pStyle w:val="ARtabletext"/>
              <w:jc w:val="right"/>
            </w:pPr>
            <w:r>
              <w:t>–</w:t>
            </w:r>
            <w:r w:rsidR="007B4262">
              <w:t>7.6</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t>The result is lower than the target due to palliative care provision being</w:t>
            </w:r>
            <w:r w:rsidRPr="00D02A2E">
              <w:t xml:space="preserve"> increasingly diverted from bed-based to community-based responses, which is consistent with government policy and consumer preferences. This measure is proposed to be discontinued in 20</w:t>
            </w:r>
            <w:r>
              <w:t>17–18</w:t>
            </w:r>
            <w:r w:rsidRPr="00D02A2E">
              <w:t>.</w:t>
            </w:r>
          </w:p>
        </w:tc>
      </w:tr>
      <w:tr w:rsidR="0092299C" w:rsidRPr="00D02A2E" w:rsidTr="00DC4711">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Subacute bed days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hideMark/>
          </w:tcPr>
          <w:p w:rsidR="0092299C" w:rsidRPr="00D02A2E" w:rsidRDefault="0092299C" w:rsidP="0092299C">
            <w:pPr>
              <w:pStyle w:val="ARtabletext"/>
              <w:jc w:val="right"/>
            </w:pPr>
            <w:r w:rsidRPr="00D02A2E">
              <w:t>759</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781</w:t>
            </w:r>
          </w:p>
        </w:tc>
        <w:tc>
          <w:tcPr>
            <w:tcW w:w="1021" w:type="dxa"/>
            <w:tcBorders>
              <w:top w:val="single" w:sz="4" w:space="0" w:color="BFBFBF"/>
            </w:tcBorders>
            <w:shd w:val="clear" w:color="auto" w:fill="auto"/>
          </w:tcPr>
          <w:p w:rsidR="0092299C" w:rsidRPr="00D02A2E" w:rsidRDefault="007B4262" w:rsidP="0092299C">
            <w:pPr>
              <w:pStyle w:val="ARtabletext"/>
              <w:jc w:val="right"/>
            </w:pPr>
            <w:r>
              <w:t>2.9</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rPr>
                <w:rFonts w:ascii="Wingdings" w:hAnsi="Wingdings"/>
                <w:sz w:val="18"/>
              </w:rPr>
            </w:pPr>
            <w:r w:rsidRPr="00D02A2E">
              <w:t>This measure is proposed to be discontinued in 20</w:t>
            </w:r>
            <w:r>
              <w:t>17–18</w:t>
            </w:r>
            <w:r w:rsidRPr="00D02A2E">
              <w:t>.</w:t>
            </w:r>
          </w:p>
        </w:tc>
      </w:tr>
      <w:tr w:rsidR="0092299C" w:rsidRPr="00D02A2E" w:rsidTr="00DC4711">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Total separations – all hospitals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1,774</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1,823</w:t>
            </w:r>
          </w:p>
        </w:tc>
        <w:tc>
          <w:tcPr>
            <w:tcW w:w="1021" w:type="dxa"/>
            <w:tcBorders>
              <w:top w:val="single" w:sz="4" w:space="0" w:color="BFBFBF"/>
            </w:tcBorders>
            <w:shd w:val="clear" w:color="auto" w:fill="auto"/>
          </w:tcPr>
          <w:p w:rsidR="0092299C" w:rsidRPr="00D02A2E" w:rsidRDefault="007B4262" w:rsidP="0092299C">
            <w:pPr>
              <w:pStyle w:val="ARtabletext"/>
              <w:jc w:val="right"/>
            </w:pPr>
            <w:r>
              <w:t>2.8</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Weighted Inlier Equivalent Separations (WIES) – all hospitals except small rural health services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1,241</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1,345</w:t>
            </w:r>
          </w:p>
        </w:tc>
        <w:tc>
          <w:tcPr>
            <w:tcW w:w="1021" w:type="dxa"/>
            <w:tcBorders>
              <w:top w:val="single" w:sz="4" w:space="0" w:color="BFBFBF"/>
            </w:tcBorders>
            <w:shd w:val="clear" w:color="auto" w:fill="auto"/>
          </w:tcPr>
          <w:p w:rsidR="0092299C" w:rsidRPr="00D02A2E" w:rsidRDefault="007B4262" w:rsidP="0092299C">
            <w:pPr>
              <w:pStyle w:val="ARtabletext"/>
              <w:jc w:val="right"/>
            </w:pPr>
            <w:r>
              <w:t>8.4</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Preliminary result. </w:t>
            </w:r>
            <w:r>
              <w:t>The result is higher than the target due to</w:t>
            </w:r>
            <w:r w:rsidRPr="00D02A2E">
              <w:t xml:space="preserve"> the impact of national changes to patient classification and reporting as well as increased activity.</w:t>
            </w:r>
          </w:p>
        </w:tc>
      </w:tr>
      <w:tr w:rsidR="0092299C" w:rsidRPr="00D02A2E" w:rsidTr="00DC4711">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WIES funded emergency separations – all hospitals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584</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615</w:t>
            </w:r>
          </w:p>
        </w:tc>
        <w:tc>
          <w:tcPr>
            <w:tcW w:w="1021" w:type="dxa"/>
            <w:tcBorders>
              <w:top w:val="single" w:sz="4" w:space="0" w:color="BFBFBF"/>
            </w:tcBorders>
            <w:shd w:val="clear" w:color="auto" w:fill="auto"/>
          </w:tcPr>
          <w:p w:rsidR="0092299C" w:rsidRPr="00D02A2E" w:rsidRDefault="007B4262" w:rsidP="0092299C">
            <w:pPr>
              <w:pStyle w:val="ARtabletext"/>
              <w:jc w:val="right"/>
            </w:pPr>
            <w:r>
              <w:t>5.3</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rPr>
                <w:rFonts w:ascii="Wingdings" w:hAnsi="Wingdings"/>
                <w:sz w:val="18"/>
              </w:rPr>
            </w:pPr>
            <w:r w:rsidRPr="00D02A2E">
              <w:t xml:space="preserve">Preliminary result. </w:t>
            </w:r>
            <w:r>
              <w:t>The result is higher than the target due to</w:t>
            </w:r>
            <w:r w:rsidRPr="00D02A2E">
              <w:t xml:space="preserve"> the impact of national changes to patient classification and reporting as well as increased activity.</w:t>
            </w:r>
          </w:p>
        </w:tc>
      </w:tr>
      <w:tr w:rsidR="0092299C" w:rsidRPr="00D02A2E" w:rsidTr="00DC4711">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WIES funded separations – all hospitals except small rural health services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1,591</w:t>
            </w:r>
            <w:r>
              <w:tab/>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1,629</w:t>
            </w:r>
          </w:p>
        </w:tc>
        <w:tc>
          <w:tcPr>
            <w:tcW w:w="1021" w:type="dxa"/>
            <w:tcBorders>
              <w:top w:val="single" w:sz="4" w:space="0" w:color="BFBFBF"/>
            </w:tcBorders>
            <w:shd w:val="clear" w:color="auto" w:fill="auto"/>
          </w:tcPr>
          <w:p w:rsidR="0092299C" w:rsidRPr="00D02A2E" w:rsidRDefault="007B4262" w:rsidP="0092299C">
            <w:pPr>
              <w:pStyle w:val="ARtabletextright"/>
            </w:pPr>
            <w:r>
              <w:t>2.4</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Preliminary result. </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B85B37">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p>
        </w:tc>
        <w:tc>
          <w:tcPr>
            <w:tcW w:w="1021" w:type="dxa"/>
            <w:tcBorders>
              <w:top w:val="single" w:sz="4" w:space="0" w:color="BFBFBF"/>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BFBFBF"/>
            </w:tcBorders>
            <w:shd w:val="clear" w:color="auto" w:fill="auto"/>
            <w:hideMark/>
          </w:tcPr>
          <w:p w:rsidR="0092299C" w:rsidRPr="00D02A2E" w:rsidRDefault="0092299C" w:rsidP="0092299C">
            <w:pPr>
              <w:spacing w:before="80" w:after="60"/>
              <w:jc w:val="center"/>
              <w:rPr>
                <w:rFonts w:ascii="Wingdings" w:eastAsia="Times" w:hAnsi="Wingdings" w:cs="Arial"/>
                <w:b/>
                <w:i/>
                <w:color w:val="004C97"/>
                <w:sz w:val="18"/>
                <w:szCs w:val="18"/>
                <w:lang w:eastAsia="en-AU"/>
              </w:rPr>
            </w:pPr>
          </w:p>
        </w:tc>
      </w:tr>
      <w:tr w:rsidR="0092299C" w:rsidRPr="00D02A2E" w:rsidTr="00DC4711">
        <w:trPr>
          <w:cantSplit/>
          <w:trHeight w:val="240"/>
        </w:trPr>
        <w:tc>
          <w:tcPr>
            <w:tcW w:w="4761" w:type="dxa"/>
            <w:shd w:val="clear" w:color="auto" w:fill="auto"/>
            <w:hideMark/>
          </w:tcPr>
          <w:p w:rsidR="0092299C" w:rsidRPr="00D02A2E" w:rsidRDefault="0092299C" w:rsidP="0092299C">
            <w:pPr>
              <w:pStyle w:val="ARtabletext"/>
            </w:pPr>
            <w:r w:rsidRPr="00D02A2E">
              <w:t>Eligible newborns screened for hearing deficit before one month of age</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hideMark/>
          </w:tcPr>
          <w:p w:rsidR="0092299C" w:rsidRPr="00D02A2E" w:rsidRDefault="0092299C" w:rsidP="0092299C">
            <w:pPr>
              <w:pStyle w:val="ARtabletext"/>
              <w:jc w:val="right"/>
            </w:pPr>
            <w:r w:rsidRPr="00D02A2E">
              <w:t>97</w:t>
            </w:r>
          </w:p>
        </w:tc>
        <w:tc>
          <w:tcPr>
            <w:tcW w:w="1021" w:type="dxa"/>
            <w:shd w:val="clear" w:color="auto" w:fill="auto"/>
          </w:tcPr>
          <w:p w:rsidR="0092299C" w:rsidRPr="00D02A2E" w:rsidRDefault="0092299C" w:rsidP="0092299C">
            <w:pPr>
              <w:pStyle w:val="ARtabletext"/>
              <w:jc w:val="right"/>
            </w:pPr>
            <w:r w:rsidRPr="00D02A2E">
              <w:t>98.7</w:t>
            </w:r>
          </w:p>
        </w:tc>
        <w:tc>
          <w:tcPr>
            <w:tcW w:w="1021" w:type="dxa"/>
            <w:shd w:val="clear" w:color="auto" w:fill="auto"/>
          </w:tcPr>
          <w:p w:rsidR="0092299C" w:rsidRPr="00D02A2E" w:rsidRDefault="0092299C" w:rsidP="0092299C">
            <w:pPr>
              <w:pStyle w:val="ARtabletext"/>
              <w:jc w:val="right"/>
            </w:pPr>
            <w:r>
              <w:t>1.8</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rPr>
                <w:i/>
                <w:sz w:val="16"/>
                <w:szCs w:val="16"/>
              </w:rPr>
            </w:pPr>
            <w:r w:rsidRPr="00D02A2E">
              <w:t>Hand hygiene compliance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
              <w:jc w:val="right"/>
            </w:pPr>
            <w:r w:rsidRPr="00D02A2E">
              <w:t>80</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84.5</w:t>
            </w:r>
          </w:p>
        </w:tc>
        <w:tc>
          <w:tcPr>
            <w:tcW w:w="1021" w:type="dxa"/>
            <w:tcBorders>
              <w:top w:val="single" w:sz="4" w:space="0" w:color="BFBFBF"/>
            </w:tcBorders>
            <w:shd w:val="clear" w:color="auto" w:fill="auto"/>
          </w:tcPr>
          <w:p w:rsidR="0092299C" w:rsidRPr="00D02A2E" w:rsidRDefault="0092299C" w:rsidP="0092299C">
            <w:pPr>
              <w:pStyle w:val="ARtabletext"/>
              <w:jc w:val="right"/>
            </w:pPr>
            <w:r>
              <w:t>5.6</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38"/>
        </w:trPr>
        <w:tc>
          <w:tcPr>
            <w:tcW w:w="4761" w:type="dxa"/>
            <w:tcBorders>
              <w:top w:val="single" w:sz="4" w:space="0" w:color="BFBFBF"/>
            </w:tcBorders>
            <w:shd w:val="clear" w:color="auto" w:fill="auto"/>
          </w:tcPr>
          <w:p w:rsidR="0092299C" w:rsidRPr="00D02A2E" w:rsidRDefault="0092299C" w:rsidP="0092299C">
            <w:pPr>
              <w:pStyle w:val="ARtabletext"/>
            </w:pPr>
            <w:r w:rsidRPr="00D02A2E">
              <w:t>Healthcare Worker immunisation – influenza</w:t>
            </w:r>
          </w:p>
        </w:tc>
        <w:tc>
          <w:tcPr>
            <w:tcW w:w="1021" w:type="dxa"/>
            <w:tcBorders>
              <w:top w:val="single" w:sz="4" w:space="0" w:color="BFBFBF"/>
            </w:tcBorders>
            <w:shd w:val="clear" w:color="auto" w:fill="auto"/>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75</w:t>
            </w:r>
          </w:p>
        </w:tc>
        <w:tc>
          <w:tcPr>
            <w:tcW w:w="1021" w:type="dxa"/>
            <w:tcBorders>
              <w:top w:val="single" w:sz="4" w:space="0" w:color="BFBFBF"/>
            </w:tcBorders>
            <w:shd w:val="clear" w:color="auto" w:fill="auto"/>
          </w:tcPr>
          <w:p w:rsidR="0092299C" w:rsidRPr="00293B30" w:rsidRDefault="003736A6" w:rsidP="0092299C">
            <w:pPr>
              <w:pStyle w:val="ARtabletext"/>
              <w:jc w:val="right"/>
              <w:rPr>
                <w:highlight w:val="yellow"/>
              </w:rPr>
            </w:pPr>
            <w:r w:rsidRPr="001F2E2D">
              <w:t>79.9</w:t>
            </w:r>
          </w:p>
        </w:tc>
        <w:tc>
          <w:tcPr>
            <w:tcW w:w="1021" w:type="dxa"/>
            <w:tcBorders>
              <w:top w:val="single" w:sz="4" w:space="0" w:color="BFBFBF"/>
            </w:tcBorders>
            <w:shd w:val="clear" w:color="auto" w:fill="auto"/>
          </w:tcPr>
          <w:p w:rsidR="0092299C" w:rsidRPr="00293B30" w:rsidRDefault="0092299C" w:rsidP="0092299C">
            <w:pPr>
              <w:pStyle w:val="ARtabletext"/>
              <w:jc w:val="right"/>
              <w:rPr>
                <w:highlight w:val="yellow"/>
              </w:rPr>
            </w:pPr>
            <w:r w:rsidRPr="001F2E2D">
              <w:t>6.</w:t>
            </w:r>
            <w:r w:rsidR="0042485C" w:rsidRPr="001F2E2D">
              <w:t>5</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480"/>
        </w:trPr>
        <w:tc>
          <w:tcPr>
            <w:tcW w:w="4761" w:type="dxa"/>
            <w:tcBorders>
              <w:top w:val="single" w:sz="4" w:space="0" w:color="BFBFBF"/>
            </w:tcBorders>
            <w:shd w:val="clear" w:color="auto" w:fill="FFFFFF" w:themeFill="background1"/>
            <w:hideMark/>
          </w:tcPr>
          <w:p w:rsidR="0092299C" w:rsidRPr="00D02A2E" w:rsidRDefault="0092299C" w:rsidP="0092299C">
            <w:pPr>
              <w:pStyle w:val="ARtabletext"/>
            </w:pPr>
            <w:r w:rsidRPr="00D02A2E">
              <w:t>Hospitals participating in Victorian Hospital Acquired Infection Surveillance System (VICNISS)</w:t>
            </w:r>
          </w:p>
        </w:tc>
        <w:tc>
          <w:tcPr>
            <w:tcW w:w="1021" w:type="dxa"/>
            <w:tcBorders>
              <w:top w:val="single" w:sz="4" w:space="0" w:color="BFBFBF"/>
            </w:tcBorders>
            <w:shd w:val="clear" w:color="auto" w:fill="FFFFFF" w:themeFill="background1"/>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FFFFFF" w:themeFill="background1"/>
            <w:hideMark/>
          </w:tcPr>
          <w:p w:rsidR="0092299C" w:rsidRPr="00D02A2E" w:rsidRDefault="0092299C" w:rsidP="0092299C">
            <w:pPr>
              <w:pStyle w:val="ARtabletext"/>
              <w:jc w:val="right"/>
            </w:pPr>
            <w:r w:rsidRPr="00D02A2E">
              <w:t>100</w:t>
            </w:r>
          </w:p>
        </w:tc>
        <w:tc>
          <w:tcPr>
            <w:tcW w:w="1021" w:type="dxa"/>
            <w:tcBorders>
              <w:top w:val="single" w:sz="4" w:space="0" w:color="BFBFBF"/>
            </w:tcBorders>
            <w:shd w:val="clear" w:color="auto" w:fill="FFFFFF" w:themeFill="background1"/>
          </w:tcPr>
          <w:p w:rsidR="0092299C" w:rsidRPr="00D02A2E" w:rsidRDefault="0092299C" w:rsidP="0092299C">
            <w:pPr>
              <w:pStyle w:val="ARtabletext"/>
              <w:jc w:val="right"/>
            </w:pPr>
            <w:r w:rsidRPr="00D02A2E">
              <w:t>100</w:t>
            </w:r>
          </w:p>
        </w:tc>
        <w:tc>
          <w:tcPr>
            <w:tcW w:w="1021" w:type="dxa"/>
            <w:tcBorders>
              <w:top w:val="single" w:sz="4" w:space="0" w:color="BFBFBF"/>
            </w:tcBorders>
            <w:shd w:val="clear" w:color="auto" w:fill="FFFFFF" w:themeFill="background1"/>
          </w:tcPr>
          <w:p w:rsidR="0092299C" w:rsidRPr="00D02A2E" w:rsidRDefault="0092299C" w:rsidP="0092299C">
            <w:pPr>
              <w:pStyle w:val="ARtabletext"/>
              <w:jc w:val="right"/>
            </w:pPr>
            <w:r>
              <w:t>0.0</w:t>
            </w:r>
          </w:p>
        </w:tc>
        <w:tc>
          <w:tcPr>
            <w:tcW w:w="794" w:type="dxa"/>
            <w:tcBorders>
              <w:top w:val="single" w:sz="4" w:space="0" w:color="BFBFBF"/>
            </w:tcBorders>
            <w:shd w:val="clear" w:color="auto" w:fill="FFFFFF" w:themeFill="background1"/>
            <w:hideMark/>
          </w:tcPr>
          <w:p w:rsidR="0092299C" w:rsidRPr="00D02A2E" w:rsidRDefault="0092299C" w:rsidP="008C184A">
            <w:pPr>
              <w:pStyle w:val="ARtabletextright"/>
            </w:pPr>
            <w:r w:rsidRPr="008C184A">
              <w:rPr>
                <w:rFonts w:ascii="Wingdings" w:hAnsi="Wingdings"/>
              </w:rPr>
              <w:t></w:t>
            </w:r>
          </w:p>
        </w:tc>
      </w:tr>
      <w:tr w:rsidR="00CD1C0B" w:rsidRPr="00D02A2E" w:rsidTr="00DC4711">
        <w:trPr>
          <w:cantSplit/>
          <w:trHeight w:val="324"/>
        </w:trPr>
        <w:tc>
          <w:tcPr>
            <w:tcW w:w="794" w:type="dxa"/>
            <w:gridSpan w:val="6"/>
            <w:shd w:val="clear" w:color="auto" w:fill="FFFFFF" w:themeFill="background1"/>
          </w:tcPr>
          <w:p w:rsidR="00CD1C0B" w:rsidRPr="00D02A2E" w:rsidRDefault="00CD1C0B" w:rsidP="00293B30">
            <w:pPr>
              <w:pStyle w:val="ARtablenoteindent"/>
            </w:pPr>
            <w:r>
              <w:t>Preliminary result. Actual results lagged by one quarter.</w:t>
            </w:r>
          </w:p>
        </w:tc>
      </w:tr>
      <w:tr w:rsidR="0092299C" w:rsidRPr="00D02A2E" w:rsidTr="00DC4711">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Intensive Care Unit central line associated blood stream infections (CLABSI) per 1,000 device days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rate</w:t>
            </w:r>
          </w:p>
        </w:tc>
        <w:tc>
          <w:tcPr>
            <w:tcW w:w="1021" w:type="dxa"/>
            <w:tcBorders>
              <w:top w:val="single" w:sz="4" w:space="0" w:color="BFBFBF"/>
            </w:tcBorders>
            <w:shd w:val="clear" w:color="auto" w:fill="auto"/>
            <w:hideMark/>
          </w:tcPr>
          <w:p w:rsidR="0092299C" w:rsidRPr="00D02A2E" w:rsidRDefault="0092299C" w:rsidP="0092299C">
            <w:pPr>
              <w:pStyle w:val="ARtabletext"/>
              <w:jc w:val="right"/>
            </w:pPr>
            <w:r w:rsidRPr="00D02A2E">
              <w:t>1.5</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0.8</w:t>
            </w:r>
          </w:p>
        </w:tc>
        <w:tc>
          <w:tcPr>
            <w:tcW w:w="1021" w:type="dxa"/>
            <w:tcBorders>
              <w:top w:val="single" w:sz="4" w:space="0" w:color="BFBFBF"/>
            </w:tcBorders>
            <w:shd w:val="clear" w:color="auto" w:fill="auto"/>
          </w:tcPr>
          <w:p w:rsidR="0092299C" w:rsidRPr="00D02A2E" w:rsidRDefault="00EC4FD8" w:rsidP="0092299C">
            <w:pPr>
              <w:pStyle w:val="ARtabletext"/>
              <w:jc w:val="right"/>
            </w:pPr>
            <w:r>
              <w:t>–</w:t>
            </w:r>
            <w:r w:rsidR="007B4262">
              <w:t>46.7</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011A7A" w:rsidRPr="00D02A2E" w:rsidTr="00DC4711">
        <w:trPr>
          <w:cantSplit/>
          <w:trHeight w:val="232"/>
        </w:trPr>
        <w:tc>
          <w:tcPr>
            <w:tcW w:w="794" w:type="dxa"/>
            <w:gridSpan w:val="6"/>
            <w:shd w:val="clear" w:color="auto" w:fill="auto"/>
          </w:tcPr>
          <w:p w:rsidR="00011A7A" w:rsidRPr="00D02A2E" w:rsidRDefault="00011A7A" w:rsidP="000B3F86">
            <w:pPr>
              <w:pStyle w:val="ARtablenoteindent"/>
            </w:pPr>
            <w:r>
              <w:t xml:space="preserve">This is a </w:t>
            </w:r>
            <w:r w:rsidR="000B3F86">
              <w:t>positive</w:t>
            </w:r>
            <w:r>
              <w:t xml:space="preserve"> result.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Major trauma patients transferred to a major trauma service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
              <w:jc w:val="right"/>
            </w:pPr>
            <w:r w:rsidRPr="00D02A2E">
              <w:t>85</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90.2</w:t>
            </w:r>
          </w:p>
        </w:tc>
        <w:tc>
          <w:tcPr>
            <w:tcW w:w="1021" w:type="dxa"/>
            <w:tcBorders>
              <w:top w:val="single" w:sz="4" w:space="0" w:color="BFBFBF"/>
            </w:tcBorders>
            <w:shd w:val="clear" w:color="auto" w:fill="auto"/>
          </w:tcPr>
          <w:p w:rsidR="0092299C" w:rsidRPr="00D02A2E" w:rsidRDefault="0092299C" w:rsidP="0092299C">
            <w:pPr>
              <w:pStyle w:val="ARtabletext"/>
              <w:jc w:val="right"/>
            </w:pPr>
            <w:r>
              <w:t>6.1</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Perinatal morbidity notices received, processed and reported</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
              <w:jc w:val="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
              <w:jc w:val="right"/>
            </w:pPr>
            <w:r>
              <w:t>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DC4711">
        <w:trPr>
          <w:cantSplit/>
          <w:trHeight w:val="240"/>
        </w:trPr>
        <w:tc>
          <w:tcPr>
            <w:tcW w:w="4761"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lastRenderedPageBreak/>
              <w:t>Public hospitals accredited</w:t>
            </w:r>
          </w:p>
        </w:tc>
        <w:tc>
          <w:tcPr>
            <w:tcW w:w="1021" w:type="dxa"/>
            <w:tcBorders>
              <w:top w:val="single" w:sz="4" w:space="0" w:color="BFBFBF"/>
              <w:bottom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bottom w:val="single" w:sz="4" w:space="0" w:color="BFBFBF"/>
            </w:tcBorders>
            <w:shd w:val="clear" w:color="auto" w:fill="auto"/>
            <w:hideMark/>
          </w:tcPr>
          <w:p w:rsidR="0092299C" w:rsidRPr="00D02A2E" w:rsidRDefault="0092299C" w:rsidP="0092299C">
            <w:pPr>
              <w:pStyle w:val="ARtabletext"/>
              <w:jc w:val="right"/>
            </w:pPr>
            <w:r w:rsidRPr="00D02A2E">
              <w:t>100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
              <w:jc w:val="right"/>
            </w:pPr>
            <w:r w:rsidRPr="00D02A2E">
              <w:t>100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
              <w:jc w:val="right"/>
            </w:pPr>
            <w:r>
              <w:t>0.0</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Public hospitals meeting cleaning standards, as assessed by external audit</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
              <w:jc w:val="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
              <w:jc w:val="right"/>
            </w:pPr>
            <w:r>
              <w:t>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832F20">
              <w:rPr>
                <w:i/>
              </w:rPr>
              <w:t>Staphylococcus aureus</w:t>
            </w:r>
            <w:r w:rsidRPr="00D02A2E">
              <w:t xml:space="preserve"> </w:t>
            </w:r>
            <w:proofErr w:type="spellStart"/>
            <w:r w:rsidRPr="00D02A2E">
              <w:t>bacteraemias</w:t>
            </w:r>
            <w:proofErr w:type="spellEnd"/>
            <w:r w:rsidRPr="00D02A2E">
              <w:t xml:space="preserve"> (SAB) infections per 10,000 patient days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rate</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2</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0.8</w:t>
            </w:r>
          </w:p>
        </w:tc>
        <w:tc>
          <w:tcPr>
            <w:tcW w:w="1021" w:type="dxa"/>
            <w:tcBorders>
              <w:top w:val="single" w:sz="4" w:space="0" w:color="BFBFBF"/>
            </w:tcBorders>
            <w:shd w:val="clear" w:color="auto" w:fill="auto"/>
          </w:tcPr>
          <w:p w:rsidR="0092299C" w:rsidRPr="00D02A2E" w:rsidRDefault="00EC4FD8" w:rsidP="0092299C">
            <w:pPr>
              <w:pStyle w:val="ARtabletext"/>
              <w:jc w:val="right"/>
            </w:pPr>
            <w:r>
              <w:t>–</w:t>
            </w:r>
            <w:r w:rsidR="0092299C">
              <w:t>60.0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9E47A9" w:rsidTr="00DC4711">
        <w:trPr>
          <w:cantSplit/>
          <w:trHeight w:val="240"/>
        </w:trPr>
        <w:tc>
          <w:tcPr>
            <w:tcW w:w="794" w:type="dxa"/>
            <w:gridSpan w:val="6"/>
            <w:tcBorders>
              <w:bottom w:val="single" w:sz="4" w:space="0" w:color="BFBFBF"/>
            </w:tcBorders>
            <w:shd w:val="clear" w:color="auto" w:fill="auto"/>
            <w:noWrap/>
            <w:hideMark/>
          </w:tcPr>
          <w:p w:rsidR="0092299C" w:rsidRPr="009E47A9" w:rsidRDefault="0092299C" w:rsidP="0092299C">
            <w:pPr>
              <w:pStyle w:val="ARtablenoteindent"/>
            </w:pPr>
            <w:r w:rsidRPr="009E47A9">
              <w:t xml:space="preserve">Preliminary result. </w:t>
            </w:r>
            <w:r>
              <w:t>This is</w:t>
            </w:r>
            <w:r w:rsidRPr="009E47A9">
              <w:t xml:space="preserve"> a positive result.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Unplanned/unexpected readmission for acute myocardial infarction</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3.7</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1.8</w:t>
            </w:r>
          </w:p>
        </w:tc>
        <w:tc>
          <w:tcPr>
            <w:tcW w:w="1021" w:type="dxa"/>
            <w:tcBorders>
              <w:top w:val="single" w:sz="4" w:space="0" w:color="BFBFBF"/>
            </w:tcBorders>
            <w:shd w:val="clear" w:color="auto" w:fill="auto"/>
          </w:tcPr>
          <w:p w:rsidR="0092299C" w:rsidRPr="00D02A2E" w:rsidRDefault="00EC4FD8" w:rsidP="0092299C">
            <w:pPr>
              <w:pStyle w:val="ARtabletext"/>
              <w:jc w:val="right"/>
            </w:pPr>
            <w:r>
              <w:t>–</w:t>
            </w:r>
            <w:r w:rsidR="0092299C">
              <w:t>51.4</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Preliminary result. </w:t>
            </w:r>
            <w:r>
              <w:t>This is</w:t>
            </w:r>
            <w:r w:rsidRPr="00D02A2E">
              <w:t xml:space="preserve"> a positive result.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Unplanned/unexpected readmission for heart failure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10.3</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8.9</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13.6</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Preliminary result. </w:t>
            </w:r>
            <w:r>
              <w:t>This is</w:t>
            </w:r>
            <w:r w:rsidRPr="00D02A2E">
              <w:t xml:space="preserve"> a positive result.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Unplanned/unexpected readmission for hip replacement</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2.5</w:t>
            </w:r>
          </w:p>
        </w:tc>
        <w:tc>
          <w:tcPr>
            <w:tcW w:w="1021" w:type="dxa"/>
            <w:tcBorders>
              <w:top w:val="single" w:sz="4" w:space="0" w:color="BFBFBF"/>
            </w:tcBorders>
            <w:shd w:val="clear" w:color="auto" w:fill="auto"/>
          </w:tcPr>
          <w:p w:rsidR="0092299C" w:rsidRPr="001F2E2D" w:rsidRDefault="0092299C" w:rsidP="0092299C">
            <w:pPr>
              <w:pStyle w:val="ARtabletext"/>
              <w:jc w:val="right"/>
            </w:pPr>
            <w:r w:rsidRPr="001F2E2D">
              <w:t>3</w:t>
            </w:r>
            <w:r w:rsidR="003736A6" w:rsidRPr="001F2E2D">
              <w:t>.0</w:t>
            </w:r>
          </w:p>
        </w:tc>
        <w:tc>
          <w:tcPr>
            <w:tcW w:w="1021" w:type="dxa"/>
            <w:tcBorders>
              <w:top w:val="single" w:sz="4" w:space="0" w:color="BFBFBF"/>
            </w:tcBorders>
            <w:shd w:val="clear" w:color="auto" w:fill="auto"/>
          </w:tcPr>
          <w:p w:rsidR="0092299C" w:rsidRPr="001F2E2D" w:rsidRDefault="0042485C" w:rsidP="0092299C">
            <w:pPr>
              <w:pStyle w:val="ARtabletext"/>
              <w:jc w:val="right"/>
            </w:pPr>
            <w:r w:rsidRPr="001F2E2D">
              <w:t>19.6</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Preliminary result. Health services continue to explore ways to reduce avoidable readmissions.</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Unplanned/unexpected readmission for knee replacement</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
              <w:jc w:val="right"/>
            </w:pPr>
            <w:r w:rsidRPr="00D02A2E">
              <w:t>6</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5.3</w:t>
            </w:r>
          </w:p>
        </w:tc>
        <w:tc>
          <w:tcPr>
            <w:tcW w:w="1021" w:type="dxa"/>
            <w:tcBorders>
              <w:top w:val="single" w:sz="4" w:space="0" w:color="BFBFBF"/>
            </w:tcBorders>
            <w:shd w:val="clear" w:color="auto" w:fill="auto"/>
          </w:tcPr>
          <w:p w:rsidR="0092299C" w:rsidRPr="00D02A2E" w:rsidRDefault="00EC4FD8" w:rsidP="0092299C">
            <w:pPr>
              <w:pStyle w:val="ARtabletext"/>
              <w:jc w:val="right"/>
            </w:pPr>
            <w:r>
              <w:t>–</w:t>
            </w:r>
            <w:r w:rsidR="0092299C">
              <w:t>11.7</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Preliminary result. </w:t>
            </w:r>
            <w:r>
              <w:t>This is</w:t>
            </w:r>
            <w:r w:rsidRPr="00D02A2E">
              <w:t xml:space="preserve"> a positive result.</w:t>
            </w:r>
          </w:p>
        </w:tc>
      </w:tr>
      <w:tr w:rsidR="0092299C" w:rsidRPr="00D02A2E" w:rsidTr="00DC4711">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Unplanned/unexpected readmission for paediatric tonsillectomy and adenoidectomy</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2.2</w:t>
            </w:r>
          </w:p>
        </w:tc>
        <w:tc>
          <w:tcPr>
            <w:tcW w:w="1021" w:type="dxa"/>
            <w:tcBorders>
              <w:top w:val="single" w:sz="4" w:space="0" w:color="BFBFBF"/>
            </w:tcBorders>
            <w:shd w:val="clear" w:color="auto" w:fill="auto"/>
          </w:tcPr>
          <w:p w:rsidR="0092299C" w:rsidRPr="00D02A2E" w:rsidRDefault="0092299C" w:rsidP="0092299C">
            <w:pPr>
              <w:pStyle w:val="ARtabletext"/>
              <w:jc w:val="right"/>
            </w:pPr>
            <w:r w:rsidRPr="00D02A2E">
              <w:t>2.4</w:t>
            </w:r>
          </w:p>
        </w:tc>
        <w:tc>
          <w:tcPr>
            <w:tcW w:w="1021" w:type="dxa"/>
            <w:tcBorders>
              <w:top w:val="single" w:sz="4" w:space="0" w:color="BFBFBF"/>
            </w:tcBorders>
            <w:shd w:val="clear" w:color="auto" w:fill="auto"/>
          </w:tcPr>
          <w:p w:rsidR="0092299C" w:rsidRPr="00D02A2E" w:rsidRDefault="0092299C" w:rsidP="0092299C">
            <w:pPr>
              <w:pStyle w:val="ARtabletext"/>
              <w:jc w:val="right"/>
            </w:pPr>
            <w:r>
              <w:t>9.1</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Preliminary result. Health services continue to explore ways to reduce avoidable readmissions.</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rPr>
                <w:rFonts w:ascii="Wingdings" w:hAnsi="Wingdings"/>
              </w:rPr>
            </w:pPr>
          </w:p>
        </w:tc>
      </w:tr>
      <w:tr w:rsidR="0092299C" w:rsidRPr="00D02A2E" w:rsidTr="00DC4711">
        <w:trPr>
          <w:cantSplit/>
          <w:trHeight w:val="240"/>
        </w:trPr>
        <w:tc>
          <w:tcPr>
            <w:tcW w:w="4761" w:type="dxa"/>
            <w:shd w:val="clear" w:color="auto" w:fill="auto"/>
            <w:hideMark/>
          </w:tcPr>
          <w:p w:rsidR="0092299C" w:rsidRPr="00D02A2E" w:rsidRDefault="0092299C" w:rsidP="0092299C">
            <w:pPr>
              <w:pStyle w:val="ARtabletext"/>
            </w:pPr>
            <w:r w:rsidRPr="00D02A2E">
              <w:t>Non-urgent (Category 3) elective surgery patients admitted within 365 days</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tcPr>
          <w:p w:rsidR="0092299C" w:rsidRPr="00D02A2E" w:rsidRDefault="0092299C" w:rsidP="0092299C">
            <w:pPr>
              <w:pStyle w:val="ARtabletextright"/>
            </w:pPr>
            <w:r w:rsidRPr="00D02A2E">
              <w:t>95</w:t>
            </w:r>
          </w:p>
        </w:tc>
        <w:tc>
          <w:tcPr>
            <w:tcW w:w="1021" w:type="dxa"/>
            <w:shd w:val="clear" w:color="auto" w:fill="auto"/>
          </w:tcPr>
          <w:p w:rsidR="0092299C" w:rsidRPr="001F2E2D" w:rsidRDefault="0092299C" w:rsidP="0092299C">
            <w:pPr>
              <w:pStyle w:val="ARtabletextright"/>
            </w:pPr>
            <w:r w:rsidRPr="001F2E2D">
              <w:t>94</w:t>
            </w:r>
            <w:r w:rsidR="003736A6" w:rsidRPr="001F2E2D">
              <w:t>.3</w:t>
            </w:r>
          </w:p>
        </w:tc>
        <w:tc>
          <w:tcPr>
            <w:tcW w:w="1021" w:type="dxa"/>
            <w:shd w:val="clear" w:color="auto" w:fill="auto"/>
          </w:tcPr>
          <w:p w:rsidR="0092299C" w:rsidRPr="001F2E2D" w:rsidRDefault="00EC4FD8" w:rsidP="0092299C">
            <w:pPr>
              <w:pStyle w:val="ARtabletextright"/>
            </w:pPr>
            <w:r>
              <w:t>–</w:t>
            </w:r>
            <w:r w:rsidR="0042485C" w:rsidRPr="001F2E2D">
              <w:t>0.7</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Semi-urgent (Category 2) elective surgery patients admitted within 90 days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82.5</w:t>
            </w:r>
          </w:p>
        </w:tc>
        <w:tc>
          <w:tcPr>
            <w:tcW w:w="1021" w:type="dxa"/>
            <w:tcBorders>
              <w:top w:val="single" w:sz="4" w:space="0" w:color="BFBFBF"/>
            </w:tcBorders>
            <w:shd w:val="clear" w:color="auto" w:fill="auto"/>
          </w:tcPr>
          <w:p w:rsidR="0092299C" w:rsidRPr="001F2E2D" w:rsidRDefault="0092299C" w:rsidP="0092299C">
            <w:pPr>
              <w:pStyle w:val="ARtabletextright"/>
            </w:pPr>
            <w:r w:rsidRPr="001F2E2D">
              <w:t>80.</w:t>
            </w:r>
            <w:r w:rsidR="003736A6" w:rsidRPr="001F2E2D">
              <w:t>2</w:t>
            </w:r>
          </w:p>
        </w:tc>
        <w:tc>
          <w:tcPr>
            <w:tcW w:w="1021" w:type="dxa"/>
            <w:tcBorders>
              <w:top w:val="single" w:sz="4" w:space="0" w:color="BFBFBF"/>
            </w:tcBorders>
            <w:shd w:val="clear" w:color="auto" w:fill="auto"/>
          </w:tcPr>
          <w:p w:rsidR="0092299C" w:rsidRPr="001F2E2D" w:rsidRDefault="00EC4FD8" w:rsidP="0092299C">
            <w:pPr>
              <w:pStyle w:val="ARtabletextright"/>
            </w:pPr>
            <w:r>
              <w:t>–</w:t>
            </w:r>
            <w:r w:rsidR="0042485C" w:rsidRPr="001F2E2D">
              <w:t>2.8</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Urgent (Category 1) elective surgery patients admitted within 30 days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rPr>
                <w:rFonts w:ascii="Wingdings" w:hAnsi="Wingdings"/>
              </w:rPr>
            </w:pPr>
          </w:p>
        </w:tc>
      </w:tr>
      <w:tr w:rsidR="0092299C" w:rsidRPr="00D02A2E" w:rsidTr="00DC4711">
        <w:trPr>
          <w:cantSplit/>
          <w:trHeight w:val="240"/>
        </w:trPr>
        <w:tc>
          <w:tcPr>
            <w:tcW w:w="4761" w:type="dxa"/>
            <w:shd w:val="clear" w:color="auto" w:fill="auto"/>
            <w:hideMark/>
          </w:tcPr>
          <w:p w:rsidR="0092299C" w:rsidRPr="00D02A2E" w:rsidRDefault="0092299C" w:rsidP="0092299C">
            <w:pPr>
              <w:pStyle w:val="ARtabletextbold"/>
            </w:pPr>
            <w:r w:rsidRPr="00D02A2E">
              <w:t>Total output cost</w:t>
            </w:r>
          </w:p>
        </w:tc>
        <w:tc>
          <w:tcPr>
            <w:tcW w:w="1021" w:type="dxa"/>
            <w:shd w:val="clear" w:color="auto" w:fill="auto"/>
            <w:hideMark/>
          </w:tcPr>
          <w:p w:rsidR="0092299C" w:rsidRPr="00D02A2E" w:rsidRDefault="0092299C" w:rsidP="001F2E2D">
            <w:pPr>
              <w:pStyle w:val="ARtabletextbold"/>
              <w:jc w:val="center"/>
            </w:pPr>
            <w:r w:rsidRPr="00D02A2E">
              <w:t>$ million</w:t>
            </w:r>
          </w:p>
        </w:tc>
        <w:tc>
          <w:tcPr>
            <w:tcW w:w="1021" w:type="dxa"/>
            <w:shd w:val="clear" w:color="auto" w:fill="auto"/>
          </w:tcPr>
          <w:p w:rsidR="0092299C" w:rsidRPr="00B56769" w:rsidRDefault="0092299C" w:rsidP="0092299C">
            <w:pPr>
              <w:pStyle w:val="ARtabletextright"/>
              <w:rPr>
                <w:b/>
              </w:rPr>
            </w:pPr>
            <w:r w:rsidRPr="00B56769">
              <w:rPr>
                <w:b/>
              </w:rPr>
              <w:t>9,385.50</w:t>
            </w:r>
          </w:p>
        </w:tc>
        <w:tc>
          <w:tcPr>
            <w:tcW w:w="1021" w:type="dxa"/>
            <w:shd w:val="clear" w:color="auto" w:fill="auto"/>
          </w:tcPr>
          <w:p w:rsidR="0092299C" w:rsidRPr="00B56769" w:rsidRDefault="0092299C" w:rsidP="0092299C">
            <w:pPr>
              <w:pStyle w:val="ARtabletextright"/>
              <w:rPr>
                <w:b/>
              </w:rPr>
            </w:pPr>
            <w:r w:rsidRPr="00B56769">
              <w:rPr>
                <w:b/>
              </w:rPr>
              <w:t>9,892.9</w:t>
            </w:r>
          </w:p>
        </w:tc>
        <w:tc>
          <w:tcPr>
            <w:tcW w:w="1021" w:type="dxa"/>
            <w:shd w:val="clear" w:color="auto" w:fill="auto"/>
          </w:tcPr>
          <w:p w:rsidR="0092299C" w:rsidRPr="00B56769" w:rsidRDefault="0092299C" w:rsidP="0092299C">
            <w:pPr>
              <w:pStyle w:val="ARtabletextright"/>
              <w:rPr>
                <w:b/>
              </w:rPr>
            </w:pPr>
            <w:r w:rsidRPr="00B56769">
              <w:rPr>
                <w:b/>
              </w:rPr>
              <w:t>5.4</w:t>
            </w:r>
          </w:p>
        </w:tc>
        <w:tc>
          <w:tcPr>
            <w:tcW w:w="794" w:type="dxa"/>
            <w:shd w:val="clear" w:color="auto" w:fill="auto"/>
            <w:hideMark/>
          </w:tcPr>
          <w:p w:rsidR="0092299C" w:rsidRPr="00B56769" w:rsidRDefault="0092299C" w:rsidP="0092299C">
            <w:pPr>
              <w:pStyle w:val="ARtabletextright"/>
              <w:rPr>
                <w:rFonts w:ascii="Wingdings" w:hAnsi="Wingdings"/>
                <w:b/>
              </w:rPr>
            </w:pPr>
          </w:p>
        </w:tc>
      </w:tr>
      <w:tr w:rsidR="0092299C" w:rsidRPr="00786132" w:rsidTr="00DC4711">
        <w:trPr>
          <w:cantSplit/>
          <w:trHeight w:val="240"/>
        </w:trPr>
        <w:tc>
          <w:tcPr>
            <w:tcW w:w="794" w:type="dxa"/>
            <w:gridSpan w:val="6"/>
            <w:tcBorders>
              <w:bottom w:val="single" w:sz="4" w:space="0" w:color="auto"/>
            </w:tcBorders>
            <w:shd w:val="clear" w:color="auto" w:fill="auto"/>
          </w:tcPr>
          <w:p w:rsidR="0092299C" w:rsidRPr="00786132" w:rsidRDefault="0092299C" w:rsidP="0092299C">
            <w:pPr>
              <w:pStyle w:val="ARtablenoteindent"/>
            </w:pPr>
            <w:r w:rsidRPr="00786132">
              <w:t>The 20</w:t>
            </w:r>
            <w:r>
              <w:t>16–17</w:t>
            </w:r>
            <w:r w:rsidRPr="00786132">
              <w:t xml:space="preserve"> actual outcome primarily reflects higher than expected hospitals' own source revenue and reconciliation adjustments for the prior year.</w:t>
            </w:r>
          </w:p>
        </w:tc>
      </w:tr>
      <w:tr w:rsidR="0092299C" w:rsidRPr="00D02A2E" w:rsidTr="00DC4711">
        <w:trPr>
          <w:cantSplit/>
          <w:trHeight w:val="240"/>
        </w:trPr>
        <w:tc>
          <w:tcPr>
            <w:tcW w:w="4763" w:type="dxa"/>
            <w:tcBorders>
              <w:bottom w:val="single" w:sz="4" w:space="0" w:color="auto"/>
            </w:tcBorders>
            <w:shd w:val="clear" w:color="auto" w:fill="auto"/>
            <w:hideMark/>
          </w:tcPr>
          <w:p w:rsidR="0092299C" w:rsidRPr="00D02A2E" w:rsidRDefault="0092299C" w:rsidP="0092299C">
            <w:pPr>
              <w:pStyle w:val="ARtablebluebold"/>
            </w:pPr>
            <w:r w:rsidRPr="00D02A2E">
              <w:t xml:space="preserve">Non-Admitted Services </w:t>
            </w:r>
          </w:p>
        </w:tc>
        <w:tc>
          <w:tcPr>
            <w:tcW w:w="1021" w:type="dxa"/>
            <w:tcBorders>
              <w:bottom w:val="single" w:sz="4" w:space="0" w:color="auto"/>
            </w:tcBorders>
            <w:shd w:val="clear" w:color="auto" w:fill="auto"/>
            <w:hideMark/>
          </w:tcPr>
          <w:p w:rsidR="0092299C" w:rsidRPr="00D02A2E" w:rsidRDefault="0092299C" w:rsidP="0092299C">
            <w:pPr>
              <w:pStyle w:val="ARtablebluebold"/>
            </w:pPr>
          </w:p>
        </w:tc>
        <w:tc>
          <w:tcPr>
            <w:tcW w:w="1021" w:type="dxa"/>
            <w:tcBorders>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auto"/>
            </w:tcBorders>
            <w:shd w:val="clear" w:color="auto" w:fill="auto"/>
            <w:hideMark/>
          </w:tcPr>
          <w:p w:rsidR="0092299C" w:rsidRPr="00D02A2E" w:rsidRDefault="0092299C" w:rsidP="0092299C">
            <w:pPr>
              <w:pStyle w:val="ARtablebluebold"/>
            </w:pPr>
            <w:r w:rsidRPr="00D02A2E">
              <w:t> </w:t>
            </w:r>
          </w:p>
        </w:tc>
        <w:tc>
          <w:tcPr>
            <w:tcW w:w="794" w:type="dxa"/>
            <w:tcBorders>
              <w:bottom w:val="single" w:sz="4" w:space="0" w:color="auto"/>
            </w:tcBorders>
            <w:shd w:val="clear" w:color="auto" w:fill="auto"/>
            <w:hideMark/>
          </w:tcPr>
          <w:p w:rsidR="0092299C" w:rsidRPr="00D02A2E" w:rsidRDefault="0092299C" w:rsidP="0092299C">
            <w:pPr>
              <w:pStyle w:val="ARtablebluebold"/>
              <w:rPr>
                <w:rFonts w:ascii="Wingdings" w:hAnsi="Wingdings"/>
              </w:rPr>
            </w:pPr>
          </w:p>
        </w:tc>
      </w:tr>
      <w:tr w:rsidR="0092299C" w:rsidRPr="00D02A2E" w:rsidTr="00DC4711">
        <w:trPr>
          <w:cantSplit/>
          <w:trHeight w:val="240"/>
        </w:trPr>
        <w:tc>
          <w:tcPr>
            <w:tcW w:w="4763" w:type="dxa"/>
            <w:tcBorders>
              <w:top w:val="single" w:sz="4" w:space="0" w:color="auto"/>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auto"/>
            </w:tcBorders>
            <w:shd w:val="clear" w:color="auto" w:fill="auto"/>
            <w:hideMark/>
          </w:tcPr>
          <w:p w:rsidR="0092299C" w:rsidRPr="00D02A2E" w:rsidRDefault="0092299C" w:rsidP="0092299C">
            <w:pPr>
              <w:spacing w:before="80" w:after="60"/>
              <w:jc w:val="center"/>
              <w:rPr>
                <w:rFonts w:ascii="Wingdings" w:eastAsia="Times" w:hAnsi="Wingdings" w:cs="Arial"/>
                <w:b/>
                <w:i/>
                <w:color w:val="004C97"/>
                <w:sz w:val="18"/>
                <w:szCs w:val="18"/>
                <w:lang w:eastAsia="en-AU"/>
              </w:rPr>
            </w:pPr>
          </w:p>
        </w:tc>
      </w:tr>
      <w:tr w:rsidR="0092299C" w:rsidRPr="00D02A2E" w:rsidTr="00DC4711">
        <w:trPr>
          <w:cantSplit/>
          <w:trHeight w:val="240"/>
        </w:trPr>
        <w:tc>
          <w:tcPr>
            <w:tcW w:w="4763" w:type="dxa"/>
            <w:shd w:val="clear" w:color="auto" w:fill="auto"/>
            <w:hideMark/>
          </w:tcPr>
          <w:p w:rsidR="0092299C" w:rsidRPr="00D02A2E" w:rsidRDefault="0092299C" w:rsidP="0092299C">
            <w:pPr>
              <w:pStyle w:val="ARtabletext"/>
            </w:pPr>
            <w:r w:rsidRPr="00D02A2E">
              <w:t>Completed post-acute episodes</w:t>
            </w:r>
          </w:p>
        </w:tc>
        <w:tc>
          <w:tcPr>
            <w:tcW w:w="1021" w:type="dxa"/>
            <w:shd w:val="clear" w:color="auto" w:fill="auto"/>
            <w:hideMark/>
          </w:tcPr>
          <w:p w:rsidR="0092299C" w:rsidRPr="00D02A2E" w:rsidRDefault="0092299C" w:rsidP="001F2E2D">
            <w:pPr>
              <w:pStyle w:val="ARtabletext"/>
              <w:jc w:val="center"/>
            </w:pPr>
            <w:r w:rsidRPr="00B56769">
              <w:t>number</w:t>
            </w:r>
          </w:p>
        </w:tc>
        <w:tc>
          <w:tcPr>
            <w:tcW w:w="1021" w:type="dxa"/>
            <w:shd w:val="clear" w:color="auto" w:fill="auto"/>
          </w:tcPr>
          <w:p w:rsidR="0092299C" w:rsidRPr="00D02A2E" w:rsidRDefault="0092299C" w:rsidP="0092299C">
            <w:pPr>
              <w:pStyle w:val="ARtabletextright"/>
            </w:pPr>
            <w:r w:rsidRPr="00D02A2E">
              <w:t>44,700</w:t>
            </w:r>
          </w:p>
        </w:tc>
        <w:tc>
          <w:tcPr>
            <w:tcW w:w="1021" w:type="dxa"/>
            <w:shd w:val="clear" w:color="auto" w:fill="auto"/>
          </w:tcPr>
          <w:p w:rsidR="0092299C" w:rsidRPr="00D02A2E" w:rsidRDefault="0092299C" w:rsidP="0092299C">
            <w:pPr>
              <w:pStyle w:val="ARtabletextright"/>
            </w:pPr>
            <w:r w:rsidRPr="00D02A2E">
              <w:t>48,063</w:t>
            </w:r>
          </w:p>
        </w:tc>
        <w:tc>
          <w:tcPr>
            <w:tcW w:w="1021" w:type="dxa"/>
            <w:shd w:val="clear" w:color="auto" w:fill="auto"/>
          </w:tcPr>
          <w:p w:rsidR="0092299C" w:rsidRPr="00D02A2E" w:rsidRDefault="0092299C" w:rsidP="0092299C">
            <w:pPr>
              <w:pStyle w:val="ARtabletextright"/>
            </w:pPr>
            <w:r>
              <w:t>7.5</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Preliminary result. Post-</w:t>
            </w:r>
            <w:r>
              <w:t>a</w:t>
            </w:r>
            <w:r w:rsidRPr="00D02A2E">
              <w:t xml:space="preserve">cute </w:t>
            </w:r>
            <w:r>
              <w:t>c</w:t>
            </w:r>
            <w:r w:rsidRPr="00D02A2E">
              <w:t>are has benefited from increased flexibility as a result of consolidating funding and targets in the Health Independence Program (HIP) to increase care in a program stream where demand is higher.</w:t>
            </w:r>
          </w:p>
        </w:tc>
      </w:tr>
      <w:tr w:rsidR="0092299C" w:rsidRPr="00D02A2E" w:rsidTr="00DC4711">
        <w:trPr>
          <w:cantSplit/>
          <w:trHeight w:val="480"/>
        </w:trPr>
        <w:tc>
          <w:tcPr>
            <w:tcW w:w="4763" w:type="dxa"/>
            <w:tcBorders>
              <w:top w:val="single" w:sz="4" w:space="0" w:color="BFBFBF"/>
            </w:tcBorders>
            <w:shd w:val="clear" w:color="auto" w:fill="auto"/>
          </w:tcPr>
          <w:p w:rsidR="0092299C" w:rsidRPr="00D02A2E" w:rsidRDefault="0092299C" w:rsidP="0092299C">
            <w:pPr>
              <w:pStyle w:val="ARtabletext"/>
            </w:pPr>
            <w:r w:rsidRPr="00D02A2E">
              <w:t>Health Independence Program direct contacts</w:t>
            </w:r>
          </w:p>
        </w:tc>
        <w:tc>
          <w:tcPr>
            <w:tcW w:w="1021" w:type="dxa"/>
            <w:tcBorders>
              <w:top w:val="single" w:sz="4" w:space="0" w:color="BFBFBF"/>
            </w:tcBorders>
            <w:shd w:val="clear" w:color="auto" w:fill="auto"/>
          </w:tcPr>
          <w:p w:rsidR="0092299C" w:rsidRPr="00D02A2E" w:rsidRDefault="001B1CFB" w:rsidP="001F2E2D">
            <w:pPr>
              <w:pStyle w:val="ARtabletext"/>
              <w:jc w:val="center"/>
            </w:pPr>
            <w:r>
              <w:t>n</w:t>
            </w:r>
            <w:r w:rsidR="0092299C" w:rsidRPr="00D02A2E">
              <w:t>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1,411</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1,494</w:t>
            </w:r>
          </w:p>
        </w:tc>
        <w:tc>
          <w:tcPr>
            <w:tcW w:w="1021" w:type="dxa"/>
            <w:tcBorders>
              <w:top w:val="single" w:sz="4" w:space="0" w:color="BFBFBF"/>
            </w:tcBorders>
            <w:shd w:val="clear" w:color="auto" w:fill="auto"/>
          </w:tcPr>
          <w:p w:rsidR="0092299C" w:rsidRPr="00D02A2E" w:rsidRDefault="0092299C" w:rsidP="0092299C">
            <w:pPr>
              <w:pStyle w:val="ARtabletextright"/>
            </w:pPr>
            <w:r>
              <w:t>5.9</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480"/>
        </w:trPr>
        <w:tc>
          <w:tcPr>
            <w:tcW w:w="794" w:type="dxa"/>
            <w:gridSpan w:val="6"/>
            <w:shd w:val="clear" w:color="auto" w:fill="auto"/>
          </w:tcPr>
          <w:p w:rsidR="0092299C" w:rsidRPr="00D02A2E" w:rsidRDefault="0092299C" w:rsidP="0092299C">
            <w:pPr>
              <w:pStyle w:val="ARtablenoteindent"/>
            </w:pPr>
            <w:r w:rsidRPr="00D02A2E">
              <w:rPr>
                <w:szCs w:val="16"/>
              </w:rPr>
              <w:t>Preliminary result</w:t>
            </w:r>
            <w:r w:rsidRPr="00D02A2E">
              <w:t>. A new episodic funding model for subacute admitted activity introduced in 20</w:t>
            </w:r>
            <w:r>
              <w:t>16–17</w:t>
            </w:r>
            <w:r w:rsidRPr="00D02A2E">
              <w:t xml:space="preserve"> has driven greater efficiency through early discharge and likely increases in HIP activity. </w:t>
            </w:r>
          </w:p>
        </w:tc>
      </w:tr>
      <w:tr w:rsidR="0092299C" w:rsidRPr="00D02A2E" w:rsidTr="00DC4711">
        <w:trPr>
          <w:cantSplit/>
          <w:trHeight w:val="48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Patients treated in specialist outpatient clinics – unweighted</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1,755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1,746</w:t>
            </w:r>
          </w:p>
        </w:tc>
        <w:tc>
          <w:tcPr>
            <w:tcW w:w="1021" w:type="dxa"/>
            <w:tcBorders>
              <w:top w:val="single" w:sz="4" w:space="0" w:color="BFBFBF"/>
            </w:tcBorders>
            <w:shd w:val="clear" w:color="auto" w:fill="auto"/>
          </w:tcPr>
          <w:p w:rsidR="0092299C" w:rsidRPr="00D02A2E" w:rsidRDefault="00A16FB4" w:rsidP="0092299C">
            <w:pPr>
              <w:pStyle w:val="ARtabletextright"/>
            </w:pPr>
            <w:r>
              <w:t>–</w:t>
            </w:r>
            <w:r w:rsidR="0092299C">
              <w:t>0.5</w:t>
            </w:r>
          </w:p>
        </w:tc>
        <w:tc>
          <w:tcPr>
            <w:tcW w:w="794" w:type="dxa"/>
            <w:tcBorders>
              <w:top w:val="single" w:sz="4" w:space="0" w:color="BFBFBF"/>
            </w:tcBorders>
            <w:shd w:val="clear" w:color="auto" w:fill="auto"/>
            <w:hideMark/>
          </w:tcPr>
          <w:p w:rsidR="0092299C" w:rsidRPr="00D02A2E" w:rsidRDefault="00DD3330"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rPr>
                <w:rFonts w:ascii="Wingdings" w:hAnsi="Wingdings"/>
              </w:rPr>
            </w:pPr>
          </w:p>
        </w:tc>
      </w:tr>
      <w:tr w:rsidR="0092299C" w:rsidRPr="00D02A2E" w:rsidTr="00DC4711">
        <w:trPr>
          <w:cantSplit/>
          <w:trHeight w:val="240"/>
        </w:trPr>
        <w:tc>
          <w:tcPr>
            <w:tcW w:w="4763" w:type="dxa"/>
            <w:shd w:val="clear" w:color="auto" w:fill="auto"/>
            <w:hideMark/>
          </w:tcPr>
          <w:p w:rsidR="0092299C" w:rsidRPr="00D02A2E" w:rsidRDefault="0092299C" w:rsidP="0092299C">
            <w:pPr>
              <w:pStyle w:val="ARtabletext"/>
            </w:pPr>
            <w:r w:rsidRPr="00D02A2E">
              <w:t>Post-acute clients not readmitted to acute hospital</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hideMark/>
          </w:tcPr>
          <w:p w:rsidR="0092299C" w:rsidRPr="00B56769" w:rsidRDefault="0092299C" w:rsidP="0092299C">
            <w:pPr>
              <w:pStyle w:val="ARtabletextright"/>
            </w:pPr>
            <w:r w:rsidRPr="00B56769">
              <w:t>90</w:t>
            </w:r>
          </w:p>
        </w:tc>
        <w:tc>
          <w:tcPr>
            <w:tcW w:w="1021" w:type="dxa"/>
            <w:shd w:val="clear" w:color="auto" w:fill="auto"/>
          </w:tcPr>
          <w:p w:rsidR="0092299C" w:rsidRPr="00B56769" w:rsidRDefault="0092299C" w:rsidP="0092299C">
            <w:pPr>
              <w:pStyle w:val="ARtabletextright"/>
            </w:pPr>
            <w:r w:rsidRPr="00B56769">
              <w:t>93.3</w:t>
            </w:r>
          </w:p>
        </w:tc>
        <w:tc>
          <w:tcPr>
            <w:tcW w:w="1021" w:type="dxa"/>
            <w:shd w:val="clear" w:color="auto" w:fill="auto"/>
          </w:tcPr>
          <w:p w:rsidR="0092299C" w:rsidRPr="00B56769" w:rsidRDefault="0092299C" w:rsidP="0092299C">
            <w:pPr>
              <w:pStyle w:val="ARtabletextright"/>
            </w:pPr>
            <w:r>
              <w:t>3.7</w:t>
            </w:r>
          </w:p>
        </w:tc>
        <w:tc>
          <w:tcPr>
            <w:tcW w:w="794" w:type="dxa"/>
            <w:shd w:val="clear" w:color="auto" w:fill="auto"/>
            <w:hideMark/>
          </w:tcPr>
          <w:p w:rsidR="0092299C" w:rsidRPr="00B56769" w:rsidRDefault="00DD3330"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293B30">
            <w:pPr>
              <w:pStyle w:val="ARtablebluebold"/>
              <w:keepNext/>
            </w:pPr>
            <w:r w:rsidRPr="00D02A2E">
              <w:t>Timeliness</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C36EAB">
            <w:pPr>
              <w:pStyle w:val="ARtablebluebold"/>
              <w:jc w:val="center"/>
              <w:rPr>
                <w:rFonts w:ascii="Wingdings" w:hAnsi="Wingdings"/>
              </w:rPr>
            </w:pPr>
          </w:p>
        </w:tc>
      </w:tr>
      <w:tr w:rsidR="0092299C" w:rsidRPr="00D02A2E" w:rsidTr="00DC4711">
        <w:trPr>
          <w:cantSplit/>
          <w:trHeight w:val="240"/>
        </w:trPr>
        <w:tc>
          <w:tcPr>
            <w:tcW w:w="4763" w:type="dxa"/>
            <w:shd w:val="clear" w:color="auto" w:fill="auto"/>
            <w:hideMark/>
          </w:tcPr>
          <w:p w:rsidR="0092299C" w:rsidRPr="00D02A2E" w:rsidRDefault="0092299C" w:rsidP="00293B30">
            <w:pPr>
              <w:pStyle w:val="ARtabletext"/>
              <w:keepNext/>
            </w:pPr>
            <w:r w:rsidRPr="00D02A2E">
              <w:t>Health Independence Program clients contacted within three days of referral</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tcPr>
          <w:p w:rsidR="0092299C" w:rsidRPr="00D02A2E" w:rsidRDefault="0092299C" w:rsidP="0092299C">
            <w:pPr>
              <w:pStyle w:val="ARtabletextright"/>
            </w:pPr>
            <w:r w:rsidRPr="00D02A2E">
              <w:t>80</w:t>
            </w:r>
          </w:p>
        </w:tc>
        <w:tc>
          <w:tcPr>
            <w:tcW w:w="1021" w:type="dxa"/>
            <w:shd w:val="clear" w:color="auto" w:fill="auto"/>
          </w:tcPr>
          <w:p w:rsidR="0092299C" w:rsidRPr="00D02A2E" w:rsidRDefault="0092299C" w:rsidP="00D1019A">
            <w:pPr>
              <w:pStyle w:val="ARtabletextright"/>
            </w:pPr>
            <w:r w:rsidRPr="00D02A2E">
              <w:t>8</w:t>
            </w:r>
            <w:r w:rsidR="00D1019A">
              <w:t>8.6</w:t>
            </w:r>
          </w:p>
        </w:tc>
        <w:tc>
          <w:tcPr>
            <w:tcW w:w="1021" w:type="dxa"/>
            <w:shd w:val="clear" w:color="auto" w:fill="auto"/>
          </w:tcPr>
          <w:p w:rsidR="0092299C" w:rsidRPr="00D02A2E" w:rsidRDefault="00D1019A" w:rsidP="0092299C">
            <w:pPr>
              <w:pStyle w:val="ARtabletextright"/>
            </w:pPr>
            <w:r>
              <w:t>10.8</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This is a positive result and demonstrates service improvement to ensure timely contact with new patients.</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bluebold"/>
              <w:keepNext/>
              <w:keepLines/>
            </w:pPr>
            <w:r w:rsidRPr="00D02A2E">
              <w:lastRenderedPageBreak/>
              <w:t>Cost</w:t>
            </w:r>
          </w:p>
        </w:tc>
        <w:tc>
          <w:tcPr>
            <w:tcW w:w="1021" w:type="dxa"/>
            <w:tcBorders>
              <w:top w:val="single" w:sz="4" w:space="0" w:color="BFBFBF"/>
            </w:tcBorders>
            <w:shd w:val="clear" w:color="auto" w:fill="auto"/>
            <w:hideMark/>
          </w:tcPr>
          <w:p w:rsidR="0092299C" w:rsidRPr="00D02A2E" w:rsidRDefault="0092299C" w:rsidP="0092299C">
            <w:pPr>
              <w:pStyle w:val="ARtablebluebold"/>
              <w:keepNext/>
              <w:keepLines/>
            </w:pPr>
          </w:p>
        </w:tc>
        <w:tc>
          <w:tcPr>
            <w:tcW w:w="1021" w:type="dxa"/>
            <w:tcBorders>
              <w:top w:val="single" w:sz="4" w:space="0" w:color="BFBFBF"/>
            </w:tcBorders>
            <w:shd w:val="clear" w:color="auto" w:fill="auto"/>
            <w:hideMark/>
          </w:tcPr>
          <w:p w:rsidR="0092299C" w:rsidRPr="00D02A2E" w:rsidRDefault="0092299C" w:rsidP="0092299C">
            <w:pPr>
              <w:pStyle w:val="ARtablebluebold"/>
              <w:keepNext/>
              <w:keepLines/>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keepNext/>
              <w:keepLines/>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keepNext/>
              <w:keepLines/>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keepNext/>
              <w:keepLines/>
              <w:rPr>
                <w:rFonts w:ascii="Wingdings" w:hAnsi="Wingdings"/>
              </w:rPr>
            </w:pPr>
          </w:p>
        </w:tc>
      </w:tr>
      <w:tr w:rsidR="0092299C" w:rsidRPr="00D02A2E" w:rsidTr="00DC4711">
        <w:trPr>
          <w:cantSplit/>
          <w:trHeight w:val="240"/>
        </w:trPr>
        <w:tc>
          <w:tcPr>
            <w:tcW w:w="4763" w:type="dxa"/>
            <w:shd w:val="clear" w:color="auto" w:fill="auto"/>
            <w:hideMark/>
          </w:tcPr>
          <w:p w:rsidR="0092299C" w:rsidRPr="00D02A2E" w:rsidRDefault="0092299C" w:rsidP="0092299C">
            <w:pPr>
              <w:pStyle w:val="ARtabletextbold"/>
              <w:keepNext/>
              <w:keepLines/>
            </w:pPr>
            <w:r w:rsidRPr="00D02A2E">
              <w:t>Total output cost</w:t>
            </w:r>
          </w:p>
        </w:tc>
        <w:tc>
          <w:tcPr>
            <w:tcW w:w="1021" w:type="dxa"/>
            <w:shd w:val="clear" w:color="auto" w:fill="auto"/>
            <w:hideMark/>
          </w:tcPr>
          <w:p w:rsidR="0092299C" w:rsidRPr="00D02A2E" w:rsidRDefault="0092299C" w:rsidP="001F2E2D">
            <w:pPr>
              <w:pStyle w:val="ARtabletextbold"/>
              <w:keepNext/>
              <w:keepLines/>
              <w:jc w:val="center"/>
            </w:pPr>
            <w:r w:rsidRPr="00D02A2E">
              <w:t>$ million</w:t>
            </w:r>
          </w:p>
        </w:tc>
        <w:tc>
          <w:tcPr>
            <w:tcW w:w="1021" w:type="dxa"/>
            <w:shd w:val="clear" w:color="auto" w:fill="auto"/>
          </w:tcPr>
          <w:p w:rsidR="0092299C" w:rsidRPr="0052680D" w:rsidRDefault="0092299C" w:rsidP="0092299C">
            <w:pPr>
              <w:pStyle w:val="ARtabletextright"/>
              <w:rPr>
                <w:b/>
              </w:rPr>
            </w:pPr>
            <w:r w:rsidRPr="0052680D">
              <w:rPr>
                <w:b/>
              </w:rPr>
              <w:t>1,627.90</w:t>
            </w:r>
          </w:p>
        </w:tc>
        <w:tc>
          <w:tcPr>
            <w:tcW w:w="1021" w:type="dxa"/>
            <w:shd w:val="clear" w:color="auto" w:fill="auto"/>
          </w:tcPr>
          <w:p w:rsidR="0092299C" w:rsidRPr="0052680D" w:rsidRDefault="0092299C" w:rsidP="0092299C">
            <w:pPr>
              <w:pStyle w:val="ARtabletextright"/>
              <w:rPr>
                <w:b/>
              </w:rPr>
            </w:pPr>
            <w:r w:rsidRPr="0052680D">
              <w:rPr>
                <w:b/>
              </w:rPr>
              <w:t>1,569.20</w:t>
            </w:r>
          </w:p>
        </w:tc>
        <w:tc>
          <w:tcPr>
            <w:tcW w:w="1021" w:type="dxa"/>
            <w:shd w:val="clear" w:color="auto" w:fill="auto"/>
          </w:tcPr>
          <w:p w:rsidR="0092299C" w:rsidRPr="0052680D" w:rsidRDefault="00EC4FD8" w:rsidP="0092299C">
            <w:pPr>
              <w:pStyle w:val="ARtabletextright"/>
              <w:rPr>
                <w:b/>
              </w:rPr>
            </w:pPr>
            <w:r>
              <w:rPr>
                <w:b/>
              </w:rPr>
              <w:t>–</w:t>
            </w:r>
            <w:r w:rsidR="0092299C" w:rsidRPr="0052680D">
              <w:rPr>
                <w:b/>
              </w:rPr>
              <w:t>3.6</w:t>
            </w:r>
          </w:p>
        </w:tc>
        <w:tc>
          <w:tcPr>
            <w:tcW w:w="794" w:type="dxa"/>
            <w:shd w:val="clear" w:color="auto" w:fill="auto"/>
            <w:hideMark/>
          </w:tcPr>
          <w:p w:rsidR="0092299C" w:rsidRPr="00D02A2E" w:rsidRDefault="0092299C" w:rsidP="0092299C">
            <w:pPr>
              <w:pStyle w:val="ARtabletextbold"/>
              <w:keepNext/>
              <w:keepLines/>
              <w:rPr>
                <w:rFonts w:ascii="Wingdings" w:hAnsi="Wingdings"/>
              </w:rPr>
            </w:pPr>
          </w:p>
        </w:tc>
      </w:tr>
      <w:tr w:rsidR="0092299C" w:rsidRPr="00D02A2E" w:rsidTr="00DC4711">
        <w:trPr>
          <w:cantSplit/>
          <w:trHeight w:val="240"/>
        </w:trPr>
        <w:tc>
          <w:tcPr>
            <w:tcW w:w="794" w:type="dxa"/>
            <w:gridSpan w:val="6"/>
            <w:tcBorders>
              <w:bottom w:val="single" w:sz="4" w:space="0" w:color="auto"/>
            </w:tcBorders>
            <w:shd w:val="clear" w:color="auto" w:fill="auto"/>
          </w:tcPr>
          <w:p w:rsidR="0092299C" w:rsidRPr="00D02A2E" w:rsidRDefault="0092299C" w:rsidP="0092299C">
            <w:pPr>
              <w:pStyle w:val="ARtablenoteindent"/>
              <w:keepNext/>
              <w:keepLines/>
            </w:pPr>
            <w:r w:rsidRPr="00786132">
              <w:t>The 20</w:t>
            </w:r>
            <w:r>
              <w:t>16–17</w:t>
            </w:r>
            <w:r w:rsidRPr="00786132">
              <w:t xml:space="preserve"> actual outcome primarily reflects lower than ex</w:t>
            </w:r>
            <w:r>
              <w:t>pected Commonwealth revenue for hi</w:t>
            </w:r>
            <w:r w:rsidRPr="00786132">
              <w:t xml:space="preserve">ghly </w:t>
            </w:r>
            <w:r>
              <w:t>s</w:t>
            </w:r>
            <w:r w:rsidRPr="00786132">
              <w:t xml:space="preserve">pecialised </w:t>
            </w:r>
            <w:r>
              <w:t>d</w:t>
            </w:r>
            <w:r w:rsidRPr="00786132">
              <w:t>rugs.</w:t>
            </w:r>
          </w:p>
        </w:tc>
      </w:tr>
      <w:tr w:rsidR="0092299C" w:rsidRPr="00D02A2E" w:rsidTr="00DC4711">
        <w:trPr>
          <w:cantSplit/>
          <w:trHeight w:val="240"/>
        </w:trPr>
        <w:tc>
          <w:tcPr>
            <w:tcW w:w="4763"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xml:space="preserve">Emergency Services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auto"/>
              <w:bottom w:val="single" w:sz="4" w:space="0" w:color="auto"/>
            </w:tcBorders>
            <w:shd w:val="clear" w:color="auto" w:fill="auto"/>
            <w:hideMark/>
          </w:tcPr>
          <w:p w:rsidR="0092299C" w:rsidRPr="00D02A2E" w:rsidRDefault="0092299C" w:rsidP="0092299C">
            <w:pPr>
              <w:pStyle w:val="ARtablebluebold"/>
              <w:rPr>
                <w:rFonts w:ascii="Wingdings" w:hAnsi="Wingdings"/>
              </w:rPr>
            </w:pPr>
          </w:p>
        </w:tc>
      </w:tr>
      <w:tr w:rsidR="0092299C" w:rsidRPr="00D02A2E" w:rsidTr="00DC4711">
        <w:trPr>
          <w:cantSplit/>
          <w:trHeight w:val="240"/>
        </w:trPr>
        <w:tc>
          <w:tcPr>
            <w:tcW w:w="4763" w:type="dxa"/>
            <w:tcBorders>
              <w:top w:val="single" w:sz="4" w:space="0" w:color="auto"/>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auto"/>
            </w:tcBorders>
            <w:shd w:val="clear" w:color="auto" w:fill="auto"/>
            <w:hideMark/>
          </w:tcPr>
          <w:p w:rsidR="0092299C" w:rsidRPr="00D02A2E" w:rsidRDefault="0092299C" w:rsidP="0092299C">
            <w:pPr>
              <w:pStyle w:val="ARtablebluebold"/>
            </w:pPr>
          </w:p>
        </w:tc>
        <w:tc>
          <w:tcPr>
            <w:tcW w:w="1021" w:type="dxa"/>
            <w:tcBorders>
              <w:top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auto"/>
            </w:tcBorders>
            <w:shd w:val="clear" w:color="auto" w:fill="auto"/>
            <w:hideMark/>
          </w:tcPr>
          <w:p w:rsidR="0092299C" w:rsidRPr="00D02A2E" w:rsidRDefault="0092299C" w:rsidP="0092299C">
            <w:pPr>
              <w:pStyle w:val="ARtablebluebold"/>
              <w:rPr>
                <w:rFonts w:ascii="Wingdings" w:hAnsi="Wingdings"/>
              </w:rPr>
            </w:pPr>
          </w:p>
        </w:tc>
      </w:tr>
      <w:tr w:rsidR="0092299C" w:rsidRPr="00D02A2E" w:rsidTr="00DC4711">
        <w:trPr>
          <w:cantSplit/>
          <w:trHeight w:val="480"/>
        </w:trPr>
        <w:tc>
          <w:tcPr>
            <w:tcW w:w="4763" w:type="dxa"/>
            <w:shd w:val="clear" w:color="auto" w:fill="auto"/>
            <w:hideMark/>
          </w:tcPr>
          <w:p w:rsidR="0092299C" w:rsidRPr="00D02A2E" w:rsidRDefault="0092299C" w:rsidP="0092299C">
            <w:pPr>
              <w:pStyle w:val="ARtabletext"/>
            </w:pPr>
            <w:r w:rsidRPr="00D02A2E">
              <w:t>Emergency presentations</w:t>
            </w:r>
          </w:p>
        </w:tc>
        <w:tc>
          <w:tcPr>
            <w:tcW w:w="1021" w:type="dxa"/>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shd w:val="clear" w:color="auto" w:fill="auto"/>
          </w:tcPr>
          <w:p w:rsidR="0092299C" w:rsidRPr="00D02A2E" w:rsidRDefault="00465275" w:rsidP="0092299C">
            <w:pPr>
              <w:pStyle w:val="ARtabletextright"/>
            </w:pPr>
            <w:r>
              <w:t>1,</w:t>
            </w:r>
            <w:r w:rsidR="0092299C" w:rsidRPr="00D02A2E">
              <w:t>696</w:t>
            </w:r>
          </w:p>
        </w:tc>
        <w:tc>
          <w:tcPr>
            <w:tcW w:w="1021" w:type="dxa"/>
            <w:shd w:val="clear" w:color="auto" w:fill="auto"/>
          </w:tcPr>
          <w:p w:rsidR="0092299C" w:rsidRPr="00D02A2E" w:rsidRDefault="0092299C" w:rsidP="0092299C">
            <w:pPr>
              <w:pStyle w:val="ARtabletextright"/>
            </w:pPr>
            <w:r w:rsidRPr="00D02A2E">
              <w:t>1,728</w:t>
            </w:r>
          </w:p>
        </w:tc>
        <w:tc>
          <w:tcPr>
            <w:tcW w:w="1021" w:type="dxa"/>
            <w:shd w:val="clear" w:color="auto" w:fill="auto"/>
          </w:tcPr>
          <w:p w:rsidR="0092299C" w:rsidRPr="00D02A2E" w:rsidRDefault="0092299C" w:rsidP="0092299C">
            <w:pPr>
              <w:pStyle w:val="ARtabletextright"/>
            </w:pPr>
            <w:r>
              <w:t>1.9</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794" w:type="dxa"/>
            <w:tcBorders>
              <w:top w:val="single" w:sz="4" w:space="0" w:color="BFBFBF"/>
            </w:tcBorders>
            <w:shd w:val="clear" w:color="auto" w:fill="auto"/>
            <w:hideMark/>
          </w:tcPr>
          <w:p w:rsidR="0092299C" w:rsidRPr="00D02A2E" w:rsidRDefault="0092299C" w:rsidP="00C36EAB">
            <w:pPr>
              <w:pStyle w:val="ARtabletextright"/>
              <w:jc w:val="center"/>
              <w:rPr>
                <w:rFonts w:ascii="Wingdings" w:hAnsi="Wingdings"/>
              </w:rPr>
            </w:pPr>
          </w:p>
        </w:tc>
      </w:tr>
      <w:tr w:rsidR="0092299C" w:rsidRPr="00D02A2E" w:rsidTr="00DC4711">
        <w:trPr>
          <w:cantSplit/>
          <w:trHeight w:val="240"/>
        </w:trPr>
        <w:tc>
          <w:tcPr>
            <w:tcW w:w="4763" w:type="dxa"/>
            <w:shd w:val="clear" w:color="auto" w:fill="auto"/>
            <w:hideMark/>
          </w:tcPr>
          <w:p w:rsidR="0092299C" w:rsidRPr="00D02A2E" w:rsidRDefault="0092299C" w:rsidP="0092299C">
            <w:pPr>
              <w:pStyle w:val="ARtabletext"/>
            </w:pPr>
            <w:r w:rsidRPr="00D02A2E">
              <w:t>Emergency patients re-presenting to the emergency department within 48 hours of previous presentation</w:t>
            </w:r>
          </w:p>
        </w:tc>
        <w:tc>
          <w:tcPr>
            <w:tcW w:w="1021" w:type="dxa"/>
            <w:shd w:val="clear" w:color="auto" w:fill="auto"/>
            <w:hideMark/>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92299C">
            <w:pPr>
              <w:pStyle w:val="ARtabletextright"/>
            </w:pPr>
            <w:r w:rsidRPr="00D02A2E">
              <w:t>6</w:t>
            </w:r>
          </w:p>
        </w:tc>
        <w:tc>
          <w:tcPr>
            <w:tcW w:w="1021" w:type="dxa"/>
            <w:shd w:val="clear" w:color="auto" w:fill="auto"/>
          </w:tcPr>
          <w:p w:rsidR="0092299C" w:rsidRPr="00D02A2E" w:rsidRDefault="0092299C" w:rsidP="0092299C">
            <w:pPr>
              <w:pStyle w:val="ARtabletextright"/>
            </w:pPr>
            <w:r w:rsidRPr="00D02A2E">
              <w:t>5.9</w:t>
            </w:r>
          </w:p>
        </w:tc>
        <w:tc>
          <w:tcPr>
            <w:tcW w:w="1021" w:type="dxa"/>
            <w:shd w:val="clear" w:color="auto" w:fill="auto"/>
          </w:tcPr>
          <w:p w:rsidR="0092299C" w:rsidRPr="00D02A2E" w:rsidRDefault="00EC4FD8" w:rsidP="0092299C">
            <w:pPr>
              <w:pStyle w:val="ARtabletextright"/>
            </w:pPr>
            <w:r>
              <w:t>–</w:t>
            </w:r>
            <w:r w:rsidR="0092299C" w:rsidRPr="00D02A2E">
              <w:t>1.7</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Emergency patients who did not wait for treatment</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4.4</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12.0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Patients' experience of emergency department care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85</w:t>
            </w:r>
          </w:p>
        </w:tc>
        <w:tc>
          <w:tcPr>
            <w:tcW w:w="1021" w:type="dxa"/>
            <w:tcBorders>
              <w:top w:val="single" w:sz="4" w:space="0" w:color="BFBFBF"/>
            </w:tcBorders>
            <w:shd w:val="clear" w:color="auto" w:fill="auto"/>
          </w:tcPr>
          <w:p w:rsidR="0092299C" w:rsidRPr="00D02A2E" w:rsidRDefault="0092299C" w:rsidP="0092299C">
            <w:pPr>
              <w:pStyle w:val="ARtabletextright"/>
            </w:pPr>
            <w:r w:rsidRPr="001F2E2D">
              <w:t>84</w:t>
            </w:r>
            <w:r w:rsidR="00CD1C0B" w:rsidRPr="001F2E2D">
              <w:t>.1</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1.2</w:t>
            </w:r>
          </w:p>
        </w:tc>
        <w:tc>
          <w:tcPr>
            <w:tcW w:w="794" w:type="dxa"/>
            <w:tcBorders>
              <w:top w:val="single" w:sz="4" w:space="0" w:color="BFBFBF"/>
            </w:tcBorders>
            <w:shd w:val="clear" w:color="auto" w:fill="auto"/>
            <w:hideMark/>
          </w:tcPr>
          <w:p w:rsidR="0092299C" w:rsidRPr="00D02A2E" w:rsidRDefault="00DD3330"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794" w:type="dxa"/>
            <w:tcBorders>
              <w:top w:val="single" w:sz="4" w:space="0" w:color="BFBFBF"/>
            </w:tcBorders>
            <w:shd w:val="clear" w:color="auto" w:fill="auto"/>
            <w:hideMark/>
          </w:tcPr>
          <w:p w:rsidR="0092299C" w:rsidRPr="00D02A2E" w:rsidRDefault="0092299C" w:rsidP="00C36EAB">
            <w:pPr>
              <w:pStyle w:val="ARtabletextright"/>
              <w:jc w:val="center"/>
              <w:rPr>
                <w:rFonts w:ascii="Wingdings" w:hAnsi="Wingdings"/>
              </w:rPr>
            </w:pPr>
          </w:p>
        </w:tc>
      </w:tr>
      <w:tr w:rsidR="0092299C" w:rsidRPr="00D02A2E" w:rsidTr="00DC4711">
        <w:trPr>
          <w:cantSplit/>
          <w:trHeight w:val="240"/>
        </w:trPr>
        <w:tc>
          <w:tcPr>
            <w:tcW w:w="4763" w:type="dxa"/>
            <w:shd w:val="clear" w:color="auto" w:fill="auto"/>
            <w:hideMark/>
          </w:tcPr>
          <w:p w:rsidR="0092299C" w:rsidRPr="00D02A2E" w:rsidRDefault="0092299C" w:rsidP="0092299C">
            <w:pPr>
              <w:pStyle w:val="ARtabletext"/>
            </w:pPr>
            <w:r w:rsidRPr="00D02A2E">
              <w:t>Emergency Category 1 treated immediately</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tcPr>
          <w:p w:rsidR="0092299C" w:rsidRPr="00D02A2E" w:rsidRDefault="0092299C" w:rsidP="0092299C">
            <w:pPr>
              <w:pStyle w:val="ARtabletextright"/>
            </w:pPr>
            <w:r w:rsidRPr="00D02A2E">
              <w:t>100</w:t>
            </w:r>
          </w:p>
        </w:tc>
        <w:tc>
          <w:tcPr>
            <w:tcW w:w="1021" w:type="dxa"/>
            <w:shd w:val="clear" w:color="auto" w:fill="auto"/>
          </w:tcPr>
          <w:p w:rsidR="0092299C" w:rsidRPr="00D02A2E" w:rsidRDefault="0092299C" w:rsidP="0092299C">
            <w:pPr>
              <w:pStyle w:val="ARtabletextright"/>
            </w:pPr>
            <w:r w:rsidRPr="00D02A2E">
              <w:t>100</w:t>
            </w:r>
          </w:p>
        </w:tc>
        <w:tc>
          <w:tcPr>
            <w:tcW w:w="1021" w:type="dxa"/>
            <w:shd w:val="clear" w:color="auto" w:fill="auto"/>
          </w:tcPr>
          <w:p w:rsidR="0092299C" w:rsidRPr="00D02A2E" w:rsidRDefault="0092299C" w:rsidP="0092299C">
            <w:pPr>
              <w:pStyle w:val="ARtabletextright"/>
            </w:pPr>
            <w:r>
              <w:t>0.0</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Emergency patients treated within time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80</w:t>
            </w:r>
          </w:p>
        </w:tc>
        <w:tc>
          <w:tcPr>
            <w:tcW w:w="1021" w:type="dxa"/>
            <w:tcBorders>
              <w:top w:val="single" w:sz="4" w:space="0" w:color="BFBFBF"/>
            </w:tcBorders>
            <w:shd w:val="clear" w:color="auto" w:fill="auto"/>
          </w:tcPr>
          <w:p w:rsidR="0092299C" w:rsidRPr="00BB0ED8" w:rsidRDefault="00CD1C0B" w:rsidP="0092299C">
            <w:pPr>
              <w:pStyle w:val="ARtabletextright"/>
            </w:pPr>
            <w:r w:rsidRPr="001F2E2D">
              <w:t>73.5</w:t>
            </w:r>
          </w:p>
        </w:tc>
        <w:tc>
          <w:tcPr>
            <w:tcW w:w="1021" w:type="dxa"/>
            <w:tcBorders>
              <w:top w:val="single" w:sz="4" w:space="0" w:color="BFBFBF"/>
            </w:tcBorders>
            <w:shd w:val="clear" w:color="auto" w:fill="auto"/>
          </w:tcPr>
          <w:p w:rsidR="0092299C" w:rsidRPr="00BB0ED8" w:rsidRDefault="00EC4FD8" w:rsidP="0092299C">
            <w:pPr>
              <w:pStyle w:val="ARtabletextright"/>
            </w:pPr>
            <w:r>
              <w:t>–</w:t>
            </w:r>
            <w:r w:rsidR="00293B30" w:rsidRPr="001F2E2D">
              <w:t>8.1</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The </w:t>
            </w:r>
            <w:r>
              <w:t>result is lower than the target due to</w:t>
            </w:r>
            <w:r w:rsidRPr="00D02A2E">
              <w:t xml:space="preserve"> increasing demand in emergency department presenta</w:t>
            </w:r>
            <w:r w:rsidR="00EC4FD8">
              <w:t xml:space="preserve">tions and higher acuity (Cat </w:t>
            </w:r>
            <w:r w:rsidR="00EC4FD8">
              <w:br/>
              <w:t>1–</w:t>
            </w:r>
            <w:r w:rsidRPr="00D02A2E">
              <w:t>3) presentations. Collaborative projects with Better Care Victoria are underway to identify and resolve system</w:t>
            </w:r>
            <w:r>
              <w:t>-</w:t>
            </w:r>
            <w:r w:rsidRPr="00D02A2E">
              <w:t>wide constraints and patient flow issues.</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Emergency patients with a length of stay of less than four hours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75</w:t>
            </w:r>
          </w:p>
        </w:tc>
        <w:tc>
          <w:tcPr>
            <w:tcW w:w="1021" w:type="dxa"/>
            <w:tcBorders>
              <w:top w:val="single" w:sz="4" w:space="0" w:color="BFBFBF"/>
            </w:tcBorders>
            <w:shd w:val="clear" w:color="auto" w:fill="auto"/>
          </w:tcPr>
          <w:p w:rsidR="0092299C" w:rsidRPr="00BB0ED8" w:rsidRDefault="0092299C" w:rsidP="0092299C">
            <w:pPr>
              <w:pStyle w:val="ARtabletextright"/>
            </w:pPr>
            <w:r w:rsidRPr="001F2E2D">
              <w:t>71</w:t>
            </w:r>
            <w:r w:rsidR="006755D1" w:rsidRPr="001F2E2D">
              <w:t>.3</w:t>
            </w:r>
          </w:p>
        </w:tc>
        <w:tc>
          <w:tcPr>
            <w:tcW w:w="1021" w:type="dxa"/>
            <w:tcBorders>
              <w:top w:val="single" w:sz="4" w:space="0" w:color="BFBFBF"/>
            </w:tcBorders>
            <w:shd w:val="clear" w:color="auto" w:fill="auto"/>
          </w:tcPr>
          <w:p w:rsidR="0092299C" w:rsidRPr="001F2E2D" w:rsidRDefault="00EC4FD8" w:rsidP="0092299C">
            <w:pPr>
              <w:pStyle w:val="ARtabletextright"/>
            </w:pPr>
            <w:r>
              <w:t>–</w:t>
            </w:r>
            <w:r w:rsidR="00293B30" w:rsidRPr="001F2E2D">
              <w:t>4.9</w:t>
            </w:r>
          </w:p>
        </w:tc>
        <w:tc>
          <w:tcPr>
            <w:tcW w:w="794" w:type="dxa"/>
            <w:tcBorders>
              <w:top w:val="single" w:sz="4" w:space="0" w:color="BFBFBF"/>
            </w:tcBorders>
            <w:shd w:val="clear" w:color="auto" w:fill="auto"/>
            <w:hideMark/>
          </w:tcPr>
          <w:p w:rsidR="0092299C" w:rsidRPr="001F2E2D" w:rsidRDefault="00293B30"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The </w:t>
            </w:r>
            <w:r>
              <w:t>result is lower than the target due to</w:t>
            </w:r>
            <w:r w:rsidRPr="00D02A2E">
              <w:t xml:space="preserve"> continued higher volume of patients presenting in emergency departments. Continuing strategies around models of care and redesign are being implemented to improve patient flow and efficiency in emergency departments as a whole-of-hospital response.</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Proportion of ambulance patient transfers within 40 minutes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90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86.2</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4.2</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textright"/>
              <w:rPr>
                <w:rFonts w:ascii="Wingdings" w:hAnsi="Wingdings"/>
              </w:rPr>
            </w:pPr>
          </w:p>
        </w:tc>
      </w:tr>
      <w:tr w:rsidR="0092299C" w:rsidRPr="00D02A2E" w:rsidTr="00DC4711">
        <w:trPr>
          <w:cantSplit/>
          <w:trHeight w:val="240"/>
        </w:trPr>
        <w:tc>
          <w:tcPr>
            <w:tcW w:w="4763" w:type="dxa"/>
            <w:tcBorders>
              <w:bottom w:val="single" w:sz="4" w:space="0" w:color="auto"/>
            </w:tcBorders>
            <w:shd w:val="clear" w:color="auto" w:fill="auto"/>
            <w:hideMark/>
          </w:tcPr>
          <w:p w:rsidR="0092299C" w:rsidRPr="00D02A2E" w:rsidRDefault="0092299C" w:rsidP="0092299C">
            <w:pPr>
              <w:pStyle w:val="ARtabletextbold"/>
            </w:pPr>
            <w:r w:rsidRPr="00D02A2E">
              <w:t>Total output cost</w:t>
            </w:r>
          </w:p>
        </w:tc>
        <w:tc>
          <w:tcPr>
            <w:tcW w:w="1021" w:type="dxa"/>
            <w:tcBorders>
              <w:bottom w:val="single" w:sz="4" w:space="0" w:color="auto"/>
            </w:tcBorders>
            <w:shd w:val="clear" w:color="auto" w:fill="auto"/>
            <w:hideMark/>
          </w:tcPr>
          <w:p w:rsidR="0092299C" w:rsidRPr="0052680D" w:rsidRDefault="0092299C" w:rsidP="001F2E2D">
            <w:pPr>
              <w:pStyle w:val="ARtabletextright"/>
              <w:jc w:val="center"/>
              <w:rPr>
                <w:b/>
              </w:rPr>
            </w:pPr>
            <w:r w:rsidRPr="0052680D">
              <w:rPr>
                <w:b/>
              </w:rPr>
              <w:t>$ million</w:t>
            </w:r>
          </w:p>
        </w:tc>
        <w:tc>
          <w:tcPr>
            <w:tcW w:w="1021" w:type="dxa"/>
            <w:tcBorders>
              <w:bottom w:val="single" w:sz="4" w:space="0" w:color="auto"/>
            </w:tcBorders>
            <w:shd w:val="clear" w:color="auto" w:fill="auto"/>
          </w:tcPr>
          <w:p w:rsidR="0092299C" w:rsidRPr="0052680D" w:rsidRDefault="0092299C" w:rsidP="0092299C">
            <w:pPr>
              <w:pStyle w:val="ARtabletextright"/>
              <w:rPr>
                <w:b/>
              </w:rPr>
            </w:pPr>
            <w:r w:rsidRPr="0052680D">
              <w:rPr>
                <w:b/>
              </w:rPr>
              <w:t>598.2</w:t>
            </w:r>
          </w:p>
        </w:tc>
        <w:tc>
          <w:tcPr>
            <w:tcW w:w="1021" w:type="dxa"/>
            <w:tcBorders>
              <w:bottom w:val="single" w:sz="4" w:space="0" w:color="auto"/>
            </w:tcBorders>
            <w:shd w:val="clear" w:color="auto" w:fill="auto"/>
          </w:tcPr>
          <w:p w:rsidR="0092299C" w:rsidRPr="0052680D" w:rsidRDefault="0092299C" w:rsidP="0092299C">
            <w:pPr>
              <w:pStyle w:val="ARtabletextright"/>
              <w:rPr>
                <w:b/>
              </w:rPr>
            </w:pPr>
            <w:r w:rsidRPr="0052680D">
              <w:rPr>
                <w:b/>
              </w:rPr>
              <w:t>606.0</w:t>
            </w:r>
          </w:p>
        </w:tc>
        <w:tc>
          <w:tcPr>
            <w:tcW w:w="1021" w:type="dxa"/>
            <w:tcBorders>
              <w:bottom w:val="single" w:sz="4" w:space="0" w:color="auto"/>
            </w:tcBorders>
            <w:shd w:val="clear" w:color="auto" w:fill="auto"/>
          </w:tcPr>
          <w:p w:rsidR="0092299C" w:rsidRPr="0052680D" w:rsidRDefault="0092299C" w:rsidP="0092299C">
            <w:pPr>
              <w:pStyle w:val="ARtabletextright"/>
              <w:rPr>
                <w:b/>
              </w:rPr>
            </w:pPr>
            <w:r w:rsidRPr="0052680D">
              <w:rPr>
                <w:b/>
              </w:rPr>
              <w:t>1.3</w:t>
            </w:r>
          </w:p>
        </w:tc>
        <w:tc>
          <w:tcPr>
            <w:tcW w:w="794" w:type="dxa"/>
            <w:tcBorders>
              <w:bottom w:val="single" w:sz="4" w:space="0" w:color="auto"/>
            </w:tcBorders>
            <w:shd w:val="clear" w:color="auto" w:fill="auto"/>
            <w:hideMark/>
          </w:tcPr>
          <w:p w:rsidR="0092299C" w:rsidRPr="0052680D" w:rsidRDefault="0092299C" w:rsidP="0092299C">
            <w:pPr>
              <w:pStyle w:val="ARtabletextright"/>
              <w:rPr>
                <w:rFonts w:ascii="Wingdings" w:hAnsi="Wingdings"/>
                <w:b/>
              </w:rPr>
            </w:pPr>
          </w:p>
        </w:tc>
      </w:tr>
      <w:tr w:rsidR="0092299C" w:rsidRPr="00D02A2E" w:rsidTr="00DC4711">
        <w:trPr>
          <w:cantSplit/>
          <w:trHeight w:val="240"/>
        </w:trPr>
        <w:tc>
          <w:tcPr>
            <w:tcW w:w="4763"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xml:space="preserve">Acute Training and Development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spacing w:before="80" w:after="60"/>
              <w:rPr>
                <w:rFonts w:eastAsia="Times" w:cs="Arial"/>
                <w:b/>
                <w:color w:val="004C97"/>
                <w:sz w:val="18"/>
                <w:szCs w:val="18"/>
                <w:lang w:eastAsia="en-AU"/>
              </w:rPr>
            </w:pPr>
          </w:p>
        </w:tc>
        <w:tc>
          <w:tcPr>
            <w:tcW w:w="1021" w:type="dxa"/>
            <w:tcBorders>
              <w:top w:val="single" w:sz="4" w:space="0" w:color="auto"/>
              <w:bottom w:val="single" w:sz="4" w:space="0" w:color="auto"/>
            </w:tcBorders>
            <w:shd w:val="clear" w:color="auto" w:fill="auto"/>
            <w:hideMark/>
          </w:tcPr>
          <w:p w:rsidR="0092299C" w:rsidRPr="00D02A2E" w:rsidRDefault="0092299C" w:rsidP="0092299C">
            <w:pPr>
              <w:spacing w:before="80" w:after="60"/>
              <w:rPr>
                <w:rFonts w:eastAsia="Times" w:cs="Arial"/>
                <w:b/>
                <w:color w:val="004C97"/>
                <w:sz w:val="18"/>
                <w:szCs w:val="18"/>
                <w:lang w:eastAsia="en-AU"/>
              </w:rPr>
            </w:pPr>
            <w:r w:rsidRPr="00D02A2E">
              <w:rPr>
                <w:rFonts w:eastAsia="Times" w:cs="Arial"/>
                <w:b/>
                <w:color w:val="004C97"/>
                <w:sz w:val="18"/>
                <w:szCs w:val="18"/>
                <w:lang w:eastAsia="en-AU"/>
              </w:rPr>
              <w:t>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spacing w:before="80" w:after="60"/>
              <w:rPr>
                <w:rFonts w:eastAsia="Times" w:cs="Arial"/>
                <w:b/>
                <w:color w:val="004C97"/>
                <w:sz w:val="18"/>
                <w:szCs w:val="18"/>
                <w:lang w:eastAsia="en-AU"/>
              </w:rPr>
            </w:pPr>
            <w:r w:rsidRPr="00D02A2E">
              <w:rPr>
                <w:rFonts w:eastAsia="Times" w:cs="Arial"/>
                <w:b/>
                <w:color w:val="004C97"/>
                <w:sz w:val="18"/>
                <w:szCs w:val="18"/>
                <w:lang w:eastAsia="en-AU"/>
              </w:rPr>
              <w:t>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spacing w:before="80" w:after="60"/>
              <w:rPr>
                <w:rFonts w:eastAsia="Times" w:cs="Arial"/>
                <w:b/>
                <w:color w:val="004C97"/>
                <w:sz w:val="18"/>
                <w:szCs w:val="18"/>
                <w:lang w:eastAsia="en-AU"/>
              </w:rPr>
            </w:pPr>
            <w:r w:rsidRPr="00D02A2E">
              <w:rPr>
                <w:rFonts w:eastAsia="Times" w:cs="Arial"/>
                <w:b/>
                <w:color w:val="004C97"/>
                <w:sz w:val="18"/>
                <w:szCs w:val="18"/>
                <w:lang w:eastAsia="en-AU"/>
              </w:rPr>
              <w:t> </w:t>
            </w:r>
          </w:p>
        </w:tc>
        <w:tc>
          <w:tcPr>
            <w:tcW w:w="794" w:type="dxa"/>
            <w:tcBorders>
              <w:top w:val="single" w:sz="4" w:space="0" w:color="auto"/>
              <w:bottom w:val="single" w:sz="4" w:space="0" w:color="auto"/>
            </w:tcBorders>
            <w:shd w:val="clear" w:color="auto" w:fill="auto"/>
            <w:hideMark/>
          </w:tcPr>
          <w:p w:rsidR="0092299C" w:rsidRPr="00D02A2E" w:rsidRDefault="0092299C" w:rsidP="0092299C">
            <w:pPr>
              <w:spacing w:before="80" w:after="60"/>
              <w:rPr>
                <w:rFonts w:ascii="Wingdings" w:eastAsia="Times" w:hAnsi="Wingdings" w:cs="Arial"/>
                <w:b/>
                <w:color w:val="004C97"/>
                <w:sz w:val="18"/>
                <w:szCs w:val="18"/>
                <w:lang w:eastAsia="en-AU"/>
              </w:rPr>
            </w:pPr>
          </w:p>
        </w:tc>
      </w:tr>
      <w:tr w:rsidR="0092299C" w:rsidRPr="00D02A2E" w:rsidTr="00DC4711">
        <w:trPr>
          <w:cantSplit/>
          <w:trHeight w:val="240"/>
        </w:trPr>
        <w:tc>
          <w:tcPr>
            <w:tcW w:w="4763" w:type="dxa"/>
            <w:tcBorders>
              <w:top w:val="single" w:sz="4" w:space="0" w:color="auto"/>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auto"/>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auto"/>
            </w:tcBorders>
            <w:shd w:val="clear" w:color="auto" w:fill="auto"/>
            <w:hideMark/>
          </w:tcPr>
          <w:p w:rsidR="0092299C" w:rsidRPr="00D02A2E" w:rsidRDefault="0092299C" w:rsidP="0092299C">
            <w:pPr>
              <w:spacing w:before="80" w:after="60"/>
              <w:rPr>
                <w:rFonts w:ascii="Wingdings" w:eastAsia="Times" w:hAnsi="Wingdings" w:cs="Arial"/>
                <w:b/>
                <w:i/>
                <w:color w:val="004C97"/>
                <w:sz w:val="18"/>
                <w:szCs w:val="18"/>
                <w:lang w:eastAsia="en-AU"/>
              </w:rPr>
            </w:pPr>
          </w:p>
        </w:tc>
      </w:tr>
      <w:tr w:rsidR="0092299C" w:rsidRPr="00D02A2E" w:rsidTr="00DC4711">
        <w:trPr>
          <w:cantSplit/>
          <w:trHeight w:val="240"/>
        </w:trPr>
        <w:tc>
          <w:tcPr>
            <w:tcW w:w="4763" w:type="dxa"/>
            <w:shd w:val="clear" w:color="auto" w:fill="auto"/>
            <w:hideMark/>
          </w:tcPr>
          <w:p w:rsidR="0092299C" w:rsidRPr="00D02A2E" w:rsidRDefault="0092299C" w:rsidP="0092299C">
            <w:pPr>
              <w:pStyle w:val="ARtabletext"/>
            </w:pPr>
            <w:r w:rsidRPr="00D02A2E">
              <w:t>Clinical placement student days for medicine, nursing and allied health</w:t>
            </w:r>
          </w:p>
        </w:tc>
        <w:tc>
          <w:tcPr>
            <w:tcW w:w="1021" w:type="dxa"/>
            <w:shd w:val="clear" w:color="auto" w:fill="auto"/>
            <w:hideMark/>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92299C">
            <w:pPr>
              <w:pStyle w:val="ARtabletextright"/>
            </w:pPr>
            <w:r w:rsidRPr="00D02A2E">
              <w:t>993,960</w:t>
            </w:r>
          </w:p>
        </w:tc>
        <w:tc>
          <w:tcPr>
            <w:tcW w:w="1021" w:type="dxa"/>
            <w:shd w:val="clear" w:color="auto" w:fill="auto"/>
          </w:tcPr>
          <w:p w:rsidR="0092299C" w:rsidRPr="00D02A2E" w:rsidRDefault="0092299C" w:rsidP="0092299C">
            <w:pPr>
              <w:pStyle w:val="ARtabletextright"/>
            </w:pPr>
            <w:r w:rsidRPr="00D02A2E">
              <w:t>1,023,779</w:t>
            </w:r>
          </w:p>
        </w:tc>
        <w:tc>
          <w:tcPr>
            <w:tcW w:w="1021" w:type="dxa"/>
            <w:shd w:val="clear" w:color="auto" w:fill="auto"/>
          </w:tcPr>
          <w:p w:rsidR="0092299C" w:rsidRPr="00D02A2E" w:rsidRDefault="0092299C" w:rsidP="0092299C">
            <w:pPr>
              <w:pStyle w:val="ARtabletextright"/>
            </w:pPr>
            <w:r>
              <w:t>3.0</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shd w:val="clear" w:color="auto" w:fill="auto"/>
          </w:tcPr>
          <w:p w:rsidR="0092299C" w:rsidRPr="00D02A2E" w:rsidRDefault="0092299C" w:rsidP="0092299C">
            <w:pPr>
              <w:pStyle w:val="ARtablenoteindent"/>
              <w:rPr>
                <w:lang w:val="en-US"/>
              </w:rPr>
            </w:pPr>
            <w:r>
              <w:t xml:space="preserve">This is a positive result. </w:t>
            </w:r>
            <w:r w:rsidRPr="00D02A2E">
              <w:rPr>
                <w:lang w:val="en-US"/>
              </w:rPr>
              <w:t>This measure is proposed to be discontinued in 20</w:t>
            </w:r>
            <w:r>
              <w:rPr>
                <w:lang w:val="en-US"/>
              </w:rPr>
              <w:t>17–18</w:t>
            </w:r>
            <w:r w:rsidRPr="00D02A2E">
              <w:rPr>
                <w:lang w:val="en-U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Number of filled rural generalist GP procedural positions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11</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15</w:t>
            </w:r>
          </w:p>
        </w:tc>
        <w:tc>
          <w:tcPr>
            <w:tcW w:w="1021" w:type="dxa"/>
            <w:tcBorders>
              <w:top w:val="single" w:sz="4" w:space="0" w:color="BFBFBF"/>
            </w:tcBorders>
            <w:shd w:val="clear" w:color="auto" w:fill="auto"/>
          </w:tcPr>
          <w:p w:rsidR="0092299C" w:rsidRPr="00D02A2E" w:rsidRDefault="0092299C" w:rsidP="0092299C">
            <w:pPr>
              <w:pStyle w:val="ARtabletextright"/>
            </w:pPr>
            <w:r>
              <w:t>36.4</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794" w:type="dxa"/>
            <w:gridSpan w:val="6"/>
            <w:tcBorders>
              <w:bottom w:val="single" w:sz="4" w:space="0" w:color="BFBFBF"/>
            </w:tcBorders>
            <w:shd w:val="clear" w:color="auto" w:fill="auto"/>
            <w:noWrap/>
            <w:hideMark/>
          </w:tcPr>
          <w:p w:rsidR="0092299C" w:rsidRPr="00D02A2E" w:rsidRDefault="0092299C" w:rsidP="001A7736">
            <w:pPr>
              <w:pStyle w:val="ARtablenoteindent"/>
            </w:pPr>
            <w:r>
              <w:t>T</w:t>
            </w:r>
            <w:r w:rsidR="001A7736">
              <w:t>his is a positive result.</w:t>
            </w:r>
          </w:p>
        </w:tc>
      </w:tr>
      <w:tr w:rsidR="0092299C" w:rsidRPr="00D02A2E" w:rsidTr="00DC4711">
        <w:trPr>
          <w:cantSplit/>
          <w:trHeight w:val="48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Percentage of public health services utilising the Best Practice Clinical Learning Environment (BPCLE) tool</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319"/>
        </w:trPr>
        <w:tc>
          <w:tcPr>
            <w:tcW w:w="794" w:type="dxa"/>
            <w:gridSpan w:val="6"/>
            <w:shd w:val="clear" w:color="auto" w:fill="auto"/>
          </w:tcPr>
          <w:p w:rsidR="0092299C" w:rsidRPr="00D02A2E" w:rsidRDefault="0092299C" w:rsidP="0092299C">
            <w:pPr>
              <w:pStyle w:val="ARtablenoteindent"/>
              <w:rPr>
                <w:rFonts w:ascii="Wingdings" w:hAnsi="Wingdings"/>
                <w:sz w:val="18"/>
              </w:rPr>
            </w:pPr>
            <w:r w:rsidRPr="00D02A2E">
              <w:rPr>
                <w:lang w:val="en-US"/>
              </w:rPr>
              <w:t>This measure is proposed to be discontinued in 20</w:t>
            </w:r>
            <w:r>
              <w:rPr>
                <w:lang w:val="en-US"/>
              </w:rPr>
              <w:t>17–18</w:t>
            </w:r>
            <w:r w:rsidRPr="00D02A2E">
              <w:rPr>
                <w:lang w:val="en-US"/>
              </w:rPr>
              <w:t>.</w:t>
            </w:r>
          </w:p>
        </w:tc>
      </w:tr>
      <w:tr w:rsidR="0092299C" w:rsidRPr="00D02A2E" w:rsidTr="00DC4711">
        <w:trPr>
          <w:cantSplit/>
          <w:trHeight w:val="240"/>
        </w:trPr>
        <w:tc>
          <w:tcPr>
            <w:tcW w:w="4763"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Postgraduate nursing places at diploma and certificate level</w:t>
            </w:r>
          </w:p>
        </w:tc>
        <w:tc>
          <w:tcPr>
            <w:tcW w:w="1021" w:type="dxa"/>
            <w:tcBorders>
              <w:top w:val="single" w:sz="4" w:space="0" w:color="BFBFBF"/>
              <w:bottom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bottom w:val="single" w:sz="4" w:space="0" w:color="BFBFBF"/>
            </w:tcBorders>
            <w:shd w:val="clear" w:color="auto" w:fill="auto"/>
            <w:hideMark/>
          </w:tcPr>
          <w:p w:rsidR="0092299C" w:rsidRPr="00D02A2E" w:rsidRDefault="0092299C" w:rsidP="0092299C">
            <w:pPr>
              <w:pStyle w:val="ARtabletextright"/>
            </w:pPr>
            <w:r w:rsidRPr="00D02A2E">
              <w:t>832</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832</w:t>
            </w:r>
          </w:p>
        </w:tc>
        <w:tc>
          <w:tcPr>
            <w:tcW w:w="1021" w:type="dxa"/>
            <w:tcBorders>
              <w:top w:val="single" w:sz="4" w:space="0" w:color="BFBFBF"/>
              <w:bottom w:val="single" w:sz="4" w:space="0" w:color="BFBFBF"/>
            </w:tcBorders>
            <w:shd w:val="clear" w:color="auto" w:fill="auto"/>
          </w:tcPr>
          <w:p w:rsidR="0092299C" w:rsidRPr="00D02A2E" w:rsidRDefault="007B4262" w:rsidP="0092299C">
            <w:pPr>
              <w:pStyle w:val="ARtabletextright"/>
            </w:pPr>
            <w:r>
              <w:t>0.0</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Total FTE (early graduate) allied health positions in public system</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700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670</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rsidRPr="00D02A2E">
              <w:t>4.3</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tcPr>
          <w:p w:rsidR="0092299C" w:rsidRPr="00D02A2E" w:rsidRDefault="0092299C" w:rsidP="0092299C">
            <w:pPr>
              <w:pStyle w:val="ARtabletext"/>
            </w:pPr>
            <w:r w:rsidRPr="00D02A2E">
              <w:t>Total FTE (early graduate) medical positions in public system</w:t>
            </w:r>
          </w:p>
        </w:tc>
        <w:tc>
          <w:tcPr>
            <w:tcW w:w="1021" w:type="dxa"/>
            <w:tcBorders>
              <w:top w:val="single" w:sz="4" w:space="0" w:color="BFBFBF"/>
            </w:tcBorders>
            <w:shd w:val="clear" w:color="auto" w:fill="auto"/>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1,455</w:t>
            </w:r>
          </w:p>
        </w:tc>
        <w:tc>
          <w:tcPr>
            <w:tcW w:w="1021" w:type="dxa"/>
            <w:tcBorders>
              <w:top w:val="single" w:sz="4" w:space="0" w:color="BFBFBF"/>
            </w:tcBorders>
            <w:shd w:val="clear" w:color="auto" w:fill="auto"/>
          </w:tcPr>
          <w:p w:rsidR="0092299C" w:rsidRPr="00D02A2E" w:rsidRDefault="003C1422" w:rsidP="0092299C">
            <w:pPr>
              <w:pStyle w:val="ARtabletextright"/>
            </w:pPr>
            <w:r>
              <w:t>1,</w:t>
            </w:r>
            <w:r w:rsidR="0092299C" w:rsidRPr="00D02A2E">
              <w:t>591</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9.3</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text"/>
            </w:pPr>
            <w:r w:rsidRPr="00D02A2E">
              <w:t>Total FTE (early graduate) nursing positions in public system</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1,525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1,525</w:t>
            </w:r>
          </w:p>
        </w:tc>
        <w:tc>
          <w:tcPr>
            <w:tcW w:w="1021" w:type="dxa"/>
            <w:tcBorders>
              <w:top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DC4711">
        <w:trPr>
          <w:cantSplit/>
          <w:trHeight w:val="240"/>
        </w:trPr>
        <w:tc>
          <w:tcPr>
            <w:tcW w:w="4763" w:type="dxa"/>
            <w:tcBorders>
              <w:top w:val="single" w:sz="4" w:space="0" w:color="BFBFBF"/>
            </w:tcBorders>
            <w:shd w:val="clear" w:color="auto" w:fill="auto"/>
            <w:hideMark/>
          </w:tcPr>
          <w:p w:rsidR="0092299C" w:rsidRPr="00D02A2E" w:rsidRDefault="0092299C" w:rsidP="0092299C">
            <w:pPr>
              <w:pStyle w:val="ARtablebluebold"/>
              <w:keepNext/>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keepNext/>
            </w:pPr>
          </w:p>
        </w:tc>
        <w:tc>
          <w:tcPr>
            <w:tcW w:w="1021" w:type="dxa"/>
            <w:tcBorders>
              <w:top w:val="single" w:sz="4" w:space="0" w:color="BFBFBF"/>
            </w:tcBorders>
            <w:shd w:val="clear" w:color="auto" w:fill="auto"/>
            <w:hideMark/>
          </w:tcPr>
          <w:p w:rsidR="0092299C" w:rsidRPr="00D02A2E" w:rsidRDefault="0092299C" w:rsidP="0092299C">
            <w:pPr>
              <w:pStyle w:val="ARtablebluebold"/>
              <w:keepNex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keepNex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keepNext/>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keepNext/>
              <w:rPr>
                <w:rFonts w:ascii="Wingdings" w:hAnsi="Wingdings"/>
              </w:rPr>
            </w:pPr>
          </w:p>
        </w:tc>
      </w:tr>
      <w:tr w:rsidR="0092299C" w:rsidRPr="00D02A2E" w:rsidTr="00DC4711">
        <w:trPr>
          <w:cantSplit/>
          <w:trHeight w:val="240"/>
        </w:trPr>
        <w:tc>
          <w:tcPr>
            <w:tcW w:w="4763" w:type="dxa"/>
            <w:tcBorders>
              <w:bottom w:val="single" w:sz="4" w:space="0" w:color="A6A6A6" w:themeColor="background1" w:themeShade="A6"/>
            </w:tcBorders>
            <w:shd w:val="clear" w:color="auto" w:fill="auto"/>
            <w:hideMark/>
          </w:tcPr>
          <w:p w:rsidR="0092299C" w:rsidRPr="00D02A2E" w:rsidRDefault="0092299C" w:rsidP="0092299C">
            <w:pPr>
              <w:pStyle w:val="ARtabletextbold"/>
              <w:keepNext/>
            </w:pPr>
            <w:r w:rsidRPr="00D02A2E">
              <w:t>Total output cost</w:t>
            </w:r>
          </w:p>
        </w:tc>
        <w:tc>
          <w:tcPr>
            <w:tcW w:w="1021" w:type="dxa"/>
            <w:tcBorders>
              <w:bottom w:val="single" w:sz="4" w:space="0" w:color="A6A6A6" w:themeColor="background1" w:themeShade="A6"/>
            </w:tcBorders>
            <w:shd w:val="clear" w:color="auto" w:fill="auto"/>
            <w:hideMark/>
          </w:tcPr>
          <w:p w:rsidR="0092299C" w:rsidRPr="00D02A2E" w:rsidRDefault="0092299C" w:rsidP="001F2E2D">
            <w:pPr>
              <w:pStyle w:val="ARtabletextbold"/>
              <w:keepNext/>
              <w:jc w:val="center"/>
            </w:pPr>
            <w:r w:rsidRPr="00D02A2E">
              <w:t>$ million</w:t>
            </w:r>
          </w:p>
        </w:tc>
        <w:tc>
          <w:tcPr>
            <w:tcW w:w="1021" w:type="dxa"/>
            <w:tcBorders>
              <w:bottom w:val="single" w:sz="4" w:space="0" w:color="A6A6A6" w:themeColor="background1" w:themeShade="A6"/>
            </w:tcBorders>
            <w:shd w:val="clear" w:color="auto" w:fill="auto"/>
          </w:tcPr>
          <w:p w:rsidR="0092299C" w:rsidRPr="0052680D" w:rsidRDefault="0092299C" w:rsidP="0092299C">
            <w:pPr>
              <w:pStyle w:val="ARtabletextright"/>
              <w:rPr>
                <w:b/>
              </w:rPr>
            </w:pPr>
            <w:r w:rsidRPr="0052680D">
              <w:rPr>
                <w:b/>
              </w:rPr>
              <w:t>263.4</w:t>
            </w:r>
          </w:p>
        </w:tc>
        <w:tc>
          <w:tcPr>
            <w:tcW w:w="1021" w:type="dxa"/>
            <w:tcBorders>
              <w:bottom w:val="single" w:sz="4" w:space="0" w:color="A6A6A6" w:themeColor="background1" w:themeShade="A6"/>
            </w:tcBorders>
            <w:shd w:val="clear" w:color="auto" w:fill="auto"/>
          </w:tcPr>
          <w:p w:rsidR="0092299C" w:rsidRPr="0052680D" w:rsidRDefault="0092299C" w:rsidP="0092299C">
            <w:pPr>
              <w:pStyle w:val="ARtabletextright"/>
              <w:rPr>
                <w:b/>
              </w:rPr>
            </w:pPr>
            <w:r w:rsidRPr="0052680D">
              <w:rPr>
                <w:b/>
              </w:rPr>
              <w:t>269.7</w:t>
            </w:r>
          </w:p>
        </w:tc>
        <w:tc>
          <w:tcPr>
            <w:tcW w:w="1021" w:type="dxa"/>
            <w:tcBorders>
              <w:bottom w:val="single" w:sz="4" w:space="0" w:color="A6A6A6" w:themeColor="background1" w:themeShade="A6"/>
            </w:tcBorders>
            <w:shd w:val="clear" w:color="auto" w:fill="auto"/>
          </w:tcPr>
          <w:p w:rsidR="0092299C" w:rsidRPr="0052680D" w:rsidRDefault="007B4262" w:rsidP="0092299C">
            <w:pPr>
              <w:pStyle w:val="ARtabletextright"/>
              <w:rPr>
                <w:b/>
              </w:rPr>
            </w:pPr>
            <w:r>
              <w:rPr>
                <w:b/>
              </w:rPr>
              <w:t>2.4</w:t>
            </w:r>
          </w:p>
        </w:tc>
        <w:tc>
          <w:tcPr>
            <w:tcW w:w="794" w:type="dxa"/>
            <w:tcBorders>
              <w:bottom w:val="single" w:sz="4" w:space="0" w:color="A6A6A6" w:themeColor="background1" w:themeShade="A6"/>
            </w:tcBorders>
            <w:shd w:val="clear" w:color="auto" w:fill="auto"/>
            <w:hideMark/>
          </w:tcPr>
          <w:p w:rsidR="0092299C" w:rsidRPr="0052680D" w:rsidRDefault="0092299C" w:rsidP="0092299C">
            <w:pPr>
              <w:pStyle w:val="ARtabletextright"/>
              <w:rPr>
                <w:rFonts w:ascii="Wingdings" w:hAnsi="Wingdings"/>
                <w:b/>
              </w:rPr>
            </w:pPr>
          </w:p>
        </w:tc>
      </w:tr>
    </w:tbl>
    <w:p w:rsidR="0092299C" w:rsidRPr="00D02A2E" w:rsidRDefault="0092299C" w:rsidP="0092299C">
      <w:pPr>
        <w:pStyle w:val="Heading2"/>
      </w:pPr>
      <w:r w:rsidRPr="00FE55A1">
        <w:lastRenderedPageBreak/>
        <w:t>Ambulance</w:t>
      </w:r>
      <w:r w:rsidRPr="00D02A2E">
        <w:t xml:space="preserve">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92299C">
        <w:trPr>
          <w:cantSplit/>
          <w:trHeight w:val="240"/>
          <w:tblHeader/>
        </w:trPr>
        <w:tc>
          <w:tcPr>
            <w:tcW w:w="4761" w:type="dxa"/>
            <w:tcBorders>
              <w:top w:val="nil"/>
              <w:left w:val="nil"/>
              <w:right w:val="nil"/>
            </w:tcBorders>
            <w:shd w:val="clear" w:color="auto" w:fill="auto"/>
            <w:noWrap/>
            <w:vAlign w:val="bottom"/>
            <w:hideMark/>
          </w:tcPr>
          <w:p w:rsidR="0092299C" w:rsidRPr="00D02A2E" w:rsidRDefault="0092299C" w:rsidP="0092299C">
            <w:pPr>
              <w:pStyle w:val="ARtablecolhead"/>
            </w:pPr>
            <w:r w:rsidRPr="00D02A2E">
              <w:t>Performance measures</w:t>
            </w:r>
          </w:p>
        </w:tc>
        <w:tc>
          <w:tcPr>
            <w:tcW w:w="1021" w:type="dxa"/>
            <w:tcBorders>
              <w:top w:val="nil"/>
              <w:left w:val="nil"/>
              <w:right w:val="nil"/>
            </w:tcBorders>
            <w:shd w:val="clear" w:color="auto" w:fill="auto"/>
            <w:noWrap/>
            <w:vAlign w:val="bottom"/>
            <w:hideMark/>
          </w:tcPr>
          <w:p w:rsidR="0092299C" w:rsidRPr="00D02A2E" w:rsidRDefault="0092299C" w:rsidP="001F2E2D">
            <w:pPr>
              <w:pStyle w:val="ARtablecolheadright"/>
              <w:jc w:val="center"/>
            </w:pPr>
            <w:r w:rsidRPr="00D02A2E">
              <w:t>Unit of measure</w:t>
            </w:r>
          </w:p>
        </w:tc>
        <w:tc>
          <w:tcPr>
            <w:tcW w:w="1021" w:type="dxa"/>
            <w:tcBorders>
              <w:top w:val="nil"/>
              <w:left w:val="nil"/>
              <w:right w:val="nil"/>
            </w:tcBorders>
            <w:shd w:val="clear" w:color="auto" w:fill="auto"/>
            <w:noWrap/>
            <w:vAlign w:val="bottom"/>
            <w:hideMark/>
          </w:tcPr>
          <w:p w:rsidR="0092299C" w:rsidRPr="00D02A2E" w:rsidRDefault="0092299C" w:rsidP="0092299C">
            <w:pPr>
              <w:pStyle w:val="ARtablecolheadright"/>
            </w:pPr>
            <w:r w:rsidRPr="00D02A2E">
              <w:t>20</w:t>
            </w:r>
            <w:r>
              <w:t>16–17</w:t>
            </w:r>
            <w:r w:rsidRPr="00D02A2E">
              <w:t xml:space="preserve"> target</w:t>
            </w:r>
          </w:p>
        </w:tc>
        <w:tc>
          <w:tcPr>
            <w:tcW w:w="1021" w:type="dxa"/>
            <w:tcBorders>
              <w:top w:val="nil"/>
              <w:left w:val="nil"/>
              <w:right w:val="nil"/>
            </w:tcBorders>
            <w:shd w:val="clear" w:color="auto" w:fill="auto"/>
            <w:noWrap/>
            <w:vAlign w:val="bottom"/>
            <w:hideMark/>
          </w:tcPr>
          <w:p w:rsidR="0092299C" w:rsidRPr="00D02A2E" w:rsidRDefault="0092299C" w:rsidP="0092299C">
            <w:pPr>
              <w:pStyle w:val="ARtablecolheadright"/>
            </w:pPr>
            <w:r w:rsidRPr="00D02A2E">
              <w:t>20</w:t>
            </w:r>
            <w:r>
              <w:t>16–17</w:t>
            </w:r>
            <w:r w:rsidRPr="00D02A2E">
              <w:t xml:space="preserve"> actual</w:t>
            </w:r>
          </w:p>
        </w:tc>
        <w:tc>
          <w:tcPr>
            <w:tcW w:w="1021" w:type="dxa"/>
            <w:tcBorders>
              <w:top w:val="nil"/>
              <w:left w:val="nil"/>
              <w:right w:val="nil"/>
            </w:tcBorders>
            <w:shd w:val="clear" w:color="auto" w:fill="auto"/>
            <w:noWrap/>
            <w:vAlign w:val="bottom"/>
            <w:hideMark/>
          </w:tcPr>
          <w:p w:rsidR="0092299C" w:rsidRPr="00D02A2E" w:rsidRDefault="0092299C" w:rsidP="0092299C">
            <w:pPr>
              <w:pStyle w:val="ARtablecolheadright"/>
            </w:pPr>
            <w:r w:rsidRPr="00D02A2E">
              <w:t>Variation (%)</w:t>
            </w:r>
          </w:p>
        </w:tc>
        <w:tc>
          <w:tcPr>
            <w:tcW w:w="794" w:type="dxa"/>
            <w:tcBorders>
              <w:top w:val="nil"/>
              <w:left w:val="nil"/>
              <w:right w:val="nil"/>
            </w:tcBorders>
            <w:shd w:val="clear" w:color="auto" w:fill="auto"/>
            <w:noWrap/>
            <w:vAlign w:val="bottom"/>
            <w:hideMark/>
          </w:tcPr>
          <w:p w:rsidR="0092299C" w:rsidRPr="00D02A2E" w:rsidRDefault="0092299C" w:rsidP="00096BE7">
            <w:pPr>
              <w:pStyle w:val="ARtablecolheadright"/>
            </w:pPr>
            <w:r w:rsidRPr="00D02A2E">
              <w:t>Result</w:t>
            </w:r>
          </w:p>
        </w:tc>
      </w:tr>
      <w:tr w:rsidR="0092299C" w:rsidRPr="00D02A2E" w:rsidTr="0092299C">
        <w:trPr>
          <w:cantSplit/>
          <w:trHeight w:val="240"/>
        </w:trPr>
        <w:tc>
          <w:tcPr>
            <w:tcW w:w="4761" w:type="dxa"/>
            <w:tcBorders>
              <w:left w:val="nil"/>
              <w:bottom w:val="single" w:sz="4" w:space="0" w:color="auto"/>
              <w:right w:val="nil"/>
            </w:tcBorders>
            <w:shd w:val="clear" w:color="auto" w:fill="auto"/>
            <w:hideMark/>
          </w:tcPr>
          <w:p w:rsidR="0092299C" w:rsidRPr="00D02A2E" w:rsidRDefault="0092299C" w:rsidP="0092299C">
            <w:pPr>
              <w:pStyle w:val="ARtablebluebold"/>
            </w:pPr>
            <w:r w:rsidRPr="00D02A2E">
              <w:t xml:space="preserve">Ambulance Emergency Services </w:t>
            </w:r>
          </w:p>
        </w:tc>
        <w:tc>
          <w:tcPr>
            <w:tcW w:w="1021" w:type="dxa"/>
            <w:tcBorders>
              <w:left w:val="nil"/>
              <w:bottom w:val="single" w:sz="4" w:space="0" w:color="auto"/>
              <w:right w:val="nil"/>
            </w:tcBorders>
            <w:shd w:val="clear" w:color="auto" w:fill="auto"/>
            <w:hideMark/>
          </w:tcPr>
          <w:p w:rsidR="0092299C" w:rsidRPr="00D02A2E" w:rsidRDefault="0092299C" w:rsidP="0092299C">
            <w:pPr>
              <w:pStyle w:val="ARtablebluebold"/>
            </w:pPr>
          </w:p>
        </w:tc>
        <w:tc>
          <w:tcPr>
            <w:tcW w:w="1021" w:type="dxa"/>
            <w:tcBorders>
              <w:left w:val="nil"/>
              <w:bottom w:val="single" w:sz="4" w:space="0" w:color="auto"/>
              <w:right w:val="nil"/>
            </w:tcBorders>
            <w:shd w:val="clear" w:color="auto" w:fill="auto"/>
            <w:hideMark/>
          </w:tcPr>
          <w:p w:rsidR="0092299C" w:rsidRPr="00D02A2E" w:rsidRDefault="0092299C" w:rsidP="0092299C">
            <w:pPr>
              <w:pStyle w:val="ARtablebluebold"/>
            </w:pPr>
            <w:r w:rsidRPr="00D02A2E">
              <w:t> </w:t>
            </w:r>
          </w:p>
        </w:tc>
        <w:tc>
          <w:tcPr>
            <w:tcW w:w="1021" w:type="dxa"/>
            <w:tcBorders>
              <w:left w:val="nil"/>
              <w:bottom w:val="single" w:sz="4" w:space="0" w:color="auto"/>
              <w:right w:val="nil"/>
            </w:tcBorders>
            <w:shd w:val="clear" w:color="auto" w:fill="auto"/>
            <w:hideMark/>
          </w:tcPr>
          <w:p w:rsidR="0092299C" w:rsidRPr="00D02A2E" w:rsidRDefault="0092299C" w:rsidP="0092299C">
            <w:pPr>
              <w:pStyle w:val="ARtablebluebold"/>
            </w:pPr>
            <w:r w:rsidRPr="00D02A2E">
              <w:t> </w:t>
            </w:r>
          </w:p>
        </w:tc>
        <w:tc>
          <w:tcPr>
            <w:tcW w:w="1021" w:type="dxa"/>
            <w:tcBorders>
              <w:left w:val="nil"/>
              <w:bottom w:val="single" w:sz="4" w:space="0" w:color="auto"/>
              <w:right w:val="nil"/>
            </w:tcBorders>
            <w:shd w:val="clear" w:color="auto" w:fill="auto"/>
            <w:hideMark/>
          </w:tcPr>
          <w:p w:rsidR="0092299C" w:rsidRPr="00D02A2E" w:rsidRDefault="0092299C" w:rsidP="0092299C">
            <w:pPr>
              <w:pStyle w:val="ARtablebluebold"/>
            </w:pPr>
            <w:r w:rsidRPr="00D02A2E">
              <w:t> </w:t>
            </w:r>
          </w:p>
        </w:tc>
        <w:tc>
          <w:tcPr>
            <w:tcW w:w="794" w:type="dxa"/>
            <w:tcBorders>
              <w:left w:val="nil"/>
              <w:bottom w:val="single" w:sz="4" w:space="0" w:color="auto"/>
              <w:right w:val="nil"/>
            </w:tcBorders>
            <w:shd w:val="clear" w:color="auto" w:fill="auto"/>
          </w:tcPr>
          <w:p w:rsidR="0092299C" w:rsidRPr="00D02A2E" w:rsidRDefault="0092299C" w:rsidP="0092299C">
            <w:pPr>
              <w:pStyle w:val="ARtablebluebold"/>
            </w:pPr>
          </w:p>
        </w:tc>
      </w:tr>
      <w:tr w:rsidR="0092299C" w:rsidRPr="00D02A2E" w:rsidTr="0092299C">
        <w:trPr>
          <w:cantSplit/>
          <w:trHeight w:val="240"/>
        </w:trPr>
        <w:tc>
          <w:tcPr>
            <w:tcW w:w="4761" w:type="dxa"/>
            <w:tcBorders>
              <w:top w:val="single" w:sz="4" w:space="0" w:color="auto"/>
              <w:left w:val="nil"/>
              <w:bottom w:val="nil"/>
              <w:right w:val="nil"/>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auto"/>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auto"/>
              <w:left w:val="nil"/>
              <w:bottom w:val="nil"/>
              <w:right w:val="nil"/>
            </w:tcBorders>
            <w:shd w:val="clear" w:color="auto" w:fill="auto"/>
          </w:tcPr>
          <w:p w:rsidR="0092299C" w:rsidRPr="00D02A2E" w:rsidRDefault="0092299C" w:rsidP="0092299C">
            <w:pPr>
              <w:pStyle w:val="ARtablebluebold"/>
            </w:pPr>
          </w:p>
        </w:tc>
      </w:tr>
      <w:tr w:rsidR="0092299C" w:rsidRPr="00D02A2E" w:rsidTr="0092299C">
        <w:trPr>
          <w:cantSplit/>
          <w:trHeight w:val="240"/>
        </w:trPr>
        <w:tc>
          <w:tcPr>
            <w:tcW w:w="4761" w:type="dxa"/>
            <w:tcBorders>
              <w:top w:val="nil"/>
              <w:left w:val="nil"/>
              <w:bottom w:val="nil"/>
              <w:right w:val="nil"/>
            </w:tcBorders>
            <w:shd w:val="clear" w:color="auto" w:fill="auto"/>
            <w:hideMark/>
          </w:tcPr>
          <w:p w:rsidR="0092299C" w:rsidRPr="00D02A2E" w:rsidRDefault="0092299C" w:rsidP="0092299C">
            <w:pPr>
              <w:pStyle w:val="ARtabletext"/>
            </w:pPr>
            <w:r w:rsidRPr="00D02A2E">
              <w:t>Community service obligation emergency road and air transport</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238,558</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233,158</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t>2.3</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text"/>
            </w:pPr>
            <w:proofErr w:type="spellStart"/>
            <w:r w:rsidRPr="00D02A2E">
              <w:t>Statewide</w:t>
            </w:r>
            <w:proofErr w:type="spellEnd"/>
            <w:r w:rsidRPr="00D02A2E">
              <w:t xml:space="preserve"> emergency air transports</w:t>
            </w:r>
          </w:p>
        </w:tc>
        <w:tc>
          <w:tcPr>
            <w:tcW w:w="1021" w:type="dxa"/>
            <w:tcBorders>
              <w:top w:val="single" w:sz="4" w:space="0" w:color="BFBFBF"/>
              <w:left w:val="nil"/>
              <w:bottom w:val="nil"/>
              <w:right w:val="nil"/>
            </w:tcBorders>
            <w:shd w:val="clear" w:color="auto" w:fill="auto"/>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4,290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4,035</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5.9</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t>The result is lower than the target due to</w:t>
            </w:r>
            <w:r w:rsidRPr="00D02A2E">
              <w:t xml:space="preserve"> lower demand for emergency air transport in 20</w:t>
            </w:r>
            <w:r>
              <w:t>16–17</w:t>
            </w:r>
            <w:r w:rsidRPr="00D02A2E">
              <w:t>. Air activity is historically variable and entirely demand driven.</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proofErr w:type="spellStart"/>
            <w:r w:rsidRPr="00D02A2E">
              <w:t>Statewide</w:t>
            </w:r>
            <w:proofErr w:type="spellEnd"/>
            <w:r w:rsidRPr="00D02A2E">
              <w:t xml:space="preserve"> emergency road transports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413,866</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415,595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0.4</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Treatment without transport</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90,604</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93,964</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3.7</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This is a positive result, indicating more patients treated at the scene do not require emergency transport.</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p>
        </w:tc>
      </w:tr>
      <w:tr w:rsidR="0092299C" w:rsidRPr="00D02A2E" w:rsidTr="0092299C">
        <w:trPr>
          <w:cantSplit/>
          <w:trHeight w:val="480"/>
        </w:trPr>
        <w:tc>
          <w:tcPr>
            <w:tcW w:w="4761" w:type="dxa"/>
            <w:tcBorders>
              <w:top w:val="nil"/>
              <w:left w:val="nil"/>
              <w:bottom w:val="nil"/>
              <w:right w:val="nil"/>
            </w:tcBorders>
            <w:shd w:val="clear" w:color="auto" w:fill="auto"/>
            <w:hideMark/>
          </w:tcPr>
          <w:p w:rsidR="0092299C" w:rsidRPr="00D02A2E" w:rsidRDefault="0092299C" w:rsidP="0092299C">
            <w:pPr>
              <w:pStyle w:val="ARtabletext"/>
            </w:pPr>
            <w:r w:rsidRPr="00D02A2E">
              <w:t>Audited cases attended by Community Emergency Response Teams (CERT) meeting clinical practice standards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93.8</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4.2</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 xml:space="preserve">Audited cases </w:t>
            </w:r>
            <w:proofErr w:type="spellStart"/>
            <w:r w:rsidRPr="00D02A2E">
              <w:t>statewide</w:t>
            </w:r>
            <w:proofErr w:type="spellEnd"/>
            <w:r w:rsidRPr="00D02A2E">
              <w:t xml:space="preserve"> meeting clinical practice standards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98.8</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4.0</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48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Proportion of adult patients suspected of having a stroke who were transported to a stroke unit with thrombolysis facilities within 60 minutes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80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94.2</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17.8</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207B8C">
            <w:pPr>
              <w:pStyle w:val="ARtablenoteindent"/>
            </w:pPr>
            <w:r w:rsidRPr="00D02A2E">
              <w:t>This is a positive result, indicating more patients identified as stroke being transported directly to stroke facilities.</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Percentage of adult VF/VT cardiac arrest patients with vital signs at hospital</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45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52.8</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17.3</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This is a positive result indicating more patients arriving at hospital with vital signs following cardiac arrest.</w:t>
            </w:r>
          </w:p>
        </w:tc>
      </w:tr>
      <w:tr w:rsidR="0092299C" w:rsidRPr="00D02A2E" w:rsidTr="0092299C">
        <w:trPr>
          <w:cantSplit/>
          <w:trHeight w:val="48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Proportion of patients experiencing severe cardiac or traumatic pain whose level of pain is reduced significantly</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90.4</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0.4</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48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Proportion of patients very satisfied or satisfied with overall services delivered by paramedics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97.4</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2.5</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w:t>
            </w:r>
          </w:p>
        </w:tc>
        <w:tc>
          <w:tcPr>
            <w:tcW w:w="794" w:type="dxa"/>
            <w:tcBorders>
              <w:top w:val="single" w:sz="4" w:space="0" w:color="BFBFBF"/>
              <w:left w:val="nil"/>
              <w:bottom w:val="nil"/>
              <w:right w:val="nil"/>
            </w:tcBorders>
            <w:shd w:val="clear" w:color="auto" w:fill="auto"/>
          </w:tcPr>
          <w:p w:rsidR="0092299C" w:rsidRPr="00D02A2E" w:rsidRDefault="0092299C" w:rsidP="0092299C">
            <w:pPr>
              <w:pStyle w:val="ARtabletextright"/>
            </w:pPr>
          </w:p>
        </w:tc>
      </w:tr>
      <w:tr w:rsidR="0092299C" w:rsidRPr="00D02A2E" w:rsidTr="0092299C">
        <w:trPr>
          <w:cantSplit/>
          <w:trHeight w:val="240"/>
        </w:trPr>
        <w:tc>
          <w:tcPr>
            <w:tcW w:w="4761" w:type="dxa"/>
            <w:tcBorders>
              <w:top w:val="nil"/>
              <w:left w:val="nil"/>
              <w:bottom w:val="nil"/>
              <w:right w:val="nil"/>
            </w:tcBorders>
            <w:shd w:val="clear" w:color="auto" w:fill="auto"/>
            <w:hideMark/>
          </w:tcPr>
          <w:p w:rsidR="0092299C" w:rsidRPr="00D02A2E" w:rsidRDefault="0092299C" w:rsidP="0092299C">
            <w:pPr>
              <w:pStyle w:val="ARtabletext"/>
            </w:pPr>
            <w:r w:rsidRPr="00D02A2E">
              <w:t>CERT arrival occurs prior to ambulance</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85</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77.9</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t>8.4</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w:t>
            </w:r>
            <w:r>
              <w:t xml:space="preserve"> lower than the target</w:t>
            </w:r>
            <w:r w:rsidRPr="00D02A2E">
              <w:t xml:space="preserve"> due to the reduction in CERT first arrivals, following new services and increased availability of emergency ambulances as a result of recent reforms. This is considered a positive variance as emergency ambulances are more frequently arriving first. </w:t>
            </w:r>
          </w:p>
        </w:tc>
      </w:tr>
      <w:tr w:rsidR="0092299C" w:rsidRPr="00D02A2E" w:rsidTr="0092299C">
        <w:trPr>
          <w:cantSplit/>
          <w:trHeight w:val="48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 xml:space="preserve">Proportion of emergency (Code 1) incidents responded to within 15 minutes – </w:t>
            </w:r>
            <w:proofErr w:type="spellStart"/>
            <w:r w:rsidRPr="00D02A2E">
              <w:t>statewide</w:t>
            </w:r>
            <w:proofErr w:type="spellEnd"/>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85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78.3</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7.9</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t>Whilst t</w:t>
            </w:r>
            <w:r w:rsidRPr="00D02A2E">
              <w:t xml:space="preserve">he result is </w:t>
            </w:r>
            <w:r>
              <w:t xml:space="preserve">lower than the target, it reflects </w:t>
            </w:r>
            <w:r w:rsidRPr="00D02A2E">
              <w:t>an improvement over the previous year.</w:t>
            </w:r>
          </w:p>
        </w:tc>
      </w:tr>
      <w:tr w:rsidR="0092299C" w:rsidRPr="00D02A2E" w:rsidTr="0092299C">
        <w:trPr>
          <w:cantSplit/>
          <w:trHeight w:val="48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Proportion of emergency (Code 1) incidents responded to within 15 minutes in centres with more than 7,500 population</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83.7</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7.0</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t>Whilst t</w:t>
            </w:r>
            <w:r w:rsidRPr="00D02A2E">
              <w:t xml:space="preserve">he result is </w:t>
            </w:r>
            <w:r>
              <w:t xml:space="preserve">lower than the target, it reflects </w:t>
            </w:r>
            <w:r w:rsidRPr="00D02A2E">
              <w:t>an improvement over the previous year.</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bluebold"/>
              <w:keepNext/>
            </w:pPr>
            <w:r w:rsidRPr="00D02A2E">
              <w:t>Cost</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bluebold"/>
              <w:keepNext/>
              <w:jc w:val="center"/>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keepNext/>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keepNext/>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keepNext/>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C36EAB">
            <w:pPr>
              <w:pStyle w:val="ARtablebluebold"/>
              <w:keepNext/>
              <w:jc w:val="center"/>
            </w:pPr>
          </w:p>
        </w:tc>
      </w:tr>
      <w:tr w:rsidR="0092299C" w:rsidRPr="00D02A2E" w:rsidTr="0092299C">
        <w:trPr>
          <w:cantSplit/>
          <w:trHeight w:val="240"/>
        </w:trPr>
        <w:tc>
          <w:tcPr>
            <w:tcW w:w="4761" w:type="dxa"/>
            <w:tcBorders>
              <w:top w:val="nil"/>
              <w:left w:val="nil"/>
              <w:bottom w:val="nil"/>
              <w:right w:val="nil"/>
            </w:tcBorders>
            <w:shd w:val="clear" w:color="auto" w:fill="auto"/>
            <w:hideMark/>
          </w:tcPr>
          <w:p w:rsidR="0092299C" w:rsidRPr="00D02A2E" w:rsidRDefault="0092299C" w:rsidP="0092299C">
            <w:pPr>
              <w:pStyle w:val="ARtabletextbold"/>
              <w:keepNext/>
            </w:pPr>
            <w:r w:rsidRPr="00D02A2E">
              <w:t>Total output cost</w:t>
            </w:r>
          </w:p>
        </w:tc>
        <w:tc>
          <w:tcPr>
            <w:tcW w:w="1021" w:type="dxa"/>
            <w:tcBorders>
              <w:top w:val="nil"/>
              <w:left w:val="nil"/>
              <w:bottom w:val="nil"/>
              <w:right w:val="nil"/>
            </w:tcBorders>
            <w:shd w:val="clear" w:color="auto" w:fill="auto"/>
            <w:hideMark/>
          </w:tcPr>
          <w:p w:rsidR="0092299C" w:rsidRPr="0052680D" w:rsidRDefault="0092299C" w:rsidP="001F2E2D">
            <w:pPr>
              <w:pStyle w:val="ARtabletextbold"/>
              <w:jc w:val="center"/>
              <w:rPr>
                <w:bCs/>
              </w:rPr>
            </w:pPr>
            <w:r w:rsidRPr="0052680D">
              <w:rPr>
                <w:bCs/>
              </w:rPr>
              <w:t>$ million</w:t>
            </w:r>
          </w:p>
        </w:tc>
        <w:tc>
          <w:tcPr>
            <w:tcW w:w="1021" w:type="dxa"/>
            <w:tcBorders>
              <w:top w:val="nil"/>
              <w:left w:val="nil"/>
              <w:bottom w:val="nil"/>
              <w:right w:val="nil"/>
            </w:tcBorders>
            <w:shd w:val="clear" w:color="auto" w:fill="auto"/>
          </w:tcPr>
          <w:p w:rsidR="0092299C" w:rsidRPr="0052680D" w:rsidRDefault="0092299C" w:rsidP="0092299C">
            <w:pPr>
              <w:pStyle w:val="ARtabletextbold"/>
              <w:jc w:val="right"/>
              <w:rPr>
                <w:bCs/>
              </w:rPr>
            </w:pPr>
            <w:r w:rsidRPr="0052680D">
              <w:rPr>
                <w:bCs/>
              </w:rPr>
              <w:t>692.3</w:t>
            </w:r>
            <w:r w:rsidRPr="0052680D">
              <w:rPr>
                <w:b w:val="0"/>
                <w:bCs/>
              </w:rPr>
              <w:tab/>
            </w:r>
          </w:p>
        </w:tc>
        <w:tc>
          <w:tcPr>
            <w:tcW w:w="1021" w:type="dxa"/>
            <w:tcBorders>
              <w:top w:val="nil"/>
              <w:left w:val="nil"/>
              <w:bottom w:val="nil"/>
              <w:right w:val="nil"/>
            </w:tcBorders>
            <w:shd w:val="clear" w:color="auto" w:fill="auto"/>
          </w:tcPr>
          <w:p w:rsidR="0092299C" w:rsidRPr="0052680D" w:rsidRDefault="0092299C" w:rsidP="0092299C">
            <w:pPr>
              <w:pStyle w:val="ARtabletextbold"/>
              <w:jc w:val="right"/>
              <w:rPr>
                <w:bCs/>
              </w:rPr>
            </w:pPr>
            <w:r w:rsidRPr="0052680D">
              <w:rPr>
                <w:bCs/>
              </w:rPr>
              <w:t>838.9</w:t>
            </w:r>
          </w:p>
        </w:tc>
        <w:tc>
          <w:tcPr>
            <w:tcW w:w="1021" w:type="dxa"/>
            <w:tcBorders>
              <w:top w:val="nil"/>
              <w:left w:val="nil"/>
              <w:bottom w:val="nil"/>
              <w:right w:val="nil"/>
            </w:tcBorders>
            <w:shd w:val="clear" w:color="auto" w:fill="auto"/>
          </w:tcPr>
          <w:p w:rsidR="0092299C" w:rsidRPr="0052680D" w:rsidRDefault="0092299C" w:rsidP="0092299C">
            <w:pPr>
              <w:pStyle w:val="ARtabletextbold"/>
              <w:jc w:val="right"/>
              <w:rPr>
                <w:bCs/>
              </w:rPr>
            </w:pPr>
            <w:r>
              <w:rPr>
                <w:bCs/>
              </w:rPr>
              <w:t>21.2</w:t>
            </w:r>
          </w:p>
        </w:tc>
        <w:tc>
          <w:tcPr>
            <w:tcW w:w="794" w:type="dxa"/>
            <w:tcBorders>
              <w:top w:val="nil"/>
              <w:left w:val="nil"/>
              <w:bottom w:val="nil"/>
              <w:right w:val="nil"/>
            </w:tcBorders>
            <w:shd w:val="clear" w:color="auto" w:fill="auto"/>
            <w:hideMark/>
          </w:tcPr>
          <w:p w:rsidR="0092299C" w:rsidRPr="0052680D" w:rsidRDefault="0092299C" w:rsidP="0092299C">
            <w:pPr>
              <w:pStyle w:val="ARtabletextbold"/>
              <w:jc w:val="right"/>
              <w:rPr>
                <w:rFonts w:ascii="Wingdings" w:hAnsi="Wingdings"/>
                <w:bCs/>
              </w:rPr>
            </w:pPr>
          </w:p>
        </w:tc>
      </w:tr>
      <w:tr w:rsidR="0092299C" w:rsidRPr="00D02A2E" w:rsidTr="0092299C">
        <w:trPr>
          <w:cantSplit/>
          <w:trHeight w:val="240"/>
        </w:trPr>
        <w:tc>
          <w:tcPr>
            <w:tcW w:w="9639" w:type="dxa"/>
            <w:gridSpan w:val="6"/>
            <w:tcBorders>
              <w:top w:val="nil"/>
              <w:left w:val="nil"/>
              <w:bottom w:val="single" w:sz="4" w:space="0" w:color="auto"/>
              <w:right w:val="nil"/>
            </w:tcBorders>
            <w:shd w:val="clear" w:color="auto" w:fill="auto"/>
          </w:tcPr>
          <w:p w:rsidR="0092299C" w:rsidRPr="00D02A2E" w:rsidRDefault="0092299C" w:rsidP="0092299C">
            <w:pPr>
              <w:pStyle w:val="ARtablenoteindent"/>
              <w:keepNext/>
            </w:pPr>
            <w:r w:rsidRPr="00B67653">
              <w:t>The 20</w:t>
            </w:r>
            <w:r>
              <w:t>16–17</w:t>
            </w:r>
            <w:r w:rsidRPr="00B67653">
              <w:t xml:space="preserve"> actual outcome primarily reflects the funding for the Improving Waiting Times initiative, and a transfer from the Ambulance non-emergency output relating to the revised fee structure in the </w:t>
            </w:r>
            <w:r w:rsidRPr="00706ACC">
              <w:t>Policy and funding guidelines</w:t>
            </w:r>
            <w:r w:rsidRPr="00B67653">
              <w:t>, along with funding for E</w:t>
            </w:r>
            <w:r>
              <w:t>nterprise Bargaining Agreements</w:t>
            </w:r>
            <w:r w:rsidRPr="00D02A2E">
              <w:t>.</w:t>
            </w:r>
          </w:p>
        </w:tc>
      </w:tr>
      <w:tr w:rsidR="0092299C" w:rsidRPr="00D02A2E" w:rsidTr="0092299C">
        <w:trPr>
          <w:cantSplit/>
          <w:trHeight w:val="240"/>
        </w:trPr>
        <w:tc>
          <w:tcPr>
            <w:tcW w:w="4761" w:type="dxa"/>
            <w:tcBorders>
              <w:top w:val="single" w:sz="4" w:space="0" w:color="auto"/>
              <w:left w:val="nil"/>
              <w:bottom w:val="single" w:sz="4" w:space="0" w:color="auto"/>
              <w:right w:val="nil"/>
            </w:tcBorders>
            <w:shd w:val="clear" w:color="auto" w:fill="auto"/>
            <w:hideMark/>
          </w:tcPr>
          <w:p w:rsidR="0092299C" w:rsidRPr="00D02A2E" w:rsidRDefault="0092299C" w:rsidP="00207B8C">
            <w:pPr>
              <w:pStyle w:val="ARtablebluebold"/>
              <w:keepNext/>
              <w:pageBreakBefore/>
            </w:pPr>
            <w:r w:rsidRPr="00D02A2E">
              <w:lastRenderedPageBreak/>
              <w:t xml:space="preserve">Ambulance Non-Emergency Services </w:t>
            </w:r>
          </w:p>
        </w:tc>
        <w:tc>
          <w:tcPr>
            <w:tcW w:w="1021" w:type="dxa"/>
            <w:tcBorders>
              <w:top w:val="single" w:sz="4" w:space="0" w:color="auto"/>
              <w:left w:val="nil"/>
              <w:bottom w:val="single" w:sz="4" w:space="0" w:color="auto"/>
              <w:right w:val="nil"/>
            </w:tcBorders>
            <w:shd w:val="clear" w:color="auto" w:fill="auto"/>
            <w:hideMark/>
          </w:tcPr>
          <w:p w:rsidR="0092299C" w:rsidRPr="00D02A2E" w:rsidRDefault="0092299C" w:rsidP="0092299C">
            <w:pPr>
              <w:pStyle w:val="ARtablebluebold"/>
              <w:rPr>
                <w:bCs/>
              </w:rPr>
            </w:pPr>
          </w:p>
        </w:tc>
        <w:tc>
          <w:tcPr>
            <w:tcW w:w="1021" w:type="dxa"/>
            <w:tcBorders>
              <w:top w:val="single" w:sz="4" w:space="0" w:color="auto"/>
              <w:left w:val="nil"/>
              <w:bottom w:val="single" w:sz="4" w:space="0" w:color="auto"/>
              <w:right w:val="nil"/>
            </w:tcBorders>
            <w:shd w:val="clear" w:color="auto" w:fill="auto"/>
            <w:hideMark/>
          </w:tcPr>
          <w:p w:rsidR="0092299C" w:rsidRPr="00D02A2E" w:rsidRDefault="0092299C" w:rsidP="0092299C">
            <w:pPr>
              <w:pStyle w:val="ARtablebluebold"/>
              <w:rPr>
                <w:bCs/>
              </w:rPr>
            </w:pPr>
            <w:r w:rsidRPr="00D02A2E">
              <w:rPr>
                <w:bCs/>
              </w:rPr>
              <w:t> </w:t>
            </w:r>
          </w:p>
        </w:tc>
        <w:tc>
          <w:tcPr>
            <w:tcW w:w="1021" w:type="dxa"/>
            <w:tcBorders>
              <w:top w:val="single" w:sz="4" w:space="0" w:color="auto"/>
              <w:left w:val="nil"/>
              <w:bottom w:val="single" w:sz="4" w:space="0" w:color="auto"/>
              <w:right w:val="nil"/>
            </w:tcBorders>
            <w:shd w:val="clear" w:color="auto" w:fill="auto"/>
            <w:hideMark/>
          </w:tcPr>
          <w:p w:rsidR="0092299C" w:rsidRPr="00D02A2E" w:rsidRDefault="0092299C" w:rsidP="0092299C">
            <w:pPr>
              <w:pStyle w:val="ARtablebluebold"/>
              <w:rPr>
                <w:bCs/>
              </w:rPr>
            </w:pPr>
            <w:r w:rsidRPr="00D02A2E">
              <w:rPr>
                <w:bCs/>
              </w:rPr>
              <w:t> </w:t>
            </w:r>
          </w:p>
        </w:tc>
        <w:tc>
          <w:tcPr>
            <w:tcW w:w="1021" w:type="dxa"/>
            <w:tcBorders>
              <w:top w:val="single" w:sz="4" w:space="0" w:color="auto"/>
              <w:left w:val="nil"/>
              <w:bottom w:val="single" w:sz="4" w:space="0" w:color="auto"/>
              <w:right w:val="nil"/>
            </w:tcBorders>
            <w:shd w:val="clear" w:color="auto" w:fill="auto"/>
            <w:hideMark/>
          </w:tcPr>
          <w:p w:rsidR="0092299C" w:rsidRPr="00D02A2E" w:rsidRDefault="0092299C" w:rsidP="0092299C">
            <w:pPr>
              <w:pStyle w:val="ARtablebluebold"/>
              <w:rPr>
                <w:bCs/>
              </w:rPr>
            </w:pPr>
            <w:r w:rsidRPr="00D02A2E">
              <w:rPr>
                <w:bCs/>
              </w:rPr>
              <w:t> </w:t>
            </w:r>
          </w:p>
        </w:tc>
        <w:tc>
          <w:tcPr>
            <w:tcW w:w="794" w:type="dxa"/>
            <w:tcBorders>
              <w:top w:val="single" w:sz="4" w:space="0" w:color="auto"/>
              <w:left w:val="nil"/>
              <w:bottom w:val="single" w:sz="4" w:space="0" w:color="auto"/>
              <w:right w:val="nil"/>
            </w:tcBorders>
            <w:shd w:val="clear" w:color="auto" w:fill="auto"/>
          </w:tcPr>
          <w:p w:rsidR="0092299C" w:rsidRPr="00D02A2E" w:rsidRDefault="0092299C" w:rsidP="0092299C">
            <w:pPr>
              <w:pStyle w:val="ARtablebluebold"/>
              <w:rPr>
                <w:rFonts w:ascii="Wingdings" w:hAnsi="Wingdings"/>
              </w:rPr>
            </w:pPr>
          </w:p>
        </w:tc>
      </w:tr>
      <w:tr w:rsidR="0092299C" w:rsidRPr="00D02A2E" w:rsidTr="0092299C">
        <w:trPr>
          <w:cantSplit/>
          <w:trHeight w:val="240"/>
        </w:trPr>
        <w:tc>
          <w:tcPr>
            <w:tcW w:w="4761" w:type="dxa"/>
            <w:tcBorders>
              <w:top w:val="single" w:sz="4" w:space="0" w:color="auto"/>
              <w:left w:val="nil"/>
              <w:bottom w:val="single" w:sz="4" w:space="0" w:color="FFFFFF"/>
              <w:right w:val="nil"/>
            </w:tcBorders>
            <w:shd w:val="clear" w:color="auto" w:fill="auto"/>
            <w:hideMark/>
          </w:tcPr>
          <w:p w:rsidR="0092299C" w:rsidRPr="00D02A2E" w:rsidRDefault="0092299C" w:rsidP="00207B8C">
            <w:pPr>
              <w:pStyle w:val="ARtablebluebold"/>
            </w:pPr>
            <w:r w:rsidRPr="00D02A2E">
              <w:t>Quantity</w:t>
            </w:r>
          </w:p>
        </w:tc>
        <w:tc>
          <w:tcPr>
            <w:tcW w:w="1021" w:type="dxa"/>
            <w:tcBorders>
              <w:top w:val="single" w:sz="4" w:space="0" w:color="auto"/>
              <w:left w:val="nil"/>
              <w:bottom w:val="single" w:sz="4" w:space="0" w:color="FFFFFF"/>
              <w:right w:val="nil"/>
            </w:tcBorders>
            <w:shd w:val="clear" w:color="auto" w:fill="auto"/>
            <w:hideMark/>
          </w:tcPr>
          <w:p w:rsidR="0092299C" w:rsidRPr="00D02A2E" w:rsidRDefault="0092299C" w:rsidP="0092299C">
            <w:pPr>
              <w:pStyle w:val="ARtablebluebold"/>
              <w:rPr>
                <w:i/>
              </w:rPr>
            </w:pPr>
          </w:p>
        </w:tc>
        <w:tc>
          <w:tcPr>
            <w:tcW w:w="1021" w:type="dxa"/>
            <w:tcBorders>
              <w:top w:val="single" w:sz="4" w:space="0" w:color="auto"/>
              <w:left w:val="nil"/>
              <w:bottom w:val="single" w:sz="4" w:space="0" w:color="FFFFFF"/>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auto"/>
              <w:left w:val="nil"/>
              <w:bottom w:val="single" w:sz="4" w:space="0" w:color="FFFFFF"/>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auto"/>
              <w:left w:val="nil"/>
              <w:bottom w:val="single" w:sz="4" w:space="0" w:color="FFFFFF"/>
              <w:right w:val="nil"/>
            </w:tcBorders>
            <w:shd w:val="clear" w:color="auto" w:fill="auto"/>
            <w:hideMark/>
          </w:tcPr>
          <w:p w:rsidR="0092299C" w:rsidRPr="00D02A2E" w:rsidRDefault="0092299C" w:rsidP="0092299C">
            <w:pPr>
              <w:pStyle w:val="ARtablebluebold"/>
              <w:rPr>
                <w:i/>
              </w:rPr>
            </w:pPr>
            <w:r w:rsidRPr="00D02A2E">
              <w:rPr>
                <w:i/>
              </w:rPr>
              <w:t> </w:t>
            </w:r>
          </w:p>
        </w:tc>
        <w:tc>
          <w:tcPr>
            <w:tcW w:w="794" w:type="dxa"/>
            <w:tcBorders>
              <w:top w:val="single" w:sz="4" w:space="0" w:color="auto"/>
              <w:left w:val="nil"/>
              <w:bottom w:val="single" w:sz="4" w:space="0" w:color="FFFFFF"/>
              <w:right w:val="nil"/>
            </w:tcBorders>
            <w:shd w:val="clear" w:color="auto" w:fill="auto"/>
          </w:tcPr>
          <w:p w:rsidR="0092299C" w:rsidRPr="00D02A2E" w:rsidRDefault="0092299C" w:rsidP="0092299C">
            <w:pPr>
              <w:pStyle w:val="ARtablebluebold"/>
              <w:rPr>
                <w:i/>
              </w:rPr>
            </w:pPr>
          </w:p>
        </w:tc>
      </w:tr>
      <w:tr w:rsidR="0092299C" w:rsidRPr="00D02A2E" w:rsidTr="0092299C">
        <w:trPr>
          <w:cantSplit/>
          <w:trHeight w:val="240"/>
        </w:trPr>
        <w:tc>
          <w:tcPr>
            <w:tcW w:w="4761" w:type="dxa"/>
            <w:tcBorders>
              <w:top w:val="single" w:sz="4" w:space="0" w:color="FFFFFF"/>
              <w:left w:val="nil"/>
              <w:bottom w:val="nil"/>
              <w:right w:val="nil"/>
            </w:tcBorders>
            <w:shd w:val="clear" w:color="auto" w:fill="auto"/>
            <w:hideMark/>
          </w:tcPr>
          <w:p w:rsidR="0092299C" w:rsidRPr="00D02A2E" w:rsidRDefault="0092299C" w:rsidP="0092299C">
            <w:pPr>
              <w:pStyle w:val="ARtabletext"/>
            </w:pPr>
            <w:r w:rsidRPr="00D02A2E">
              <w:t>Community service obligation non-emergency road and air transports</w:t>
            </w:r>
          </w:p>
        </w:tc>
        <w:tc>
          <w:tcPr>
            <w:tcW w:w="1021" w:type="dxa"/>
            <w:tcBorders>
              <w:top w:val="single" w:sz="4" w:space="0" w:color="FFFFF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FFFFFF"/>
              <w:left w:val="nil"/>
              <w:bottom w:val="nil"/>
              <w:right w:val="nil"/>
            </w:tcBorders>
            <w:shd w:val="clear" w:color="auto" w:fill="auto"/>
          </w:tcPr>
          <w:p w:rsidR="0092299C" w:rsidRPr="00D02A2E" w:rsidRDefault="0092299C" w:rsidP="0092299C">
            <w:pPr>
              <w:pStyle w:val="ARtabletextright"/>
            </w:pPr>
            <w:r w:rsidRPr="00D02A2E">
              <w:t>186,539</w:t>
            </w:r>
          </w:p>
        </w:tc>
        <w:tc>
          <w:tcPr>
            <w:tcW w:w="1021" w:type="dxa"/>
            <w:tcBorders>
              <w:top w:val="single" w:sz="4" w:space="0" w:color="FFFFFF"/>
              <w:left w:val="nil"/>
              <w:bottom w:val="nil"/>
              <w:right w:val="nil"/>
            </w:tcBorders>
            <w:shd w:val="clear" w:color="auto" w:fill="auto"/>
          </w:tcPr>
          <w:p w:rsidR="0092299C" w:rsidRPr="00D02A2E" w:rsidRDefault="0092299C" w:rsidP="0092299C">
            <w:pPr>
              <w:pStyle w:val="ARtabletextright"/>
            </w:pPr>
            <w:r w:rsidRPr="00D02A2E">
              <w:t>189,496</w:t>
            </w:r>
          </w:p>
        </w:tc>
        <w:tc>
          <w:tcPr>
            <w:tcW w:w="1021" w:type="dxa"/>
            <w:tcBorders>
              <w:top w:val="single" w:sz="4" w:space="0" w:color="FFFFFF"/>
              <w:left w:val="nil"/>
              <w:bottom w:val="nil"/>
              <w:right w:val="nil"/>
            </w:tcBorders>
            <w:shd w:val="clear" w:color="auto" w:fill="auto"/>
          </w:tcPr>
          <w:p w:rsidR="0092299C" w:rsidRPr="00D02A2E" w:rsidRDefault="0092299C" w:rsidP="0092299C">
            <w:pPr>
              <w:pStyle w:val="ARtabletextright"/>
            </w:pPr>
            <w:r>
              <w:t>1.6</w:t>
            </w:r>
          </w:p>
        </w:tc>
        <w:tc>
          <w:tcPr>
            <w:tcW w:w="794" w:type="dxa"/>
            <w:tcBorders>
              <w:top w:val="single" w:sz="4" w:space="0" w:color="FFFFF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proofErr w:type="spellStart"/>
            <w:r w:rsidRPr="00D02A2E">
              <w:t>Statewide</w:t>
            </w:r>
            <w:proofErr w:type="spellEnd"/>
            <w:r w:rsidRPr="00D02A2E">
              <w:t xml:space="preserve"> non-emergency air transports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3,033</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2,233</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26.4</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below-target result reflects lower demand for non-emergency air transport in 20</w:t>
            </w:r>
            <w:r>
              <w:t>16–17</w:t>
            </w:r>
            <w:r w:rsidRPr="00D02A2E">
              <w:t>. Air activity is historically variable and entirely demand driven.</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proofErr w:type="spellStart"/>
            <w:r w:rsidRPr="00D02A2E">
              <w:t>Statewide</w:t>
            </w:r>
            <w:proofErr w:type="spellEnd"/>
            <w:r w:rsidRPr="00D02A2E">
              <w:t xml:space="preserve"> non-emergency road transports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292,762</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254,317</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13.1</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top w:val="nil"/>
              <w:left w:val="nil"/>
              <w:bottom w:val="single" w:sz="4" w:space="0" w:color="BFBFBF"/>
              <w:right w:val="nil"/>
            </w:tcBorders>
            <w:shd w:val="clear" w:color="auto" w:fill="auto"/>
            <w:noWrap/>
          </w:tcPr>
          <w:p w:rsidR="0092299C" w:rsidRPr="00D02A2E" w:rsidRDefault="0092299C" w:rsidP="0092299C">
            <w:pPr>
              <w:pStyle w:val="ARtablenoteindent"/>
            </w:pPr>
            <w:r w:rsidRPr="00D02A2E">
              <w:t>The below-target result is an improvement over the previous years as a result of increasing use of non-emergency services, following the implementation of Ambulance Victoria's new funding model and changes to non-emergency charging guidelines.</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r>
      <w:tr w:rsidR="0092299C" w:rsidRPr="00D02A2E" w:rsidTr="0092299C">
        <w:trPr>
          <w:cantSplit/>
          <w:trHeight w:val="240"/>
        </w:trPr>
        <w:tc>
          <w:tcPr>
            <w:tcW w:w="4761" w:type="dxa"/>
            <w:tcBorders>
              <w:top w:val="nil"/>
              <w:left w:val="nil"/>
              <w:bottom w:val="nil"/>
              <w:right w:val="nil"/>
            </w:tcBorders>
            <w:shd w:val="clear" w:color="auto" w:fill="auto"/>
            <w:hideMark/>
          </w:tcPr>
          <w:p w:rsidR="0092299C" w:rsidRPr="00D02A2E" w:rsidRDefault="0092299C" w:rsidP="0092299C">
            <w:pPr>
              <w:pStyle w:val="ARtabletext"/>
            </w:pPr>
            <w:r w:rsidRPr="00D02A2E">
              <w:t xml:space="preserve">Audited cases </w:t>
            </w:r>
            <w:proofErr w:type="spellStart"/>
            <w:r w:rsidRPr="00D02A2E">
              <w:t>statewide</w:t>
            </w:r>
            <w:proofErr w:type="spellEnd"/>
            <w:r w:rsidRPr="00D02A2E">
              <w:t xml:space="preserve"> meeting clinical practice standards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95</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96.2</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1.3</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r>
      <w:tr w:rsidR="0092299C" w:rsidRPr="0052680D" w:rsidTr="0092299C">
        <w:trPr>
          <w:cantSplit/>
          <w:trHeight w:val="240"/>
        </w:trPr>
        <w:tc>
          <w:tcPr>
            <w:tcW w:w="4761" w:type="dxa"/>
            <w:tcBorders>
              <w:top w:val="nil"/>
              <w:left w:val="nil"/>
              <w:bottom w:val="nil"/>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hideMark/>
          </w:tcPr>
          <w:p w:rsidR="0092299C" w:rsidRPr="0052680D" w:rsidRDefault="0092299C" w:rsidP="001F2E2D">
            <w:pPr>
              <w:pStyle w:val="ARtabletextright"/>
              <w:jc w:val="center"/>
              <w:rPr>
                <w:b/>
              </w:rPr>
            </w:pPr>
            <w:r w:rsidRPr="0052680D">
              <w:rPr>
                <w:b/>
              </w:rPr>
              <w:t>$ million</w:t>
            </w:r>
          </w:p>
        </w:tc>
        <w:tc>
          <w:tcPr>
            <w:tcW w:w="1021" w:type="dxa"/>
            <w:tcBorders>
              <w:top w:val="nil"/>
              <w:left w:val="nil"/>
              <w:bottom w:val="nil"/>
              <w:right w:val="nil"/>
            </w:tcBorders>
            <w:shd w:val="clear" w:color="auto" w:fill="auto"/>
          </w:tcPr>
          <w:p w:rsidR="0092299C" w:rsidRPr="0052680D" w:rsidRDefault="0092299C" w:rsidP="0092299C">
            <w:pPr>
              <w:pStyle w:val="ARtabletextright"/>
              <w:spacing w:before="70" w:after="50"/>
              <w:rPr>
                <w:b/>
                <w:bCs/>
              </w:rPr>
            </w:pPr>
            <w:r w:rsidRPr="0052680D">
              <w:rPr>
                <w:b/>
                <w:bCs/>
              </w:rPr>
              <w:t>111.8</w:t>
            </w:r>
          </w:p>
        </w:tc>
        <w:tc>
          <w:tcPr>
            <w:tcW w:w="1021" w:type="dxa"/>
            <w:tcBorders>
              <w:top w:val="nil"/>
              <w:left w:val="nil"/>
              <w:bottom w:val="nil"/>
              <w:right w:val="nil"/>
            </w:tcBorders>
            <w:shd w:val="clear" w:color="auto" w:fill="auto"/>
          </w:tcPr>
          <w:p w:rsidR="0092299C" w:rsidRPr="0052680D" w:rsidRDefault="0092299C" w:rsidP="0092299C">
            <w:pPr>
              <w:pStyle w:val="ARtabletextright"/>
              <w:spacing w:before="70" w:after="50"/>
              <w:rPr>
                <w:b/>
                <w:bCs/>
              </w:rPr>
            </w:pPr>
            <w:r w:rsidRPr="0052680D">
              <w:rPr>
                <w:b/>
                <w:bCs/>
              </w:rPr>
              <w:t>80.5</w:t>
            </w:r>
          </w:p>
        </w:tc>
        <w:tc>
          <w:tcPr>
            <w:tcW w:w="1021" w:type="dxa"/>
            <w:tcBorders>
              <w:top w:val="nil"/>
              <w:left w:val="nil"/>
              <w:bottom w:val="nil"/>
              <w:right w:val="nil"/>
            </w:tcBorders>
            <w:shd w:val="clear" w:color="auto" w:fill="auto"/>
          </w:tcPr>
          <w:p w:rsidR="0092299C" w:rsidRPr="0052680D" w:rsidRDefault="00EC4FD8" w:rsidP="0092299C">
            <w:pPr>
              <w:pStyle w:val="ARtabletextright"/>
              <w:spacing w:before="70" w:after="50"/>
              <w:rPr>
                <w:b/>
                <w:bCs/>
              </w:rPr>
            </w:pPr>
            <w:r>
              <w:rPr>
                <w:b/>
                <w:bCs/>
              </w:rPr>
              <w:t>–</w:t>
            </w:r>
            <w:r w:rsidR="0092299C">
              <w:rPr>
                <w:b/>
                <w:bCs/>
              </w:rPr>
              <w:t>28.0</w:t>
            </w:r>
          </w:p>
        </w:tc>
        <w:tc>
          <w:tcPr>
            <w:tcW w:w="794" w:type="dxa"/>
            <w:tcBorders>
              <w:top w:val="nil"/>
              <w:left w:val="nil"/>
              <w:bottom w:val="nil"/>
              <w:right w:val="nil"/>
            </w:tcBorders>
            <w:shd w:val="clear" w:color="auto" w:fill="auto"/>
            <w:hideMark/>
          </w:tcPr>
          <w:p w:rsidR="0092299C" w:rsidRPr="0052680D" w:rsidRDefault="0092299C" w:rsidP="0092299C">
            <w:pPr>
              <w:pStyle w:val="ARtabletextright"/>
              <w:rPr>
                <w:b/>
              </w:rPr>
            </w:pPr>
          </w:p>
        </w:tc>
      </w:tr>
      <w:tr w:rsidR="0092299C" w:rsidRPr="00D02A2E" w:rsidTr="0092299C">
        <w:trPr>
          <w:cantSplit/>
          <w:trHeight w:val="240"/>
        </w:trPr>
        <w:tc>
          <w:tcPr>
            <w:tcW w:w="9639" w:type="dxa"/>
            <w:gridSpan w:val="6"/>
            <w:tcBorders>
              <w:top w:val="nil"/>
              <w:left w:val="nil"/>
              <w:right w:val="nil"/>
            </w:tcBorders>
            <w:shd w:val="clear" w:color="auto" w:fill="auto"/>
            <w:noWrap/>
            <w:hideMark/>
          </w:tcPr>
          <w:p w:rsidR="0092299C" w:rsidRPr="00D02A2E" w:rsidRDefault="0092299C" w:rsidP="0092299C">
            <w:pPr>
              <w:pStyle w:val="ARtablenoteindent"/>
            </w:pPr>
            <w:r w:rsidRPr="00B67653">
              <w:t>The 20</w:t>
            </w:r>
            <w:r>
              <w:t>16–17</w:t>
            </w:r>
            <w:r w:rsidRPr="00B67653">
              <w:t xml:space="preserve"> actual outcome reflects a transfer to the Ambulance Emergency output relating to the revised fee structure in the </w:t>
            </w:r>
            <w:r w:rsidRPr="00706ACC">
              <w:t>Policy and funding guidelines</w:t>
            </w:r>
            <w:r w:rsidRPr="00B67653">
              <w:t>.</w:t>
            </w:r>
          </w:p>
        </w:tc>
      </w:tr>
    </w:tbl>
    <w:p w:rsidR="0092299C" w:rsidRPr="00D02A2E" w:rsidRDefault="0092299C" w:rsidP="0092299C">
      <w:pPr>
        <w:pStyle w:val="Heading2"/>
      </w:pPr>
      <w:r w:rsidRPr="00D02A2E">
        <w:t>Mental Health</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92299C">
        <w:trPr>
          <w:cantSplit/>
          <w:trHeight w:val="240"/>
          <w:tblHeader/>
        </w:trPr>
        <w:tc>
          <w:tcPr>
            <w:tcW w:w="4761" w:type="dxa"/>
            <w:tcBorders>
              <w:bottom w:val="single" w:sz="4" w:space="0" w:color="auto"/>
            </w:tcBorders>
            <w:shd w:val="clear" w:color="auto" w:fill="auto"/>
            <w:noWrap/>
            <w:vAlign w:val="bottom"/>
            <w:hideMark/>
          </w:tcPr>
          <w:p w:rsidR="0092299C" w:rsidRPr="00D02A2E" w:rsidRDefault="0092299C" w:rsidP="0092299C">
            <w:pPr>
              <w:pStyle w:val="ARtablecolhead"/>
            </w:pPr>
            <w:r w:rsidRPr="00D02A2E">
              <w:t>Performance measures</w:t>
            </w:r>
          </w:p>
        </w:tc>
        <w:tc>
          <w:tcPr>
            <w:tcW w:w="1021" w:type="dxa"/>
            <w:tcBorders>
              <w:bottom w:val="single" w:sz="4" w:space="0" w:color="auto"/>
            </w:tcBorders>
            <w:shd w:val="clear" w:color="auto" w:fill="auto"/>
            <w:noWrap/>
            <w:vAlign w:val="bottom"/>
            <w:hideMark/>
          </w:tcPr>
          <w:p w:rsidR="0092299C" w:rsidRPr="00D02A2E" w:rsidRDefault="0092299C" w:rsidP="001F2E2D">
            <w:pPr>
              <w:pStyle w:val="ARtablecolheadright"/>
              <w:jc w:val="center"/>
            </w:pPr>
            <w:r w:rsidRPr="00D02A2E">
              <w:t>Unit of measure</w:t>
            </w:r>
          </w:p>
        </w:tc>
        <w:tc>
          <w:tcPr>
            <w:tcW w:w="1021" w:type="dxa"/>
            <w:tcBorders>
              <w:bottom w:val="single" w:sz="4" w:space="0" w:color="auto"/>
            </w:tcBorders>
            <w:shd w:val="clear" w:color="auto" w:fill="auto"/>
            <w:noWrap/>
            <w:vAlign w:val="bottom"/>
            <w:hideMark/>
          </w:tcPr>
          <w:p w:rsidR="0092299C" w:rsidRPr="00207B8C" w:rsidRDefault="0092299C" w:rsidP="00207B8C">
            <w:pPr>
              <w:pStyle w:val="ARtablecolheadright"/>
            </w:pPr>
            <w:r w:rsidRPr="00207B8C">
              <w:t>2016–17 target</w:t>
            </w:r>
          </w:p>
        </w:tc>
        <w:tc>
          <w:tcPr>
            <w:tcW w:w="1021" w:type="dxa"/>
            <w:tcBorders>
              <w:bottom w:val="single" w:sz="4" w:space="0" w:color="auto"/>
            </w:tcBorders>
            <w:shd w:val="clear" w:color="auto" w:fill="auto"/>
            <w:noWrap/>
            <w:vAlign w:val="bottom"/>
            <w:hideMark/>
          </w:tcPr>
          <w:p w:rsidR="0092299C" w:rsidRPr="00207B8C" w:rsidRDefault="0092299C" w:rsidP="00207B8C">
            <w:pPr>
              <w:pStyle w:val="ARtablecolheadright"/>
            </w:pPr>
            <w:r w:rsidRPr="00207B8C">
              <w:t>2016–17 actual</w:t>
            </w:r>
          </w:p>
        </w:tc>
        <w:tc>
          <w:tcPr>
            <w:tcW w:w="1021" w:type="dxa"/>
            <w:tcBorders>
              <w:bottom w:val="single" w:sz="4" w:space="0" w:color="auto"/>
            </w:tcBorders>
            <w:shd w:val="clear" w:color="auto" w:fill="auto"/>
            <w:noWrap/>
            <w:vAlign w:val="bottom"/>
            <w:hideMark/>
          </w:tcPr>
          <w:p w:rsidR="0092299C" w:rsidRPr="00207B8C" w:rsidRDefault="0092299C" w:rsidP="00207B8C">
            <w:pPr>
              <w:pStyle w:val="ARtablecolheadright"/>
            </w:pPr>
            <w:r w:rsidRPr="00207B8C">
              <w:t>Variation (%)</w:t>
            </w:r>
          </w:p>
        </w:tc>
        <w:tc>
          <w:tcPr>
            <w:tcW w:w="794" w:type="dxa"/>
            <w:tcBorders>
              <w:bottom w:val="single" w:sz="4" w:space="0" w:color="auto"/>
            </w:tcBorders>
            <w:shd w:val="clear" w:color="auto" w:fill="auto"/>
            <w:noWrap/>
            <w:vAlign w:val="bottom"/>
            <w:hideMark/>
          </w:tcPr>
          <w:p w:rsidR="0092299C" w:rsidRPr="00D02A2E" w:rsidRDefault="0092299C" w:rsidP="00096BE7">
            <w:pPr>
              <w:pStyle w:val="ARtablecolheadright"/>
            </w:pPr>
            <w:r w:rsidRPr="00D02A2E">
              <w:t>Result</w:t>
            </w:r>
          </w:p>
        </w:tc>
      </w:tr>
      <w:tr w:rsidR="0092299C" w:rsidRPr="00D02A2E" w:rsidTr="0092299C">
        <w:trPr>
          <w:cantSplit/>
          <w:trHeight w:val="240"/>
        </w:trPr>
        <w:tc>
          <w:tcPr>
            <w:tcW w:w="4761"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xml:space="preserve">Clinical Care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single" w:sz="4" w:space="0" w:color="auto"/>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auto"/>
              <w:bottom w:val="single" w:sz="4" w:space="0" w:color="auto"/>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top w:val="single" w:sz="4" w:space="0" w:color="auto"/>
            </w:tcBorders>
            <w:shd w:val="clear" w:color="auto" w:fill="auto"/>
            <w:hideMark/>
          </w:tcPr>
          <w:p w:rsidR="0092299C" w:rsidRPr="00D02A2E" w:rsidRDefault="0092299C" w:rsidP="00A94E7D">
            <w:pPr>
              <w:pStyle w:val="ARtablebluebold"/>
              <w:rPr>
                <w:i/>
              </w:rPr>
            </w:pPr>
            <w:r w:rsidRPr="00A94E7D">
              <w:t>Quantity</w:t>
            </w:r>
          </w:p>
        </w:tc>
        <w:tc>
          <w:tcPr>
            <w:tcW w:w="1021" w:type="dxa"/>
            <w:tcBorders>
              <w:top w:val="single" w:sz="4" w:space="0" w:color="auto"/>
            </w:tcBorders>
            <w:shd w:val="clear" w:color="auto" w:fill="auto"/>
            <w:hideMark/>
          </w:tcPr>
          <w:p w:rsidR="0092299C" w:rsidRPr="00D02A2E" w:rsidRDefault="0092299C" w:rsidP="0092299C">
            <w:pPr>
              <w:pStyle w:val="ARtablebluebold"/>
              <w:rPr>
                <w:i/>
              </w:rPr>
            </w:pPr>
          </w:p>
        </w:tc>
        <w:tc>
          <w:tcPr>
            <w:tcW w:w="1021" w:type="dxa"/>
            <w:tcBorders>
              <w:top w:val="single" w:sz="4" w:space="0" w:color="auto"/>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auto"/>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auto"/>
            </w:tcBorders>
            <w:shd w:val="clear" w:color="auto" w:fill="auto"/>
            <w:hideMark/>
          </w:tcPr>
          <w:p w:rsidR="0092299C" w:rsidRPr="00D02A2E" w:rsidRDefault="0092299C" w:rsidP="0092299C">
            <w:pPr>
              <w:pStyle w:val="ARtablebluebold"/>
              <w:rPr>
                <w:i/>
              </w:rPr>
            </w:pPr>
            <w:r w:rsidRPr="00D02A2E">
              <w:rPr>
                <w:i/>
              </w:rPr>
              <w:t> </w:t>
            </w:r>
          </w:p>
        </w:tc>
        <w:tc>
          <w:tcPr>
            <w:tcW w:w="794" w:type="dxa"/>
            <w:tcBorders>
              <w:top w:val="single" w:sz="4" w:space="0" w:color="auto"/>
            </w:tcBorders>
            <w:shd w:val="clear" w:color="auto" w:fill="auto"/>
            <w:hideMark/>
          </w:tcPr>
          <w:p w:rsidR="0092299C" w:rsidRPr="00D02A2E" w:rsidRDefault="0092299C" w:rsidP="0092299C">
            <w:pPr>
              <w:pStyle w:val="ARtablebluebold"/>
              <w:rPr>
                <w:i/>
              </w:rPr>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
            </w:pPr>
            <w:r w:rsidRPr="00D02A2E">
              <w:t>Clinical inpatient separations</w:t>
            </w:r>
          </w:p>
        </w:tc>
        <w:tc>
          <w:tcPr>
            <w:tcW w:w="1021" w:type="dxa"/>
            <w:shd w:val="clear" w:color="auto" w:fill="auto"/>
            <w:hideMark/>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7B4262">
            <w:pPr>
              <w:pStyle w:val="ARtabletext"/>
              <w:jc w:val="right"/>
            </w:pPr>
            <w:r w:rsidRPr="00D02A2E">
              <w:t>22,110</w:t>
            </w:r>
          </w:p>
        </w:tc>
        <w:tc>
          <w:tcPr>
            <w:tcW w:w="1021" w:type="dxa"/>
            <w:shd w:val="clear" w:color="auto" w:fill="auto"/>
          </w:tcPr>
          <w:p w:rsidR="0092299C" w:rsidRPr="00D02A2E" w:rsidRDefault="0092299C" w:rsidP="007B4262">
            <w:pPr>
              <w:pStyle w:val="ARtabletext"/>
              <w:jc w:val="right"/>
            </w:pPr>
            <w:r w:rsidRPr="00D02A2E">
              <w:t>25,234</w:t>
            </w:r>
          </w:p>
        </w:tc>
        <w:tc>
          <w:tcPr>
            <w:tcW w:w="1021" w:type="dxa"/>
            <w:shd w:val="clear" w:color="auto" w:fill="auto"/>
          </w:tcPr>
          <w:p w:rsidR="0092299C" w:rsidRPr="00D02A2E" w:rsidRDefault="0092299C" w:rsidP="007B4262">
            <w:pPr>
              <w:pStyle w:val="ARtabletext"/>
              <w:jc w:val="right"/>
            </w:pPr>
            <w:r>
              <w:t>14.1</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The higher-than-target actual is a positive result due to continued high level demand for acute inpatient treatment. Demand pressures are also reflected in short lengths of stay, due to the increase in throughput.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Community service hours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hours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1,161</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873</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24.8</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The lower-than-target actual is due to under reporting of community service contacts. Since the resolution of the underpinning issue, the number of service hours has significantly improved. Recall as outlined in the </w:t>
            </w:r>
            <w:r w:rsidRPr="00832F20">
              <w:rPr>
                <w:i w:val="0"/>
              </w:rPr>
              <w:t>Policy and funding guidelines</w:t>
            </w:r>
            <w:r w:rsidRPr="00D02A2E">
              <w:t xml:space="preserve"> will apply to underperformance as part of prior year adjustments.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New case index</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50</w:t>
            </w:r>
          </w:p>
        </w:tc>
        <w:tc>
          <w:tcPr>
            <w:tcW w:w="1021" w:type="dxa"/>
            <w:tcBorders>
              <w:top w:val="single" w:sz="4" w:space="0" w:color="BFBFBF"/>
            </w:tcBorders>
            <w:shd w:val="clear" w:color="auto" w:fill="auto"/>
          </w:tcPr>
          <w:p w:rsidR="0092299C" w:rsidRPr="00D02A2E" w:rsidRDefault="0092299C" w:rsidP="00471ED9">
            <w:pPr>
              <w:pStyle w:val="ARtabletextright"/>
            </w:pPr>
            <w:r w:rsidRPr="00D02A2E">
              <w:t>5</w:t>
            </w:r>
            <w:r w:rsidR="00471ED9">
              <w:t>3.7</w:t>
            </w:r>
          </w:p>
        </w:tc>
        <w:tc>
          <w:tcPr>
            <w:tcW w:w="1021" w:type="dxa"/>
            <w:tcBorders>
              <w:top w:val="single" w:sz="4" w:space="0" w:color="BFBFBF"/>
            </w:tcBorders>
            <w:shd w:val="clear" w:color="auto" w:fill="auto"/>
          </w:tcPr>
          <w:p w:rsidR="0092299C" w:rsidRPr="00D02A2E" w:rsidRDefault="00471ED9" w:rsidP="00471ED9">
            <w:pPr>
              <w:pStyle w:val="ARtabletextright"/>
            </w:pPr>
            <w:r>
              <w:t>7.4</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rPr>
                <w:rFonts w:cs="Arial"/>
                <w:szCs w:val="16"/>
              </w:rPr>
            </w:pPr>
            <w:r w:rsidRPr="00D02A2E">
              <w:t>The higher-than-target actual is a positive result due to an increase in demand from more clients requiring and receiving clinical mental health services.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Registered community clients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64,000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64,679</w:t>
            </w:r>
          </w:p>
        </w:tc>
        <w:tc>
          <w:tcPr>
            <w:tcW w:w="1021" w:type="dxa"/>
            <w:tcBorders>
              <w:top w:val="single" w:sz="4" w:space="0" w:color="BFBFBF"/>
            </w:tcBorders>
            <w:shd w:val="clear" w:color="auto" w:fill="auto"/>
          </w:tcPr>
          <w:p w:rsidR="0092299C" w:rsidRPr="00D02A2E" w:rsidRDefault="0092299C" w:rsidP="0092299C">
            <w:pPr>
              <w:pStyle w:val="ARtabletextright"/>
            </w:pPr>
            <w:r>
              <w:t>1.1</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Residential bed days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181,730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163,031</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10.3</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The lower-than-target actual is due to reduction in demand for public sector aged care residential mental health service beds, following a shift to alternative community-based treatment options combined with a reconfiguration of aged care facilities.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Subacute bed days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171,412</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170,078</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0.8</w:t>
            </w:r>
          </w:p>
        </w:tc>
        <w:tc>
          <w:tcPr>
            <w:tcW w:w="794" w:type="dxa"/>
            <w:tcBorders>
              <w:top w:val="single" w:sz="4" w:space="0" w:color="BFBFBF"/>
            </w:tcBorders>
            <w:shd w:val="clear" w:color="auto" w:fill="auto"/>
            <w:hideMark/>
          </w:tcPr>
          <w:p w:rsidR="0092299C" w:rsidRPr="00D02A2E" w:rsidRDefault="00E841C2"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textright"/>
            </w:pPr>
          </w:p>
        </w:tc>
      </w:tr>
      <w:tr w:rsidR="0092299C" w:rsidRPr="00D02A2E" w:rsidTr="0092299C">
        <w:trPr>
          <w:cantSplit/>
          <w:trHeight w:val="240"/>
        </w:trPr>
        <w:tc>
          <w:tcPr>
            <w:tcW w:w="4761" w:type="dxa"/>
            <w:tcBorders>
              <w:bottom w:val="single" w:sz="4" w:space="0" w:color="BFBFBF"/>
            </w:tcBorders>
            <w:shd w:val="clear" w:color="auto" w:fill="auto"/>
            <w:hideMark/>
          </w:tcPr>
          <w:p w:rsidR="0092299C" w:rsidRPr="00D02A2E" w:rsidRDefault="0092299C" w:rsidP="0092299C">
            <w:pPr>
              <w:pStyle w:val="ARtabletext"/>
            </w:pPr>
            <w:r w:rsidRPr="00D02A2E">
              <w:t>Clients readmitted (unplanned) within 28 days</w:t>
            </w:r>
          </w:p>
        </w:tc>
        <w:tc>
          <w:tcPr>
            <w:tcW w:w="1021" w:type="dxa"/>
            <w:tcBorders>
              <w:bottom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bottom w:val="single" w:sz="4" w:space="0" w:color="BFBFBF"/>
            </w:tcBorders>
            <w:shd w:val="clear" w:color="auto" w:fill="auto"/>
            <w:hideMark/>
          </w:tcPr>
          <w:p w:rsidR="0092299C" w:rsidRPr="00D02A2E" w:rsidRDefault="0092299C" w:rsidP="0092299C">
            <w:pPr>
              <w:pStyle w:val="ARtabletextright"/>
            </w:pPr>
            <w:r w:rsidRPr="00D02A2E">
              <w:t>14</w:t>
            </w:r>
          </w:p>
        </w:tc>
        <w:tc>
          <w:tcPr>
            <w:tcW w:w="1021" w:type="dxa"/>
            <w:tcBorders>
              <w:bottom w:val="single" w:sz="4" w:space="0" w:color="BFBFBF"/>
            </w:tcBorders>
            <w:shd w:val="clear" w:color="auto" w:fill="auto"/>
          </w:tcPr>
          <w:p w:rsidR="0092299C" w:rsidRPr="00D02A2E" w:rsidRDefault="0092299C" w:rsidP="00471ED9">
            <w:pPr>
              <w:pStyle w:val="ARtabletextright"/>
            </w:pPr>
            <w:r w:rsidRPr="00D02A2E">
              <w:t>1</w:t>
            </w:r>
            <w:r w:rsidR="00471ED9">
              <w:t>3.5</w:t>
            </w:r>
          </w:p>
        </w:tc>
        <w:tc>
          <w:tcPr>
            <w:tcW w:w="1021" w:type="dxa"/>
            <w:tcBorders>
              <w:bottom w:val="single" w:sz="4" w:space="0" w:color="BFBFBF"/>
            </w:tcBorders>
            <w:shd w:val="clear" w:color="auto" w:fill="auto"/>
          </w:tcPr>
          <w:p w:rsidR="0092299C" w:rsidRPr="00D02A2E" w:rsidRDefault="00AE3B8E" w:rsidP="00471ED9">
            <w:pPr>
              <w:pStyle w:val="ARtabletextright"/>
            </w:pPr>
            <w:r>
              <w:t>–</w:t>
            </w:r>
            <w:r w:rsidR="00471ED9">
              <w:t>3.6</w:t>
            </w:r>
          </w:p>
        </w:tc>
        <w:tc>
          <w:tcPr>
            <w:tcW w:w="794" w:type="dxa"/>
            <w:tcBorders>
              <w:bottom w:val="single" w:sz="4" w:space="0" w:color="BFBFBF"/>
            </w:tcBorders>
            <w:shd w:val="clear" w:color="auto" w:fill="auto"/>
            <w:hideMark/>
          </w:tcPr>
          <w:p w:rsidR="0092299C" w:rsidRPr="00D02A2E" w:rsidRDefault="00AC5888" w:rsidP="008C184A">
            <w:pPr>
              <w:pStyle w:val="ARtabletextright"/>
            </w:pPr>
            <w:r w:rsidRPr="00AC5888">
              <w:rPr>
                <w:rFonts w:ascii="Wingdings" w:hAnsi="Wingdings"/>
              </w:rPr>
              <w:t></w:t>
            </w:r>
          </w:p>
        </w:tc>
      </w:tr>
      <w:tr w:rsidR="0092299C" w:rsidRPr="00D02A2E" w:rsidTr="0092299C">
        <w:trPr>
          <w:cantSplit/>
          <w:trHeight w:val="240"/>
        </w:trPr>
        <w:tc>
          <w:tcPr>
            <w:tcW w:w="4761"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New client index</w:t>
            </w:r>
          </w:p>
        </w:tc>
        <w:tc>
          <w:tcPr>
            <w:tcW w:w="1021" w:type="dxa"/>
            <w:tcBorders>
              <w:top w:val="single" w:sz="4" w:space="0" w:color="BFBFBF"/>
              <w:bottom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bottom w:val="single" w:sz="4" w:space="0" w:color="BFBFBF"/>
            </w:tcBorders>
            <w:shd w:val="clear" w:color="auto" w:fill="auto"/>
            <w:hideMark/>
          </w:tcPr>
          <w:p w:rsidR="0092299C" w:rsidRPr="00D02A2E" w:rsidRDefault="0092299C" w:rsidP="0092299C">
            <w:pPr>
              <w:pStyle w:val="ARtabletextright"/>
            </w:pPr>
            <w:r w:rsidRPr="00D02A2E">
              <w:t>45</w:t>
            </w:r>
          </w:p>
        </w:tc>
        <w:tc>
          <w:tcPr>
            <w:tcW w:w="1021" w:type="dxa"/>
            <w:tcBorders>
              <w:top w:val="single" w:sz="4" w:space="0" w:color="BFBFBF"/>
              <w:bottom w:val="single" w:sz="4" w:space="0" w:color="BFBFBF"/>
            </w:tcBorders>
            <w:shd w:val="clear" w:color="auto" w:fill="auto"/>
          </w:tcPr>
          <w:p w:rsidR="0092299C" w:rsidRPr="00D02A2E" w:rsidRDefault="0092299C" w:rsidP="00471ED9">
            <w:pPr>
              <w:pStyle w:val="ARtabletextright"/>
            </w:pPr>
            <w:r w:rsidRPr="00D02A2E">
              <w:t>4</w:t>
            </w:r>
            <w:r w:rsidR="00471ED9">
              <w:t>5.8</w:t>
            </w:r>
          </w:p>
        </w:tc>
        <w:tc>
          <w:tcPr>
            <w:tcW w:w="1021" w:type="dxa"/>
            <w:tcBorders>
              <w:top w:val="single" w:sz="4" w:space="0" w:color="BFBFBF"/>
              <w:bottom w:val="single" w:sz="4" w:space="0" w:color="BFBFBF"/>
            </w:tcBorders>
            <w:shd w:val="clear" w:color="auto" w:fill="auto"/>
          </w:tcPr>
          <w:p w:rsidR="0092299C" w:rsidRPr="00D02A2E" w:rsidRDefault="00471ED9" w:rsidP="00471ED9">
            <w:pPr>
              <w:pStyle w:val="ARtabletextright"/>
            </w:pPr>
            <w:r>
              <w:t>1.8</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480"/>
        </w:trPr>
        <w:tc>
          <w:tcPr>
            <w:tcW w:w="4761"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Number of area mental health services achieving or maintaining accreditation under the National Standards for Mental Health Services</w:t>
            </w:r>
          </w:p>
        </w:tc>
        <w:tc>
          <w:tcPr>
            <w:tcW w:w="1021" w:type="dxa"/>
            <w:tcBorders>
              <w:top w:val="single" w:sz="4" w:space="0" w:color="BFBFBF"/>
              <w:bottom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bottom w:val="single" w:sz="4" w:space="0" w:color="BFBFBF"/>
            </w:tcBorders>
            <w:shd w:val="clear" w:color="auto" w:fill="auto"/>
            <w:hideMark/>
          </w:tcPr>
          <w:p w:rsidR="0092299C" w:rsidRPr="00D02A2E" w:rsidRDefault="0092299C" w:rsidP="0092299C">
            <w:pPr>
              <w:pStyle w:val="ARtabletextright"/>
            </w:pPr>
            <w:r w:rsidRPr="00D02A2E">
              <w:t>21</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21</w:t>
            </w:r>
          </w:p>
        </w:tc>
        <w:tc>
          <w:tcPr>
            <w:tcW w:w="1021" w:type="dxa"/>
            <w:tcBorders>
              <w:top w:val="single" w:sz="4" w:space="0" w:color="BFBFBF"/>
              <w:bottom w:val="single" w:sz="4" w:space="0" w:color="BFBFBF"/>
            </w:tcBorders>
            <w:shd w:val="clear" w:color="auto" w:fill="auto"/>
          </w:tcPr>
          <w:p w:rsidR="0092299C" w:rsidRPr="00D02A2E" w:rsidRDefault="007B4262" w:rsidP="0092299C">
            <w:pPr>
              <w:pStyle w:val="ARtabletextright"/>
            </w:pPr>
            <w:r>
              <w:t>0.0</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Post-discharge community care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75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78</w:t>
            </w:r>
          </w:p>
        </w:tc>
        <w:tc>
          <w:tcPr>
            <w:tcW w:w="1021" w:type="dxa"/>
            <w:tcBorders>
              <w:top w:val="single" w:sz="4" w:space="0" w:color="BFBFBF"/>
            </w:tcBorders>
            <w:shd w:val="clear" w:color="auto" w:fill="auto"/>
          </w:tcPr>
          <w:p w:rsidR="0092299C" w:rsidRPr="00D02A2E" w:rsidRDefault="0092299C" w:rsidP="0092299C">
            <w:pPr>
              <w:pStyle w:val="ARtabletextright"/>
            </w:pPr>
            <w:r>
              <w:t>4.0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A94E7D">
            <w:pPr>
              <w:pStyle w:val="ARtabletext"/>
              <w:keepNext/>
            </w:pPr>
            <w:r w:rsidRPr="00D02A2E">
              <w:lastRenderedPageBreak/>
              <w:t>Pre-admission community care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60</w:t>
            </w:r>
          </w:p>
        </w:tc>
        <w:tc>
          <w:tcPr>
            <w:tcW w:w="1021" w:type="dxa"/>
            <w:tcBorders>
              <w:top w:val="single" w:sz="4" w:space="0" w:color="BFBFBF"/>
            </w:tcBorders>
            <w:shd w:val="clear" w:color="auto" w:fill="auto"/>
          </w:tcPr>
          <w:p w:rsidR="0092299C" w:rsidRPr="00D02A2E" w:rsidRDefault="00D1019A" w:rsidP="0092299C">
            <w:pPr>
              <w:pStyle w:val="ARtabletextright"/>
            </w:pPr>
            <w:r>
              <w:t>51.8</w:t>
            </w:r>
          </w:p>
        </w:tc>
        <w:tc>
          <w:tcPr>
            <w:tcW w:w="1021" w:type="dxa"/>
            <w:tcBorders>
              <w:top w:val="single" w:sz="4" w:space="0" w:color="BFBFBF"/>
            </w:tcBorders>
            <w:shd w:val="clear" w:color="auto" w:fill="auto"/>
          </w:tcPr>
          <w:p w:rsidR="0092299C" w:rsidRPr="00D02A2E" w:rsidRDefault="00EC4FD8" w:rsidP="00D1019A">
            <w:pPr>
              <w:pStyle w:val="ARtabletextright"/>
            </w:pPr>
            <w:r>
              <w:t>–</w:t>
            </w:r>
            <w:r w:rsidR="0092299C">
              <w:t>13.</w:t>
            </w:r>
            <w:r w:rsidR="00D1019A">
              <w:t>7</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The </w:t>
            </w:r>
            <w:r>
              <w:t>result is lower than the target</w:t>
            </w:r>
            <w:r w:rsidRPr="00D02A2E">
              <w:t xml:space="preserve"> due to under</w:t>
            </w:r>
            <w:r>
              <w:t>-</w:t>
            </w:r>
            <w:r w:rsidRPr="00D02A2E">
              <w:t>reporting of client outcome measures. Since the resolution of the underpinning issue, the final result has significantly improved.</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text"/>
            </w:pPr>
            <w:r w:rsidRPr="00D02A2E">
              <w:t>Seclusions per 1,000 occupied bed days</w:t>
            </w:r>
          </w:p>
        </w:tc>
        <w:tc>
          <w:tcPr>
            <w:tcW w:w="1021" w:type="dxa"/>
            <w:tcBorders>
              <w:top w:val="single" w:sz="4" w:space="0" w:color="BFBFBF"/>
            </w:tcBorders>
            <w:shd w:val="clear" w:color="auto" w:fill="auto"/>
          </w:tcPr>
          <w:p w:rsidR="0092299C" w:rsidRPr="00D02A2E" w:rsidRDefault="00D56197" w:rsidP="001F2E2D">
            <w:pPr>
              <w:pStyle w:val="ARtabletext"/>
              <w:jc w:val="center"/>
            </w:pPr>
            <w:r>
              <w:t>n</w:t>
            </w:r>
            <w:r w:rsidR="0092299C" w:rsidRPr="00D02A2E">
              <w:t>umber</w:t>
            </w:r>
          </w:p>
        </w:tc>
        <w:tc>
          <w:tcPr>
            <w:tcW w:w="1021" w:type="dxa"/>
            <w:tcBorders>
              <w:top w:val="single" w:sz="4" w:space="0" w:color="BFBFBF"/>
            </w:tcBorders>
            <w:shd w:val="clear" w:color="auto" w:fill="auto"/>
          </w:tcPr>
          <w:p w:rsidR="0092299C" w:rsidRPr="00D02A2E" w:rsidRDefault="0092299C" w:rsidP="007B4262">
            <w:pPr>
              <w:pStyle w:val="ARtabletext"/>
              <w:jc w:val="right"/>
            </w:pPr>
            <w:r w:rsidRPr="00D02A2E">
              <w:t>15</w:t>
            </w:r>
          </w:p>
        </w:tc>
        <w:tc>
          <w:tcPr>
            <w:tcW w:w="1021" w:type="dxa"/>
            <w:tcBorders>
              <w:top w:val="single" w:sz="4" w:space="0" w:color="BFBFBF"/>
            </w:tcBorders>
            <w:shd w:val="clear" w:color="auto" w:fill="auto"/>
          </w:tcPr>
          <w:p w:rsidR="0092299C" w:rsidRPr="00D02A2E" w:rsidRDefault="0092299C" w:rsidP="007B4262">
            <w:pPr>
              <w:pStyle w:val="ARtabletext"/>
              <w:jc w:val="right"/>
            </w:pPr>
            <w:r w:rsidRPr="00D02A2E">
              <w:t>10</w:t>
            </w:r>
          </w:p>
        </w:tc>
        <w:tc>
          <w:tcPr>
            <w:tcW w:w="1021" w:type="dxa"/>
            <w:tcBorders>
              <w:top w:val="single" w:sz="4" w:space="0" w:color="BFBFBF"/>
            </w:tcBorders>
            <w:shd w:val="clear" w:color="auto" w:fill="auto"/>
          </w:tcPr>
          <w:p w:rsidR="0092299C" w:rsidRPr="00D02A2E" w:rsidRDefault="00EC4FD8" w:rsidP="007B4262">
            <w:pPr>
              <w:pStyle w:val="ARtabletext"/>
              <w:jc w:val="right"/>
            </w:pPr>
            <w:r>
              <w:t>–</w:t>
            </w:r>
            <w:r w:rsidR="007B4262">
              <w:t>33.3</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t>This</w:t>
            </w:r>
            <w:r w:rsidRPr="00D02A2E">
              <w:t xml:space="preserve"> is a positive result.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
            </w:pPr>
            <w:r w:rsidRPr="00D02A2E">
              <w:t>Emergency patients admitted to a mental health bed within eight hours</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hideMark/>
          </w:tcPr>
          <w:p w:rsidR="0092299C" w:rsidRPr="00D02A2E" w:rsidRDefault="0092299C" w:rsidP="0092299C">
            <w:pPr>
              <w:pStyle w:val="ARtabletextright"/>
            </w:pPr>
            <w:r w:rsidRPr="00D02A2E">
              <w:t>80</w:t>
            </w:r>
          </w:p>
        </w:tc>
        <w:tc>
          <w:tcPr>
            <w:tcW w:w="1021" w:type="dxa"/>
            <w:shd w:val="clear" w:color="auto" w:fill="auto"/>
          </w:tcPr>
          <w:p w:rsidR="0092299C" w:rsidRPr="00D02A2E" w:rsidRDefault="0092299C" w:rsidP="0092299C">
            <w:pPr>
              <w:pStyle w:val="ARtabletextright"/>
            </w:pPr>
            <w:r w:rsidRPr="00D02A2E">
              <w:t>60</w:t>
            </w:r>
            <w:r w:rsidR="00D1019A">
              <w:t>.4</w:t>
            </w:r>
          </w:p>
        </w:tc>
        <w:tc>
          <w:tcPr>
            <w:tcW w:w="1021" w:type="dxa"/>
            <w:shd w:val="clear" w:color="auto" w:fill="auto"/>
          </w:tcPr>
          <w:p w:rsidR="0092299C" w:rsidRPr="00D02A2E" w:rsidRDefault="00EC4FD8" w:rsidP="00D1019A">
            <w:pPr>
              <w:pStyle w:val="ARtabletextright"/>
            </w:pPr>
            <w:r>
              <w:t>–</w:t>
            </w:r>
            <w:r w:rsidR="0092299C">
              <w:t>2</w:t>
            </w:r>
            <w:r w:rsidR="00D1019A">
              <w:t>4.</w:t>
            </w:r>
            <w:r w:rsidR="0092299C">
              <w:t>5</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The </w:t>
            </w:r>
            <w:r>
              <w:t>result is lower than the target</w:t>
            </w:r>
            <w:r w:rsidRPr="00D02A2E">
              <w:t xml:space="preserve"> due to the high levels of demand as more people are presenting directly to emergency departments needing an acute inpatient admission, particularly in population growth areas in the metropolitan areas.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bold"/>
            </w:pPr>
            <w:r w:rsidRPr="00D02A2E">
              <w:t>Total output cost</w:t>
            </w:r>
          </w:p>
        </w:tc>
        <w:tc>
          <w:tcPr>
            <w:tcW w:w="1021" w:type="dxa"/>
            <w:shd w:val="clear" w:color="auto" w:fill="auto"/>
            <w:hideMark/>
          </w:tcPr>
          <w:p w:rsidR="0092299C" w:rsidRPr="00D02A2E" w:rsidRDefault="0092299C" w:rsidP="001F2E2D">
            <w:pPr>
              <w:pStyle w:val="ARtabletextbold"/>
              <w:jc w:val="center"/>
            </w:pPr>
            <w:r w:rsidRPr="00D02A2E">
              <w:t>$ million</w:t>
            </w:r>
          </w:p>
        </w:tc>
        <w:tc>
          <w:tcPr>
            <w:tcW w:w="1021" w:type="dxa"/>
            <w:shd w:val="clear" w:color="auto" w:fill="auto"/>
          </w:tcPr>
          <w:p w:rsidR="0092299C" w:rsidRPr="00F72126" w:rsidRDefault="0092299C" w:rsidP="0092299C">
            <w:pPr>
              <w:pStyle w:val="ARtabletextbold"/>
              <w:jc w:val="right"/>
              <w:rPr>
                <w:bCs/>
              </w:rPr>
            </w:pPr>
            <w:r w:rsidRPr="00F72126">
              <w:rPr>
                <w:bCs/>
              </w:rPr>
              <w:t>1,269.9</w:t>
            </w:r>
          </w:p>
        </w:tc>
        <w:tc>
          <w:tcPr>
            <w:tcW w:w="1021" w:type="dxa"/>
            <w:shd w:val="clear" w:color="auto" w:fill="auto"/>
          </w:tcPr>
          <w:p w:rsidR="0092299C" w:rsidRPr="00F72126" w:rsidRDefault="0092299C" w:rsidP="0092299C">
            <w:pPr>
              <w:pStyle w:val="ARtabletextbold"/>
              <w:jc w:val="right"/>
              <w:rPr>
                <w:bCs/>
              </w:rPr>
            </w:pPr>
            <w:r w:rsidRPr="00F72126">
              <w:rPr>
                <w:bCs/>
              </w:rPr>
              <w:t>1,258.2</w:t>
            </w:r>
          </w:p>
        </w:tc>
        <w:tc>
          <w:tcPr>
            <w:tcW w:w="1021" w:type="dxa"/>
            <w:shd w:val="clear" w:color="auto" w:fill="auto"/>
          </w:tcPr>
          <w:p w:rsidR="0092299C" w:rsidRPr="00F72126" w:rsidRDefault="00EC4FD8" w:rsidP="0092299C">
            <w:pPr>
              <w:pStyle w:val="ARtabletextbold"/>
              <w:jc w:val="right"/>
              <w:rPr>
                <w:bCs/>
              </w:rPr>
            </w:pPr>
            <w:r>
              <w:rPr>
                <w:bCs/>
              </w:rPr>
              <w:t>–</w:t>
            </w:r>
            <w:r w:rsidR="007B4262">
              <w:rPr>
                <w:bCs/>
              </w:rPr>
              <w:t>0.9</w:t>
            </w:r>
          </w:p>
        </w:tc>
        <w:tc>
          <w:tcPr>
            <w:tcW w:w="794" w:type="dxa"/>
            <w:shd w:val="clear" w:color="auto" w:fill="auto"/>
            <w:hideMark/>
          </w:tcPr>
          <w:p w:rsidR="0092299C" w:rsidRPr="00F72126" w:rsidRDefault="0092299C" w:rsidP="0092299C">
            <w:pPr>
              <w:pStyle w:val="ARtabletextbold"/>
              <w:jc w:val="right"/>
              <w:rPr>
                <w:rFonts w:ascii="Wingdings" w:hAnsi="Wingdings"/>
                <w:bCs/>
              </w:rPr>
            </w:pPr>
          </w:p>
        </w:tc>
      </w:tr>
      <w:tr w:rsidR="0092299C" w:rsidRPr="00D02A2E" w:rsidTr="0092299C">
        <w:trPr>
          <w:cantSplit/>
          <w:trHeight w:val="240"/>
        </w:trPr>
        <w:tc>
          <w:tcPr>
            <w:tcW w:w="9639" w:type="dxa"/>
            <w:gridSpan w:val="6"/>
            <w:tcBorders>
              <w:bottom w:val="single" w:sz="4" w:space="0" w:color="auto"/>
            </w:tcBorders>
            <w:shd w:val="clear" w:color="auto" w:fill="auto"/>
          </w:tcPr>
          <w:p w:rsidR="0092299C" w:rsidRPr="00D02A2E" w:rsidRDefault="0092299C" w:rsidP="0092299C">
            <w:pPr>
              <w:pStyle w:val="ARtablenoteindent"/>
            </w:pPr>
            <w:r w:rsidRPr="00B67653">
              <w:t>The 20</w:t>
            </w:r>
            <w:r>
              <w:t>16–17</w:t>
            </w:r>
            <w:r w:rsidRPr="00B67653">
              <w:t xml:space="preserve"> actual outcome primarily reflects movement within outputs, a reduction of National Health Reform funding and lower than estimated third party revenue partially offset by Nurses Enterprise Bargaining Agreement funding.</w:t>
            </w:r>
          </w:p>
        </w:tc>
      </w:tr>
      <w:tr w:rsidR="0092299C" w:rsidRPr="00D02A2E" w:rsidTr="0092299C">
        <w:trPr>
          <w:cantSplit/>
          <w:trHeight w:val="240"/>
        </w:trPr>
        <w:tc>
          <w:tcPr>
            <w:tcW w:w="4761" w:type="dxa"/>
            <w:tcBorders>
              <w:bottom w:val="single" w:sz="4" w:space="0" w:color="auto"/>
            </w:tcBorders>
            <w:shd w:val="clear" w:color="auto" w:fill="auto"/>
            <w:hideMark/>
          </w:tcPr>
          <w:p w:rsidR="0092299C" w:rsidRPr="00D02A2E" w:rsidRDefault="0092299C" w:rsidP="0092299C">
            <w:pPr>
              <w:pStyle w:val="ARtablebluebold"/>
            </w:pPr>
            <w:r w:rsidRPr="00D02A2E">
              <w:t xml:space="preserve">Mental Health Community Support Services (MHCSS) </w:t>
            </w:r>
          </w:p>
        </w:tc>
        <w:tc>
          <w:tcPr>
            <w:tcW w:w="1021" w:type="dxa"/>
            <w:tcBorders>
              <w:bottom w:val="single" w:sz="4" w:space="0" w:color="auto"/>
            </w:tcBorders>
            <w:shd w:val="clear" w:color="auto" w:fill="auto"/>
            <w:hideMark/>
          </w:tcPr>
          <w:p w:rsidR="0092299C" w:rsidRPr="00D02A2E" w:rsidRDefault="0092299C" w:rsidP="0092299C">
            <w:pPr>
              <w:pStyle w:val="ARtablebluebold"/>
            </w:pPr>
          </w:p>
        </w:tc>
        <w:tc>
          <w:tcPr>
            <w:tcW w:w="1021" w:type="dxa"/>
            <w:tcBorders>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auto"/>
            </w:tcBorders>
            <w:shd w:val="clear" w:color="auto" w:fill="auto"/>
            <w:hideMark/>
          </w:tcPr>
          <w:p w:rsidR="0092299C" w:rsidRPr="00D02A2E" w:rsidRDefault="0092299C" w:rsidP="0092299C">
            <w:pPr>
              <w:pStyle w:val="ARtablebluebold"/>
            </w:pPr>
            <w:r w:rsidRPr="00D02A2E">
              <w:t> </w:t>
            </w:r>
          </w:p>
        </w:tc>
        <w:tc>
          <w:tcPr>
            <w:tcW w:w="794" w:type="dxa"/>
            <w:tcBorders>
              <w:bottom w:val="single" w:sz="4" w:space="0" w:color="auto"/>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top w:val="single" w:sz="4" w:space="0" w:color="auto"/>
              <w:bottom w:val="single" w:sz="4" w:space="0" w:color="FFFFFF"/>
            </w:tcBorders>
            <w:shd w:val="clear" w:color="auto" w:fill="auto"/>
            <w:hideMark/>
          </w:tcPr>
          <w:p w:rsidR="0092299C" w:rsidRPr="00D02A2E" w:rsidRDefault="0092299C" w:rsidP="0092299C">
            <w:pPr>
              <w:pStyle w:val="ARtablebluebold"/>
              <w:rPr>
                <w:i/>
              </w:rPr>
            </w:pPr>
            <w:r w:rsidRPr="00A94E7D">
              <w:t>Quantity</w:t>
            </w:r>
          </w:p>
        </w:tc>
        <w:tc>
          <w:tcPr>
            <w:tcW w:w="1021" w:type="dxa"/>
            <w:tcBorders>
              <w:top w:val="single" w:sz="4" w:space="0" w:color="auto"/>
              <w:bottom w:val="single" w:sz="4" w:space="0" w:color="FFFFFF"/>
            </w:tcBorders>
            <w:shd w:val="clear" w:color="auto" w:fill="auto"/>
            <w:hideMark/>
          </w:tcPr>
          <w:p w:rsidR="0092299C" w:rsidRPr="00D02A2E" w:rsidRDefault="0092299C" w:rsidP="0092299C">
            <w:pPr>
              <w:pStyle w:val="ARtablebluebold"/>
              <w:rPr>
                <w:i/>
              </w:rPr>
            </w:pPr>
          </w:p>
        </w:tc>
        <w:tc>
          <w:tcPr>
            <w:tcW w:w="1021" w:type="dxa"/>
            <w:tcBorders>
              <w:top w:val="single" w:sz="4" w:space="0" w:color="auto"/>
              <w:bottom w:val="single" w:sz="4" w:space="0" w:color="FFFFFF"/>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auto"/>
              <w:bottom w:val="single" w:sz="4" w:space="0" w:color="FFFFFF"/>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auto"/>
              <w:bottom w:val="single" w:sz="4" w:space="0" w:color="FFFFFF"/>
            </w:tcBorders>
            <w:shd w:val="clear" w:color="auto" w:fill="auto"/>
            <w:hideMark/>
          </w:tcPr>
          <w:p w:rsidR="0092299C" w:rsidRPr="00D02A2E" w:rsidRDefault="0092299C" w:rsidP="0092299C">
            <w:pPr>
              <w:pStyle w:val="ARtablebluebold"/>
              <w:rPr>
                <w:i/>
              </w:rPr>
            </w:pPr>
            <w:r w:rsidRPr="00D02A2E">
              <w:rPr>
                <w:i/>
              </w:rPr>
              <w:t> </w:t>
            </w:r>
          </w:p>
        </w:tc>
        <w:tc>
          <w:tcPr>
            <w:tcW w:w="794" w:type="dxa"/>
            <w:tcBorders>
              <w:top w:val="single" w:sz="4" w:space="0" w:color="auto"/>
              <w:bottom w:val="single" w:sz="4" w:space="0" w:color="FFFFFF"/>
            </w:tcBorders>
            <w:shd w:val="clear" w:color="auto" w:fill="auto"/>
            <w:hideMark/>
          </w:tcPr>
          <w:p w:rsidR="0092299C" w:rsidRPr="00D02A2E" w:rsidRDefault="0092299C" w:rsidP="0092299C">
            <w:pPr>
              <w:pStyle w:val="ARtablebluebold"/>
              <w:rPr>
                <w:i/>
              </w:rPr>
            </w:pPr>
          </w:p>
        </w:tc>
      </w:tr>
      <w:tr w:rsidR="0092299C" w:rsidRPr="00D02A2E" w:rsidTr="0092299C">
        <w:trPr>
          <w:cantSplit/>
          <w:trHeight w:val="240"/>
        </w:trPr>
        <w:tc>
          <w:tcPr>
            <w:tcW w:w="4761" w:type="dxa"/>
            <w:tcBorders>
              <w:top w:val="single" w:sz="4" w:space="0" w:color="FFFFFF"/>
            </w:tcBorders>
            <w:shd w:val="clear" w:color="auto" w:fill="auto"/>
            <w:hideMark/>
          </w:tcPr>
          <w:p w:rsidR="0092299C" w:rsidRPr="00D02A2E" w:rsidRDefault="0092299C" w:rsidP="0092299C">
            <w:pPr>
              <w:pStyle w:val="ARtabletext"/>
            </w:pPr>
            <w:r w:rsidRPr="00D02A2E">
              <w:t>Bed days</w:t>
            </w:r>
          </w:p>
        </w:tc>
        <w:tc>
          <w:tcPr>
            <w:tcW w:w="1021" w:type="dxa"/>
            <w:tcBorders>
              <w:top w:val="single" w:sz="4" w:space="0" w:color="FFFFF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FFFFFF"/>
            </w:tcBorders>
            <w:shd w:val="clear" w:color="auto" w:fill="auto"/>
          </w:tcPr>
          <w:p w:rsidR="0092299C" w:rsidRPr="00D02A2E" w:rsidRDefault="0092299C" w:rsidP="0092299C">
            <w:pPr>
              <w:pStyle w:val="ARtabletextright"/>
            </w:pPr>
            <w:r w:rsidRPr="00D02A2E">
              <w:t>87,000</w:t>
            </w:r>
          </w:p>
        </w:tc>
        <w:tc>
          <w:tcPr>
            <w:tcW w:w="1021" w:type="dxa"/>
            <w:tcBorders>
              <w:top w:val="single" w:sz="4" w:space="0" w:color="FFFFFF"/>
            </w:tcBorders>
            <w:shd w:val="clear" w:color="auto" w:fill="auto"/>
          </w:tcPr>
          <w:p w:rsidR="0092299C" w:rsidRPr="00D02A2E" w:rsidRDefault="0092299C" w:rsidP="0092299C">
            <w:pPr>
              <w:pStyle w:val="ARtabletextright"/>
            </w:pPr>
            <w:r w:rsidRPr="00D02A2E">
              <w:t>81,130</w:t>
            </w:r>
          </w:p>
        </w:tc>
        <w:tc>
          <w:tcPr>
            <w:tcW w:w="1021" w:type="dxa"/>
            <w:tcBorders>
              <w:top w:val="single" w:sz="4" w:space="0" w:color="FFFFFF"/>
            </w:tcBorders>
            <w:shd w:val="clear" w:color="auto" w:fill="auto"/>
          </w:tcPr>
          <w:p w:rsidR="0092299C" w:rsidRPr="00D02A2E" w:rsidRDefault="00EC4FD8" w:rsidP="0092299C">
            <w:pPr>
              <w:pStyle w:val="ARtabletextright"/>
            </w:pPr>
            <w:r>
              <w:t>–</w:t>
            </w:r>
            <w:r w:rsidR="007B4262">
              <w:t>6.7</w:t>
            </w:r>
          </w:p>
        </w:tc>
        <w:tc>
          <w:tcPr>
            <w:tcW w:w="794" w:type="dxa"/>
            <w:tcBorders>
              <w:top w:val="single" w:sz="4" w:space="0" w:color="FFFFF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noWrap/>
            <w:hideMark/>
          </w:tcPr>
          <w:p w:rsidR="0092299C" w:rsidRPr="00D02A2E" w:rsidRDefault="0092299C" w:rsidP="0092299C">
            <w:pPr>
              <w:pStyle w:val="ARtablenoteindent"/>
            </w:pPr>
            <w:r w:rsidRPr="00D02A2E">
              <w:t xml:space="preserve">The </w:t>
            </w:r>
            <w:r>
              <w:t>result is lower than the target</w:t>
            </w:r>
            <w:r w:rsidRPr="00D02A2E">
              <w:t xml:space="preserve"> due to clients of MHCSS transitioning to the NDIS. The actual bed day data will continue to decline as each geographical area transitions until Victoria is at full scheme.</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Client Support Units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783,100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757,236</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7B4262">
              <w:t>3.3</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Clients receiving community mental health support services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12,600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11,337</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7B4262">
              <w:t>10.0</w:t>
            </w:r>
          </w:p>
        </w:tc>
        <w:tc>
          <w:tcPr>
            <w:tcW w:w="794" w:type="dxa"/>
            <w:tcBorders>
              <w:top w:val="single" w:sz="4" w:space="0" w:color="BFBFBF"/>
            </w:tcBorders>
            <w:shd w:val="clear" w:color="auto" w:fill="auto"/>
            <w:hideMark/>
          </w:tcPr>
          <w:p w:rsidR="0092299C" w:rsidRPr="00D02A2E" w:rsidRDefault="006C04E4"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shd w:val="clear" w:color="auto" w:fill="auto"/>
          </w:tcPr>
          <w:p w:rsidR="0092299C" w:rsidRPr="00D02A2E" w:rsidRDefault="0092299C" w:rsidP="0092299C">
            <w:pPr>
              <w:pStyle w:val="ARtablenoteindent"/>
            </w:pPr>
            <w:r w:rsidRPr="00D02A2E">
              <w:t xml:space="preserve">The </w:t>
            </w:r>
            <w:r>
              <w:t>result is lower than the target</w:t>
            </w:r>
            <w:r w:rsidRPr="00D02A2E">
              <w:t xml:space="preserve"> due to clients of MHCSS transitioning to the NDIS. The actual rate of client support units will continue to decline as each geographical area transitions until Victoria is at full scheme.</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bottom w:val="single" w:sz="4" w:space="0" w:color="BFBFBF"/>
            </w:tcBorders>
            <w:shd w:val="clear" w:color="auto" w:fill="FFFFFF" w:themeFill="background1"/>
            <w:hideMark/>
          </w:tcPr>
          <w:p w:rsidR="0092299C" w:rsidRPr="00D02A2E" w:rsidRDefault="0092299C" w:rsidP="0092299C">
            <w:pPr>
              <w:pStyle w:val="ARtabletext"/>
            </w:pPr>
            <w:r w:rsidRPr="00D02A2E">
              <w:t>Proportion of major agencies accredited</w:t>
            </w:r>
          </w:p>
        </w:tc>
        <w:tc>
          <w:tcPr>
            <w:tcW w:w="1021" w:type="dxa"/>
            <w:tcBorders>
              <w:bottom w:val="single" w:sz="4" w:space="0" w:color="BFBFBF"/>
            </w:tcBorders>
            <w:shd w:val="clear" w:color="auto" w:fill="FFFFFF" w:themeFill="background1"/>
            <w:hideMark/>
          </w:tcPr>
          <w:p w:rsidR="0092299C" w:rsidRPr="00D02A2E" w:rsidRDefault="0092299C" w:rsidP="001F2E2D">
            <w:pPr>
              <w:pStyle w:val="ARtabletext"/>
              <w:jc w:val="center"/>
            </w:pPr>
            <w:r w:rsidRPr="00D02A2E">
              <w:t>per cent</w:t>
            </w:r>
          </w:p>
        </w:tc>
        <w:tc>
          <w:tcPr>
            <w:tcW w:w="1021" w:type="dxa"/>
            <w:tcBorders>
              <w:bottom w:val="single" w:sz="4" w:space="0" w:color="BFBFBF"/>
            </w:tcBorders>
            <w:shd w:val="clear" w:color="auto" w:fill="FFFFFF" w:themeFill="background1"/>
          </w:tcPr>
          <w:p w:rsidR="0092299C" w:rsidRPr="00D02A2E" w:rsidRDefault="0092299C" w:rsidP="0092299C">
            <w:pPr>
              <w:pStyle w:val="ARtabletextright"/>
            </w:pPr>
            <w:r w:rsidRPr="00D02A2E">
              <w:t>100</w:t>
            </w:r>
            <w:r>
              <w:tab/>
            </w:r>
          </w:p>
        </w:tc>
        <w:tc>
          <w:tcPr>
            <w:tcW w:w="1021" w:type="dxa"/>
            <w:tcBorders>
              <w:bottom w:val="single" w:sz="4" w:space="0" w:color="BFBFBF"/>
            </w:tcBorders>
            <w:shd w:val="clear" w:color="auto" w:fill="FFFFFF" w:themeFill="background1"/>
          </w:tcPr>
          <w:p w:rsidR="0092299C" w:rsidRPr="00D02A2E" w:rsidRDefault="0092299C" w:rsidP="0092299C">
            <w:pPr>
              <w:pStyle w:val="ARtabletextright"/>
            </w:pPr>
            <w:r w:rsidRPr="00D02A2E">
              <w:t>100</w:t>
            </w:r>
          </w:p>
        </w:tc>
        <w:tc>
          <w:tcPr>
            <w:tcW w:w="1021" w:type="dxa"/>
            <w:tcBorders>
              <w:bottom w:val="single" w:sz="4" w:space="0" w:color="BFBFBF"/>
            </w:tcBorders>
            <w:shd w:val="clear" w:color="auto" w:fill="FFFFFF" w:themeFill="background1"/>
          </w:tcPr>
          <w:p w:rsidR="0092299C" w:rsidRPr="00D02A2E" w:rsidRDefault="0092299C" w:rsidP="0092299C">
            <w:pPr>
              <w:pStyle w:val="ARtabletextright"/>
            </w:pPr>
            <w:r>
              <w:t>0</w:t>
            </w:r>
          </w:p>
        </w:tc>
        <w:tc>
          <w:tcPr>
            <w:tcW w:w="794" w:type="dxa"/>
            <w:tcBorders>
              <w:bottom w:val="single" w:sz="4" w:space="0" w:color="BFBFBF"/>
            </w:tcBorders>
            <w:shd w:val="clear" w:color="auto" w:fill="FFFFFF" w:themeFill="background1"/>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bold"/>
            </w:pPr>
            <w:r w:rsidRPr="00D02A2E">
              <w:t>Total output cost</w:t>
            </w:r>
          </w:p>
        </w:tc>
        <w:tc>
          <w:tcPr>
            <w:tcW w:w="1021" w:type="dxa"/>
            <w:shd w:val="clear" w:color="auto" w:fill="auto"/>
            <w:hideMark/>
          </w:tcPr>
          <w:p w:rsidR="0092299C" w:rsidRPr="00D02A2E" w:rsidRDefault="0092299C" w:rsidP="001F2E2D">
            <w:pPr>
              <w:pStyle w:val="ARtabletextbold"/>
              <w:jc w:val="center"/>
            </w:pPr>
            <w:r w:rsidRPr="00D02A2E">
              <w:t>$ million</w:t>
            </w:r>
          </w:p>
        </w:tc>
        <w:tc>
          <w:tcPr>
            <w:tcW w:w="1021" w:type="dxa"/>
            <w:shd w:val="clear" w:color="auto" w:fill="auto"/>
          </w:tcPr>
          <w:p w:rsidR="0092299C" w:rsidRPr="00F72126" w:rsidRDefault="0092299C" w:rsidP="0092299C">
            <w:pPr>
              <w:pStyle w:val="ARtabletextright"/>
              <w:rPr>
                <w:b/>
                <w:bCs/>
              </w:rPr>
            </w:pPr>
            <w:r w:rsidRPr="00F72126">
              <w:rPr>
                <w:b/>
                <w:bCs/>
              </w:rPr>
              <w:t>128.1</w:t>
            </w:r>
            <w:r w:rsidRPr="00F72126">
              <w:rPr>
                <w:b/>
                <w:bCs/>
              </w:rPr>
              <w:tab/>
            </w:r>
          </w:p>
        </w:tc>
        <w:tc>
          <w:tcPr>
            <w:tcW w:w="1021" w:type="dxa"/>
            <w:shd w:val="clear" w:color="auto" w:fill="auto"/>
          </w:tcPr>
          <w:p w:rsidR="0092299C" w:rsidRPr="00F72126" w:rsidRDefault="0092299C" w:rsidP="0092299C">
            <w:pPr>
              <w:pStyle w:val="ARtabletextright"/>
              <w:rPr>
                <w:b/>
                <w:bCs/>
              </w:rPr>
            </w:pPr>
            <w:r w:rsidRPr="00F72126">
              <w:rPr>
                <w:b/>
                <w:bCs/>
              </w:rPr>
              <w:t>124.8</w:t>
            </w:r>
          </w:p>
        </w:tc>
        <w:tc>
          <w:tcPr>
            <w:tcW w:w="1021" w:type="dxa"/>
            <w:shd w:val="clear" w:color="auto" w:fill="auto"/>
          </w:tcPr>
          <w:p w:rsidR="0092299C" w:rsidRPr="00F72126" w:rsidRDefault="00EC4FD8" w:rsidP="0092299C">
            <w:pPr>
              <w:pStyle w:val="ARtabletextright"/>
              <w:rPr>
                <w:b/>
                <w:bCs/>
              </w:rPr>
            </w:pPr>
            <w:r>
              <w:rPr>
                <w:b/>
                <w:bCs/>
              </w:rPr>
              <w:t>–</w:t>
            </w:r>
            <w:r w:rsidR="007B4262">
              <w:rPr>
                <w:b/>
                <w:bCs/>
              </w:rPr>
              <w:t>2.6</w:t>
            </w:r>
          </w:p>
        </w:tc>
        <w:tc>
          <w:tcPr>
            <w:tcW w:w="794" w:type="dxa"/>
            <w:shd w:val="clear" w:color="auto" w:fill="auto"/>
          </w:tcPr>
          <w:p w:rsidR="0092299C" w:rsidRPr="00F72126" w:rsidRDefault="0092299C" w:rsidP="0092299C">
            <w:pPr>
              <w:pStyle w:val="ARtabletextright"/>
              <w:rPr>
                <w:b/>
                <w:bCs/>
              </w:rPr>
            </w:pPr>
          </w:p>
        </w:tc>
      </w:tr>
      <w:tr w:rsidR="0092299C" w:rsidRPr="00D02A2E" w:rsidTr="0092299C">
        <w:trPr>
          <w:cantSplit/>
          <w:trHeight w:val="240"/>
        </w:trPr>
        <w:tc>
          <w:tcPr>
            <w:tcW w:w="9639" w:type="dxa"/>
            <w:gridSpan w:val="6"/>
            <w:tcBorders>
              <w:bottom w:val="single" w:sz="4" w:space="0" w:color="auto"/>
            </w:tcBorders>
            <w:shd w:val="clear" w:color="auto" w:fill="auto"/>
          </w:tcPr>
          <w:p w:rsidR="0092299C" w:rsidRPr="00D02A2E" w:rsidRDefault="0092299C" w:rsidP="0092299C">
            <w:pPr>
              <w:pStyle w:val="ARtablenoteindent"/>
            </w:pPr>
            <w:r w:rsidRPr="00B67653">
              <w:t>The 20</w:t>
            </w:r>
            <w:r>
              <w:t>16–17</w:t>
            </w:r>
            <w:r w:rsidRPr="00B67653">
              <w:t xml:space="preserve"> actual outcome reflects the state's contribution to the National Disability Insurance Scheme (NDIS), and a revision to estimated carry-over from 20</w:t>
            </w:r>
            <w:r>
              <w:t>15–16</w:t>
            </w:r>
            <w:r w:rsidRPr="00B67653">
              <w:t>.</w:t>
            </w:r>
          </w:p>
        </w:tc>
      </w:tr>
    </w:tbl>
    <w:p w:rsidR="0092299C" w:rsidRPr="00D02A2E" w:rsidRDefault="0092299C" w:rsidP="0092299C">
      <w:pPr>
        <w:pStyle w:val="Heading2"/>
      </w:pPr>
      <w:r w:rsidRPr="00D02A2E">
        <w:t>Ageing Aged and Home Care</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92299C">
        <w:trPr>
          <w:cantSplit/>
          <w:trHeight w:val="240"/>
          <w:tblHeader/>
        </w:trPr>
        <w:tc>
          <w:tcPr>
            <w:tcW w:w="4761" w:type="dxa"/>
            <w:tcBorders>
              <w:bottom w:val="single" w:sz="4" w:space="0" w:color="000000"/>
            </w:tcBorders>
            <w:shd w:val="clear" w:color="auto" w:fill="auto"/>
            <w:noWrap/>
            <w:vAlign w:val="bottom"/>
            <w:hideMark/>
          </w:tcPr>
          <w:p w:rsidR="0092299C" w:rsidRPr="00D02A2E" w:rsidRDefault="0092299C" w:rsidP="00A94E7D">
            <w:pPr>
              <w:pStyle w:val="ARtablecolhead"/>
            </w:pPr>
            <w:r w:rsidRPr="00D02A2E">
              <w:t>Performance measures</w:t>
            </w:r>
          </w:p>
        </w:tc>
        <w:tc>
          <w:tcPr>
            <w:tcW w:w="1021" w:type="dxa"/>
            <w:tcBorders>
              <w:bottom w:val="single" w:sz="4" w:space="0" w:color="000000"/>
            </w:tcBorders>
            <w:shd w:val="clear" w:color="auto" w:fill="auto"/>
            <w:noWrap/>
            <w:vAlign w:val="bottom"/>
            <w:hideMark/>
          </w:tcPr>
          <w:p w:rsidR="0092299C" w:rsidRPr="00D02A2E" w:rsidRDefault="0092299C" w:rsidP="00E35051">
            <w:pPr>
              <w:pStyle w:val="ARtablecolhead"/>
              <w:jc w:val="center"/>
            </w:pPr>
            <w:r w:rsidRPr="00D02A2E">
              <w:t>Unit of measure</w:t>
            </w:r>
          </w:p>
        </w:tc>
        <w:tc>
          <w:tcPr>
            <w:tcW w:w="1021" w:type="dxa"/>
            <w:tcBorders>
              <w:bottom w:val="single" w:sz="4" w:space="0" w:color="000000"/>
            </w:tcBorders>
            <w:shd w:val="clear" w:color="auto" w:fill="auto"/>
            <w:noWrap/>
            <w:vAlign w:val="bottom"/>
            <w:hideMark/>
          </w:tcPr>
          <w:p w:rsidR="0092299C" w:rsidRPr="00D02A2E" w:rsidRDefault="0092299C" w:rsidP="00A94E7D">
            <w:pPr>
              <w:pStyle w:val="ARtablecolheadright"/>
            </w:pPr>
            <w:r w:rsidRPr="00D02A2E">
              <w:t>20</w:t>
            </w:r>
            <w:r>
              <w:t>16–17</w:t>
            </w:r>
            <w:r w:rsidRPr="00D02A2E">
              <w:t xml:space="preserve"> target</w:t>
            </w:r>
          </w:p>
        </w:tc>
        <w:tc>
          <w:tcPr>
            <w:tcW w:w="1021" w:type="dxa"/>
            <w:tcBorders>
              <w:bottom w:val="single" w:sz="4" w:space="0" w:color="000000"/>
            </w:tcBorders>
            <w:shd w:val="clear" w:color="auto" w:fill="auto"/>
            <w:noWrap/>
            <w:vAlign w:val="bottom"/>
            <w:hideMark/>
          </w:tcPr>
          <w:p w:rsidR="0092299C" w:rsidRPr="00D02A2E" w:rsidRDefault="0092299C" w:rsidP="00A94E7D">
            <w:pPr>
              <w:pStyle w:val="ARtablecolheadright"/>
            </w:pPr>
            <w:r w:rsidRPr="00D02A2E">
              <w:t>20</w:t>
            </w:r>
            <w:r>
              <w:t>16–17</w:t>
            </w:r>
            <w:r w:rsidRPr="00D02A2E">
              <w:t xml:space="preserve"> actual</w:t>
            </w:r>
          </w:p>
        </w:tc>
        <w:tc>
          <w:tcPr>
            <w:tcW w:w="1021" w:type="dxa"/>
            <w:tcBorders>
              <w:bottom w:val="single" w:sz="4" w:space="0" w:color="000000"/>
            </w:tcBorders>
            <w:shd w:val="clear" w:color="auto" w:fill="auto"/>
            <w:noWrap/>
            <w:vAlign w:val="bottom"/>
            <w:hideMark/>
          </w:tcPr>
          <w:p w:rsidR="0092299C" w:rsidRPr="00D02A2E" w:rsidRDefault="0092299C" w:rsidP="00A94E7D">
            <w:pPr>
              <w:pStyle w:val="ARtablecolheadright"/>
            </w:pPr>
            <w:r w:rsidRPr="00D02A2E">
              <w:t>Variation (%)</w:t>
            </w:r>
          </w:p>
        </w:tc>
        <w:tc>
          <w:tcPr>
            <w:tcW w:w="794" w:type="dxa"/>
            <w:tcBorders>
              <w:bottom w:val="single" w:sz="4" w:space="0" w:color="000000"/>
            </w:tcBorders>
            <w:shd w:val="clear" w:color="auto" w:fill="auto"/>
            <w:noWrap/>
            <w:vAlign w:val="bottom"/>
            <w:hideMark/>
          </w:tcPr>
          <w:p w:rsidR="0092299C" w:rsidRPr="00D02A2E" w:rsidRDefault="0092299C" w:rsidP="00096BE7">
            <w:pPr>
              <w:pStyle w:val="ARtablecolheadright"/>
            </w:pPr>
            <w:r w:rsidRPr="00D02A2E">
              <w:t>Result</w:t>
            </w:r>
          </w:p>
        </w:tc>
      </w:tr>
      <w:tr w:rsidR="0092299C" w:rsidRPr="00D02A2E" w:rsidTr="0092299C">
        <w:trPr>
          <w:cantSplit/>
          <w:trHeight w:val="240"/>
        </w:trPr>
        <w:tc>
          <w:tcPr>
            <w:tcW w:w="4761" w:type="dxa"/>
            <w:tcBorders>
              <w:top w:val="single" w:sz="4" w:space="0" w:color="000000"/>
              <w:bottom w:val="single" w:sz="4" w:space="0" w:color="000000"/>
            </w:tcBorders>
            <w:shd w:val="clear" w:color="auto" w:fill="auto"/>
            <w:hideMark/>
          </w:tcPr>
          <w:p w:rsidR="0092299C" w:rsidRPr="00D02A2E" w:rsidRDefault="0092299C" w:rsidP="0092299C">
            <w:pPr>
              <w:pStyle w:val="ARtablebluebold"/>
            </w:pPr>
            <w:r w:rsidRPr="00D02A2E">
              <w:t xml:space="preserve">Seniors Programs and Participation </w:t>
            </w:r>
          </w:p>
        </w:tc>
        <w:tc>
          <w:tcPr>
            <w:tcW w:w="1021" w:type="dxa"/>
            <w:tcBorders>
              <w:top w:val="single" w:sz="4" w:space="0" w:color="000000"/>
              <w:bottom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bottom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bottom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bottom w:val="single" w:sz="4" w:space="0" w:color="000000"/>
            </w:tcBorders>
            <w:shd w:val="clear" w:color="auto" w:fill="auto"/>
            <w:hideMark/>
          </w:tcPr>
          <w:p w:rsidR="0092299C" w:rsidRPr="00D02A2E" w:rsidRDefault="0092299C" w:rsidP="0092299C">
            <w:pPr>
              <w:pStyle w:val="ARtablebluebold"/>
            </w:pPr>
          </w:p>
        </w:tc>
        <w:tc>
          <w:tcPr>
            <w:tcW w:w="794" w:type="dxa"/>
            <w:tcBorders>
              <w:top w:val="single" w:sz="4" w:space="0" w:color="000000"/>
              <w:bottom w:val="single" w:sz="4" w:space="0" w:color="000000"/>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top w:val="single" w:sz="4" w:space="0" w:color="000000"/>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794" w:type="dxa"/>
            <w:tcBorders>
              <w:top w:val="single" w:sz="4" w:space="0" w:color="000000"/>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bottom w:val="single" w:sz="4" w:space="0" w:color="BFBFBF"/>
            </w:tcBorders>
            <w:shd w:val="clear" w:color="auto" w:fill="auto"/>
            <w:hideMark/>
          </w:tcPr>
          <w:p w:rsidR="0092299C" w:rsidRPr="00D02A2E" w:rsidRDefault="0092299C" w:rsidP="0092299C">
            <w:pPr>
              <w:pStyle w:val="ARtabletext"/>
            </w:pPr>
            <w:r w:rsidRPr="00D02A2E">
              <w:t>New University of the Third Age (U3A) programs funded</w:t>
            </w:r>
          </w:p>
        </w:tc>
        <w:tc>
          <w:tcPr>
            <w:tcW w:w="1021" w:type="dxa"/>
            <w:tcBorders>
              <w:bottom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45</w:t>
            </w:r>
            <w:r>
              <w:t>–</w:t>
            </w:r>
            <w:r w:rsidRPr="00D02A2E">
              <w:t>60</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58</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n/a</w:t>
            </w:r>
          </w:p>
        </w:tc>
        <w:tc>
          <w:tcPr>
            <w:tcW w:w="794" w:type="dxa"/>
            <w:tcBorders>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 xml:space="preserve">Open </w:t>
            </w:r>
            <w:r>
              <w:t>r</w:t>
            </w:r>
            <w:r w:rsidRPr="00D02A2E">
              <w:t>ates for Seniors Card e-</w:t>
            </w:r>
            <w:r>
              <w:t>n</w:t>
            </w:r>
            <w:r w:rsidRPr="00D02A2E">
              <w:t>ewsletters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45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54</w:t>
            </w:r>
          </w:p>
        </w:tc>
        <w:tc>
          <w:tcPr>
            <w:tcW w:w="1021" w:type="dxa"/>
            <w:tcBorders>
              <w:top w:val="single" w:sz="4" w:space="0" w:color="BFBFBF"/>
            </w:tcBorders>
            <w:shd w:val="clear" w:color="auto" w:fill="auto"/>
          </w:tcPr>
          <w:p w:rsidR="0092299C" w:rsidRPr="00D02A2E" w:rsidRDefault="0092299C" w:rsidP="0092299C">
            <w:pPr>
              <w:pStyle w:val="ARtabletextright"/>
            </w:pPr>
            <w:r>
              <w:t>20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shd w:val="clear" w:color="auto" w:fill="auto"/>
          </w:tcPr>
          <w:p w:rsidR="0092299C" w:rsidRPr="00D02A2E" w:rsidRDefault="0092299C" w:rsidP="0092299C">
            <w:pPr>
              <w:pStyle w:val="ARtablenoteindent"/>
            </w:pPr>
            <w:r>
              <w:t>This is</w:t>
            </w:r>
            <w:r w:rsidRPr="00D02A2E">
              <w:t xml:space="preserve"> a positive result</w:t>
            </w:r>
            <w:r>
              <w:t>,</w:t>
            </w:r>
            <w:r w:rsidRPr="00D02A2E">
              <w:t xml:space="preserve"> as chosen topic</w:t>
            </w:r>
            <w:r>
              <w:t>s were of high interest to user. It</w:t>
            </w:r>
            <w:r w:rsidRPr="00D02A2E">
              <w:t xml:space="preserve"> does not impact on funding requirements.</w:t>
            </w:r>
          </w:p>
        </w:tc>
      </w:tr>
      <w:tr w:rsidR="0092299C" w:rsidRPr="00D02A2E" w:rsidTr="00C0468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Seniors funded activities and programs: number approved</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140</w:t>
            </w:r>
            <w:r>
              <w:t>–</w:t>
            </w:r>
            <w:r w:rsidRPr="00D02A2E">
              <w:t>160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169</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n/a</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C04681">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t>This is</w:t>
            </w:r>
            <w:r w:rsidRPr="00D02A2E">
              <w:t xml:space="preserve"> a positive result due to additional one-off projects and grants approved for funding.</w:t>
            </w:r>
          </w:p>
        </w:tc>
      </w:tr>
      <w:tr w:rsidR="0092299C" w:rsidRPr="00D02A2E" w:rsidTr="00C0468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keepNext/>
            </w:pPr>
            <w:r w:rsidRPr="00D02A2E">
              <w:lastRenderedPageBreak/>
              <w:t>Quality</w:t>
            </w:r>
          </w:p>
        </w:tc>
        <w:tc>
          <w:tcPr>
            <w:tcW w:w="1021" w:type="dxa"/>
            <w:tcBorders>
              <w:top w:val="single" w:sz="4" w:space="0" w:color="BFBFBF"/>
            </w:tcBorders>
            <w:shd w:val="clear" w:color="auto" w:fill="auto"/>
            <w:hideMark/>
          </w:tcPr>
          <w:p w:rsidR="0092299C" w:rsidRPr="00D02A2E" w:rsidRDefault="0092299C" w:rsidP="0092299C">
            <w:pPr>
              <w:pStyle w:val="ARtablebluebold"/>
              <w:keepNext/>
            </w:pPr>
          </w:p>
        </w:tc>
        <w:tc>
          <w:tcPr>
            <w:tcW w:w="1021" w:type="dxa"/>
            <w:tcBorders>
              <w:top w:val="single" w:sz="4" w:space="0" w:color="BFBFBF"/>
            </w:tcBorders>
            <w:shd w:val="clear" w:color="auto" w:fill="auto"/>
            <w:hideMark/>
          </w:tcPr>
          <w:p w:rsidR="0092299C" w:rsidRPr="00D02A2E" w:rsidRDefault="0092299C" w:rsidP="0092299C">
            <w:pPr>
              <w:pStyle w:val="ARtablebluebold"/>
              <w:keepNext/>
            </w:pPr>
          </w:p>
        </w:tc>
        <w:tc>
          <w:tcPr>
            <w:tcW w:w="1021" w:type="dxa"/>
            <w:tcBorders>
              <w:top w:val="single" w:sz="4" w:space="0" w:color="BFBFBF"/>
            </w:tcBorders>
            <w:shd w:val="clear" w:color="auto" w:fill="auto"/>
            <w:hideMark/>
          </w:tcPr>
          <w:p w:rsidR="0092299C" w:rsidRPr="00D02A2E" w:rsidRDefault="0092299C" w:rsidP="0092299C">
            <w:pPr>
              <w:pStyle w:val="ARtablebluebold"/>
              <w:keepNext/>
            </w:pPr>
          </w:p>
        </w:tc>
        <w:tc>
          <w:tcPr>
            <w:tcW w:w="1021" w:type="dxa"/>
            <w:tcBorders>
              <w:top w:val="single" w:sz="4" w:space="0" w:color="BFBFBF"/>
            </w:tcBorders>
            <w:shd w:val="clear" w:color="auto" w:fill="auto"/>
            <w:hideMark/>
          </w:tcPr>
          <w:p w:rsidR="0092299C" w:rsidRPr="00D02A2E" w:rsidRDefault="0092299C" w:rsidP="0092299C">
            <w:pPr>
              <w:pStyle w:val="ARtablebluebold"/>
              <w:keepNext/>
            </w:pPr>
          </w:p>
        </w:tc>
        <w:tc>
          <w:tcPr>
            <w:tcW w:w="794" w:type="dxa"/>
            <w:tcBorders>
              <w:top w:val="single" w:sz="4" w:space="0" w:color="BFBFBF"/>
            </w:tcBorders>
            <w:shd w:val="clear" w:color="auto" w:fill="auto"/>
            <w:hideMark/>
          </w:tcPr>
          <w:p w:rsidR="0092299C" w:rsidRPr="00D02A2E" w:rsidRDefault="0092299C" w:rsidP="0092299C">
            <w:pPr>
              <w:pStyle w:val="ARtablebluebold"/>
              <w:keepNext/>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
              <w:keepNext/>
            </w:pPr>
            <w:r w:rsidRPr="00D02A2E">
              <w:t xml:space="preserve">Eligible seniors in the </w:t>
            </w:r>
            <w:r>
              <w:t>S</w:t>
            </w:r>
            <w:r w:rsidRPr="00D02A2E">
              <w:t xml:space="preserve">eniors </w:t>
            </w:r>
            <w:r>
              <w:t>C</w:t>
            </w:r>
            <w:r w:rsidRPr="00D02A2E">
              <w:t>ard program</w:t>
            </w:r>
          </w:p>
        </w:tc>
        <w:tc>
          <w:tcPr>
            <w:tcW w:w="1021" w:type="dxa"/>
            <w:shd w:val="clear" w:color="auto" w:fill="auto"/>
            <w:hideMark/>
          </w:tcPr>
          <w:p w:rsidR="0092299C" w:rsidRPr="00D02A2E" w:rsidRDefault="0092299C" w:rsidP="001F2E2D">
            <w:pPr>
              <w:pStyle w:val="ARtabletext"/>
              <w:keepNext/>
              <w:jc w:val="center"/>
            </w:pPr>
            <w:r w:rsidRPr="00D02A2E">
              <w:t>per cent</w:t>
            </w:r>
          </w:p>
        </w:tc>
        <w:tc>
          <w:tcPr>
            <w:tcW w:w="1021" w:type="dxa"/>
            <w:shd w:val="clear" w:color="auto" w:fill="auto"/>
            <w:hideMark/>
          </w:tcPr>
          <w:p w:rsidR="0092299C" w:rsidRPr="00523C77" w:rsidRDefault="0092299C" w:rsidP="0092299C">
            <w:pPr>
              <w:pStyle w:val="ARtabletextright"/>
            </w:pPr>
            <w:r w:rsidRPr="00523C77">
              <w:t>95</w:t>
            </w:r>
          </w:p>
        </w:tc>
        <w:tc>
          <w:tcPr>
            <w:tcW w:w="1021" w:type="dxa"/>
            <w:shd w:val="clear" w:color="auto" w:fill="auto"/>
          </w:tcPr>
          <w:p w:rsidR="0092299C" w:rsidRPr="00523C77" w:rsidRDefault="0092299C" w:rsidP="0092299C">
            <w:pPr>
              <w:pStyle w:val="ARtabletextright"/>
            </w:pPr>
            <w:r w:rsidRPr="00523C77">
              <w:t>82</w:t>
            </w:r>
            <w:r w:rsidR="004C2C15">
              <w:t>.0</w:t>
            </w:r>
          </w:p>
        </w:tc>
        <w:tc>
          <w:tcPr>
            <w:tcW w:w="1021" w:type="dxa"/>
            <w:shd w:val="clear" w:color="auto" w:fill="auto"/>
          </w:tcPr>
          <w:p w:rsidR="0092299C" w:rsidRPr="00523C77" w:rsidRDefault="00EC4FD8" w:rsidP="0092299C">
            <w:pPr>
              <w:pStyle w:val="ARtabletextright"/>
            </w:pPr>
            <w:r>
              <w:t>–</w:t>
            </w:r>
            <w:r w:rsidR="0092299C" w:rsidRPr="00523C77">
              <w:t>13.7</w:t>
            </w:r>
          </w:p>
        </w:tc>
        <w:tc>
          <w:tcPr>
            <w:tcW w:w="794" w:type="dxa"/>
            <w:shd w:val="clear" w:color="auto" w:fill="auto"/>
            <w:hideMark/>
          </w:tcPr>
          <w:p w:rsidR="0092299C" w:rsidRPr="00523C77"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keepNext/>
            </w:pPr>
            <w:r w:rsidRPr="00D02A2E">
              <w:t xml:space="preserve">The </w:t>
            </w:r>
            <w:r>
              <w:t>result is lower than the target</w:t>
            </w:r>
            <w:r w:rsidRPr="00D02A2E">
              <w:t xml:space="preserve"> due to the change in eligibility criteria that expands the pool of seniors eligible for the program, and a slightly smaller proportion of that larger population having taken it up. </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A94E7D">
            <w:pPr>
              <w:pStyle w:val="ARtabletext"/>
              <w:keepNext/>
            </w:pPr>
            <w:r w:rsidRPr="00D02A2E">
              <w:t>Senior satisfaction with Victorian Seniors Festival events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90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95</w:t>
            </w:r>
            <w:r w:rsidR="004C2C15">
              <w:t>.0</w:t>
            </w:r>
          </w:p>
        </w:tc>
        <w:tc>
          <w:tcPr>
            <w:tcW w:w="1021" w:type="dxa"/>
            <w:tcBorders>
              <w:top w:val="single" w:sz="4" w:space="0" w:color="BFBFBF"/>
            </w:tcBorders>
            <w:shd w:val="clear" w:color="auto" w:fill="auto"/>
          </w:tcPr>
          <w:p w:rsidR="0092299C" w:rsidRPr="00D02A2E" w:rsidRDefault="0092299C" w:rsidP="0092299C">
            <w:pPr>
              <w:pStyle w:val="ARtabletextright"/>
            </w:pPr>
            <w:r>
              <w:t>5.6</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t>This is</w:t>
            </w:r>
            <w:r w:rsidRPr="00D02A2E">
              <w:t xml:space="preserve"> a positive result based on survey responses by attendees reporting their experience of the festival as Excellent or Satisfied.</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bold"/>
            </w:pPr>
            <w:r w:rsidRPr="00D02A2E">
              <w:t>Total output cost</w:t>
            </w:r>
          </w:p>
        </w:tc>
        <w:tc>
          <w:tcPr>
            <w:tcW w:w="1021" w:type="dxa"/>
            <w:shd w:val="clear" w:color="auto" w:fill="auto"/>
            <w:hideMark/>
          </w:tcPr>
          <w:p w:rsidR="0092299C" w:rsidRPr="00D02A2E" w:rsidRDefault="0092299C" w:rsidP="001F2E2D">
            <w:pPr>
              <w:pStyle w:val="ARtabletextbold"/>
              <w:jc w:val="center"/>
            </w:pPr>
            <w:r w:rsidRPr="00D02A2E">
              <w:t>$ million</w:t>
            </w:r>
          </w:p>
        </w:tc>
        <w:tc>
          <w:tcPr>
            <w:tcW w:w="1021" w:type="dxa"/>
            <w:shd w:val="clear" w:color="auto" w:fill="auto"/>
            <w:hideMark/>
          </w:tcPr>
          <w:p w:rsidR="0092299C" w:rsidRPr="00F72126" w:rsidRDefault="0092299C" w:rsidP="0092299C">
            <w:pPr>
              <w:pStyle w:val="ARtabletextright"/>
              <w:rPr>
                <w:b/>
                <w:bCs/>
              </w:rPr>
            </w:pPr>
            <w:r w:rsidRPr="00F72126">
              <w:rPr>
                <w:b/>
                <w:bCs/>
              </w:rPr>
              <w:t>8.7</w:t>
            </w:r>
          </w:p>
        </w:tc>
        <w:tc>
          <w:tcPr>
            <w:tcW w:w="1021" w:type="dxa"/>
            <w:shd w:val="clear" w:color="auto" w:fill="auto"/>
          </w:tcPr>
          <w:p w:rsidR="0092299C" w:rsidRPr="00F72126" w:rsidRDefault="0092299C" w:rsidP="0092299C">
            <w:pPr>
              <w:pStyle w:val="ARtabletextright"/>
              <w:rPr>
                <w:b/>
                <w:bCs/>
              </w:rPr>
            </w:pPr>
            <w:r w:rsidRPr="00F72126">
              <w:rPr>
                <w:b/>
                <w:bCs/>
              </w:rPr>
              <w:t>9.9</w:t>
            </w:r>
          </w:p>
        </w:tc>
        <w:tc>
          <w:tcPr>
            <w:tcW w:w="1021" w:type="dxa"/>
            <w:shd w:val="clear" w:color="auto" w:fill="auto"/>
          </w:tcPr>
          <w:p w:rsidR="0092299C" w:rsidRPr="00F72126" w:rsidRDefault="0092299C" w:rsidP="0092299C">
            <w:pPr>
              <w:pStyle w:val="ARtabletextright"/>
              <w:rPr>
                <w:b/>
                <w:bCs/>
              </w:rPr>
            </w:pPr>
            <w:r>
              <w:rPr>
                <w:b/>
                <w:bCs/>
              </w:rPr>
              <w:t>13.3</w:t>
            </w:r>
          </w:p>
        </w:tc>
        <w:tc>
          <w:tcPr>
            <w:tcW w:w="794" w:type="dxa"/>
            <w:shd w:val="clear" w:color="auto" w:fill="auto"/>
            <w:hideMark/>
          </w:tcPr>
          <w:p w:rsidR="0092299C" w:rsidRPr="00F72126" w:rsidRDefault="0092299C" w:rsidP="0092299C">
            <w:pPr>
              <w:pStyle w:val="ARtabletextright"/>
              <w:rPr>
                <w:b/>
                <w:bCs/>
              </w:rPr>
            </w:pPr>
          </w:p>
        </w:tc>
      </w:tr>
      <w:tr w:rsidR="0092299C" w:rsidRPr="00D02A2E" w:rsidTr="0092299C">
        <w:trPr>
          <w:cantSplit/>
          <w:trHeight w:val="240"/>
        </w:trPr>
        <w:tc>
          <w:tcPr>
            <w:tcW w:w="9639" w:type="dxa"/>
            <w:gridSpan w:val="6"/>
            <w:tcBorders>
              <w:bottom w:val="single" w:sz="4" w:space="0" w:color="000000"/>
            </w:tcBorders>
            <w:shd w:val="clear" w:color="auto" w:fill="auto"/>
            <w:noWrap/>
            <w:hideMark/>
          </w:tcPr>
          <w:p w:rsidR="0092299C" w:rsidRPr="00D02A2E" w:rsidRDefault="0092299C" w:rsidP="0092299C">
            <w:pPr>
              <w:pStyle w:val="ARtablenoteindent"/>
            </w:pPr>
            <w:r w:rsidRPr="00D91766">
              <w:t>The 20</w:t>
            </w:r>
            <w:r>
              <w:t>16–17</w:t>
            </w:r>
            <w:r w:rsidRPr="00D91766">
              <w:t xml:space="preserve"> actual outcome primarily reflects revenue adju</w:t>
            </w:r>
            <w:r>
              <w:t>stments to trust fund estimates.</w:t>
            </w:r>
          </w:p>
        </w:tc>
      </w:tr>
      <w:tr w:rsidR="0092299C" w:rsidRPr="00D02A2E" w:rsidTr="0092299C">
        <w:trPr>
          <w:cantSplit/>
          <w:trHeight w:val="240"/>
        </w:trPr>
        <w:tc>
          <w:tcPr>
            <w:tcW w:w="4761" w:type="dxa"/>
            <w:tcBorders>
              <w:bottom w:val="single" w:sz="4" w:space="0" w:color="000000"/>
            </w:tcBorders>
            <w:shd w:val="clear" w:color="auto" w:fill="auto"/>
            <w:hideMark/>
          </w:tcPr>
          <w:p w:rsidR="0092299C" w:rsidRPr="00D02A2E" w:rsidRDefault="0092299C" w:rsidP="0092299C">
            <w:pPr>
              <w:pStyle w:val="ARtablebluebold"/>
            </w:pPr>
            <w:r w:rsidRPr="00D02A2E">
              <w:t xml:space="preserve">Residential Aged Care </w:t>
            </w: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794" w:type="dxa"/>
            <w:tcBorders>
              <w:bottom w:val="single" w:sz="4" w:space="0" w:color="000000"/>
            </w:tcBorders>
            <w:shd w:val="clear" w:color="auto" w:fill="auto"/>
            <w:hideMark/>
          </w:tcPr>
          <w:p w:rsidR="0092299C" w:rsidRPr="00D02A2E" w:rsidRDefault="0092299C" w:rsidP="0092299C">
            <w:pPr>
              <w:pStyle w:val="ARtablebluebold"/>
            </w:pPr>
          </w:p>
        </w:tc>
      </w:tr>
      <w:tr w:rsidR="0092299C" w:rsidRPr="00D02A2E" w:rsidTr="001F2E2D">
        <w:trPr>
          <w:cantSplit/>
          <w:trHeight w:val="240"/>
        </w:trPr>
        <w:tc>
          <w:tcPr>
            <w:tcW w:w="4761" w:type="dxa"/>
            <w:tcBorders>
              <w:top w:val="single" w:sz="4" w:space="0" w:color="000000"/>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794" w:type="dxa"/>
            <w:tcBorders>
              <w:top w:val="single" w:sz="4" w:space="0" w:color="000000"/>
            </w:tcBorders>
            <w:shd w:val="clear" w:color="auto" w:fill="auto"/>
            <w:hideMark/>
          </w:tcPr>
          <w:p w:rsidR="0092299C" w:rsidRPr="00D02A2E" w:rsidRDefault="0092299C" w:rsidP="0092299C">
            <w:pPr>
              <w:pStyle w:val="ARtablebluebold"/>
            </w:pPr>
          </w:p>
        </w:tc>
      </w:tr>
      <w:tr w:rsidR="0092299C" w:rsidRPr="00D02A2E" w:rsidTr="001F2E2D">
        <w:trPr>
          <w:cantSplit/>
          <w:trHeight w:val="240"/>
        </w:trPr>
        <w:tc>
          <w:tcPr>
            <w:tcW w:w="4761" w:type="dxa"/>
            <w:shd w:val="clear" w:color="auto" w:fill="auto"/>
            <w:hideMark/>
          </w:tcPr>
          <w:p w:rsidR="0092299C" w:rsidRPr="00D02A2E" w:rsidRDefault="0092299C" w:rsidP="0092299C">
            <w:pPr>
              <w:pStyle w:val="ARtabletext"/>
            </w:pPr>
            <w:r w:rsidRPr="00D02A2E">
              <w:t>Available bed days</w:t>
            </w:r>
          </w:p>
        </w:tc>
        <w:tc>
          <w:tcPr>
            <w:tcW w:w="1021" w:type="dxa"/>
            <w:shd w:val="clear" w:color="auto" w:fill="auto"/>
            <w:hideMark/>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92299C">
            <w:pPr>
              <w:pStyle w:val="ARtabletextright"/>
            </w:pPr>
            <w:r w:rsidRPr="00D02A2E">
              <w:t>1,185,685</w:t>
            </w:r>
          </w:p>
        </w:tc>
        <w:tc>
          <w:tcPr>
            <w:tcW w:w="1021" w:type="dxa"/>
            <w:shd w:val="clear" w:color="auto" w:fill="auto"/>
          </w:tcPr>
          <w:p w:rsidR="0092299C" w:rsidRPr="00D02A2E" w:rsidRDefault="0092299C" w:rsidP="0092299C">
            <w:pPr>
              <w:pStyle w:val="ARtabletextright"/>
            </w:pPr>
            <w:r w:rsidRPr="00D02A2E">
              <w:t>1,162,724</w:t>
            </w:r>
          </w:p>
        </w:tc>
        <w:tc>
          <w:tcPr>
            <w:tcW w:w="1021" w:type="dxa"/>
            <w:shd w:val="clear" w:color="auto" w:fill="auto"/>
          </w:tcPr>
          <w:p w:rsidR="0092299C" w:rsidRPr="00D02A2E" w:rsidRDefault="00EC4FD8" w:rsidP="0092299C">
            <w:pPr>
              <w:pStyle w:val="ARtabletextright"/>
            </w:pPr>
            <w:r>
              <w:t>–</w:t>
            </w:r>
            <w:r w:rsidR="0092299C">
              <w:t>1.9</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F2E2D">
        <w:trPr>
          <w:cantSplit/>
          <w:trHeight w:val="240"/>
        </w:trPr>
        <w:tc>
          <w:tcPr>
            <w:tcW w:w="4761" w:type="dxa"/>
            <w:tcBorders>
              <w:bottom w:val="single" w:sz="4" w:space="0" w:color="BFBFBF"/>
            </w:tcBorders>
            <w:shd w:val="clear" w:color="auto" w:fill="auto"/>
          </w:tcPr>
          <w:p w:rsidR="0092299C" w:rsidRPr="00D02A2E" w:rsidRDefault="0092299C" w:rsidP="0092299C">
            <w:pPr>
              <w:pStyle w:val="ARtablenoteindent"/>
            </w:pPr>
            <w:r w:rsidRPr="00D02A2E">
              <w:t>Preliminary result</w:t>
            </w:r>
          </w:p>
        </w:tc>
        <w:tc>
          <w:tcPr>
            <w:tcW w:w="1021" w:type="dxa"/>
            <w:tcBorders>
              <w:bottom w:val="single" w:sz="4" w:space="0" w:color="BFBFBF"/>
            </w:tcBorders>
            <w:shd w:val="clear" w:color="auto" w:fill="auto"/>
          </w:tcPr>
          <w:p w:rsidR="0092299C" w:rsidRPr="00D02A2E" w:rsidRDefault="0092299C" w:rsidP="0092299C">
            <w:pPr>
              <w:pStyle w:val="ARtablenoteindent"/>
              <w:rPr>
                <w:sz w:val="18"/>
              </w:rPr>
            </w:pPr>
          </w:p>
        </w:tc>
        <w:tc>
          <w:tcPr>
            <w:tcW w:w="1021" w:type="dxa"/>
            <w:tcBorders>
              <w:bottom w:val="single" w:sz="4" w:space="0" w:color="BFBFBF"/>
            </w:tcBorders>
            <w:shd w:val="clear" w:color="auto" w:fill="auto"/>
          </w:tcPr>
          <w:p w:rsidR="0092299C" w:rsidRPr="00D02A2E" w:rsidRDefault="0092299C" w:rsidP="0092299C">
            <w:pPr>
              <w:pStyle w:val="ARtablenoteindent"/>
              <w:rPr>
                <w:sz w:val="18"/>
              </w:rPr>
            </w:pPr>
          </w:p>
        </w:tc>
        <w:tc>
          <w:tcPr>
            <w:tcW w:w="1021" w:type="dxa"/>
            <w:tcBorders>
              <w:bottom w:val="single" w:sz="4" w:space="0" w:color="BFBFBF"/>
            </w:tcBorders>
            <w:shd w:val="clear" w:color="auto" w:fill="auto"/>
          </w:tcPr>
          <w:p w:rsidR="0092299C" w:rsidRPr="00D02A2E" w:rsidRDefault="0092299C" w:rsidP="0092299C">
            <w:pPr>
              <w:pStyle w:val="ARtablenoteindent"/>
              <w:rPr>
                <w:sz w:val="18"/>
              </w:rPr>
            </w:pPr>
          </w:p>
        </w:tc>
        <w:tc>
          <w:tcPr>
            <w:tcW w:w="1021" w:type="dxa"/>
            <w:tcBorders>
              <w:bottom w:val="single" w:sz="4" w:space="0" w:color="BFBFBF"/>
            </w:tcBorders>
            <w:shd w:val="clear" w:color="auto" w:fill="auto"/>
          </w:tcPr>
          <w:p w:rsidR="0092299C" w:rsidRPr="00D02A2E" w:rsidRDefault="0092299C" w:rsidP="0092299C">
            <w:pPr>
              <w:pStyle w:val="ARtablenoteindent"/>
              <w:rPr>
                <w:sz w:val="18"/>
              </w:rPr>
            </w:pPr>
          </w:p>
        </w:tc>
        <w:tc>
          <w:tcPr>
            <w:tcW w:w="794" w:type="dxa"/>
            <w:tcBorders>
              <w:bottom w:val="single" w:sz="4" w:space="0" w:color="BFBFBF"/>
            </w:tcBorders>
            <w:shd w:val="clear" w:color="auto" w:fill="auto"/>
          </w:tcPr>
          <w:p w:rsidR="0092299C" w:rsidRPr="00D02A2E" w:rsidRDefault="0092299C" w:rsidP="0092299C">
            <w:pPr>
              <w:pStyle w:val="ARtablenoteindent"/>
              <w:rPr>
                <w:rFonts w:ascii="Wingdings" w:hAnsi="Wingdings"/>
                <w:sz w:val="18"/>
              </w:rPr>
            </w:pP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Standard Equivalent Value Units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698,995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680,544</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2.6</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bottom w:val="single" w:sz="4" w:space="0" w:color="BFBFBF"/>
            </w:tcBorders>
            <w:shd w:val="clear" w:color="auto" w:fill="auto"/>
            <w:hideMark/>
          </w:tcPr>
          <w:p w:rsidR="0092299C" w:rsidRPr="00D02A2E" w:rsidRDefault="0092299C" w:rsidP="007660F3">
            <w:pPr>
              <w:pStyle w:val="ARtabletext"/>
            </w:pPr>
            <w:r w:rsidRPr="00D02A2E">
              <w:t>Residential care services accredited</w:t>
            </w:r>
          </w:p>
        </w:tc>
        <w:tc>
          <w:tcPr>
            <w:tcW w:w="1021" w:type="dxa"/>
            <w:tcBorders>
              <w:bottom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bottom w:val="single" w:sz="4" w:space="0" w:color="BFBFBF"/>
            </w:tcBorders>
            <w:shd w:val="clear" w:color="auto" w:fill="auto"/>
          </w:tcPr>
          <w:p w:rsidR="0092299C" w:rsidRPr="00D02A2E" w:rsidRDefault="0092299C" w:rsidP="0092299C">
            <w:pPr>
              <w:pStyle w:val="ARtabletextright"/>
            </w:pPr>
            <w:r>
              <w:t>0.0</w:t>
            </w:r>
          </w:p>
        </w:tc>
        <w:tc>
          <w:tcPr>
            <w:tcW w:w="794" w:type="dxa"/>
            <w:tcBorders>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bold"/>
            </w:pPr>
            <w:r w:rsidRPr="00D02A2E">
              <w:t>Total output cost</w:t>
            </w:r>
          </w:p>
        </w:tc>
        <w:tc>
          <w:tcPr>
            <w:tcW w:w="1021" w:type="dxa"/>
            <w:shd w:val="clear" w:color="auto" w:fill="auto"/>
            <w:hideMark/>
          </w:tcPr>
          <w:p w:rsidR="0092299C" w:rsidRPr="00D02A2E" w:rsidRDefault="0092299C" w:rsidP="001F2E2D">
            <w:pPr>
              <w:pStyle w:val="ARtabletextbold"/>
              <w:jc w:val="center"/>
            </w:pPr>
            <w:r w:rsidRPr="00D02A2E">
              <w:t>$ million</w:t>
            </w:r>
          </w:p>
        </w:tc>
        <w:tc>
          <w:tcPr>
            <w:tcW w:w="1021" w:type="dxa"/>
            <w:shd w:val="clear" w:color="auto" w:fill="auto"/>
          </w:tcPr>
          <w:p w:rsidR="0092299C" w:rsidRPr="00523C77" w:rsidRDefault="0092299C" w:rsidP="0092299C">
            <w:pPr>
              <w:pStyle w:val="ARtabletextright"/>
              <w:spacing w:before="70" w:after="50"/>
              <w:rPr>
                <w:b/>
                <w:bCs/>
              </w:rPr>
            </w:pPr>
            <w:r w:rsidRPr="00523C77">
              <w:rPr>
                <w:b/>
                <w:bCs/>
              </w:rPr>
              <w:t>366.3</w:t>
            </w:r>
          </w:p>
        </w:tc>
        <w:tc>
          <w:tcPr>
            <w:tcW w:w="1021" w:type="dxa"/>
            <w:shd w:val="clear" w:color="auto" w:fill="auto"/>
          </w:tcPr>
          <w:p w:rsidR="0092299C" w:rsidRPr="00523C77" w:rsidRDefault="0092299C" w:rsidP="0092299C">
            <w:pPr>
              <w:pStyle w:val="ARtabletextright"/>
              <w:spacing w:before="70" w:after="50"/>
              <w:rPr>
                <w:b/>
                <w:bCs/>
              </w:rPr>
            </w:pPr>
            <w:r w:rsidRPr="00523C77">
              <w:rPr>
                <w:b/>
                <w:bCs/>
              </w:rPr>
              <w:t>342.0</w:t>
            </w:r>
          </w:p>
        </w:tc>
        <w:tc>
          <w:tcPr>
            <w:tcW w:w="1021" w:type="dxa"/>
            <w:shd w:val="clear" w:color="auto" w:fill="auto"/>
          </w:tcPr>
          <w:p w:rsidR="0092299C" w:rsidRPr="00523C77" w:rsidRDefault="00EC4FD8" w:rsidP="0092299C">
            <w:pPr>
              <w:pStyle w:val="ARtabletextright"/>
              <w:spacing w:before="70" w:after="50"/>
              <w:rPr>
                <w:b/>
                <w:bCs/>
              </w:rPr>
            </w:pPr>
            <w:r>
              <w:rPr>
                <w:b/>
                <w:bCs/>
              </w:rPr>
              <w:t>–</w:t>
            </w:r>
            <w:r w:rsidR="0092299C">
              <w:rPr>
                <w:b/>
                <w:bCs/>
              </w:rPr>
              <w:t>6.6</w:t>
            </w:r>
          </w:p>
        </w:tc>
        <w:tc>
          <w:tcPr>
            <w:tcW w:w="794" w:type="dxa"/>
            <w:shd w:val="clear" w:color="auto" w:fill="auto"/>
            <w:hideMark/>
          </w:tcPr>
          <w:p w:rsidR="0092299C" w:rsidRPr="00523C77" w:rsidRDefault="0092299C" w:rsidP="0092299C">
            <w:pPr>
              <w:pStyle w:val="ARtabletextright"/>
              <w:spacing w:before="70" w:after="50"/>
              <w:rPr>
                <w:rFonts w:ascii="Wingdings" w:hAnsi="Wingdings"/>
                <w:b/>
                <w:bCs/>
              </w:rPr>
            </w:pPr>
          </w:p>
        </w:tc>
      </w:tr>
      <w:tr w:rsidR="0092299C" w:rsidRPr="00D02A2E" w:rsidTr="0092299C">
        <w:trPr>
          <w:cantSplit/>
          <w:trHeight w:val="240"/>
        </w:trPr>
        <w:tc>
          <w:tcPr>
            <w:tcW w:w="9639" w:type="dxa"/>
            <w:gridSpan w:val="6"/>
            <w:tcBorders>
              <w:bottom w:val="single" w:sz="4" w:space="0" w:color="000000"/>
            </w:tcBorders>
            <w:shd w:val="clear" w:color="auto" w:fill="auto"/>
          </w:tcPr>
          <w:p w:rsidR="0092299C" w:rsidRPr="00D02A2E" w:rsidRDefault="0092299C" w:rsidP="0092299C">
            <w:pPr>
              <w:pStyle w:val="ARtablenoteindent"/>
            </w:pPr>
            <w:r w:rsidRPr="00D91766">
              <w:t>The 20</w:t>
            </w:r>
            <w:r>
              <w:t>16–17</w:t>
            </w:r>
            <w:r w:rsidRPr="00D91766">
              <w:t xml:space="preserve"> actual outcome reflects lower than expected hospitals' own source revenue, movements within the output group and funding requested to be carried over into 20</w:t>
            </w:r>
            <w:r>
              <w:t>17–18</w:t>
            </w:r>
            <w:r w:rsidRPr="00D91766">
              <w:t>.</w:t>
            </w:r>
          </w:p>
        </w:tc>
      </w:tr>
      <w:tr w:rsidR="0092299C" w:rsidRPr="00D02A2E" w:rsidTr="0092299C">
        <w:trPr>
          <w:cantSplit/>
          <w:trHeight w:val="240"/>
        </w:trPr>
        <w:tc>
          <w:tcPr>
            <w:tcW w:w="4761" w:type="dxa"/>
            <w:tcBorders>
              <w:bottom w:val="single" w:sz="4" w:space="0" w:color="000000"/>
            </w:tcBorders>
            <w:shd w:val="clear" w:color="auto" w:fill="auto"/>
            <w:hideMark/>
          </w:tcPr>
          <w:p w:rsidR="0092299C" w:rsidRPr="00D02A2E" w:rsidRDefault="0092299C" w:rsidP="0092299C">
            <w:pPr>
              <w:pStyle w:val="ARtablebluebold"/>
            </w:pPr>
            <w:r w:rsidRPr="00D02A2E">
              <w:t xml:space="preserve">Aged Care Assessment </w:t>
            </w: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794" w:type="dxa"/>
            <w:tcBorders>
              <w:bottom w:val="single" w:sz="4" w:space="0" w:color="000000"/>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top w:val="single" w:sz="4" w:space="0" w:color="000000"/>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794" w:type="dxa"/>
            <w:tcBorders>
              <w:top w:val="single" w:sz="4" w:space="0" w:color="000000"/>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
            </w:pPr>
            <w:r w:rsidRPr="00D02A2E">
              <w:t>Aged Care Assessments</w:t>
            </w:r>
          </w:p>
        </w:tc>
        <w:tc>
          <w:tcPr>
            <w:tcW w:w="1021" w:type="dxa"/>
            <w:shd w:val="clear" w:color="auto" w:fill="auto"/>
            <w:hideMark/>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92299C">
            <w:pPr>
              <w:pStyle w:val="ARtabletextright"/>
            </w:pPr>
            <w:r w:rsidRPr="00D02A2E">
              <w:t>59,000</w:t>
            </w:r>
          </w:p>
        </w:tc>
        <w:tc>
          <w:tcPr>
            <w:tcW w:w="1021" w:type="dxa"/>
            <w:shd w:val="clear" w:color="auto" w:fill="auto"/>
          </w:tcPr>
          <w:p w:rsidR="0092299C" w:rsidRPr="00D02A2E" w:rsidRDefault="0092299C" w:rsidP="0092299C">
            <w:pPr>
              <w:pStyle w:val="ARtabletextright"/>
            </w:pPr>
            <w:r w:rsidRPr="00D02A2E">
              <w:t>48,547</w:t>
            </w:r>
          </w:p>
        </w:tc>
        <w:tc>
          <w:tcPr>
            <w:tcW w:w="1021" w:type="dxa"/>
            <w:shd w:val="clear" w:color="auto" w:fill="auto"/>
          </w:tcPr>
          <w:p w:rsidR="0092299C" w:rsidRPr="00D02A2E" w:rsidRDefault="00EC4FD8" w:rsidP="0092299C">
            <w:pPr>
              <w:pStyle w:val="ARtabletextright"/>
            </w:pPr>
            <w:r>
              <w:t>–</w:t>
            </w:r>
            <w:r w:rsidR="0092299C">
              <w:t>17.7</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The </w:t>
            </w:r>
            <w:r>
              <w:t>result is lower than the</w:t>
            </w:r>
            <w:r w:rsidRPr="00D02A2E">
              <w:t xml:space="preserve"> target due to multiple changes to the Commonwealth’s My Aged Care system and the introduction of additional tasks, which are not counted and reduce time available to conduct assessments.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480"/>
        </w:trPr>
        <w:tc>
          <w:tcPr>
            <w:tcW w:w="4761" w:type="dxa"/>
            <w:shd w:val="clear" w:color="auto" w:fill="auto"/>
            <w:hideMark/>
          </w:tcPr>
          <w:p w:rsidR="0092299C" w:rsidRPr="00D02A2E" w:rsidRDefault="0092299C" w:rsidP="0092299C">
            <w:pPr>
              <w:pStyle w:val="ARtabletext"/>
            </w:pPr>
            <w:r w:rsidRPr="00D02A2E">
              <w:t>Percentage of priority 1, 2 and 3 clients assessed within the appropriate time – community-based assessment</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tcPr>
          <w:p w:rsidR="0092299C" w:rsidRPr="00D02A2E" w:rsidRDefault="0092299C" w:rsidP="0092299C">
            <w:pPr>
              <w:pStyle w:val="ARtabletextright"/>
            </w:pPr>
            <w:r w:rsidRPr="00D02A2E">
              <w:t>85</w:t>
            </w:r>
          </w:p>
        </w:tc>
        <w:tc>
          <w:tcPr>
            <w:tcW w:w="1021" w:type="dxa"/>
            <w:shd w:val="clear" w:color="auto" w:fill="auto"/>
          </w:tcPr>
          <w:p w:rsidR="0092299C" w:rsidRPr="00D02A2E" w:rsidRDefault="0092299C" w:rsidP="0092299C">
            <w:pPr>
              <w:pStyle w:val="ARtabletextright"/>
            </w:pPr>
            <w:r w:rsidRPr="00D02A2E">
              <w:t>n/a</w:t>
            </w:r>
          </w:p>
        </w:tc>
        <w:tc>
          <w:tcPr>
            <w:tcW w:w="1021" w:type="dxa"/>
            <w:shd w:val="clear" w:color="auto" w:fill="auto"/>
          </w:tcPr>
          <w:p w:rsidR="0092299C" w:rsidRPr="00D02A2E" w:rsidRDefault="0092299C" w:rsidP="0092299C">
            <w:pPr>
              <w:pStyle w:val="ARtabletextright"/>
            </w:pPr>
            <w:r w:rsidRPr="00D02A2E">
              <w:t>n/a</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48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All data for this program is recorded and configured in the Commonwealth’s My Aged Care system. It is not currently possible to separate community-based assessments from those conducted in a hospital setting. Options to address this data problem are being explored. </w:t>
            </w:r>
          </w:p>
        </w:tc>
      </w:tr>
      <w:tr w:rsidR="0092299C" w:rsidRPr="00D02A2E" w:rsidTr="0092299C">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Percentage of priority 1, 2 and 3 clients assessed within the appropriate time – hospital-based assessment</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85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n/a</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n/a</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48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All data for this program is recorded and configured in the Commonwealth My Aged Care system. It is not currently possible to separate community-based assessments from those conducted in a hospital setting. Options to address this data problem are being explored.</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bold"/>
            </w:pPr>
            <w:r w:rsidRPr="00D02A2E">
              <w:t>Total output cost</w:t>
            </w:r>
          </w:p>
        </w:tc>
        <w:tc>
          <w:tcPr>
            <w:tcW w:w="1021" w:type="dxa"/>
            <w:shd w:val="clear" w:color="auto" w:fill="auto"/>
            <w:hideMark/>
          </w:tcPr>
          <w:p w:rsidR="0092299C" w:rsidRPr="00D02A2E" w:rsidRDefault="0092299C" w:rsidP="001F2E2D">
            <w:pPr>
              <w:pStyle w:val="ARtabletextbold"/>
              <w:jc w:val="center"/>
            </w:pPr>
            <w:r w:rsidRPr="00D02A2E">
              <w:t>$ million</w:t>
            </w:r>
          </w:p>
        </w:tc>
        <w:tc>
          <w:tcPr>
            <w:tcW w:w="1021" w:type="dxa"/>
            <w:shd w:val="clear" w:color="auto" w:fill="auto"/>
          </w:tcPr>
          <w:p w:rsidR="0092299C" w:rsidRPr="00523C77" w:rsidRDefault="0092299C" w:rsidP="0092299C">
            <w:pPr>
              <w:pStyle w:val="ARtabletextright"/>
              <w:spacing w:before="70" w:after="50"/>
              <w:rPr>
                <w:b/>
                <w:bCs/>
              </w:rPr>
            </w:pPr>
            <w:r w:rsidRPr="00523C77">
              <w:rPr>
                <w:b/>
                <w:bCs/>
              </w:rPr>
              <w:t>62.4</w:t>
            </w:r>
          </w:p>
        </w:tc>
        <w:tc>
          <w:tcPr>
            <w:tcW w:w="1021" w:type="dxa"/>
            <w:shd w:val="clear" w:color="auto" w:fill="auto"/>
          </w:tcPr>
          <w:p w:rsidR="0092299C" w:rsidRPr="00523C77" w:rsidRDefault="0092299C" w:rsidP="0092299C">
            <w:pPr>
              <w:pStyle w:val="ARtabletextright"/>
              <w:spacing w:before="70" w:after="50"/>
              <w:rPr>
                <w:b/>
                <w:bCs/>
              </w:rPr>
            </w:pPr>
            <w:r w:rsidRPr="00523C77">
              <w:rPr>
                <w:b/>
                <w:bCs/>
              </w:rPr>
              <w:t>59.4</w:t>
            </w:r>
          </w:p>
        </w:tc>
        <w:tc>
          <w:tcPr>
            <w:tcW w:w="1021" w:type="dxa"/>
            <w:shd w:val="clear" w:color="auto" w:fill="auto"/>
          </w:tcPr>
          <w:p w:rsidR="0092299C" w:rsidRPr="00523C77" w:rsidRDefault="00EC4FD8" w:rsidP="0092299C">
            <w:pPr>
              <w:pStyle w:val="ARtabletextright"/>
              <w:spacing w:before="70" w:after="50"/>
              <w:rPr>
                <w:b/>
                <w:bCs/>
              </w:rPr>
            </w:pPr>
            <w:r>
              <w:rPr>
                <w:b/>
                <w:bCs/>
              </w:rPr>
              <w:t>–</w:t>
            </w:r>
            <w:r w:rsidR="0092299C">
              <w:rPr>
                <w:b/>
                <w:bCs/>
              </w:rPr>
              <w:t>4.8</w:t>
            </w:r>
          </w:p>
        </w:tc>
        <w:tc>
          <w:tcPr>
            <w:tcW w:w="794" w:type="dxa"/>
            <w:shd w:val="clear" w:color="auto" w:fill="auto"/>
            <w:hideMark/>
          </w:tcPr>
          <w:p w:rsidR="0092299C" w:rsidRPr="00523C77" w:rsidRDefault="0092299C" w:rsidP="0092299C">
            <w:pPr>
              <w:pStyle w:val="ARtabletextright"/>
              <w:spacing w:before="70" w:after="50"/>
              <w:rPr>
                <w:rFonts w:ascii="Wingdings" w:hAnsi="Wingdings"/>
                <w:b/>
                <w:bCs/>
              </w:rPr>
            </w:pPr>
          </w:p>
        </w:tc>
      </w:tr>
      <w:tr w:rsidR="0092299C" w:rsidRPr="00D02A2E" w:rsidTr="0092299C">
        <w:trPr>
          <w:cantSplit/>
          <w:trHeight w:val="240"/>
        </w:trPr>
        <w:tc>
          <w:tcPr>
            <w:tcW w:w="9639" w:type="dxa"/>
            <w:gridSpan w:val="6"/>
            <w:shd w:val="clear" w:color="auto" w:fill="auto"/>
          </w:tcPr>
          <w:tbl>
            <w:tblPr>
              <w:tblW w:w="9639" w:type="dxa"/>
              <w:tblLayout w:type="fixed"/>
              <w:tblCellMar>
                <w:left w:w="0" w:type="dxa"/>
              </w:tblCellMar>
              <w:tblLook w:val="04A0" w:firstRow="1" w:lastRow="0" w:firstColumn="1" w:lastColumn="0" w:noHBand="0" w:noVBand="1"/>
            </w:tblPr>
            <w:tblGrid>
              <w:gridCol w:w="9639"/>
            </w:tblGrid>
            <w:tr w:rsidR="0092299C" w:rsidRPr="00D02A2E" w:rsidTr="0092299C">
              <w:trPr>
                <w:cantSplit/>
                <w:trHeight w:val="240"/>
              </w:trPr>
              <w:tc>
                <w:tcPr>
                  <w:tcW w:w="9639" w:type="dxa"/>
                  <w:tcBorders>
                    <w:bottom w:val="single" w:sz="4" w:space="0" w:color="000000"/>
                  </w:tcBorders>
                  <w:shd w:val="clear" w:color="auto" w:fill="auto"/>
                </w:tcPr>
                <w:p w:rsidR="0092299C" w:rsidRPr="00D02A2E" w:rsidRDefault="0092299C" w:rsidP="0092299C">
                  <w:pPr>
                    <w:pStyle w:val="ARtablenoteindent"/>
                  </w:pPr>
                  <w:r w:rsidRPr="00B67653">
                    <w:t>The 20</w:t>
                  </w:r>
                  <w:r>
                    <w:t>16–17</w:t>
                  </w:r>
                  <w:r w:rsidRPr="00B67653">
                    <w:t xml:space="preserve"> actual outcome reflects movements within the output group, the difference between 20</w:t>
                  </w:r>
                  <w:r>
                    <w:t>15–16</w:t>
                  </w:r>
                  <w:r w:rsidRPr="00B67653">
                    <w:t xml:space="preserve"> estimated and actual carry-over, and funding requested to be carried over into 20</w:t>
                  </w:r>
                  <w:r>
                    <w:t>17–18</w:t>
                  </w:r>
                  <w:r w:rsidRPr="00B67653">
                    <w:t>.</w:t>
                  </w:r>
                </w:p>
              </w:tc>
            </w:tr>
          </w:tbl>
          <w:p w:rsidR="0092299C" w:rsidRPr="00D02A2E" w:rsidRDefault="0092299C" w:rsidP="0092299C">
            <w:pPr>
              <w:pStyle w:val="ARtablenoteindent"/>
              <w:rPr>
                <w:sz w:val="20"/>
                <w:szCs w:val="20"/>
              </w:rPr>
            </w:pPr>
          </w:p>
        </w:tc>
      </w:tr>
      <w:tr w:rsidR="0092299C" w:rsidRPr="00D02A2E" w:rsidTr="0092299C">
        <w:trPr>
          <w:cantSplit/>
          <w:trHeight w:val="240"/>
        </w:trPr>
        <w:tc>
          <w:tcPr>
            <w:tcW w:w="4761" w:type="dxa"/>
            <w:tcBorders>
              <w:bottom w:val="single" w:sz="4" w:space="0" w:color="auto"/>
            </w:tcBorders>
            <w:shd w:val="clear" w:color="auto" w:fill="auto"/>
          </w:tcPr>
          <w:p w:rsidR="0092299C" w:rsidRPr="00D02A2E" w:rsidRDefault="0092299C" w:rsidP="0092299C">
            <w:pPr>
              <w:pStyle w:val="ARtablebluebold"/>
            </w:pPr>
            <w:r w:rsidRPr="00D02A2E">
              <w:t>Aged Support Services</w:t>
            </w:r>
          </w:p>
        </w:tc>
        <w:tc>
          <w:tcPr>
            <w:tcW w:w="1021" w:type="dxa"/>
            <w:tcBorders>
              <w:bottom w:val="single" w:sz="4" w:space="0" w:color="auto"/>
            </w:tcBorders>
            <w:shd w:val="clear" w:color="auto" w:fill="auto"/>
          </w:tcPr>
          <w:p w:rsidR="0092299C" w:rsidRPr="00D02A2E" w:rsidRDefault="0092299C" w:rsidP="0092299C">
            <w:pPr>
              <w:pStyle w:val="ARtablebluebold"/>
            </w:pPr>
          </w:p>
        </w:tc>
        <w:tc>
          <w:tcPr>
            <w:tcW w:w="1021" w:type="dxa"/>
            <w:tcBorders>
              <w:bottom w:val="single" w:sz="4" w:space="0" w:color="auto"/>
            </w:tcBorders>
            <w:shd w:val="clear" w:color="auto" w:fill="auto"/>
          </w:tcPr>
          <w:p w:rsidR="0092299C" w:rsidRPr="00D02A2E" w:rsidRDefault="0092299C" w:rsidP="0092299C">
            <w:pPr>
              <w:pStyle w:val="ARtablebluebold"/>
            </w:pPr>
          </w:p>
        </w:tc>
        <w:tc>
          <w:tcPr>
            <w:tcW w:w="1021" w:type="dxa"/>
            <w:tcBorders>
              <w:bottom w:val="single" w:sz="4" w:space="0" w:color="auto"/>
            </w:tcBorders>
            <w:shd w:val="clear" w:color="auto" w:fill="auto"/>
          </w:tcPr>
          <w:p w:rsidR="0092299C" w:rsidRPr="00D02A2E" w:rsidRDefault="0092299C" w:rsidP="0092299C">
            <w:pPr>
              <w:pStyle w:val="ARtablebluebold"/>
            </w:pPr>
          </w:p>
        </w:tc>
        <w:tc>
          <w:tcPr>
            <w:tcW w:w="1021" w:type="dxa"/>
            <w:tcBorders>
              <w:bottom w:val="single" w:sz="4" w:space="0" w:color="auto"/>
            </w:tcBorders>
            <w:shd w:val="clear" w:color="auto" w:fill="auto"/>
          </w:tcPr>
          <w:p w:rsidR="0092299C" w:rsidRPr="00D02A2E" w:rsidRDefault="0092299C" w:rsidP="0092299C">
            <w:pPr>
              <w:pStyle w:val="ARtablebluebold"/>
            </w:pPr>
          </w:p>
        </w:tc>
        <w:tc>
          <w:tcPr>
            <w:tcW w:w="794" w:type="dxa"/>
            <w:tcBorders>
              <w:bottom w:val="single" w:sz="4" w:space="0" w:color="auto"/>
            </w:tcBorders>
            <w:shd w:val="clear" w:color="auto" w:fill="auto"/>
          </w:tcPr>
          <w:p w:rsidR="0092299C" w:rsidRPr="00D02A2E" w:rsidRDefault="0092299C" w:rsidP="0092299C">
            <w:pPr>
              <w:pStyle w:val="ARtablebluebold"/>
              <w:rPr>
                <w:rFonts w:ascii="Wingdings" w:hAnsi="Wingdings"/>
              </w:rPr>
            </w:pPr>
          </w:p>
        </w:tc>
      </w:tr>
      <w:tr w:rsidR="0092299C" w:rsidRPr="00D02A2E" w:rsidTr="0092299C">
        <w:trPr>
          <w:cantSplit/>
          <w:trHeight w:val="240"/>
        </w:trPr>
        <w:tc>
          <w:tcPr>
            <w:tcW w:w="4761" w:type="dxa"/>
            <w:tcBorders>
              <w:top w:val="single" w:sz="4" w:space="0" w:color="auto"/>
            </w:tcBorders>
            <w:shd w:val="clear" w:color="auto" w:fill="auto"/>
          </w:tcPr>
          <w:p w:rsidR="0092299C" w:rsidRPr="00D02A2E" w:rsidRDefault="0092299C" w:rsidP="0092299C">
            <w:pPr>
              <w:pStyle w:val="ARtablebluebold"/>
              <w:rPr>
                <w:i/>
              </w:rPr>
            </w:pPr>
            <w:r w:rsidRPr="00A94E7D">
              <w:t>Quantity</w:t>
            </w:r>
          </w:p>
        </w:tc>
        <w:tc>
          <w:tcPr>
            <w:tcW w:w="1021" w:type="dxa"/>
            <w:tcBorders>
              <w:top w:val="single" w:sz="4" w:space="0" w:color="auto"/>
            </w:tcBorders>
            <w:shd w:val="clear" w:color="auto" w:fill="auto"/>
          </w:tcPr>
          <w:p w:rsidR="0092299C" w:rsidRPr="00D02A2E" w:rsidRDefault="0092299C" w:rsidP="0092299C">
            <w:pPr>
              <w:pStyle w:val="ARtablebluebold"/>
            </w:pPr>
          </w:p>
        </w:tc>
        <w:tc>
          <w:tcPr>
            <w:tcW w:w="1021" w:type="dxa"/>
            <w:tcBorders>
              <w:top w:val="single" w:sz="4" w:space="0" w:color="auto"/>
            </w:tcBorders>
            <w:shd w:val="clear" w:color="auto" w:fill="auto"/>
          </w:tcPr>
          <w:p w:rsidR="0092299C" w:rsidRPr="00D02A2E" w:rsidRDefault="0092299C" w:rsidP="0092299C">
            <w:pPr>
              <w:pStyle w:val="ARtablebluebold"/>
            </w:pPr>
          </w:p>
        </w:tc>
        <w:tc>
          <w:tcPr>
            <w:tcW w:w="1021" w:type="dxa"/>
            <w:tcBorders>
              <w:top w:val="single" w:sz="4" w:space="0" w:color="auto"/>
            </w:tcBorders>
            <w:shd w:val="clear" w:color="auto" w:fill="auto"/>
          </w:tcPr>
          <w:p w:rsidR="0092299C" w:rsidRPr="00D02A2E" w:rsidRDefault="0092299C" w:rsidP="0092299C">
            <w:pPr>
              <w:pStyle w:val="ARtablebluebold"/>
            </w:pPr>
          </w:p>
        </w:tc>
        <w:tc>
          <w:tcPr>
            <w:tcW w:w="1021" w:type="dxa"/>
            <w:tcBorders>
              <w:top w:val="single" w:sz="4" w:space="0" w:color="auto"/>
            </w:tcBorders>
            <w:shd w:val="clear" w:color="auto" w:fill="auto"/>
          </w:tcPr>
          <w:p w:rsidR="0092299C" w:rsidRPr="00D02A2E" w:rsidRDefault="0092299C" w:rsidP="0092299C">
            <w:pPr>
              <w:pStyle w:val="ARtablebluebold"/>
            </w:pPr>
          </w:p>
        </w:tc>
        <w:tc>
          <w:tcPr>
            <w:tcW w:w="794" w:type="dxa"/>
            <w:tcBorders>
              <w:top w:val="single" w:sz="4" w:space="0" w:color="auto"/>
            </w:tcBorders>
            <w:shd w:val="clear" w:color="auto" w:fill="auto"/>
          </w:tcPr>
          <w:p w:rsidR="0092299C" w:rsidRPr="00D02A2E" w:rsidRDefault="0092299C" w:rsidP="0092299C">
            <w:pPr>
              <w:pStyle w:val="ARtablebluebold"/>
              <w:rPr>
                <w:rFonts w:ascii="Wingdings" w:hAnsi="Wingdings"/>
              </w:rPr>
            </w:pPr>
          </w:p>
        </w:tc>
      </w:tr>
      <w:tr w:rsidR="0092299C" w:rsidRPr="00D02A2E" w:rsidTr="00C04681">
        <w:trPr>
          <w:cantSplit/>
          <w:trHeight w:val="240"/>
        </w:trPr>
        <w:tc>
          <w:tcPr>
            <w:tcW w:w="4761" w:type="dxa"/>
            <w:shd w:val="clear" w:color="auto" w:fill="auto"/>
          </w:tcPr>
          <w:p w:rsidR="0092299C" w:rsidRPr="00D02A2E" w:rsidRDefault="0092299C" w:rsidP="0092299C">
            <w:pPr>
              <w:pStyle w:val="ARtabletext"/>
            </w:pPr>
            <w:r w:rsidRPr="00D02A2E">
              <w:t>Individuals provided with respite and support services</w:t>
            </w:r>
          </w:p>
        </w:tc>
        <w:tc>
          <w:tcPr>
            <w:tcW w:w="1021" w:type="dxa"/>
            <w:shd w:val="clear" w:color="auto" w:fill="auto"/>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92299C">
            <w:pPr>
              <w:pStyle w:val="ARtabletextright"/>
            </w:pPr>
            <w:r w:rsidRPr="00D02A2E">
              <w:t>8,254</w:t>
            </w:r>
          </w:p>
        </w:tc>
        <w:tc>
          <w:tcPr>
            <w:tcW w:w="1021" w:type="dxa"/>
            <w:shd w:val="clear" w:color="auto" w:fill="auto"/>
          </w:tcPr>
          <w:p w:rsidR="0092299C" w:rsidRPr="00D02A2E" w:rsidRDefault="0092299C" w:rsidP="0092299C">
            <w:pPr>
              <w:pStyle w:val="ARtabletextright"/>
            </w:pPr>
            <w:r w:rsidRPr="00D02A2E">
              <w:t>8,110</w:t>
            </w:r>
          </w:p>
        </w:tc>
        <w:tc>
          <w:tcPr>
            <w:tcW w:w="1021" w:type="dxa"/>
            <w:shd w:val="clear" w:color="auto" w:fill="auto"/>
          </w:tcPr>
          <w:p w:rsidR="0092299C" w:rsidRPr="00D02A2E" w:rsidRDefault="00EC4FD8" w:rsidP="0092299C">
            <w:pPr>
              <w:pStyle w:val="ARtabletextright"/>
            </w:pPr>
            <w:r>
              <w:t>–</w:t>
            </w:r>
            <w:r w:rsidR="0092299C">
              <w:t>1.7</w:t>
            </w:r>
          </w:p>
        </w:tc>
        <w:tc>
          <w:tcPr>
            <w:tcW w:w="794" w:type="dxa"/>
            <w:shd w:val="clear" w:color="auto" w:fill="auto"/>
          </w:tcPr>
          <w:p w:rsidR="0092299C" w:rsidRPr="00D02A2E" w:rsidRDefault="0092299C" w:rsidP="008C184A">
            <w:pPr>
              <w:pStyle w:val="ARtabletextright"/>
            </w:pPr>
            <w:r w:rsidRPr="008C184A">
              <w:rPr>
                <w:rFonts w:ascii="Wingdings" w:hAnsi="Wingdings"/>
              </w:rPr>
              <w:t></w:t>
            </w:r>
          </w:p>
        </w:tc>
      </w:tr>
      <w:tr w:rsidR="00A94E7D" w:rsidRPr="00D02A2E" w:rsidTr="0084694E">
        <w:trPr>
          <w:cantSplit/>
          <w:trHeight w:val="240"/>
        </w:trPr>
        <w:tc>
          <w:tcPr>
            <w:tcW w:w="9639" w:type="dxa"/>
            <w:gridSpan w:val="6"/>
            <w:tcBorders>
              <w:bottom w:val="single" w:sz="4" w:space="0" w:color="BFBFBF"/>
            </w:tcBorders>
            <w:shd w:val="clear" w:color="auto" w:fill="auto"/>
          </w:tcPr>
          <w:p w:rsidR="00A94E7D" w:rsidRPr="00D02A2E" w:rsidRDefault="00A94E7D" w:rsidP="00A94E7D">
            <w:pPr>
              <w:pStyle w:val="ARtablenoteindent"/>
              <w:rPr>
                <w:rFonts w:ascii="Wingdings" w:hAnsi="Wingdings"/>
              </w:rPr>
            </w:pPr>
            <w:r w:rsidRPr="00D02A2E">
              <w:t>Preliminary result</w:t>
            </w:r>
          </w:p>
        </w:tc>
      </w:tr>
      <w:tr w:rsidR="0092299C" w:rsidRPr="00D02A2E" w:rsidTr="00C04681">
        <w:trPr>
          <w:cantSplit/>
          <w:trHeight w:val="240"/>
        </w:trPr>
        <w:tc>
          <w:tcPr>
            <w:tcW w:w="4761" w:type="dxa"/>
            <w:tcBorders>
              <w:top w:val="single" w:sz="4" w:space="0" w:color="BFBFBF"/>
            </w:tcBorders>
            <w:shd w:val="clear" w:color="auto" w:fill="auto"/>
          </w:tcPr>
          <w:p w:rsidR="0092299C" w:rsidRPr="00D02A2E" w:rsidRDefault="0092299C" w:rsidP="0092299C">
            <w:pPr>
              <w:pStyle w:val="ARtabletext"/>
              <w:keepNext/>
            </w:pPr>
            <w:r w:rsidRPr="00D02A2E">
              <w:lastRenderedPageBreak/>
              <w:t>Number of hours of respite and support services</w:t>
            </w:r>
          </w:p>
        </w:tc>
        <w:tc>
          <w:tcPr>
            <w:tcW w:w="1021" w:type="dxa"/>
            <w:tcBorders>
              <w:top w:val="single" w:sz="4" w:space="0" w:color="BFBFBF"/>
            </w:tcBorders>
            <w:shd w:val="clear" w:color="auto" w:fill="auto"/>
          </w:tcPr>
          <w:p w:rsidR="0092299C" w:rsidRPr="00D02A2E" w:rsidRDefault="0092299C" w:rsidP="001F2E2D">
            <w:pPr>
              <w:pStyle w:val="ARtabletext"/>
              <w:keepNext/>
              <w:jc w:val="center"/>
            </w:pPr>
            <w:r w:rsidRPr="00D02A2E">
              <w:t>hours</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161,250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159,496</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1.1</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keepNext/>
            </w:pPr>
            <w:r w:rsidRPr="00D02A2E">
              <w:t xml:space="preserve">Preliminary result. </w:t>
            </w:r>
          </w:p>
        </w:tc>
      </w:tr>
      <w:tr w:rsidR="0092299C" w:rsidRPr="00D02A2E" w:rsidTr="0092299C">
        <w:trPr>
          <w:cantSplit/>
          <w:trHeight w:val="240"/>
        </w:trPr>
        <w:tc>
          <w:tcPr>
            <w:tcW w:w="4761" w:type="dxa"/>
            <w:tcBorders>
              <w:top w:val="single" w:sz="4" w:space="0" w:color="BFBFBF"/>
              <w:bottom w:val="single" w:sz="4" w:space="0" w:color="BFBFBF"/>
            </w:tcBorders>
            <w:shd w:val="clear" w:color="auto" w:fill="auto"/>
          </w:tcPr>
          <w:p w:rsidR="0092299C" w:rsidRPr="00D02A2E" w:rsidRDefault="0092299C" w:rsidP="0092299C">
            <w:pPr>
              <w:pStyle w:val="ARtabletext"/>
            </w:pPr>
            <w:r w:rsidRPr="00D02A2E">
              <w:t>Pension-level beds available in assisted supported residential services facilities</w:t>
            </w:r>
          </w:p>
        </w:tc>
        <w:tc>
          <w:tcPr>
            <w:tcW w:w="1021" w:type="dxa"/>
            <w:tcBorders>
              <w:top w:val="single" w:sz="4" w:space="0" w:color="BFBFBF"/>
              <w:bottom w:val="single" w:sz="4" w:space="0" w:color="BFBFBF"/>
            </w:tcBorders>
            <w:shd w:val="clear" w:color="auto" w:fill="auto"/>
          </w:tcPr>
          <w:p w:rsidR="0092299C" w:rsidRPr="00D02A2E" w:rsidRDefault="0092299C" w:rsidP="001F2E2D">
            <w:pPr>
              <w:pStyle w:val="ARtabletext"/>
              <w:jc w:val="center"/>
            </w:pPr>
            <w:r w:rsidRPr="00D02A2E">
              <w:t>number</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1,876</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1,822</w:t>
            </w:r>
          </w:p>
        </w:tc>
        <w:tc>
          <w:tcPr>
            <w:tcW w:w="1021" w:type="dxa"/>
            <w:tcBorders>
              <w:top w:val="single" w:sz="4" w:space="0" w:color="BFBFBF"/>
              <w:bottom w:val="single" w:sz="4" w:space="0" w:color="BFBFBF"/>
            </w:tcBorders>
            <w:shd w:val="clear" w:color="auto" w:fill="auto"/>
          </w:tcPr>
          <w:p w:rsidR="0092299C" w:rsidRPr="00D02A2E" w:rsidRDefault="00EC4FD8" w:rsidP="0092299C">
            <w:pPr>
              <w:pStyle w:val="ARtabletextright"/>
            </w:pPr>
            <w:r>
              <w:t>–</w:t>
            </w:r>
            <w:r w:rsidR="0092299C">
              <w:t>2.9</w:t>
            </w:r>
          </w:p>
        </w:tc>
        <w:tc>
          <w:tcPr>
            <w:tcW w:w="794" w:type="dxa"/>
            <w:tcBorders>
              <w:top w:val="single" w:sz="4" w:space="0" w:color="BFBFBF"/>
              <w:bottom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bottom w:val="single" w:sz="4" w:space="0" w:color="BFBFBF"/>
            </w:tcBorders>
            <w:shd w:val="clear" w:color="auto" w:fill="auto"/>
          </w:tcPr>
          <w:p w:rsidR="0092299C" w:rsidRPr="00D02A2E" w:rsidRDefault="0092299C" w:rsidP="0092299C">
            <w:pPr>
              <w:pStyle w:val="ARtabletext"/>
            </w:pPr>
            <w:r w:rsidRPr="00D02A2E">
              <w:t>Pension-level supported residential services residents provided with service coordination and support/brokerage services</w:t>
            </w:r>
          </w:p>
        </w:tc>
        <w:tc>
          <w:tcPr>
            <w:tcW w:w="1021" w:type="dxa"/>
            <w:tcBorders>
              <w:top w:val="single" w:sz="4" w:space="0" w:color="BFBFBF"/>
              <w:bottom w:val="single" w:sz="4" w:space="0" w:color="BFBFBF"/>
            </w:tcBorders>
            <w:shd w:val="clear" w:color="auto" w:fill="auto"/>
          </w:tcPr>
          <w:p w:rsidR="0092299C" w:rsidRPr="00D02A2E" w:rsidRDefault="0092299C" w:rsidP="001F2E2D">
            <w:pPr>
              <w:pStyle w:val="ARtabletext"/>
              <w:jc w:val="center"/>
            </w:pPr>
            <w:r w:rsidRPr="00D02A2E">
              <w:t>number</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775</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775</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bottom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bottom w:val="single" w:sz="4" w:space="0" w:color="BFBFBF"/>
            </w:tcBorders>
            <w:shd w:val="clear" w:color="auto" w:fill="auto"/>
          </w:tcPr>
          <w:p w:rsidR="0092299C" w:rsidRPr="00D02A2E" w:rsidRDefault="0092299C" w:rsidP="0092299C">
            <w:pPr>
              <w:pStyle w:val="ARtabletext"/>
            </w:pPr>
            <w:r w:rsidRPr="00D02A2E">
              <w:t>Personal alert units allocated</w:t>
            </w:r>
          </w:p>
        </w:tc>
        <w:tc>
          <w:tcPr>
            <w:tcW w:w="1021" w:type="dxa"/>
            <w:tcBorders>
              <w:top w:val="single" w:sz="4" w:space="0" w:color="BFBFBF"/>
              <w:bottom w:val="single" w:sz="4" w:space="0" w:color="BFBFBF"/>
            </w:tcBorders>
            <w:shd w:val="clear" w:color="auto" w:fill="auto"/>
          </w:tcPr>
          <w:p w:rsidR="0092299C" w:rsidRPr="00D02A2E" w:rsidRDefault="0092299C" w:rsidP="001F2E2D">
            <w:pPr>
              <w:pStyle w:val="ARtabletext"/>
              <w:jc w:val="center"/>
            </w:pPr>
            <w:r w:rsidRPr="00D02A2E">
              <w:t>number</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27,370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27,371</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bottom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text"/>
            </w:pPr>
            <w:r w:rsidRPr="00D02A2E">
              <w:t xml:space="preserve">Victorian </w:t>
            </w:r>
            <w:proofErr w:type="spellStart"/>
            <w:r w:rsidRPr="00D02A2E">
              <w:t>EyeCare</w:t>
            </w:r>
            <w:proofErr w:type="spellEnd"/>
            <w:r w:rsidRPr="00D02A2E">
              <w:t xml:space="preserve"> Service (occasions of service)</w:t>
            </w:r>
          </w:p>
        </w:tc>
        <w:tc>
          <w:tcPr>
            <w:tcW w:w="1021" w:type="dxa"/>
            <w:tcBorders>
              <w:top w:val="single" w:sz="4" w:space="0" w:color="BFBFBF"/>
            </w:tcBorders>
            <w:shd w:val="clear" w:color="auto" w:fill="auto"/>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75,800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75,132</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0.9</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794" w:type="dxa"/>
            <w:tcBorders>
              <w:top w:val="single" w:sz="4" w:space="0" w:color="BFBFBF"/>
            </w:tcBorders>
            <w:shd w:val="clear" w:color="auto" w:fill="auto"/>
          </w:tcPr>
          <w:p w:rsidR="0092299C" w:rsidRPr="00D02A2E" w:rsidRDefault="0092299C" w:rsidP="0092299C">
            <w:pPr>
              <w:pStyle w:val="ARtablebluebold"/>
            </w:pPr>
          </w:p>
        </w:tc>
      </w:tr>
      <w:tr w:rsidR="0092299C" w:rsidRPr="00D02A2E" w:rsidTr="0092299C">
        <w:trPr>
          <w:cantSplit/>
          <w:trHeight w:val="240"/>
        </w:trPr>
        <w:tc>
          <w:tcPr>
            <w:tcW w:w="4761" w:type="dxa"/>
            <w:tcBorders>
              <w:bottom w:val="single" w:sz="4" w:space="0" w:color="BFBFBF"/>
            </w:tcBorders>
            <w:shd w:val="clear" w:color="auto" w:fill="auto"/>
          </w:tcPr>
          <w:p w:rsidR="0092299C" w:rsidRPr="00D02A2E" w:rsidRDefault="0092299C" w:rsidP="0092299C">
            <w:pPr>
              <w:pStyle w:val="ARtabletext"/>
            </w:pPr>
            <w:r w:rsidRPr="00D02A2E">
              <w:t>Funded research and service development projects for which satisfactory reports have been received</w:t>
            </w:r>
          </w:p>
        </w:tc>
        <w:tc>
          <w:tcPr>
            <w:tcW w:w="1021" w:type="dxa"/>
            <w:tcBorders>
              <w:bottom w:val="single" w:sz="4" w:space="0" w:color="BFBFBF"/>
            </w:tcBorders>
            <w:shd w:val="clear" w:color="auto" w:fill="auto"/>
          </w:tcPr>
          <w:p w:rsidR="0092299C" w:rsidRPr="00D02A2E" w:rsidRDefault="0092299C" w:rsidP="001F2E2D">
            <w:pPr>
              <w:pStyle w:val="ARtabletext"/>
              <w:jc w:val="center"/>
            </w:pPr>
            <w:r w:rsidRPr="00D02A2E">
              <w:t>per cent</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bottom w:val="single" w:sz="4" w:space="0" w:color="BFBFBF"/>
            </w:tcBorders>
            <w:shd w:val="clear" w:color="auto" w:fill="auto"/>
          </w:tcPr>
          <w:p w:rsidR="0092299C" w:rsidRPr="00D02A2E" w:rsidRDefault="007B4262" w:rsidP="0092299C">
            <w:pPr>
              <w:pStyle w:val="ARtabletextright"/>
            </w:pPr>
            <w:r>
              <w:t>0.0</w:t>
            </w:r>
          </w:p>
        </w:tc>
        <w:tc>
          <w:tcPr>
            <w:tcW w:w="794" w:type="dxa"/>
            <w:tcBorders>
              <w:bottom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794" w:type="dxa"/>
            <w:tcBorders>
              <w:top w:val="single" w:sz="4" w:space="0" w:color="BFBFBF"/>
            </w:tcBorders>
            <w:shd w:val="clear" w:color="auto" w:fill="auto"/>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tcPr>
          <w:p w:rsidR="0092299C" w:rsidRPr="00D02A2E" w:rsidRDefault="0092299C" w:rsidP="0092299C">
            <w:pPr>
              <w:pStyle w:val="ARtabletextbold"/>
            </w:pPr>
            <w:r w:rsidRPr="00D02A2E">
              <w:t>Total output cost</w:t>
            </w:r>
          </w:p>
        </w:tc>
        <w:tc>
          <w:tcPr>
            <w:tcW w:w="1021" w:type="dxa"/>
            <w:shd w:val="clear" w:color="auto" w:fill="auto"/>
          </w:tcPr>
          <w:p w:rsidR="0092299C" w:rsidRPr="00D02A2E" w:rsidRDefault="0092299C" w:rsidP="001F2E2D">
            <w:pPr>
              <w:pStyle w:val="ARtabletextbold"/>
              <w:jc w:val="center"/>
            </w:pPr>
            <w:r w:rsidRPr="00D02A2E">
              <w:t>$ million</w:t>
            </w:r>
          </w:p>
        </w:tc>
        <w:tc>
          <w:tcPr>
            <w:tcW w:w="1021" w:type="dxa"/>
            <w:shd w:val="clear" w:color="auto" w:fill="auto"/>
          </w:tcPr>
          <w:p w:rsidR="0092299C" w:rsidRPr="00523C77" w:rsidRDefault="0092299C" w:rsidP="0092299C">
            <w:pPr>
              <w:pStyle w:val="ARtabletextright"/>
              <w:spacing w:before="70" w:after="50"/>
              <w:rPr>
                <w:b/>
                <w:bCs/>
              </w:rPr>
            </w:pPr>
            <w:r w:rsidRPr="00523C77">
              <w:rPr>
                <w:b/>
                <w:bCs/>
              </w:rPr>
              <w:t>102.7</w:t>
            </w:r>
            <w:r w:rsidRPr="00523C77">
              <w:rPr>
                <w:b/>
                <w:bCs/>
              </w:rPr>
              <w:tab/>
            </w:r>
          </w:p>
        </w:tc>
        <w:tc>
          <w:tcPr>
            <w:tcW w:w="1021" w:type="dxa"/>
            <w:shd w:val="clear" w:color="auto" w:fill="auto"/>
          </w:tcPr>
          <w:p w:rsidR="0092299C" w:rsidRPr="00523C77" w:rsidRDefault="0092299C" w:rsidP="0092299C">
            <w:pPr>
              <w:pStyle w:val="ARtabletextright"/>
              <w:spacing w:before="70" w:after="50"/>
              <w:rPr>
                <w:b/>
                <w:bCs/>
              </w:rPr>
            </w:pPr>
            <w:r w:rsidRPr="00523C77">
              <w:rPr>
                <w:b/>
                <w:bCs/>
              </w:rPr>
              <w:t>98.7</w:t>
            </w:r>
          </w:p>
        </w:tc>
        <w:tc>
          <w:tcPr>
            <w:tcW w:w="1021" w:type="dxa"/>
            <w:shd w:val="clear" w:color="auto" w:fill="auto"/>
          </w:tcPr>
          <w:p w:rsidR="0092299C" w:rsidRPr="00523C77" w:rsidRDefault="00EC4FD8" w:rsidP="0092299C">
            <w:pPr>
              <w:pStyle w:val="ARtabletextright"/>
              <w:spacing w:before="70" w:after="50"/>
              <w:rPr>
                <w:b/>
                <w:bCs/>
              </w:rPr>
            </w:pPr>
            <w:r>
              <w:rPr>
                <w:b/>
                <w:bCs/>
              </w:rPr>
              <w:t>–</w:t>
            </w:r>
            <w:r w:rsidR="0092299C">
              <w:rPr>
                <w:b/>
                <w:bCs/>
              </w:rPr>
              <w:t>3.9</w:t>
            </w:r>
          </w:p>
        </w:tc>
        <w:tc>
          <w:tcPr>
            <w:tcW w:w="794" w:type="dxa"/>
            <w:shd w:val="clear" w:color="auto" w:fill="auto"/>
          </w:tcPr>
          <w:p w:rsidR="0092299C" w:rsidRPr="00523C77" w:rsidRDefault="0092299C" w:rsidP="0092299C">
            <w:pPr>
              <w:pStyle w:val="ARtabletextright"/>
              <w:spacing w:before="70" w:after="50"/>
              <w:rPr>
                <w:rFonts w:ascii="Wingdings" w:hAnsi="Wingdings"/>
                <w:b/>
                <w:bCs/>
              </w:rPr>
            </w:pPr>
          </w:p>
        </w:tc>
      </w:tr>
      <w:tr w:rsidR="0092299C" w:rsidRPr="00D02A2E" w:rsidTr="0092299C">
        <w:trPr>
          <w:cantSplit/>
          <w:trHeight w:val="240"/>
        </w:trPr>
        <w:tc>
          <w:tcPr>
            <w:tcW w:w="9639" w:type="dxa"/>
            <w:gridSpan w:val="6"/>
            <w:tcBorders>
              <w:bottom w:val="single" w:sz="4" w:space="0" w:color="auto"/>
            </w:tcBorders>
            <w:shd w:val="clear" w:color="auto" w:fill="auto"/>
          </w:tcPr>
          <w:p w:rsidR="0092299C" w:rsidRPr="00D02A2E" w:rsidRDefault="0092299C" w:rsidP="0092299C">
            <w:pPr>
              <w:pStyle w:val="ARtablenoteindent"/>
            </w:pPr>
            <w:r w:rsidRPr="00B67653">
              <w:t>The 20</w:t>
            </w:r>
            <w:r>
              <w:t>16–17</w:t>
            </w:r>
            <w:r w:rsidRPr="00B67653">
              <w:t xml:space="preserve"> actual outcome primarily reflects funding requested to be carried over into 20</w:t>
            </w:r>
            <w:r>
              <w:t>17–18</w:t>
            </w:r>
            <w:r w:rsidRPr="00B67653">
              <w:t>.</w:t>
            </w:r>
          </w:p>
        </w:tc>
      </w:tr>
      <w:tr w:rsidR="0092299C" w:rsidRPr="00D02A2E" w:rsidTr="0092299C">
        <w:trPr>
          <w:cantSplit/>
          <w:trHeight w:val="240"/>
        </w:trPr>
        <w:tc>
          <w:tcPr>
            <w:tcW w:w="4761" w:type="dxa"/>
            <w:tcBorders>
              <w:top w:val="single" w:sz="4" w:space="0" w:color="auto"/>
              <w:bottom w:val="single" w:sz="4" w:space="0" w:color="auto"/>
            </w:tcBorders>
            <w:shd w:val="clear" w:color="auto" w:fill="auto"/>
          </w:tcPr>
          <w:p w:rsidR="0092299C" w:rsidRPr="00D02A2E" w:rsidRDefault="0092299C" w:rsidP="0092299C">
            <w:pPr>
              <w:pStyle w:val="ARtablebluebold"/>
            </w:pPr>
            <w:r w:rsidRPr="00D02A2E">
              <w:t xml:space="preserve">HACC Primary Health, Community Care and Support </w:t>
            </w:r>
          </w:p>
        </w:tc>
        <w:tc>
          <w:tcPr>
            <w:tcW w:w="1021" w:type="dxa"/>
            <w:tcBorders>
              <w:top w:val="single" w:sz="4" w:space="0" w:color="auto"/>
              <w:bottom w:val="single" w:sz="4" w:space="0" w:color="auto"/>
            </w:tcBorders>
            <w:shd w:val="clear" w:color="auto" w:fill="auto"/>
          </w:tcPr>
          <w:p w:rsidR="0092299C" w:rsidRPr="00D02A2E" w:rsidRDefault="0092299C" w:rsidP="0092299C">
            <w:pPr>
              <w:pStyle w:val="ARtablebluebold"/>
            </w:pPr>
          </w:p>
        </w:tc>
        <w:tc>
          <w:tcPr>
            <w:tcW w:w="1021" w:type="dxa"/>
            <w:tcBorders>
              <w:top w:val="single" w:sz="4" w:space="0" w:color="auto"/>
              <w:bottom w:val="single" w:sz="4" w:space="0" w:color="auto"/>
            </w:tcBorders>
            <w:shd w:val="clear" w:color="auto" w:fill="auto"/>
          </w:tcPr>
          <w:p w:rsidR="0092299C" w:rsidRPr="00D02A2E" w:rsidRDefault="0092299C" w:rsidP="0092299C">
            <w:pPr>
              <w:pStyle w:val="ARtablebluebold"/>
            </w:pPr>
          </w:p>
        </w:tc>
        <w:tc>
          <w:tcPr>
            <w:tcW w:w="1021" w:type="dxa"/>
            <w:tcBorders>
              <w:top w:val="single" w:sz="4" w:space="0" w:color="auto"/>
              <w:bottom w:val="single" w:sz="4" w:space="0" w:color="auto"/>
            </w:tcBorders>
            <w:shd w:val="clear" w:color="auto" w:fill="auto"/>
          </w:tcPr>
          <w:p w:rsidR="0092299C" w:rsidRPr="00D02A2E" w:rsidRDefault="0092299C" w:rsidP="0092299C">
            <w:pPr>
              <w:pStyle w:val="ARtablebluebold"/>
            </w:pPr>
          </w:p>
        </w:tc>
        <w:tc>
          <w:tcPr>
            <w:tcW w:w="1021" w:type="dxa"/>
            <w:tcBorders>
              <w:top w:val="single" w:sz="4" w:space="0" w:color="auto"/>
              <w:bottom w:val="single" w:sz="4" w:space="0" w:color="auto"/>
            </w:tcBorders>
            <w:shd w:val="clear" w:color="auto" w:fill="auto"/>
          </w:tcPr>
          <w:p w:rsidR="0092299C" w:rsidRPr="00D02A2E" w:rsidRDefault="0092299C" w:rsidP="0092299C">
            <w:pPr>
              <w:pStyle w:val="ARtablebluebold"/>
            </w:pPr>
          </w:p>
        </w:tc>
        <w:tc>
          <w:tcPr>
            <w:tcW w:w="794" w:type="dxa"/>
            <w:tcBorders>
              <w:top w:val="single" w:sz="4" w:space="0" w:color="auto"/>
              <w:bottom w:val="single" w:sz="4" w:space="0" w:color="auto"/>
            </w:tcBorders>
            <w:shd w:val="clear" w:color="auto" w:fill="auto"/>
          </w:tcPr>
          <w:p w:rsidR="0092299C" w:rsidRPr="00D02A2E" w:rsidRDefault="0092299C" w:rsidP="0092299C">
            <w:pPr>
              <w:pStyle w:val="ARtablebluebold"/>
            </w:pPr>
          </w:p>
        </w:tc>
      </w:tr>
      <w:tr w:rsidR="0092299C" w:rsidRPr="00D02A2E" w:rsidTr="0092299C">
        <w:trPr>
          <w:cantSplit/>
          <w:trHeight w:val="240"/>
        </w:trPr>
        <w:tc>
          <w:tcPr>
            <w:tcW w:w="4761" w:type="dxa"/>
            <w:tcBorders>
              <w:top w:val="single" w:sz="4" w:space="0" w:color="auto"/>
            </w:tcBorders>
            <w:shd w:val="clear" w:color="auto" w:fill="auto"/>
          </w:tcPr>
          <w:p w:rsidR="0092299C" w:rsidRPr="00D02A2E" w:rsidRDefault="0092299C" w:rsidP="0092299C">
            <w:pPr>
              <w:pStyle w:val="ARtablebluebold"/>
              <w:rPr>
                <w:i/>
              </w:rPr>
            </w:pPr>
            <w:r w:rsidRPr="00E35051">
              <w:t>Quantity</w:t>
            </w:r>
          </w:p>
        </w:tc>
        <w:tc>
          <w:tcPr>
            <w:tcW w:w="1021" w:type="dxa"/>
            <w:tcBorders>
              <w:top w:val="single" w:sz="4" w:space="0" w:color="auto"/>
            </w:tcBorders>
            <w:shd w:val="clear" w:color="auto" w:fill="auto"/>
          </w:tcPr>
          <w:p w:rsidR="0092299C" w:rsidRPr="00D02A2E" w:rsidRDefault="0092299C" w:rsidP="0092299C">
            <w:pPr>
              <w:pStyle w:val="ARtablebluebold"/>
              <w:rPr>
                <w:i/>
              </w:rPr>
            </w:pPr>
          </w:p>
        </w:tc>
        <w:tc>
          <w:tcPr>
            <w:tcW w:w="1021" w:type="dxa"/>
            <w:tcBorders>
              <w:top w:val="single" w:sz="4" w:space="0" w:color="auto"/>
            </w:tcBorders>
            <w:shd w:val="clear" w:color="auto" w:fill="auto"/>
          </w:tcPr>
          <w:p w:rsidR="0092299C" w:rsidRPr="00D02A2E" w:rsidRDefault="0092299C" w:rsidP="0092299C">
            <w:pPr>
              <w:pStyle w:val="ARtablebluebold"/>
              <w:rPr>
                <w:i/>
              </w:rPr>
            </w:pPr>
          </w:p>
        </w:tc>
        <w:tc>
          <w:tcPr>
            <w:tcW w:w="1021" w:type="dxa"/>
            <w:tcBorders>
              <w:top w:val="single" w:sz="4" w:space="0" w:color="auto"/>
            </w:tcBorders>
            <w:shd w:val="clear" w:color="auto" w:fill="auto"/>
          </w:tcPr>
          <w:p w:rsidR="0092299C" w:rsidRPr="00D02A2E" w:rsidRDefault="0092299C" w:rsidP="0092299C">
            <w:pPr>
              <w:pStyle w:val="ARtablebluebold"/>
              <w:rPr>
                <w:i/>
              </w:rPr>
            </w:pPr>
          </w:p>
        </w:tc>
        <w:tc>
          <w:tcPr>
            <w:tcW w:w="1021" w:type="dxa"/>
            <w:tcBorders>
              <w:top w:val="single" w:sz="4" w:space="0" w:color="auto"/>
            </w:tcBorders>
            <w:shd w:val="clear" w:color="auto" w:fill="auto"/>
          </w:tcPr>
          <w:p w:rsidR="0092299C" w:rsidRPr="00D02A2E" w:rsidRDefault="0092299C" w:rsidP="0092299C">
            <w:pPr>
              <w:pStyle w:val="ARtablebluebold"/>
              <w:rPr>
                <w:i/>
              </w:rPr>
            </w:pPr>
          </w:p>
        </w:tc>
        <w:tc>
          <w:tcPr>
            <w:tcW w:w="794" w:type="dxa"/>
            <w:tcBorders>
              <w:top w:val="single" w:sz="4" w:space="0" w:color="auto"/>
            </w:tcBorders>
            <w:shd w:val="clear" w:color="auto" w:fill="auto"/>
          </w:tcPr>
          <w:p w:rsidR="0092299C" w:rsidRPr="00D02A2E" w:rsidRDefault="0092299C" w:rsidP="0092299C">
            <w:pPr>
              <w:pStyle w:val="ARtablebluebold"/>
              <w:rPr>
                <w:i/>
              </w:rPr>
            </w:pPr>
          </w:p>
        </w:tc>
      </w:tr>
      <w:tr w:rsidR="0092299C" w:rsidRPr="00D02A2E" w:rsidTr="0092299C">
        <w:trPr>
          <w:cantSplit/>
          <w:trHeight w:val="240"/>
        </w:trPr>
        <w:tc>
          <w:tcPr>
            <w:tcW w:w="4761" w:type="dxa"/>
            <w:shd w:val="clear" w:color="auto" w:fill="auto"/>
          </w:tcPr>
          <w:p w:rsidR="0092299C" w:rsidRPr="00D02A2E" w:rsidRDefault="0092299C" w:rsidP="0092299C">
            <w:pPr>
              <w:pStyle w:val="ARtabletext"/>
            </w:pPr>
            <w:r w:rsidRPr="00D02A2E">
              <w:t>Clients receiving Home and Community Care services</w:t>
            </w:r>
          </w:p>
        </w:tc>
        <w:tc>
          <w:tcPr>
            <w:tcW w:w="1021" w:type="dxa"/>
            <w:shd w:val="clear" w:color="auto" w:fill="auto"/>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92299C">
            <w:pPr>
              <w:pStyle w:val="ARtabletextright"/>
            </w:pPr>
            <w:r w:rsidRPr="00D02A2E">
              <w:t>69,778</w:t>
            </w:r>
          </w:p>
        </w:tc>
        <w:tc>
          <w:tcPr>
            <w:tcW w:w="1021" w:type="dxa"/>
            <w:shd w:val="clear" w:color="auto" w:fill="auto"/>
          </w:tcPr>
          <w:p w:rsidR="0092299C" w:rsidRPr="00D02A2E" w:rsidRDefault="0092299C" w:rsidP="0092299C">
            <w:pPr>
              <w:pStyle w:val="ARtabletextright"/>
            </w:pPr>
            <w:r w:rsidRPr="00D02A2E">
              <w:t>75,033</w:t>
            </w:r>
          </w:p>
        </w:tc>
        <w:tc>
          <w:tcPr>
            <w:tcW w:w="1021" w:type="dxa"/>
            <w:shd w:val="clear" w:color="auto" w:fill="auto"/>
          </w:tcPr>
          <w:p w:rsidR="0092299C" w:rsidRPr="00D02A2E" w:rsidRDefault="0092299C" w:rsidP="0092299C">
            <w:pPr>
              <w:pStyle w:val="ARtabletextright"/>
            </w:pPr>
            <w:r>
              <w:t>7.5</w:t>
            </w:r>
          </w:p>
        </w:tc>
        <w:tc>
          <w:tcPr>
            <w:tcW w:w="794" w:type="dxa"/>
            <w:shd w:val="clear" w:color="auto" w:fill="auto"/>
          </w:tcPr>
          <w:p w:rsidR="0092299C" w:rsidRPr="00D02A2E" w:rsidRDefault="006C04E4"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Preliminary result. This figure includes clients who have transitioned to NDIS during the phase-in period. </w:t>
            </w:r>
            <w:r w:rsidRPr="00D02A2E">
              <w:rPr>
                <w:szCs w:val="16"/>
              </w:rPr>
              <w:t>This measure is proposed to be discontinued in 20</w:t>
            </w:r>
            <w:r>
              <w:rPr>
                <w:szCs w:val="16"/>
              </w:rPr>
              <w:t>17–18</w:t>
            </w:r>
            <w:r w:rsidRPr="00D02A2E">
              <w:rPr>
                <w:szCs w:val="16"/>
              </w:rPr>
              <w:t>.</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text"/>
            </w:pPr>
            <w:r w:rsidRPr="00D02A2E">
              <w:t>Home and Community Care service delivery hours</w:t>
            </w:r>
          </w:p>
        </w:tc>
        <w:tc>
          <w:tcPr>
            <w:tcW w:w="1021" w:type="dxa"/>
            <w:tcBorders>
              <w:top w:val="single" w:sz="4" w:space="0" w:color="BFBFBF"/>
            </w:tcBorders>
            <w:shd w:val="clear" w:color="auto" w:fill="auto"/>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2,196</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2,134</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2.8</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text"/>
            </w:pPr>
            <w:r w:rsidRPr="00D02A2E">
              <w:t>Standard Equivalent Value Units</w:t>
            </w:r>
          </w:p>
        </w:tc>
        <w:tc>
          <w:tcPr>
            <w:tcW w:w="1021" w:type="dxa"/>
            <w:tcBorders>
              <w:top w:val="single" w:sz="4" w:space="0" w:color="BFBFBF"/>
            </w:tcBorders>
            <w:shd w:val="clear" w:color="auto" w:fill="auto"/>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1,536</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1,469</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4.4</w:t>
            </w:r>
          </w:p>
        </w:tc>
        <w:tc>
          <w:tcPr>
            <w:tcW w:w="794" w:type="dxa"/>
            <w:tcBorders>
              <w:top w:val="single" w:sz="4" w:space="0" w:color="BFBFBF"/>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794" w:type="dxa"/>
            <w:tcBorders>
              <w:top w:val="single" w:sz="4" w:space="0" w:color="BFBFBF"/>
            </w:tcBorders>
            <w:shd w:val="clear" w:color="auto" w:fill="auto"/>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tcPr>
          <w:p w:rsidR="0092299C" w:rsidRPr="00D02A2E" w:rsidRDefault="0092299C" w:rsidP="0092299C">
            <w:pPr>
              <w:pStyle w:val="ARtabletext"/>
            </w:pPr>
            <w:r w:rsidRPr="00D02A2E">
              <w:t>Eligible population receiving Home and Community Care services</w:t>
            </w:r>
          </w:p>
        </w:tc>
        <w:tc>
          <w:tcPr>
            <w:tcW w:w="1021" w:type="dxa"/>
            <w:shd w:val="clear" w:color="auto" w:fill="auto"/>
          </w:tcPr>
          <w:p w:rsidR="0092299C" w:rsidRPr="00D02A2E" w:rsidRDefault="0092299C" w:rsidP="001F2E2D">
            <w:pPr>
              <w:pStyle w:val="ARtabletext"/>
              <w:jc w:val="center"/>
            </w:pPr>
            <w:r w:rsidRPr="00D02A2E">
              <w:t>per cent</w:t>
            </w:r>
          </w:p>
        </w:tc>
        <w:tc>
          <w:tcPr>
            <w:tcW w:w="1021" w:type="dxa"/>
            <w:shd w:val="clear" w:color="auto" w:fill="auto"/>
          </w:tcPr>
          <w:p w:rsidR="0092299C" w:rsidRPr="00D02A2E" w:rsidRDefault="0092299C" w:rsidP="0092299C">
            <w:pPr>
              <w:pStyle w:val="ARtabletextright"/>
            </w:pPr>
            <w:r w:rsidRPr="00D02A2E">
              <w:t>30</w:t>
            </w:r>
          </w:p>
        </w:tc>
        <w:tc>
          <w:tcPr>
            <w:tcW w:w="1021" w:type="dxa"/>
            <w:shd w:val="clear" w:color="auto" w:fill="auto"/>
          </w:tcPr>
          <w:p w:rsidR="0092299C" w:rsidRPr="001F2E2D" w:rsidRDefault="004C2C15" w:rsidP="0092299C">
            <w:pPr>
              <w:pStyle w:val="ARtabletextright"/>
            </w:pPr>
            <w:r w:rsidRPr="001F2E2D">
              <w:t>29.8</w:t>
            </w:r>
          </w:p>
        </w:tc>
        <w:tc>
          <w:tcPr>
            <w:tcW w:w="1021" w:type="dxa"/>
            <w:shd w:val="clear" w:color="auto" w:fill="auto"/>
          </w:tcPr>
          <w:p w:rsidR="0092299C" w:rsidRPr="001F2E2D" w:rsidRDefault="00EC4FD8" w:rsidP="0092299C">
            <w:pPr>
              <w:pStyle w:val="ARtabletextright"/>
            </w:pPr>
            <w:r>
              <w:t>–</w:t>
            </w:r>
            <w:r w:rsidR="0092299C" w:rsidRPr="001F2E2D">
              <w:t>0.</w:t>
            </w:r>
            <w:r w:rsidR="0042485C" w:rsidRPr="001F2E2D">
              <w:t>7</w:t>
            </w:r>
          </w:p>
        </w:tc>
        <w:tc>
          <w:tcPr>
            <w:tcW w:w="794" w:type="dxa"/>
            <w:shd w:val="clear" w:color="auto" w:fill="auto"/>
          </w:tcPr>
          <w:p w:rsidR="0092299C" w:rsidRPr="001F2E2D" w:rsidRDefault="004C2C15"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92299C">
        <w:trPr>
          <w:cantSplit/>
          <w:trHeight w:val="240"/>
        </w:trPr>
        <w:tc>
          <w:tcPr>
            <w:tcW w:w="4761" w:type="dxa"/>
            <w:tcBorders>
              <w:top w:val="single" w:sz="4" w:space="0" w:color="BFBFBF"/>
            </w:tcBorders>
            <w:shd w:val="clear" w:color="auto" w:fill="auto"/>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1021" w:type="dxa"/>
            <w:tcBorders>
              <w:top w:val="single" w:sz="4" w:space="0" w:color="BFBFBF"/>
            </w:tcBorders>
            <w:shd w:val="clear" w:color="auto" w:fill="auto"/>
          </w:tcPr>
          <w:p w:rsidR="0092299C" w:rsidRPr="00D02A2E" w:rsidRDefault="0092299C" w:rsidP="0092299C">
            <w:pPr>
              <w:pStyle w:val="ARtablebluebold"/>
            </w:pPr>
          </w:p>
        </w:tc>
        <w:tc>
          <w:tcPr>
            <w:tcW w:w="794" w:type="dxa"/>
            <w:tcBorders>
              <w:top w:val="single" w:sz="4" w:space="0" w:color="BFBFBF"/>
            </w:tcBorders>
            <w:shd w:val="clear" w:color="auto" w:fill="auto"/>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tcPr>
          <w:p w:rsidR="0092299C" w:rsidRPr="00D02A2E" w:rsidRDefault="0092299C" w:rsidP="0092299C">
            <w:pPr>
              <w:spacing w:before="80" w:after="60"/>
              <w:rPr>
                <w:rFonts w:eastAsia="Times" w:cs="Arial"/>
                <w:b/>
                <w:sz w:val="18"/>
                <w:szCs w:val="18"/>
                <w:lang w:eastAsia="en-AU"/>
              </w:rPr>
            </w:pPr>
            <w:r w:rsidRPr="00D02A2E">
              <w:rPr>
                <w:rFonts w:eastAsia="Times" w:cs="Arial"/>
                <w:b/>
                <w:sz w:val="18"/>
                <w:szCs w:val="18"/>
                <w:lang w:eastAsia="en-AU"/>
              </w:rPr>
              <w:t>Total output cost</w:t>
            </w:r>
          </w:p>
        </w:tc>
        <w:tc>
          <w:tcPr>
            <w:tcW w:w="1021" w:type="dxa"/>
            <w:shd w:val="clear" w:color="auto" w:fill="auto"/>
          </w:tcPr>
          <w:p w:rsidR="0092299C" w:rsidRPr="00D02A2E" w:rsidRDefault="0092299C" w:rsidP="00CE14F0">
            <w:pPr>
              <w:spacing w:before="80" w:after="60"/>
              <w:jc w:val="center"/>
              <w:rPr>
                <w:rFonts w:eastAsia="Times" w:cs="Arial"/>
                <w:b/>
                <w:sz w:val="18"/>
                <w:szCs w:val="18"/>
                <w:lang w:eastAsia="en-AU"/>
              </w:rPr>
            </w:pPr>
            <w:r w:rsidRPr="00D02A2E">
              <w:rPr>
                <w:rFonts w:eastAsia="Times" w:cs="Arial"/>
                <w:b/>
                <w:sz w:val="18"/>
                <w:szCs w:val="18"/>
                <w:lang w:eastAsia="en-AU"/>
              </w:rPr>
              <w:t>$ million</w:t>
            </w:r>
          </w:p>
        </w:tc>
        <w:tc>
          <w:tcPr>
            <w:tcW w:w="1021" w:type="dxa"/>
            <w:shd w:val="clear" w:color="auto" w:fill="auto"/>
          </w:tcPr>
          <w:p w:rsidR="0092299C" w:rsidRPr="00523C77" w:rsidRDefault="0092299C" w:rsidP="0092299C">
            <w:pPr>
              <w:pStyle w:val="ARtabletextright"/>
              <w:rPr>
                <w:b/>
                <w:bCs/>
              </w:rPr>
            </w:pPr>
            <w:r w:rsidRPr="00523C77">
              <w:rPr>
                <w:b/>
                <w:bCs/>
              </w:rPr>
              <w:t>239.5</w:t>
            </w:r>
          </w:p>
        </w:tc>
        <w:tc>
          <w:tcPr>
            <w:tcW w:w="1021" w:type="dxa"/>
            <w:shd w:val="clear" w:color="auto" w:fill="auto"/>
          </w:tcPr>
          <w:p w:rsidR="0092299C" w:rsidRPr="00523C77" w:rsidRDefault="0092299C" w:rsidP="0092299C">
            <w:pPr>
              <w:pStyle w:val="ARtabletextright"/>
              <w:rPr>
                <w:b/>
                <w:bCs/>
              </w:rPr>
            </w:pPr>
            <w:r w:rsidRPr="00523C77">
              <w:rPr>
                <w:b/>
                <w:bCs/>
              </w:rPr>
              <w:t>261.0</w:t>
            </w:r>
          </w:p>
        </w:tc>
        <w:tc>
          <w:tcPr>
            <w:tcW w:w="1021" w:type="dxa"/>
            <w:shd w:val="clear" w:color="auto" w:fill="auto"/>
          </w:tcPr>
          <w:p w:rsidR="0092299C" w:rsidRPr="00523C77" w:rsidRDefault="0092299C" w:rsidP="0092299C">
            <w:pPr>
              <w:pStyle w:val="ARtabletextright"/>
              <w:rPr>
                <w:b/>
                <w:bCs/>
              </w:rPr>
            </w:pPr>
            <w:r>
              <w:rPr>
                <w:b/>
                <w:bCs/>
              </w:rPr>
              <w:t>9.0</w:t>
            </w:r>
          </w:p>
        </w:tc>
        <w:tc>
          <w:tcPr>
            <w:tcW w:w="794" w:type="dxa"/>
            <w:shd w:val="clear" w:color="auto" w:fill="auto"/>
          </w:tcPr>
          <w:p w:rsidR="0092299C" w:rsidRPr="00523C77" w:rsidRDefault="0092299C" w:rsidP="0092299C">
            <w:pPr>
              <w:pStyle w:val="ARtabletextright"/>
              <w:rPr>
                <w:b/>
                <w:bCs/>
              </w:rPr>
            </w:pPr>
          </w:p>
        </w:tc>
      </w:tr>
      <w:tr w:rsidR="0092299C" w:rsidRPr="00D02A2E" w:rsidTr="0092299C">
        <w:trPr>
          <w:cantSplit/>
          <w:trHeight w:val="240"/>
        </w:trPr>
        <w:tc>
          <w:tcPr>
            <w:tcW w:w="9639" w:type="dxa"/>
            <w:gridSpan w:val="6"/>
            <w:tcBorders>
              <w:bottom w:val="single" w:sz="4" w:space="0" w:color="auto"/>
            </w:tcBorders>
            <w:shd w:val="clear" w:color="auto" w:fill="auto"/>
          </w:tcPr>
          <w:p w:rsidR="0092299C" w:rsidRPr="00D02A2E" w:rsidRDefault="0092299C" w:rsidP="0092299C">
            <w:pPr>
              <w:pStyle w:val="ARtablenoteindent"/>
            </w:pPr>
            <w:r w:rsidRPr="00B67653">
              <w:t>The 20</w:t>
            </w:r>
            <w:r>
              <w:t>16–17</w:t>
            </w:r>
            <w:r w:rsidRPr="00B67653">
              <w:t xml:space="preserve"> actual outcome primarily reflects an increase due to the signing of a National Partnership Agreement after the publication of the budget, funding requested to be carried over into 20</w:t>
            </w:r>
            <w:r>
              <w:t>17–18</w:t>
            </w:r>
            <w:r w:rsidRPr="00B67653">
              <w:t>, and a higher than expected actual outcome due to National Disability Insurance Scheme (NDIS) transition delays.</w:t>
            </w:r>
          </w:p>
        </w:tc>
      </w:tr>
    </w:tbl>
    <w:p w:rsidR="0092299C" w:rsidRPr="00D02A2E" w:rsidRDefault="0092299C" w:rsidP="00E560D2">
      <w:pPr>
        <w:pStyle w:val="Heading2"/>
      </w:pPr>
      <w:r w:rsidRPr="00D02A2E">
        <w:t>Primary, Community and Dental Health</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92299C">
        <w:trPr>
          <w:cantSplit/>
          <w:trHeight w:val="240"/>
          <w:tblHeader/>
        </w:trPr>
        <w:tc>
          <w:tcPr>
            <w:tcW w:w="4761" w:type="dxa"/>
            <w:tcBorders>
              <w:bottom w:val="single" w:sz="4" w:space="0" w:color="000000"/>
            </w:tcBorders>
            <w:shd w:val="clear" w:color="auto" w:fill="auto"/>
            <w:noWrap/>
            <w:vAlign w:val="bottom"/>
            <w:hideMark/>
          </w:tcPr>
          <w:p w:rsidR="0092299C" w:rsidRPr="00D02A2E" w:rsidRDefault="0092299C" w:rsidP="0092299C">
            <w:pPr>
              <w:spacing w:before="80" w:after="60" w:line="216" w:lineRule="auto"/>
              <w:rPr>
                <w:rFonts w:eastAsia="Times" w:cs="Arial"/>
                <w:b/>
                <w:sz w:val="18"/>
                <w:szCs w:val="18"/>
              </w:rPr>
            </w:pPr>
            <w:r w:rsidRPr="00D02A2E">
              <w:rPr>
                <w:rFonts w:eastAsia="Times" w:cs="Arial"/>
                <w:b/>
                <w:sz w:val="18"/>
                <w:szCs w:val="18"/>
              </w:rPr>
              <w:t>Performance measures</w:t>
            </w:r>
          </w:p>
        </w:tc>
        <w:tc>
          <w:tcPr>
            <w:tcW w:w="1021" w:type="dxa"/>
            <w:tcBorders>
              <w:bottom w:val="single" w:sz="4" w:space="0" w:color="000000"/>
            </w:tcBorders>
            <w:shd w:val="clear" w:color="auto" w:fill="auto"/>
            <w:noWrap/>
            <w:vAlign w:val="bottom"/>
            <w:hideMark/>
          </w:tcPr>
          <w:p w:rsidR="0092299C" w:rsidRPr="00B61E8B" w:rsidRDefault="0092299C" w:rsidP="001F2E2D">
            <w:pPr>
              <w:pStyle w:val="ARtablecolheadright"/>
              <w:jc w:val="center"/>
            </w:pPr>
            <w:r w:rsidRPr="00B61E8B">
              <w:t>Unit of measure</w:t>
            </w:r>
          </w:p>
        </w:tc>
        <w:tc>
          <w:tcPr>
            <w:tcW w:w="1021" w:type="dxa"/>
            <w:tcBorders>
              <w:bottom w:val="single" w:sz="4" w:space="0" w:color="000000"/>
            </w:tcBorders>
            <w:shd w:val="clear" w:color="auto" w:fill="auto"/>
            <w:noWrap/>
            <w:vAlign w:val="bottom"/>
            <w:hideMark/>
          </w:tcPr>
          <w:p w:rsidR="0092299C" w:rsidRPr="00E35051" w:rsidRDefault="0092299C" w:rsidP="00E35051">
            <w:pPr>
              <w:pStyle w:val="ARtablecolheadright"/>
            </w:pPr>
            <w:r w:rsidRPr="00E35051">
              <w:t>2016–17 target</w:t>
            </w:r>
          </w:p>
        </w:tc>
        <w:tc>
          <w:tcPr>
            <w:tcW w:w="1021" w:type="dxa"/>
            <w:tcBorders>
              <w:bottom w:val="single" w:sz="4" w:space="0" w:color="000000"/>
            </w:tcBorders>
            <w:shd w:val="clear" w:color="auto" w:fill="auto"/>
            <w:noWrap/>
            <w:vAlign w:val="bottom"/>
            <w:hideMark/>
          </w:tcPr>
          <w:p w:rsidR="0092299C" w:rsidRPr="00E35051" w:rsidRDefault="0092299C" w:rsidP="00E35051">
            <w:pPr>
              <w:pStyle w:val="ARtablecolheadright"/>
            </w:pPr>
            <w:r w:rsidRPr="00E35051">
              <w:t>2016–17 actual</w:t>
            </w:r>
          </w:p>
        </w:tc>
        <w:tc>
          <w:tcPr>
            <w:tcW w:w="1021" w:type="dxa"/>
            <w:tcBorders>
              <w:bottom w:val="single" w:sz="4" w:space="0" w:color="000000"/>
            </w:tcBorders>
            <w:shd w:val="clear" w:color="auto" w:fill="auto"/>
            <w:noWrap/>
            <w:vAlign w:val="bottom"/>
            <w:hideMark/>
          </w:tcPr>
          <w:p w:rsidR="0092299C" w:rsidRPr="00E35051" w:rsidRDefault="0092299C" w:rsidP="00E35051">
            <w:pPr>
              <w:pStyle w:val="ARtablecolheadright"/>
            </w:pPr>
            <w:r w:rsidRPr="00E35051">
              <w:t>Variation (%)</w:t>
            </w:r>
          </w:p>
        </w:tc>
        <w:tc>
          <w:tcPr>
            <w:tcW w:w="794" w:type="dxa"/>
            <w:tcBorders>
              <w:bottom w:val="single" w:sz="4" w:space="0" w:color="000000"/>
            </w:tcBorders>
            <w:shd w:val="clear" w:color="auto" w:fill="auto"/>
            <w:noWrap/>
            <w:vAlign w:val="bottom"/>
            <w:hideMark/>
          </w:tcPr>
          <w:p w:rsidR="0092299C" w:rsidRPr="00B61E8B" w:rsidRDefault="0092299C" w:rsidP="00096BE7">
            <w:pPr>
              <w:pStyle w:val="ARtablecolheadright"/>
            </w:pPr>
            <w:r w:rsidRPr="00B61E8B">
              <w:t>Result</w:t>
            </w:r>
          </w:p>
        </w:tc>
      </w:tr>
      <w:tr w:rsidR="0092299C" w:rsidRPr="00D02A2E" w:rsidTr="00C04681">
        <w:trPr>
          <w:cantSplit/>
          <w:trHeight w:val="338"/>
        </w:trPr>
        <w:tc>
          <w:tcPr>
            <w:tcW w:w="4761" w:type="dxa"/>
            <w:tcBorders>
              <w:top w:val="single" w:sz="4" w:space="0" w:color="000000"/>
              <w:bottom w:val="single" w:sz="4" w:space="0" w:color="000000"/>
            </w:tcBorders>
            <w:shd w:val="clear" w:color="auto" w:fill="auto"/>
            <w:hideMark/>
          </w:tcPr>
          <w:p w:rsidR="0092299C" w:rsidRPr="00D02A2E" w:rsidRDefault="0092299C" w:rsidP="006C5B87">
            <w:pPr>
              <w:pStyle w:val="ARtablebluebold"/>
            </w:pPr>
            <w:r w:rsidRPr="00D02A2E">
              <w:t>Community Health</w:t>
            </w:r>
            <w:r w:rsidR="006C5B87">
              <w:t xml:space="preserve"> C</w:t>
            </w:r>
            <w:r w:rsidRPr="00D02A2E">
              <w:t xml:space="preserve">are </w:t>
            </w: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ARtablebluebold"/>
              <w:spacing w:before="0" w:after="0"/>
            </w:pP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ARtablebluebold"/>
              <w:spacing w:before="0" w:after="0"/>
            </w:pPr>
            <w:r w:rsidRPr="00D02A2E">
              <w:t> </w:t>
            </w: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ARtablebluebold"/>
              <w:spacing w:before="0" w:after="0"/>
            </w:pPr>
            <w:r w:rsidRPr="00D02A2E">
              <w:t> </w:t>
            </w: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ARtablebluebold"/>
              <w:spacing w:before="0" w:after="0"/>
            </w:pPr>
            <w:r w:rsidRPr="00D02A2E">
              <w:t> </w:t>
            </w:r>
          </w:p>
        </w:tc>
        <w:tc>
          <w:tcPr>
            <w:tcW w:w="794" w:type="dxa"/>
            <w:tcBorders>
              <w:top w:val="single" w:sz="4" w:space="0" w:color="000000"/>
              <w:bottom w:val="single" w:sz="4" w:space="0" w:color="000000"/>
            </w:tcBorders>
            <w:shd w:val="clear" w:color="auto" w:fill="auto"/>
            <w:hideMark/>
          </w:tcPr>
          <w:p w:rsidR="0092299C" w:rsidRPr="00D02A2E" w:rsidRDefault="0092299C" w:rsidP="00C04681">
            <w:pPr>
              <w:pStyle w:val="ARtablebluebold"/>
              <w:spacing w:before="0" w:after="0"/>
            </w:pPr>
          </w:p>
        </w:tc>
      </w:tr>
      <w:tr w:rsidR="0092299C" w:rsidRPr="00D02A2E" w:rsidTr="00C04681">
        <w:trPr>
          <w:cantSplit/>
          <w:trHeight w:val="240"/>
        </w:trPr>
        <w:tc>
          <w:tcPr>
            <w:tcW w:w="4761" w:type="dxa"/>
            <w:tcBorders>
              <w:top w:val="single" w:sz="4" w:space="0" w:color="000000"/>
            </w:tcBorders>
            <w:shd w:val="clear" w:color="auto" w:fill="auto"/>
            <w:hideMark/>
          </w:tcPr>
          <w:p w:rsidR="0092299C" w:rsidRPr="00D02A2E" w:rsidRDefault="0092299C" w:rsidP="0092299C">
            <w:pPr>
              <w:pStyle w:val="ARtablebluebold"/>
              <w:rPr>
                <w:i/>
              </w:rPr>
            </w:pPr>
            <w:r w:rsidRPr="00E35051">
              <w:t>Quantity</w:t>
            </w:r>
          </w:p>
        </w:tc>
        <w:tc>
          <w:tcPr>
            <w:tcW w:w="1021" w:type="dxa"/>
            <w:tcBorders>
              <w:top w:val="single" w:sz="4" w:space="0" w:color="000000"/>
            </w:tcBorders>
            <w:shd w:val="clear" w:color="auto" w:fill="auto"/>
            <w:hideMark/>
          </w:tcPr>
          <w:p w:rsidR="0092299C" w:rsidRPr="00D02A2E" w:rsidRDefault="0092299C" w:rsidP="0092299C">
            <w:pPr>
              <w:pStyle w:val="ARtablebluebold"/>
              <w:rPr>
                <w:i/>
              </w:rPr>
            </w:pPr>
          </w:p>
        </w:tc>
        <w:tc>
          <w:tcPr>
            <w:tcW w:w="1021" w:type="dxa"/>
            <w:tcBorders>
              <w:top w:val="single" w:sz="4" w:space="0" w:color="000000"/>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tcBorders>
            <w:shd w:val="clear" w:color="auto" w:fill="auto"/>
            <w:hideMark/>
          </w:tcPr>
          <w:p w:rsidR="0092299C" w:rsidRPr="00D02A2E" w:rsidRDefault="0092299C" w:rsidP="0092299C">
            <w:pPr>
              <w:pStyle w:val="ARtablebluebold"/>
              <w:rPr>
                <w:i/>
              </w:rPr>
            </w:pPr>
            <w:r w:rsidRPr="00D02A2E">
              <w:rPr>
                <w:i/>
              </w:rPr>
              <w:t> </w:t>
            </w:r>
          </w:p>
        </w:tc>
        <w:tc>
          <w:tcPr>
            <w:tcW w:w="794" w:type="dxa"/>
            <w:tcBorders>
              <w:top w:val="single" w:sz="4" w:space="0" w:color="000000"/>
            </w:tcBorders>
            <w:shd w:val="clear" w:color="auto" w:fill="auto"/>
            <w:hideMark/>
          </w:tcPr>
          <w:p w:rsidR="0092299C" w:rsidRPr="00D02A2E" w:rsidRDefault="0092299C" w:rsidP="0092299C">
            <w:pPr>
              <w:pStyle w:val="ARtablebluebold"/>
              <w:rPr>
                <w:i/>
              </w:rPr>
            </w:pPr>
          </w:p>
        </w:tc>
      </w:tr>
      <w:tr w:rsidR="0092299C" w:rsidRPr="00D02A2E" w:rsidTr="00C04681">
        <w:trPr>
          <w:cantSplit/>
          <w:trHeight w:val="480"/>
        </w:trPr>
        <w:tc>
          <w:tcPr>
            <w:tcW w:w="4761" w:type="dxa"/>
            <w:tcBorders>
              <w:bottom w:val="single" w:sz="4" w:space="0" w:color="BFBFBF"/>
            </w:tcBorders>
            <w:shd w:val="clear" w:color="auto" w:fill="FFFFFF" w:themeFill="background1"/>
            <w:hideMark/>
          </w:tcPr>
          <w:p w:rsidR="0092299C" w:rsidRPr="00D02A2E" w:rsidRDefault="0092299C" w:rsidP="0092299C">
            <w:pPr>
              <w:pStyle w:val="ARtabletext"/>
            </w:pPr>
            <w:r w:rsidRPr="00D02A2E">
              <w:t>Better Health Channel visits</w:t>
            </w:r>
          </w:p>
        </w:tc>
        <w:tc>
          <w:tcPr>
            <w:tcW w:w="1021" w:type="dxa"/>
            <w:tcBorders>
              <w:bottom w:val="single" w:sz="4" w:space="0" w:color="BFBFBF"/>
            </w:tcBorders>
            <w:shd w:val="clear" w:color="auto" w:fill="FFFFFF" w:themeFill="background1"/>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bottom w:val="single" w:sz="4" w:space="0" w:color="BFBFBF"/>
            </w:tcBorders>
            <w:shd w:val="clear" w:color="auto" w:fill="FFFFFF" w:themeFill="background1"/>
          </w:tcPr>
          <w:p w:rsidR="0092299C" w:rsidRPr="00D02A2E" w:rsidRDefault="0092299C" w:rsidP="006C04E4">
            <w:pPr>
              <w:pStyle w:val="ARtabletextright"/>
            </w:pPr>
            <w:r w:rsidRPr="00D02A2E">
              <w:t>40</w:t>
            </w:r>
            <w:r w:rsidR="006C04E4">
              <w:t>,</w:t>
            </w:r>
            <w:r w:rsidRPr="00D02A2E">
              <w:t>000</w:t>
            </w:r>
          </w:p>
        </w:tc>
        <w:tc>
          <w:tcPr>
            <w:tcW w:w="1021" w:type="dxa"/>
            <w:tcBorders>
              <w:bottom w:val="single" w:sz="4" w:space="0" w:color="BFBFBF"/>
            </w:tcBorders>
            <w:shd w:val="clear" w:color="auto" w:fill="FFFFFF" w:themeFill="background1"/>
          </w:tcPr>
          <w:p w:rsidR="0092299C" w:rsidRPr="00D02A2E" w:rsidRDefault="0092299C" w:rsidP="0092299C">
            <w:pPr>
              <w:pStyle w:val="ARtabletextright"/>
            </w:pPr>
            <w:r w:rsidRPr="00D02A2E">
              <w:t>41,761</w:t>
            </w:r>
          </w:p>
        </w:tc>
        <w:tc>
          <w:tcPr>
            <w:tcW w:w="1021" w:type="dxa"/>
            <w:tcBorders>
              <w:bottom w:val="single" w:sz="4" w:space="0" w:color="BFBFBF"/>
            </w:tcBorders>
            <w:shd w:val="clear" w:color="auto" w:fill="FFFFFF" w:themeFill="background1"/>
          </w:tcPr>
          <w:p w:rsidR="0092299C" w:rsidRPr="00D02A2E" w:rsidRDefault="0092299C" w:rsidP="0092299C">
            <w:pPr>
              <w:pStyle w:val="ARtabletextright"/>
            </w:pPr>
            <w:r>
              <w:t>4.4</w:t>
            </w:r>
          </w:p>
        </w:tc>
        <w:tc>
          <w:tcPr>
            <w:tcW w:w="794" w:type="dxa"/>
            <w:tcBorders>
              <w:bottom w:val="single" w:sz="4" w:space="0" w:color="BFBFBF"/>
            </w:tcBorders>
            <w:shd w:val="clear" w:color="auto" w:fill="FFFFFF" w:themeFill="background1"/>
            <w:hideMark/>
          </w:tcPr>
          <w:p w:rsidR="0092299C" w:rsidRPr="00D02A2E" w:rsidRDefault="0092299C" w:rsidP="008C184A">
            <w:pPr>
              <w:pStyle w:val="ARtabletextright"/>
            </w:pPr>
            <w:r w:rsidRPr="008C184A">
              <w:rPr>
                <w:rFonts w:ascii="Wingdings" w:hAnsi="Wingdings"/>
              </w:rPr>
              <w:t></w:t>
            </w:r>
          </w:p>
        </w:tc>
      </w:tr>
      <w:tr w:rsidR="0092299C" w:rsidRPr="00D02A2E" w:rsidTr="00C04681">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keepNext/>
            </w:pPr>
            <w:r w:rsidRPr="00D02A2E">
              <w:lastRenderedPageBreak/>
              <w:t>Number of referrals made using secure electronic referral systems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250,000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125,000</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50.0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keepNext/>
            </w:pPr>
            <w:r w:rsidRPr="00D02A2E">
              <w:t xml:space="preserve">Preliminary result. The </w:t>
            </w:r>
            <w:r>
              <w:t>result is lower than the target</w:t>
            </w:r>
            <w:r w:rsidRPr="00D02A2E">
              <w:t xml:space="preserve"> due to the reduction in the number of electronic referrals made through the state system, following the </w:t>
            </w:r>
            <w:r>
              <w:t>introduction</w:t>
            </w:r>
            <w:r w:rsidRPr="00D02A2E">
              <w:t xml:space="preserve"> of additional referral portals associated with Commonwealth initiatives –</w:t>
            </w:r>
            <w:r>
              <w:t xml:space="preserve"> </w:t>
            </w:r>
            <w:r w:rsidRPr="00D02A2E">
              <w:t xml:space="preserve">My Aged Care and National Disability Insurance Scheme – that redirect the flow to the Commonwealth systems. </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Primary Care Partnerships with reviewed and updated strategic plans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w:t>
            </w:r>
          </w:p>
        </w:tc>
      </w:tr>
      <w:tr w:rsidR="0092299C" w:rsidRPr="00D02A2E" w:rsidTr="0092299C">
        <w:trPr>
          <w:cantSplit/>
          <w:trHeight w:val="480"/>
        </w:trPr>
        <w:tc>
          <w:tcPr>
            <w:tcW w:w="4761" w:type="dxa"/>
            <w:tcBorders>
              <w:top w:val="single" w:sz="4" w:space="0" w:color="BFBFBF"/>
            </w:tcBorders>
            <w:shd w:val="clear" w:color="auto" w:fill="FFFFFF" w:themeFill="background1"/>
            <w:hideMark/>
          </w:tcPr>
          <w:p w:rsidR="0092299C" w:rsidRPr="00D02A2E" w:rsidRDefault="0092299C" w:rsidP="0092299C">
            <w:pPr>
              <w:pStyle w:val="ARtabletext"/>
            </w:pPr>
            <w:r w:rsidRPr="00D02A2E">
              <w:t>Rate of admissions for ambulatory care sensitive chronic conditions for Aboriginal Victorians</w:t>
            </w:r>
          </w:p>
        </w:tc>
        <w:tc>
          <w:tcPr>
            <w:tcW w:w="1021" w:type="dxa"/>
            <w:tcBorders>
              <w:top w:val="single" w:sz="4" w:space="0" w:color="BFBFBF"/>
            </w:tcBorders>
            <w:shd w:val="clear" w:color="auto" w:fill="FFFFFF" w:themeFill="background1"/>
            <w:hideMark/>
          </w:tcPr>
          <w:p w:rsidR="0092299C" w:rsidRPr="00D02A2E" w:rsidRDefault="0092299C" w:rsidP="001F2E2D">
            <w:pPr>
              <w:pStyle w:val="ARtabletext"/>
              <w:jc w:val="center"/>
            </w:pPr>
            <w:r w:rsidRPr="00D02A2E">
              <w:t>rate</w:t>
            </w:r>
          </w:p>
        </w:tc>
        <w:tc>
          <w:tcPr>
            <w:tcW w:w="1021" w:type="dxa"/>
            <w:tcBorders>
              <w:top w:val="single" w:sz="4" w:space="0" w:color="BFBFBF"/>
            </w:tcBorders>
            <w:shd w:val="clear" w:color="auto" w:fill="FFFFFF" w:themeFill="background1"/>
          </w:tcPr>
          <w:p w:rsidR="0092299C" w:rsidRPr="00D02A2E" w:rsidRDefault="0092299C" w:rsidP="0092299C">
            <w:pPr>
              <w:pStyle w:val="ARtabletextright"/>
            </w:pPr>
            <w:r w:rsidRPr="00D02A2E">
              <w:t>30.9</w:t>
            </w:r>
          </w:p>
        </w:tc>
        <w:tc>
          <w:tcPr>
            <w:tcW w:w="1021" w:type="dxa"/>
            <w:tcBorders>
              <w:top w:val="single" w:sz="4" w:space="0" w:color="BFBFBF"/>
            </w:tcBorders>
            <w:shd w:val="clear" w:color="auto" w:fill="FFFFFF" w:themeFill="background1"/>
          </w:tcPr>
          <w:p w:rsidR="0092299C" w:rsidRPr="00D02A2E" w:rsidRDefault="0092299C" w:rsidP="0092299C">
            <w:pPr>
              <w:pStyle w:val="ARtabletextright"/>
            </w:pPr>
            <w:r w:rsidRPr="00D02A2E">
              <w:t>16.2</w:t>
            </w:r>
          </w:p>
        </w:tc>
        <w:tc>
          <w:tcPr>
            <w:tcW w:w="1021" w:type="dxa"/>
            <w:tcBorders>
              <w:top w:val="single" w:sz="4" w:space="0" w:color="BFBFBF"/>
            </w:tcBorders>
            <w:shd w:val="clear" w:color="auto" w:fill="FFFFFF" w:themeFill="background1"/>
          </w:tcPr>
          <w:p w:rsidR="0092299C" w:rsidRPr="00D02A2E" w:rsidRDefault="00EC4FD8" w:rsidP="0092299C">
            <w:pPr>
              <w:pStyle w:val="ARtabletextright"/>
            </w:pPr>
            <w:r>
              <w:t>–</w:t>
            </w:r>
            <w:r w:rsidR="0092299C">
              <w:t>47.6</w:t>
            </w:r>
          </w:p>
        </w:tc>
        <w:tc>
          <w:tcPr>
            <w:tcW w:w="794" w:type="dxa"/>
            <w:tcBorders>
              <w:top w:val="single" w:sz="4" w:space="0" w:color="BFBFBF"/>
            </w:tcBorders>
            <w:shd w:val="clear" w:color="auto" w:fill="FFFFFF" w:themeFill="background1"/>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480"/>
        </w:trPr>
        <w:tc>
          <w:tcPr>
            <w:tcW w:w="9639" w:type="dxa"/>
            <w:gridSpan w:val="6"/>
            <w:shd w:val="clear" w:color="auto" w:fill="auto"/>
          </w:tcPr>
          <w:p w:rsidR="0092299C" w:rsidRPr="00D02A2E" w:rsidRDefault="0092299C" w:rsidP="0092299C">
            <w:pPr>
              <w:pStyle w:val="ARtablenoteindent"/>
            </w:pPr>
            <w:r w:rsidRPr="00D02A2E">
              <w:t xml:space="preserve">Preliminary data. </w:t>
            </w:r>
            <w:r>
              <w:t xml:space="preserve">This is a positive result. </w:t>
            </w:r>
            <w:r w:rsidRPr="00D02A2E">
              <w:t xml:space="preserve">The </w:t>
            </w:r>
            <w:r>
              <w:t>result is lower than the target, reflecting</w:t>
            </w:r>
            <w:r w:rsidRPr="00D02A2E">
              <w:t xml:space="preserve"> changes in disease coding practice and a revised Australian Bureau of Statistics estimate of the Victorian Aboriginal population. However</w:t>
            </w:r>
            <w:r>
              <w:t>,</w:t>
            </w:r>
            <w:r w:rsidRPr="00D02A2E">
              <w:t xml:space="preserve"> the current figure cannot be compared to the target due to the different disease coding practice. This data is only available annually, and the 2015–16 data is the most recent available. This measure is proposed to be discontinued in 20</w:t>
            </w:r>
            <w:r>
              <w:t>17–18</w:t>
            </w:r>
            <w:r w:rsidRPr="00D02A2E">
              <w:t>.</w:t>
            </w:r>
          </w:p>
        </w:tc>
      </w:tr>
      <w:tr w:rsidR="0092299C" w:rsidRPr="00D02A2E" w:rsidTr="0092299C">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Service delivery hours in community health</w:t>
            </w:r>
            <w:r w:rsidR="006C5B87">
              <w:t xml:space="preserve"> </w:t>
            </w:r>
            <w:r w:rsidRPr="00D02A2E">
              <w:t>care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1,000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1,101</w:t>
            </w:r>
          </w:p>
        </w:tc>
        <w:tc>
          <w:tcPr>
            <w:tcW w:w="1021" w:type="dxa"/>
            <w:tcBorders>
              <w:top w:val="single" w:sz="4" w:space="0" w:color="BFBFBF"/>
            </w:tcBorders>
            <w:shd w:val="clear" w:color="auto" w:fill="auto"/>
          </w:tcPr>
          <w:p w:rsidR="0092299C" w:rsidRPr="00D02A2E" w:rsidRDefault="0092299C" w:rsidP="0092299C">
            <w:pPr>
              <w:pStyle w:val="ARtabletextright"/>
            </w:pPr>
            <w:r>
              <w:t>10.1</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2F09">
        <w:trPr>
          <w:cantSplit/>
        </w:trPr>
        <w:tc>
          <w:tcPr>
            <w:tcW w:w="9639" w:type="dxa"/>
            <w:gridSpan w:val="6"/>
            <w:tcBorders>
              <w:bottom w:val="single" w:sz="4" w:space="0" w:color="BFBFBF"/>
            </w:tcBorders>
            <w:shd w:val="clear" w:color="auto" w:fill="auto"/>
          </w:tcPr>
          <w:p w:rsidR="0092299C" w:rsidRPr="00D02A2E" w:rsidRDefault="0092299C" w:rsidP="00E35051">
            <w:pPr>
              <w:pStyle w:val="ARtablenoteindent"/>
            </w:pPr>
            <w:r w:rsidRPr="00D02A2E">
              <w:t xml:space="preserve">Preliminary result. </w:t>
            </w:r>
            <w:r>
              <w:t>This</w:t>
            </w:r>
            <w:r w:rsidRPr="00D02A2E">
              <w:t xml:space="preserve"> is a positive result and reflects the higher than expected number of service delivery hours provided in community healthcare.</w:t>
            </w:r>
          </w:p>
        </w:tc>
      </w:tr>
      <w:tr w:rsidR="0092299C" w:rsidRPr="00D02A2E" w:rsidTr="0092299C">
        <w:trPr>
          <w:cantSplit/>
          <w:trHeight w:val="57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Standard Equivalent Value Units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1,074</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1,182</w:t>
            </w:r>
          </w:p>
        </w:tc>
        <w:tc>
          <w:tcPr>
            <w:tcW w:w="1021" w:type="dxa"/>
            <w:tcBorders>
              <w:top w:val="single" w:sz="4" w:space="0" w:color="BFBFBF"/>
            </w:tcBorders>
            <w:shd w:val="clear" w:color="auto" w:fill="auto"/>
          </w:tcPr>
          <w:p w:rsidR="0092299C" w:rsidRPr="00D02A2E" w:rsidRDefault="0092299C" w:rsidP="0092299C">
            <w:pPr>
              <w:pStyle w:val="ARtabletextright"/>
            </w:pPr>
            <w:r>
              <w:t>10.1</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2F09">
        <w:trPr>
          <w:cantSplit/>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Preliminary result. The higher than expected number of service delivery hours provided in community healthcare is a positive result. This measure is proposed to be discontinued in 20</w:t>
            </w:r>
            <w:r>
              <w:t>17–18</w:t>
            </w:r>
            <w:r w:rsidRPr="00D02A2E">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480"/>
        </w:trPr>
        <w:tc>
          <w:tcPr>
            <w:tcW w:w="4761" w:type="dxa"/>
            <w:shd w:val="clear" w:color="auto" w:fill="auto"/>
            <w:hideMark/>
          </w:tcPr>
          <w:p w:rsidR="0092299C" w:rsidRPr="00D02A2E" w:rsidRDefault="0092299C" w:rsidP="0092299C">
            <w:pPr>
              <w:pStyle w:val="ARtabletext"/>
            </w:pPr>
            <w:r w:rsidRPr="00D02A2E">
              <w:t>Agencies with an Integrated Health Promotion plan that meets the stipulated planning requirements</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hideMark/>
          </w:tcPr>
          <w:p w:rsidR="0092299C" w:rsidRPr="00D02A2E" w:rsidRDefault="0092299C" w:rsidP="0092299C">
            <w:pPr>
              <w:pStyle w:val="ARtabletextright"/>
            </w:pPr>
            <w:r w:rsidRPr="00D02A2E">
              <w:t>95</w:t>
            </w:r>
          </w:p>
        </w:tc>
        <w:tc>
          <w:tcPr>
            <w:tcW w:w="1021" w:type="dxa"/>
            <w:shd w:val="clear" w:color="auto" w:fill="auto"/>
          </w:tcPr>
          <w:p w:rsidR="0092299C" w:rsidRPr="00D02A2E" w:rsidRDefault="0092299C" w:rsidP="0092299C">
            <w:pPr>
              <w:pStyle w:val="ARtabletextright"/>
            </w:pPr>
            <w:r w:rsidRPr="00D02A2E">
              <w:t>100</w:t>
            </w:r>
          </w:p>
        </w:tc>
        <w:tc>
          <w:tcPr>
            <w:tcW w:w="1021" w:type="dxa"/>
            <w:shd w:val="clear" w:color="auto" w:fill="auto"/>
          </w:tcPr>
          <w:p w:rsidR="0092299C" w:rsidRPr="00D02A2E" w:rsidRDefault="0092299C" w:rsidP="0092299C">
            <w:pPr>
              <w:pStyle w:val="ARtabletextright"/>
            </w:pPr>
            <w:r>
              <w:t>5.3</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noWrap/>
            <w:hideMark/>
          </w:tcPr>
          <w:p w:rsidR="0092299C" w:rsidRPr="00D02A2E" w:rsidRDefault="0092299C" w:rsidP="0092299C">
            <w:pPr>
              <w:pStyle w:val="ARtablenoteindent"/>
            </w:pPr>
            <w:r>
              <w:t>This</w:t>
            </w:r>
            <w:r w:rsidRPr="00D02A2E">
              <w:t xml:space="preserve"> is a positive result and reflects all funded agencies meeting the required Health Promotion Plans.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bold"/>
            </w:pPr>
            <w:r w:rsidRPr="00D02A2E">
              <w:t>Total output cost</w:t>
            </w:r>
          </w:p>
        </w:tc>
        <w:tc>
          <w:tcPr>
            <w:tcW w:w="1021" w:type="dxa"/>
            <w:shd w:val="clear" w:color="auto" w:fill="auto"/>
            <w:hideMark/>
          </w:tcPr>
          <w:p w:rsidR="0092299C" w:rsidRPr="00D02A2E" w:rsidRDefault="0092299C" w:rsidP="001F2E2D">
            <w:pPr>
              <w:pStyle w:val="ARtabletextbold"/>
              <w:jc w:val="center"/>
            </w:pPr>
            <w:r w:rsidRPr="00D02A2E">
              <w:t>$ million</w:t>
            </w:r>
          </w:p>
        </w:tc>
        <w:tc>
          <w:tcPr>
            <w:tcW w:w="1021" w:type="dxa"/>
            <w:shd w:val="clear" w:color="auto" w:fill="auto"/>
          </w:tcPr>
          <w:p w:rsidR="0092299C" w:rsidRPr="00C75672" w:rsidRDefault="0092299C" w:rsidP="0092299C">
            <w:pPr>
              <w:pStyle w:val="ARtabletextright"/>
              <w:rPr>
                <w:b/>
                <w:bCs/>
              </w:rPr>
            </w:pPr>
            <w:r w:rsidRPr="00C75672">
              <w:rPr>
                <w:b/>
                <w:bCs/>
              </w:rPr>
              <w:t>261.3</w:t>
            </w:r>
          </w:p>
        </w:tc>
        <w:tc>
          <w:tcPr>
            <w:tcW w:w="1021" w:type="dxa"/>
            <w:shd w:val="clear" w:color="auto" w:fill="auto"/>
          </w:tcPr>
          <w:p w:rsidR="0092299C" w:rsidRPr="00C75672" w:rsidRDefault="0092299C" w:rsidP="0092299C">
            <w:pPr>
              <w:pStyle w:val="ARtabletextright"/>
              <w:rPr>
                <w:b/>
                <w:bCs/>
              </w:rPr>
            </w:pPr>
            <w:r w:rsidRPr="00C75672">
              <w:rPr>
                <w:b/>
                <w:bCs/>
              </w:rPr>
              <w:t>260.8</w:t>
            </w:r>
          </w:p>
        </w:tc>
        <w:tc>
          <w:tcPr>
            <w:tcW w:w="1021" w:type="dxa"/>
            <w:shd w:val="clear" w:color="auto" w:fill="auto"/>
          </w:tcPr>
          <w:p w:rsidR="0092299C" w:rsidRPr="00C75672" w:rsidRDefault="00EC4FD8" w:rsidP="0092299C">
            <w:pPr>
              <w:pStyle w:val="ARtabletextright"/>
              <w:rPr>
                <w:b/>
                <w:bCs/>
              </w:rPr>
            </w:pPr>
            <w:r>
              <w:rPr>
                <w:b/>
                <w:bCs/>
              </w:rPr>
              <w:t>–</w:t>
            </w:r>
            <w:r w:rsidR="0092299C" w:rsidRPr="00C75672">
              <w:rPr>
                <w:b/>
                <w:bCs/>
              </w:rPr>
              <w:t>0.2</w:t>
            </w:r>
          </w:p>
        </w:tc>
        <w:tc>
          <w:tcPr>
            <w:tcW w:w="794" w:type="dxa"/>
            <w:shd w:val="clear" w:color="auto" w:fill="auto"/>
            <w:hideMark/>
          </w:tcPr>
          <w:p w:rsidR="0092299C" w:rsidRPr="00D02A2E" w:rsidRDefault="0092299C" w:rsidP="0092299C">
            <w:pPr>
              <w:pStyle w:val="ARtabletextbold"/>
              <w:rPr>
                <w:rFonts w:ascii="Wingdings" w:hAnsi="Wingdings"/>
              </w:rPr>
            </w:pPr>
          </w:p>
        </w:tc>
      </w:tr>
      <w:tr w:rsidR="0092299C" w:rsidRPr="00D02A2E" w:rsidTr="0092299C">
        <w:trPr>
          <w:cantSplit/>
          <w:trHeight w:val="240"/>
        </w:trPr>
        <w:tc>
          <w:tcPr>
            <w:tcW w:w="9639" w:type="dxa"/>
            <w:gridSpan w:val="6"/>
            <w:tcBorders>
              <w:bottom w:val="single" w:sz="4" w:space="0" w:color="000000"/>
            </w:tcBorders>
            <w:shd w:val="clear" w:color="auto" w:fill="auto"/>
          </w:tcPr>
          <w:p w:rsidR="0092299C" w:rsidRPr="00D02A2E" w:rsidRDefault="0092299C" w:rsidP="0092299C">
            <w:pPr>
              <w:pStyle w:val="ARtablenoteindent"/>
            </w:pPr>
            <w:r w:rsidRPr="00D91766">
              <w:t>The 20</w:t>
            </w:r>
            <w:r>
              <w:t>16–17</w:t>
            </w:r>
            <w:r w:rsidRPr="00D91766">
              <w:t xml:space="preserve"> actual outcome primarily reflects funding requested to be carried over into 20</w:t>
            </w:r>
            <w:r>
              <w:t>17–18</w:t>
            </w:r>
            <w:r w:rsidRPr="00D91766">
              <w:t>.</w:t>
            </w:r>
          </w:p>
        </w:tc>
      </w:tr>
      <w:tr w:rsidR="0092299C" w:rsidRPr="00D02A2E" w:rsidTr="00C04681">
        <w:trPr>
          <w:cantSplit/>
          <w:trHeight w:val="340"/>
        </w:trPr>
        <w:tc>
          <w:tcPr>
            <w:tcW w:w="4761" w:type="dxa"/>
            <w:tcBorders>
              <w:top w:val="single" w:sz="4" w:space="0" w:color="000000"/>
              <w:bottom w:val="single" w:sz="4" w:space="0" w:color="000000"/>
            </w:tcBorders>
            <w:shd w:val="clear" w:color="auto" w:fill="auto"/>
            <w:hideMark/>
          </w:tcPr>
          <w:p w:rsidR="0092299C" w:rsidRPr="00D02A2E" w:rsidRDefault="0092299C" w:rsidP="00C04681">
            <w:pPr>
              <w:pStyle w:val="ARtablebluebold"/>
            </w:pPr>
            <w:r w:rsidRPr="00D02A2E">
              <w:t xml:space="preserve">Dental Services </w:t>
            </w: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Heading3"/>
              <w:spacing w:before="0" w:after="0"/>
            </w:pP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Heading3"/>
              <w:spacing w:before="0" w:after="0"/>
            </w:pPr>
            <w:r w:rsidRPr="00D02A2E">
              <w:t> </w:t>
            </w: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Heading3"/>
              <w:spacing w:before="0" w:after="0"/>
            </w:pPr>
            <w:r w:rsidRPr="00D02A2E">
              <w:t> </w:t>
            </w:r>
          </w:p>
        </w:tc>
        <w:tc>
          <w:tcPr>
            <w:tcW w:w="1021" w:type="dxa"/>
            <w:tcBorders>
              <w:top w:val="single" w:sz="4" w:space="0" w:color="000000"/>
              <w:bottom w:val="single" w:sz="4" w:space="0" w:color="000000"/>
            </w:tcBorders>
            <w:shd w:val="clear" w:color="auto" w:fill="auto"/>
            <w:hideMark/>
          </w:tcPr>
          <w:p w:rsidR="0092299C" w:rsidRPr="00D02A2E" w:rsidRDefault="0092299C" w:rsidP="00C04681">
            <w:pPr>
              <w:pStyle w:val="Heading3"/>
              <w:spacing w:before="0" w:after="0"/>
            </w:pPr>
            <w:r w:rsidRPr="00D02A2E">
              <w:t> </w:t>
            </w:r>
          </w:p>
        </w:tc>
        <w:tc>
          <w:tcPr>
            <w:tcW w:w="794" w:type="dxa"/>
            <w:tcBorders>
              <w:top w:val="single" w:sz="4" w:space="0" w:color="000000"/>
              <w:bottom w:val="single" w:sz="4" w:space="0" w:color="000000"/>
            </w:tcBorders>
            <w:shd w:val="clear" w:color="auto" w:fill="auto"/>
            <w:hideMark/>
          </w:tcPr>
          <w:p w:rsidR="0092299C" w:rsidRPr="00D02A2E" w:rsidRDefault="0092299C" w:rsidP="00C04681">
            <w:pPr>
              <w:pStyle w:val="Heading3"/>
              <w:spacing w:before="0" w:after="0"/>
            </w:pPr>
          </w:p>
        </w:tc>
      </w:tr>
      <w:tr w:rsidR="0092299C" w:rsidRPr="00D02A2E" w:rsidTr="0092299C">
        <w:trPr>
          <w:cantSplit/>
          <w:trHeight w:val="240"/>
        </w:trPr>
        <w:tc>
          <w:tcPr>
            <w:tcW w:w="4761" w:type="dxa"/>
            <w:tcBorders>
              <w:top w:val="single" w:sz="4" w:space="0" w:color="000000"/>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000000"/>
            </w:tcBorders>
            <w:shd w:val="clear" w:color="auto" w:fill="auto"/>
            <w:hideMark/>
          </w:tcPr>
          <w:p w:rsidR="0092299C" w:rsidRPr="00D02A2E" w:rsidRDefault="0092299C" w:rsidP="0092299C">
            <w:pPr>
              <w:pStyle w:val="ARtablebluebold"/>
            </w:pPr>
          </w:p>
        </w:tc>
        <w:tc>
          <w:tcPr>
            <w:tcW w:w="1021" w:type="dxa"/>
            <w:tcBorders>
              <w:top w:val="single" w:sz="4" w:space="0" w:color="000000"/>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000000"/>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000000"/>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000000"/>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
            </w:pPr>
            <w:r w:rsidRPr="00D02A2E">
              <w:t>Persons treated</w:t>
            </w:r>
          </w:p>
        </w:tc>
        <w:tc>
          <w:tcPr>
            <w:tcW w:w="1021" w:type="dxa"/>
            <w:shd w:val="clear" w:color="auto" w:fill="auto"/>
            <w:hideMark/>
          </w:tcPr>
          <w:p w:rsidR="0092299C" w:rsidRPr="00D02A2E" w:rsidRDefault="0092299C" w:rsidP="001F2E2D">
            <w:pPr>
              <w:pStyle w:val="ARtabletext"/>
              <w:jc w:val="center"/>
            </w:pPr>
            <w:r w:rsidRPr="00D02A2E">
              <w:t>number</w:t>
            </w:r>
          </w:p>
        </w:tc>
        <w:tc>
          <w:tcPr>
            <w:tcW w:w="1021" w:type="dxa"/>
            <w:shd w:val="clear" w:color="auto" w:fill="auto"/>
          </w:tcPr>
          <w:p w:rsidR="0092299C" w:rsidRPr="00D02A2E" w:rsidRDefault="0092299C" w:rsidP="0092299C">
            <w:pPr>
              <w:pStyle w:val="ARtabletextright"/>
            </w:pPr>
            <w:r w:rsidRPr="00D02A2E">
              <w:t>332,150</w:t>
            </w:r>
          </w:p>
        </w:tc>
        <w:tc>
          <w:tcPr>
            <w:tcW w:w="1021" w:type="dxa"/>
            <w:shd w:val="clear" w:color="auto" w:fill="auto"/>
          </w:tcPr>
          <w:p w:rsidR="0092299C" w:rsidRPr="00D02A2E" w:rsidRDefault="0092299C" w:rsidP="0092299C">
            <w:pPr>
              <w:pStyle w:val="ARtabletextright"/>
            </w:pPr>
            <w:r w:rsidRPr="00D02A2E">
              <w:t>385,251</w:t>
            </w:r>
          </w:p>
        </w:tc>
        <w:tc>
          <w:tcPr>
            <w:tcW w:w="1021" w:type="dxa"/>
            <w:shd w:val="clear" w:color="auto" w:fill="auto"/>
          </w:tcPr>
          <w:p w:rsidR="0092299C" w:rsidRPr="00D02A2E" w:rsidRDefault="0092299C" w:rsidP="0092299C">
            <w:pPr>
              <w:pStyle w:val="ARtabletextright"/>
            </w:pPr>
            <w:r>
              <w:t>16.0</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t>This</w:t>
            </w:r>
            <w:r w:rsidRPr="00D02A2E">
              <w:t xml:space="preserve"> is a positive result and reflects additional activity delivered under the extended Commonwealth National Partnership Agreement on Adult Public Dental Services.</w:t>
            </w:r>
          </w:p>
        </w:tc>
      </w:tr>
      <w:tr w:rsidR="0092299C" w:rsidRPr="00D02A2E" w:rsidTr="0092299C">
        <w:trPr>
          <w:cantSplit/>
          <w:trHeight w:val="48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Standard Equivalent Value Units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1,413</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1,639</w:t>
            </w:r>
          </w:p>
        </w:tc>
        <w:tc>
          <w:tcPr>
            <w:tcW w:w="1021" w:type="dxa"/>
            <w:tcBorders>
              <w:top w:val="single" w:sz="4" w:space="0" w:color="BFBFBF"/>
            </w:tcBorders>
            <w:shd w:val="clear" w:color="auto" w:fill="auto"/>
          </w:tcPr>
          <w:p w:rsidR="0092299C" w:rsidRPr="00D02A2E" w:rsidRDefault="0092299C" w:rsidP="0092299C">
            <w:pPr>
              <w:pStyle w:val="ARtabletextright"/>
            </w:pPr>
            <w:r>
              <w:t>16.0</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480"/>
        </w:trPr>
        <w:tc>
          <w:tcPr>
            <w:tcW w:w="9639" w:type="dxa"/>
            <w:gridSpan w:val="6"/>
            <w:tcBorders>
              <w:bottom w:val="single" w:sz="4" w:space="0" w:color="BFBFBF"/>
            </w:tcBorders>
            <w:shd w:val="clear" w:color="auto" w:fill="auto"/>
          </w:tcPr>
          <w:p w:rsidR="0092299C" w:rsidRPr="00D02A2E" w:rsidRDefault="0092299C" w:rsidP="0092299C">
            <w:pPr>
              <w:pStyle w:val="ARtablenoteindent"/>
            </w:pPr>
            <w:r>
              <w:t>This</w:t>
            </w:r>
            <w:r w:rsidRPr="00D02A2E">
              <w:t xml:space="preserve"> is a positive result and reflects additional activity delivered under the extended Commonwealth National Partnership Agreement on Adult Public Dental Services. This measure is proposed to be discontinued in 20</w:t>
            </w:r>
            <w:r>
              <w:t>17–18</w:t>
            </w:r>
            <w:r w:rsidRPr="00D02A2E">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tcBorders>
              <w:bottom w:val="single" w:sz="4" w:space="0" w:color="BFBFBF"/>
            </w:tcBorders>
            <w:shd w:val="clear" w:color="auto" w:fill="auto"/>
            <w:hideMark/>
          </w:tcPr>
          <w:p w:rsidR="0092299C" w:rsidRPr="00D02A2E" w:rsidRDefault="0092299C" w:rsidP="0092299C">
            <w:pPr>
              <w:pStyle w:val="ARtabletext"/>
            </w:pPr>
            <w:r w:rsidRPr="00D02A2E">
              <w:t>Ratio of emergency to general courses of dental care</w:t>
            </w:r>
          </w:p>
        </w:tc>
        <w:tc>
          <w:tcPr>
            <w:tcW w:w="1021" w:type="dxa"/>
            <w:tcBorders>
              <w:bottom w:val="single" w:sz="4" w:space="0" w:color="BFBFBF"/>
            </w:tcBorders>
            <w:shd w:val="clear" w:color="auto" w:fill="auto"/>
            <w:hideMark/>
          </w:tcPr>
          <w:p w:rsidR="0092299C" w:rsidRPr="00D02A2E" w:rsidRDefault="0092299C" w:rsidP="001F2E2D">
            <w:pPr>
              <w:pStyle w:val="ARtabletext"/>
              <w:jc w:val="center"/>
            </w:pPr>
            <w:r w:rsidRPr="00D02A2E">
              <w:t>ratio</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40:60</w:t>
            </w:r>
          </w:p>
        </w:tc>
        <w:tc>
          <w:tcPr>
            <w:tcW w:w="1021" w:type="dxa"/>
            <w:tcBorders>
              <w:bottom w:val="single" w:sz="4" w:space="0" w:color="BFBFBF"/>
            </w:tcBorders>
            <w:shd w:val="clear" w:color="auto" w:fill="auto"/>
          </w:tcPr>
          <w:p w:rsidR="0092299C" w:rsidRPr="00D02A2E" w:rsidRDefault="0092299C" w:rsidP="0092299C">
            <w:pPr>
              <w:pStyle w:val="ARtabletextright"/>
            </w:pPr>
            <w:r w:rsidRPr="00D02A2E">
              <w:t>39:61</w:t>
            </w:r>
          </w:p>
        </w:tc>
        <w:tc>
          <w:tcPr>
            <w:tcW w:w="1021" w:type="dxa"/>
            <w:tcBorders>
              <w:bottom w:val="single" w:sz="4" w:space="0" w:color="BFBFBF"/>
            </w:tcBorders>
            <w:shd w:val="clear" w:color="auto" w:fill="auto"/>
          </w:tcPr>
          <w:p w:rsidR="0092299C" w:rsidRPr="00D02A2E" w:rsidRDefault="00EC4FD8" w:rsidP="0092299C">
            <w:pPr>
              <w:pStyle w:val="ARtabletextright"/>
            </w:pPr>
            <w:r>
              <w:t>–</w:t>
            </w:r>
            <w:r w:rsidR="0092299C">
              <w:t>2.4</w:t>
            </w:r>
          </w:p>
        </w:tc>
        <w:tc>
          <w:tcPr>
            <w:tcW w:w="794" w:type="dxa"/>
            <w:tcBorders>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tcBorders>
            <w:shd w:val="clear" w:color="auto" w:fill="auto"/>
            <w:hideMark/>
          </w:tcPr>
          <w:p w:rsidR="0092299C" w:rsidRPr="00D02A2E" w:rsidRDefault="0092299C" w:rsidP="0092299C">
            <w:pPr>
              <w:pStyle w:val="ARtablebluebold"/>
            </w:pP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
            </w:pPr>
            <w:r w:rsidRPr="00D02A2E">
              <w:t>Waiting time for dentures</w:t>
            </w:r>
          </w:p>
        </w:tc>
        <w:tc>
          <w:tcPr>
            <w:tcW w:w="1021" w:type="dxa"/>
            <w:shd w:val="clear" w:color="auto" w:fill="auto"/>
            <w:hideMark/>
          </w:tcPr>
          <w:p w:rsidR="0092299C" w:rsidRPr="00D02A2E" w:rsidRDefault="0092299C" w:rsidP="001F2E2D">
            <w:pPr>
              <w:pStyle w:val="ARtabletext"/>
              <w:jc w:val="center"/>
            </w:pPr>
            <w:r w:rsidRPr="00D02A2E">
              <w:t>months</w:t>
            </w:r>
          </w:p>
        </w:tc>
        <w:tc>
          <w:tcPr>
            <w:tcW w:w="1021" w:type="dxa"/>
            <w:shd w:val="clear" w:color="auto" w:fill="auto"/>
            <w:hideMark/>
          </w:tcPr>
          <w:p w:rsidR="0092299C" w:rsidRPr="00D02A2E" w:rsidRDefault="0092299C" w:rsidP="0092299C">
            <w:pPr>
              <w:pStyle w:val="ARtabletextright"/>
            </w:pPr>
            <w:r w:rsidRPr="00D02A2E">
              <w:t>22</w:t>
            </w:r>
          </w:p>
        </w:tc>
        <w:tc>
          <w:tcPr>
            <w:tcW w:w="1021" w:type="dxa"/>
            <w:shd w:val="clear" w:color="auto" w:fill="auto"/>
          </w:tcPr>
          <w:p w:rsidR="0092299C" w:rsidRPr="00D02A2E" w:rsidRDefault="0092299C" w:rsidP="0092299C">
            <w:pPr>
              <w:pStyle w:val="ARtabletextright"/>
            </w:pPr>
            <w:r w:rsidRPr="00D02A2E">
              <w:t>15.3</w:t>
            </w:r>
          </w:p>
        </w:tc>
        <w:tc>
          <w:tcPr>
            <w:tcW w:w="1021" w:type="dxa"/>
            <w:shd w:val="clear" w:color="auto" w:fill="auto"/>
          </w:tcPr>
          <w:p w:rsidR="0092299C" w:rsidRPr="00D02A2E" w:rsidRDefault="00EC4FD8" w:rsidP="0092299C">
            <w:pPr>
              <w:pStyle w:val="ARtabletextright"/>
            </w:pPr>
            <w:r>
              <w:t>–</w:t>
            </w:r>
            <w:r w:rsidR="0092299C">
              <w:t>30.5</w:t>
            </w:r>
          </w:p>
        </w:tc>
        <w:tc>
          <w:tcPr>
            <w:tcW w:w="794" w:type="dxa"/>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noWrap/>
            <w:hideMark/>
          </w:tcPr>
          <w:p w:rsidR="0092299C" w:rsidRPr="00D02A2E" w:rsidRDefault="0092299C" w:rsidP="0092299C">
            <w:pPr>
              <w:pStyle w:val="ARtablenoteindent"/>
            </w:pPr>
            <w:r>
              <w:t>This</w:t>
            </w:r>
            <w:r w:rsidRPr="00D02A2E">
              <w:t xml:space="preserve"> is a positive result and reflects the impact of additional activity delivered under the extended Commonwealth National Partnership Agreement on Adult Public Dental Services.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Waiting time for restorative dental care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months</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23</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17.6</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23.5</w:t>
            </w:r>
          </w:p>
        </w:tc>
        <w:tc>
          <w:tcPr>
            <w:tcW w:w="794" w:type="dxa"/>
            <w:tcBorders>
              <w:top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92299C">
        <w:trPr>
          <w:cantSplit/>
          <w:trHeight w:val="240"/>
        </w:trPr>
        <w:tc>
          <w:tcPr>
            <w:tcW w:w="9639" w:type="dxa"/>
            <w:gridSpan w:val="6"/>
            <w:tcBorders>
              <w:bottom w:val="single" w:sz="4" w:space="0" w:color="BFBFBF"/>
            </w:tcBorders>
            <w:shd w:val="clear" w:color="auto" w:fill="auto"/>
            <w:noWrap/>
            <w:hideMark/>
          </w:tcPr>
          <w:p w:rsidR="0092299C" w:rsidRPr="00D02A2E" w:rsidRDefault="0092299C" w:rsidP="0092299C">
            <w:pPr>
              <w:pStyle w:val="ARtablenoteindent"/>
            </w:pPr>
            <w:r>
              <w:t>This</w:t>
            </w:r>
            <w:r w:rsidRPr="00D02A2E">
              <w:t xml:space="preserve"> is a positive result and reflects the impact of additional activity delivered under the extended Commonwealth National Partnership Agreement on Adult Public Dental Services.</w:t>
            </w:r>
          </w:p>
        </w:tc>
      </w:tr>
      <w:tr w:rsidR="0092299C" w:rsidRPr="00D02A2E" w:rsidTr="0092299C">
        <w:trPr>
          <w:cantSplit/>
          <w:trHeight w:val="240"/>
        </w:trPr>
        <w:tc>
          <w:tcPr>
            <w:tcW w:w="4761" w:type="dxa"/>
            <w:tcBorders>
              <w:top w:val="single" w:sz="4" w:space="0" w:color="BFBFBF"/>
            </w:tcBorders>
            <w:shd w:val="clear" w:color="auto" w:fill="auto"/>
            <w:hideMark/>
          </w:tcPr>
          <w:p w:rsidR="0092299C" w:rsidRPr="00D02A2E" w:rsidRDefault="0092299C" w:rsidP="0092299C">
            <w:pPr>
              <w:pStyle w:val="ARtablebluebold"/>
              <w:keepNext/>
            </w:pPr>
            <w:r w:rsidRPr="00D02A2E">
              <w:t>Cost</w:t>
            </w:r>
          </w:p>
        </w:tc>
        <w:tc>
          <w:tcPr>
            <w:tcW w:w="1021" w:type="dxa"/>
            <w:tcBorders>
              <w:top w:val="single" w:sz="4" w:space="0" w:color="BFBFBF"/>
            </w:tcBorders>
            <w:shd w:val="clear" w:color="auto" w:fill="auto"/>
            <w:hideMark/>
          </w:tcPr>
          <w:p w:rsidR="0092299C" w:rsidRPr="00D02A2E" w:rsidRDefault="0092299C" w:rsidP="0092299C">
            <w:pPr>
              <w:pStyle w:val="ARtablebluebold"/>
              <w:keepNext/>
            </w:pPr>
          </w:p>
        </w:tc>
        <w:tc>
          <w:tcPr>
            <w:tcW w:w="1021" w:type="dxa"/>
            <w:tcBorders>
              <w:top w:val="single" w:sz="4" w:space="0" w:color="BFBFBF"/>
            </w:tcBorders>
            <w:shd w:val="clear" w:color="auto" w:fill="auto"/>
            <w:hideMark/>
          </w:tcPr>
          <w:p w:rsidR="0092299C" w:rsidRPr="00D02A2E" w:rsidRDefault="0092299C" w:rsidP="0092299C">
            <w:pPr>
              <w:pStyle w:val="ARtablebluebold"/>
              <w:keepNex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keepNext/>
            </w:pPr>
            <w:r w:rsidRPr="00D02A2E">
              <w:t> </w:t>
            </w:r>
          </w:p>
        </w:tc>
        <w:tc>
          <w:tcPr>
            <w:tcW w:w="1021" w:type="dxa"/>
            <w:tcBorders>
              <w:top w:val="single" w:sz="4" w:space="0" w:color="BFBFBF"/>
            </w:tcBorders>
            <w:shd w:val="clear" w:color="auto" w:fill="auto"/>
            <w:hideMark/>
          </w:tcPr>
          <w:p w:rsidR="0092299C" w:rsidRPr="00D02A2E" w:rsidRDefault="0092299C" w:rsidP="0092299C">
            <w:pPr>
              <w:pStyle w:val="ARtablebluebold"/>
              <w:keepNext/>
            </w:pPr>
            <w:r w:rsidRPr="00D02A2E">
              <w:t> </w:t>
            </w:r>
          </w:p>
        </w:tc>
        <w:tc>
          <w:tcPr>
            <w:tcW w:w="794" w:type="dxa"/>
            <w:tcBorders>
              <w:top w:val="single" w:sz="4" w:space="0" w:color="BFBFBF"/>
            </w:tcBorders>
            <w:shd w:val="clear" w:color="auto" w:fill="auto"/>
            <w:hideMark/>
          </w:tcPr>
          <w:p w:rsidR="0092299C" w:rsidRPr="00D02A2E" w:rsidRDefault="0092299C" w:rsidP="0092299C">
            <w:pPr>
              <w:pStyle w:val="ARtablebluebold"/>
              <w:keepNext/>
            </w:pPr>
          </w:p>
        </w:tc>
      </w:tr>
      <w:tr w:rsidR="0092299C" w:rsidRPr="00D02A2E" w:rsidTr="0092299C">
        <w:trPr>
          <w:cantSplit/>
          <w:trHeight w:val="240"/>
        </w:trPr>
        <w:tc>
          <w:tcPr>
            <w:tcW w:w="4761" w:type="dxa"/>
            <w:shd w:val="clear" w:color="auto" w:fill="auto"/>
            <w:hideMark/>
          </w:tcPr>
          <w:p w:rsidR="0092299C" w:rsidRPr="00D02A2E" w:rsidRDefault="0092299C" w:rsidP="0092299C">
            <w:pPr>
              <w:pStyle w:val="ARtabletextbold"/>
              <w:keepNext/>
            </w:pPr>
            <w:r w:rsidRPr="00D02A2E">
              <w:t>Total output cost</w:t>
            </w:r>
          </w:p>
        </w:tc>
        <w:tc>
          <w:tcPr>
            <w:tcW w:w="1021" w:type="dxa"/>
            <w:shd w:val="clear" w:color="auto" w:fill="auto"/>
            <w:hideMark/>
          </w:tcPr>
          <w:p w:rsidR="0092299C" w:rsidRPr="00D02A2E" w:rsidRDefault="0092299C" w:rsidP="001F2E2D">
            <w:pPr>
              <w:pStyle w:val="ARtabletextbold"/>
              <w:keepNext/>
              <w:jc w:val="center"/>
            </w:pPr>
            <w:r w:rsidRPr="00D02A2E">
              <w:t>$ million</w:t>
            </w:r>
          </w:p>
        </w:tc>
        <w:tc>
          <w:tcPr>
            <w:tcW w:w="1021" w:type="dxa"/>
            <w:shd w:val="clear" w:color="auto" w:fill="auto"/>
          </w:tcPr>
          <w:p w:rsidR="0092299C" w:rsidRPr="00C75672" w:rsidRDefault="0092299C" w:rsidP="0092299C">
            <w:pPr>
              <w:pStyle w:val="ARtabletextright"/>
              <w:rPr>
                <w:b/>
                <w:bCs/>
              </w:rPr>
            </w:pPr>
            <w:r w:rsidRPr="00C75672">
              <w:rPr>
                <w:b/>
                <w:bCs/>
              </w:rPr>
              <w:t>206.2</w:t>
            </w:r>
          </w:p>
        </w:tc>
        <w:tc>
          <w:tcPr>
            <w:tcW w:w="1021" w:type="dxa"/>
            <w:shd w:val="clear" w:color="auto" w:fill="auto"/>
          </w:tcPr>
          <w:p w:rsidR="0092299C" w:rsidRPr="00C75672" w:rsidRDefault="0092299C" w:rsidP="0092299C">
            <w:pPr>
              <w:pStyle w:val="ARtabletextright"/>
              <w:rPr>
                <w:b/>
                <w:bCs/>
              </w:rPr>
            </w:pPr>
            <w:r w:rsidRPr="00C75672">
              <w:rPr>
                <w:b/>
                <w:bCs/>
              </w:rPr>
              <w:t>221.5</w:t>
            </w:r>
          </w:p>
        </w:tc>
        <w:tc>
          <w:tcPr>
            <w:tcW w:w="1021" w:type="dxa"/>
            <w:shd w:val="clear" w:color="auto" w:fill="auto"/>
          </w:tcPr>
          <w:p w:rsidR="0092299C" w:rsidRPr="00C75672" w:rsidRDefault="0092299C" w:rsidP="0092299C">
            <w:pPr>
              <w:pStyle w:val="ARtabletextright"/>
              <w:rPr>
                <w:b/>
                <w:bCs/>
              </w:rPr>
            </w:pPr>
            <w:r>
              <w:rPr>
                <w:b/>
                <w:bCs/>
              </w:rPr>
              <w:t>7.4</w:t>
            </w:r>
          </w:p>
        </w:tc>
        <w:tc>
          <w:tcPr>
            <w:tcW w:w="794" w:type="dxa"/>
            <w:shd w:val="clear" w:color="auto" w:fill="auto"/>
            <w:hideMark/>
          </w:tcPr>
          <w:p w:rsidR="0092299C" w:rsidRPr="00C75672" w:rsidRDefault="0092299C" w:rsidP="0092299C">
            <w:pPr>
              <w:pStyle w:val="ARtabletextright"/>
              <w:rPr>
                <w:b/>
                <w:bCs/>
              </w:rPr>
            </w:pPr>
          </w:p>
        </w:tc>
      </w:tr>
      <w:tr w:rsidR="0092299C" w:rsidRPr="00D02A2E" w:rsidTr="0092299C">
        <w:trPr>
          <w:cantSplit/>
          <w:trHeight w:val="240"/>
        </w:trPr>
        <w:tc>
          <w:tcPr>
            <w:tcW w:w="9639" w:type="dxa"/>
            <w:gridSpan w:val="6"/>
            <w:tcBorders>
              <w:bottom w:val="single" w:sz="4" w:space="0" w:color="000000"/>
            </w:tcBorders>
            <w:shd w:val="clear" w:color="auto" w:fill="auto"/>
          </w:tcPr>
          <w:p w:rsidR="0092299C" w:rsidRPr="00D02A2E" w:rsidRDefault="0092299C" w:rsidP="0092299C">
            <w:pPr>
              <w:pStyle w:val="ARtablenoteindent"/>
              <w:keepNext/>
            </w:pPr>
            <w:r w:rsidRPr="00D91766">
              <w:t>The 20</w:t>
            </w:r>
            <w:r>
              <w:t>16–17</w:t>
            </w:r>
            <w:r w:rsidRPr="00D91766">
              <w:t xml:space="preserve"> actual outcome primarily reflects increased Commonwealth revenue, a higher than estimated carry-over from 20</w:t>
            </w:r>
            <w:r>
              <w:t>15–16</w:t>
            </w:r>
            <w:r w:rsidRPr="00D91766">
              <w:t>, which was partially offset by a carry-over request into 20</w:t>
            </w:r>
            <w:r>
              <w:t>17–18</w:t>
            </w:r>
            <w:r w:rsidRPr="00D91766">
              <w:t>.</w:t>
            </w:r>
          </w:p>
        </w:tc>
      </w:tr>
    </w:tbl>
    <w:p w:rsidR="0092299C" w:rsidRPr="00D02A2E" w:rsidRDefault="0092299C" w:rsidP="0092299C">
      <w:pPr>
        <w:pStyle w:val="Heading2"/>
      </w:pPr>
      <w:r w:rsidRPr="00D02A2E">
        <w:lastRenderedPageBreak/>
        <w:t>Small Rural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1958B8">
        <w:trPr>
          <w:cantSplit/>
          <w:trHeight w:val="240"/>
          <w:tblHeader/>
        </w:trPr>
        <w:tc>
          <w:tcPr>
            <w:tcW w:w="4763" w:type="dxa"/>
            <w:shd w:val="clear" w:color="auto" w:fill="auto"/>
            <w:noWrap/>
            <w:vAlign w:val="bottom"/>
            <w:hideMark/>
          </w:tcPr>
          <w:p w:rsidR="0092299C" w:rsidRPr="00D02A2E" w:rsidRDefault="0092299C" w:rsidP="0092299C">
            <w:pPr>
              <w:pStyle w:val="ARtabletextbold"/>
            </w:pPr>
            <w:r w:rsidRPr="00D02A2E">
              <w:t>Performance measures</w:t>
            </w:r>
          </w:p>
        </w:tc>
        <w:tc>
          <w:tcPr>
            <w:tcW w:w="1021" w:type="dxa"/>
            <w:shd w:val="clear" w:color="auto" w:fill="auto"/>
            <w:noWrap/>
            <w:vAlign w:val="bottom"/>
            <w:hideMark/>
          </w:tcPr>
          <w:p w:rsidR="0092299C" w:rsidRPr="00D02A2E" w:rsidRDefault="0092299C" w:rsidP="001F2E2D">
            <w:pPr>
              <w:pStyle w:val="ARtablecolheadright"/>
              <w:jc w:val="center"/>
            </w:pPr>
            <w:r w:rsidRPr="00D02A2E">
              <w:t>Unit of measure</w:t>
            </w:r>
          </w:p>
        </w:tc>
        <w:tc>
          <w:tcPr>
            <w:tcW w:w="1021" w:type="dxa"/>
            <w:shd w:val="clear" w:color="auto" w:fill="auto"/>
            <w:noWrap/>
            <w:vAlign w:val="bottom"/>
            <w:hideMark/>
          </w:tcPr>
          <w:p w:rsidR="0092299C" w:rsidRPr="00192F09" w:rsidRDefault="0092299C" w:rsidP="00192F09">
            <w:pPr>
              <w:pStyle w:val="ARtablecolheadright"/>
            </w:pPr>
            <w:r w:rsidRPr="00192F09">
              <w:t>2016–17 target</w:t>
            </w:r>
          </w:p>
        </w:tc>
        <w:tc>
          <w:tcPr>
            <w:tcW w:w="1021" w:type="dxa"/>
            <w:shd w:val="clear" w:color="auto" w:fill="auto"/>
            <w:noWrap/>
            <w:vAlign w:val="bottom"/>
            <w:hideMark/>
          </w:tcPr>
          <w:p w:rsidR="0092299C" w:rsidRPr="00192F09" w:rsidRDefault="0092299C" w:rsidP="00192F09">
            <w:pPr>
              <w:pStyle w:val="ARtablecolheadright"/>
            </w:pPr>
            <w:r w:rsidRPr="00192F09">
              <w:t>2016–17 actual</w:t>
            </w:r>
          </w:p>
        </w:tc>
        <w:tc>
          <w:tcPr>
            <w:tcW w:w="1021" w:type="dxa"/>
            <w:shd w:val="clear" w:color="auto" w:fill="auto"/>
            <w:noWrap/>
            <w:vAlign w:val="bottom"/>
            <w:hideMark/>
          </w:tcPr>
          <w:p w:rsidR="0092299C" w:rsidRPr="00192F09" w:rsidRDefault="0092299C" w:rsidP="00192F09">
            <w:pPr>
              <w:pStyle w:val="ARtablecolheadright"/>
            </w:pPr>
            <w:r w:rsidRPr="00192F09">
              <w:t>Variation (%)</w:t>
            </w:r>
          </w:p>
        </w:tc>
        <w:tc>
          <w:tcPr>
            <w:tcW w:w="794" w:type="dxa"/>
            <w:shd w:val="clear" w:color="auto" w:fill="auto"/>
            <w:noWrap/>
            <w:vAlign w:val="bottom"/>
            <w:hideMark/>
          </w:tcPr>
          <w:p w:rsidR="0092299C" w:rsidRPr="00D02A2E" w:rsidRDefault="0092299C" w:rsidP="00096BE7">
            <w:pPr>
              <w:pStyle w:val="ARtablecolheadright"/>
            </w:pPr>
            <w:r w:rsidRPr="00D02A2E">
              <w:t>Result</w:t>
            </w:r>
          </w:p>
        </w:tc>
      </w:tr>
      <w:tr w:rsidR="0092299C" w:rsidRPr="00D02A2E" w:rsidTr="001958B8">
        <w:trPr>
          <w:cantSplit/>
          <w:trHeight w:val="240"/>
        </w:trPr>
        <w:tc>
          <w:tcPr>
            <w:tcW w:w="4763" w:type="dxa"/>
            <w:tcBorders>
              <w:bottom w:val="single" w:sz="4" w:space="0" w:color="000000"/>
            </w:tcBorders>
            <w:shd w:val="clear" w:color="auto" w:fill="auto"/>
            <w:hideMark/>
          </w:tcPr>
          <w:p w:rsidR="0092299C" w:rsidRPr="00D02A2E" w:rsidRDefault="0092299C" w:rsidP="0092299C">
            <w:pPr>
              <w:pStyle w:val="ARtablebluebold"/>
            </w:pPr>
            <w:r w:rsidRPr="00D02A2E">
              <w:t xml:space="preserve">Small Rural Services – Acute Health </w:t>
            </w: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000000"/>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000000"/>
            </w:tcBorders>
            <w:shd w:val="clear" w:color="auto" w:fill="auto"/>
            <w:hideMark/>
          </w:tcPr>
          <w:p w:rsidR="0092299C" w:rsidRPr="00D02A2E" w:rsidRDefault="0092299C" w:rsidP="0092299C">
            <w:pPr>
              <w:pStyle w:val="ARtablebluebold"/>
            </w:pPr>
            <w:r w:rsidRPr="00D02A2E">
              <w:t> </w:t>
            </w:r>
          </w:p>
        </w:tc>
        <w:tc>
          <w:tcPr>
            <w:tcW w:w="794" w:type="dxa"/>
            <w:tcBorders>
              <w:bottom w:val="single" w:sz="4" w:space="0" w:color="000000"/>
            </w:tcBorders>
            <w:shd w:val="clear" w:color="auto" w:fill="auto"/>
            <w:hideMark/>
          </w:tcPr>
          <w:p w:rsidR="0092299C" w:rsidRPr="00D02A2E" w:rsidRDefault="0092299C" w:rsidP="0092299C">
            <w:pPr>
              <w:pStyle w:val="ARtablebluebold"/>
            </w:pPr>
          </w:p>
        </w:tc>
      </w:tr>
      <w:tr w:rsidR="0092299C" w:rsidRPr="00D02A2E" w:rsidTr="001958B8">
        <w:trPr>
          <w:cantSplit/>
          <w:trHeight w:val="240"/>
        </w:trPr>
        <w:tc>
          <w:tcPr>
            <w:tcW w:w="4763"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p>
        </w:tc>
      </w:tr>
      <w:tr w:rsidR="0092299C" w:rsidRPr="00D02A2E" w:rsidTr="001958B8">
        <w:trPr>
          <w:cantSplit/>
          <w:trHeight w:val="480"/>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Separations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41.6</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36.5</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t>12.3</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lower than the target due to changes in service mix and the permissible substitution of acute, aged and home care, primary health services and other services (not captured by these measures) under the Small Rural Health Services funding model.</w:t>
            </w:r>
          </w:p>
        </w:tc>
      </w:tr>
      <w:tr w:rsidR="0092299C" w:rsidRPr="00D02A2E" w:rsidTr="001958B8">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Standard Equivalent Value Units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1,298</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1,256</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3.2</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Preliminary result. The outcome is lower than the target due to changes in service mix and the permissible substitution of acute, aged and home care, primary health services and other services (not captured by these measures) under the Small Rural Health Services funding model. This measure is proposed to be discontinued in 20</w:t>
            </w:r>
            <w:r>
              <w:t>17–18</w:t>
            </w:r>
            <w:r w:rsidRPr="00D02A2E">
              <w:t>.</w:t>
            </w:r>
          </w:p>
        </w:tc>
      </w:tr>
      <w:tr w:rsidR="0092299C" w:rsidRPr="00D02A2E" w:rsidTr="001958B8">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Weighted Inlier Equivalent Separations (WIES)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 xml:space="preserve">number </w:t>
            </w:r>
            <w:r w:rsidR="00D56197" w:rsidRPr="00D02A2E">
              <w:t>(</w:t>
            </w:r>
            <w:r w:rsidR="00D56197">
              <w:t>’</w:t>
            </w:r>
            <w:r w:rsidR="00D56197" w:rsidRPr="00D02A2E">
              <w:t>000</w:t>
            </w:r>
            <w:r w:rsidR="00D56197">
              <w: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25.7</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24</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6.6</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 xml:space="preserve">Preliminary result. The outcome is lower than the target due to changes in service mix and the permissible substitution of acute, aged and home care, primary health services and other services (not captured by these measures) under the Small Rural Health Services funding model. </w:t>
            </w:r>
            <w:r w:rsidRPr="00D02A2E">
              <w:rPr>
                <w:szCs w:val="16"/>
              </w:rPr>
              <w:t>This measure is proposed to be discontinued in 20</w:t>
            </w:r>
            <w:r>
              <w:rPr>
                <w:szCs w:val="16"/>
              </w:rPr>
              <w:t>17–18</w:t>
            </w:r>
            <w:r w:rsidRPr="00D02A2E">
              <w:rPr>
                <w:szCs w:val="16"/>
              </w:rPr>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rPr>
                <w:sz w:val="20"/>
                <w:szCs w:val="20"/>
              </w:rPr>
              <w:br w:type="page"/>
            </w:r>
            <w:r w:rsidRPr="00D02A2E">
              <w:t>Quality</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92299C" w:rsidRPr="00D02A2E" w:rsidTr="001958B8">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Beds accredited</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spacing w:before="80"/>
              <w:rPr>
                <w:rFonts w:eastAsia="Times" w:cs="Arial"/>
                <w:b/>
                <w:i/>
                <w:color w:val="004C97"/>
                <w:sz w:val="18"/>
                <w:szCs w:val="18"/>
                <w:lang w:eastAsia="en-AU"/>
              </w:rPr>
            </w:pPr>
            <w:r w:rsidRPr="00D02A2E">
              <w:rPr>
                <w:rFonts w:eastAsia="Times" w:cs="Arial"/>
                <w:b/>
                <w:i/>
                <w:color w:val="004C97"/>
                <w:sz w:val="18"/>
                <w:szCs w:val="18"/>
                <w:lang w:eastAsia="en-AU"/>
              </w:rPr>
              <w:t>Cost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rPr>
                <w:rFonts w:eastAsia="Times" w:cs="Arial"/>
                <w:b/>
                <w:i/>
                <w:color w:val="004C97"/>
                <w:sz w:val="18"/>
                <w:szCs w:val="18"/>
                <w:lang w:eastAsia="en-AU"/>
              </w:rPr>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spacing w:before="80"/>
              <w:rPr>
                <w:rFonts w:eastAsia="Times" w:cs="Arial"/>
                <w:b/>
                <w:i/>
                <w:color w:val="004C97"/>
                <w:sz w:val="18"/>
                <w:szCs w:val="18"/>
                <w:lang w:eastAsia="en-AU"/>
              </w:rPr>
            </w:pPr>
          </w:p>
        </w:tc>
      </w:tr>
      <w:tr w:rsidR="0092299C" w:rsidRPr="00D02A2E" w:rsidTr="001958B8">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hideMark/>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341.4</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328.9</w:t>
            </w:r>
          </w:p>
        </w:tc>
        <w:tc>
          <w:tcPr>
            <w:tcW w:w="1021" w:type="dxa"/>
            <w:tcBorders>
              <w:top w:val="nil"/>
              <w:left w:val="nil"/>
              <w:bottom w:val="nil"/>
              <w:right w:val="nil"/>
            </w:tcBorders>
            <w:shd w:val="clear" w:color="auto" w:fill="auto"/>
          </w:tcPr>
          <w:p w:rsidR="0092299C" w:rsidRPr="00B72935" w:rsidRDefault="00EC4FD8" w:rsidP="0092299C">
            <w:pPr>
              <w:pStyle w:val="ARtabletextright"/>
              <w:rPr>
                <w:b/>
                <w:bCs/>
              </w:rPr>
            </w:pPr>
            <w:r>
              <w:rPr>
                <w:b/>
                <w:bCs/>
              </w:rPr>
              <w:t>–</w:t>
            </w:r>
            <w:r w:rsidR="007B4262">
              <w:rPr>
                <w:b/>
                <w:bCs/>
              </w:rPr>
              <w:t>3.7</w:t>
            </w:r>
          </w:p>
        </w:tc>
        <w:tc>
          <w:tcPr>
            <w:tcW w:w="794" w:type="dxa"/>
            <w:tcBorders>
              <w:top w:val="nil"/>
              <w:left w:val="nil"/>
              <w:bottom w:val="nil"/>
              <w:right w:val="nil"/>
            </w:tcBorders>
            <w:shd w:val="clear" w:color="auto" w:fill="auto"/>
            <w:hideMark/>
          </w:tcPr>
          <w:p w:rsidR="0092299C" w:rsidRPr="00B72935" w:rsidRDefault="0092299C" w:rsidP="0092299C">
            <w:pPr>
              <w:pStyle w:val="ARtabletextright"/>
              <w:rPr>
                <w:b/>
                <w:bCs/>
              </w:rPr>
            </w:pPr>
          </w:p>
        </w:tc>
      </w:tr>
      <w:tr w:rsidR="0092299C" w:rsidRPr="00D02A2E" w:rsidTr="001958B8">
        <w:trPr>
          <w:cantSplit/>
          <w:trHeight w:val="240"/>
        </w:trPr>
        <w:tc>
          <w:tcPr>
            <w:tcW w:w="4763" w:type="dxa"/>
            <w:gridSpan w:val="6"/>
            <w:tcBorders>
              <w:top w:val="nil"/>
              <w:left w:val="nil"/>
              <w:bottom w:val="single" w:sz="4" w:space="0" w:color="000000"/>
              <w:right w:val="nil"/>
            </w:tcBorders>
            <w:shd w:val="clear" w:color="auto" w:fill="auto"/>
          </w:tcPr>
          <w:p w:rsidR="0092299C" w:rsidRPr="00D02A2E" w:rsidRDefault="0092299C" w:rsidP="0092299C">
            <w:pPr>
              <w:spacing w:after="80"/>
              <w:ind w:left="454"/>
              <w:rPr>
                <w:rFonts w:eastAsia="Times"/>
                <w:i/>
                <w:iCs/>
                <w:sz w:val="16"/>
                <w:szCs w:val="18"/>
                <w:lang w:eastAsia="en-AU"/>
              </w:rPr>
            </w:pPr>
            <w:r w:rsidRPr="00D91766">
              <w:rPr>
                <w:rFonts w:eastAsia="Times"/>
                <w:i/>
                <w:iCs/>
                <w:sz w:val="16"/>
                <w:szCs w:val="18"/>
                <w:lang w:eastAsia="en-AU"/>
              </w:rPr>
              <w:t>The 20</w:t>
            </w:r>
            <w:r>
              <w:rPr>
                <w:rFonts w:eastAsia="Times"/>
                <w:i/>
                <w:iCs/>
                <w:sz w:val="16"/>
                <w:szCs w:val="18"/>
                <w:lang w:eastAsia="en-AU"/>
              </w:rPr>
              <w:t>16–17</w:t>
            </w:r>
            <w:r w:rsidRPr="00D91766">
              <w:rPr>
                <w:rFonts w:eastAsia="Times"/>
                <w:i/>
                <w:iCs/>
                <w:sz w:val="16"/>
                <w:szCs w:val="18"/>
                <w:lang w:eastAsia="en-AU"/>
              </w:rPr>
              <w:t xml:space="preserve"> actual outcome primarily reflects less than expected hospitals' own source revenue, as well as movements within the output group.</w:t>
            </w:r>
          </w:p>
        </w:tc>
      </w:tr>
      <w:tr w:rsidR="0092299C" w:rsidRPr="00D02A2E" w:rsidTr="001958B8">
        <w:trPr>
          <w:cantSplit/>
          <w:trHeight w:val="240"/>
        </w:trPr>
        <w:tc>
          <w:tcPr>
            <w:tcW w:w="4763" w:type="dxa"/>
            <w:tcBorders>
              <w:top w:val="nil"/>
              <w:left w:val="nil"/>
              <w:bottom w:val="single" w:sz="4" w:space="0" w:color="000000"/>
              <w:right w:val="nil"/>
            </w:tcBorders>
            <w:shd w:val="clear" w:color="auto" w:fill="auto"/>
            <w:hideMark/>
          </w:tcPr>
          <w:p w:rsidR="0092299C" w:rsidRPr="00D02A2E" w:rsidRDefault="0092299C" w:rsidP="0092299C">
            <w:pPr>
              <w:pStyle w:val="ARtablebluebold"/>
            </w:pPr>
            <w:r w:rsidRPr="00D02A2E">
              <w:t xml:space="preserve">Small Rural Services – Aged Care </w:t>
            </w:r>
          </w:p>
        </w:tc>
        <w:tc>
          <w:tcPr>
            <w:tcW w:w="1021" w:type="dxa"/>
            <w:tcBorders>
              <w:top w:val="nil"/>
              <w:left w:val="nil"/>
              <w:bottom w:val="single" w:sz="4" w:space="0" w:color="000000"/>
              <w:right w:val="nil"/>
            </w:tcBorders>
            <w:shd w:val="clear" w:color="auto" w:fill="auto"/>
            <w:hideMark/>
          </w:tcPr>
          <w:p w:rsidR="0092299C" w:rsidRPr="00D02A2E" w:rsidRDefault="0092299C" w:rsidP="0092299C">
            <w:pPr>
              <w:pStyle w:val="ARtablebluebold"/>
            </w:pPr>
          </w:p>
        </w:tc>
        <w:tc>
          <w:tcPr>
            <w:tcW w:w="1021" w:type="dxa"/>
            <w:tcBorders>
              <w:top w:val="nil"/>
              <w:left w:val="nil"/>
              <w:bottom w:val="single" w:sz="4" w:space="0" w:color="000000"/>
              <w:right w:val="nil"/>
            </w:tcBorders>
            <w:shd w:val="clear" w:color="auto" w:fill="auto"/>
            <w:hideMark/>
          </w:tcPr>
          <w:p w:rsidR="0092299C" w:rsidRPr="00D02A2E" w:rsidRDefault="0092299C" w:rsidP="0092299C">
            <w:pPr>
              <w:pStyle w:val="ARtablebluebold"/>
            </w:pPr>
            <w:r w:rsidRPr="00D02A2E">
              <w:t> </w:t>
            </w:r>
          </w:p>
        </w:tc>
        <w:tc>
          <w:tcPr>
            <w:tcW w:w="1021" w:type="dxa"/>
            <w:tcBorders>
              <w:top w:val="nil"/>
              <w:left w:val="nil"/>
              <w:bottom w:val="single" w:sz="4" w:space="0" w:color="000000"/>
              <w:right w:val="nil"/>
            </w:tcBorders>
            <w:shd w:val="clear" w:color="auto" w:fill="auto"/>
            <w:hideMark/>
          </w:tcPr>
          <w:p w:rsidR="0092299C" w:rsidRPr="00D02A2E" w:rsidRDefault="0092299C" w:rsidP="0092299C">
            <w:pPr>
              <w:pStyle w:val="ARtablebluebold"/>
            </w:pPr>
            <w:r w:rsidRPr="00D02A2E">
              <w:t> </w:t>
            </w:r>
          </w:p>
        </w:tc>
        <w:tc>
          <w:tcPr>
            <w:tcW w:w="1021" w:type="dxa"/>
            <w:tcBorders>
              <w:top w:val="nil"/>
              <w:left w:val="nil"/>
              <w:bottom w:val="single" w:sz="4" w:space="0" w:color="000000"/>
              <w:right w:val="nil"/>
            </w:tcBorders>
            <w:shd w:val="clear" w:color="auto" w:fill="auto"/>
            <w:hideMark/>
          </w:tcPr>
          <w:p w:rsidR="0092299C" w:rsidRPr="00D02A2E" w:rsidRDefault="0092299C" w:rsidP="0092299C">
            <w:pPr>
              <w:pStyle w:val="ARtablebluebold"/>
            </w:pPr>
            <w:r w:rsidRPr="00D02A2E">
              <w:t> </w:t>
            </w:r>
          </w:p>
        </w:tc>
        <w:tc>
          <w:tcPr>
            <w:tcW w:w="794" w:type="dxa"/>
            <w:tcBorders>
              <w:top w:val="nil"/>
              <w:left w:val="nil"/>
              <w:bottom w:val="single" w:sz="4" w:space="0" w:color="000000"/>
              <w:right w:val="nil"/>
            </w:tcBorders>
            <w:shd w:val="clear" w:color="auto" w:fill="auto"/>
            <w:hideMark/>
          </w:tcPr>
          <w:p w:rsidR="0092299C" w:rsidRPr="00D02A2E" w:rsidRDefault="0092299C" w:rsidP="0092299C">
            <w:pPr>
              <w:pStyle w:val="ARtablebluebold"/>
            </w:pPr>
          </w:p>
        </w:tc>
      </w:tr>
      <w:tr w:rsidR="0092299C" w:rsidRPr="00D02A2E" w:rsidTr="001958B8">
        <w:trPr>
          <w:cantSplit/>
          <w:trHeight w:val="240"/>
        </w:trPr>
        <w:tc>
          <w:tcPr>
            <w:tcW w:w="4763"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192F09">
              <w:t>Quantity</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794"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p>
        </w:tc>
      </w:tr>
      <w:tr w:rsidR="0092299C" w:rsidRPr="00D02A2E" w:rsidTr="001958B8">
        <w:trPr>
          <w:cantSplit/>
          <w:trHeight w:val="240"/>
        </w:trPr>
        <w:tc>
          <w:tcPr>
            <w:tcW w:w="4763" w:type="dxa"/>
            <w:tcBorders>
              <w:top w:val="nil"/>
              <w:left w:val="nil"/>
              <w:bottom w:val="single" w:sz="4" w:space="0" w:color="BFBFBF"/>
              <w:right w:val="nil"/>
            </w:tcBorders>
            <w:shd w:val="clear" w:color="auto" w:fill="auto"/>
            <w:hideMark/>
          </w:tcPr>
          <w:p w:rsidR="0092299C" w:rsidRPr="00D02A2E" w:rsidRDefault="0092299C" w:rsidP="0092299C">
            <w:pPr>
              <w:pStyle w:val="ARtabletext"/>
            </w:pPr>
            <w:r w:rsidRPr="00D02A2E">
              <w:t>Small Rural Available Bed Days</w:t>
            </w:r>
          </w:p>
        </w:tc>
        <w:tc>
          <w:tcPr>
            <w:tcW w:w="1021" w:type="dxa"/>
            <w:tcBorders>
              <w:top w:val="nil"/>
              <w:left w:val="nil"/>
              <w:bottom w:val="single" w:sz="4" w:space="0" w:color="BFBFBF"/>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rsidRPr="00D02A2E">
              <w:t>701,143</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rsidRPr="00D02A2E">
              <w:t>701,138</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t>0.0</w:t>
            </w:r>
          </w:p>
        </w:tc>
        <w:tc>
          <w:tcPr>
            <w:tcW w:w="794" w:type="dxa"/>
            <w:tcBorders>
              <w:top w:val="nil"/>
              <w:left w:val="nil"/>
              <w:bottom w:val="single" w:sz="4" w:space="0" w:color="BFBFBF"/>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Standard Equivalent Value Units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344,328</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341,973</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0.7</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This measure is proposed to be discontinued in 20</w:t>
            </w:r>
            <w:r>
              <w:t>17–18</w:t>
            </w:r>
            <w:r w:rsidRPr="00D02A2E">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92299C" w:rsidRPr="00D02A2E" w:rsidTr="001958B8">
        <w:trPr>
          <w:cantSplit/>
          <w:trHeight w:val="240"/>
        </w:trPr>
        <w:tc>
          <w:tcPr>
            <w:tcW w:w="4763" w:type="dxa"/>
            <w:tcBorders>
              <w:top w:val="nil"/>
              <w:left w:val="nil"/>
              <w:bottom w:val="single" w:sz="4" w:space="0" w:color="BFBFBF"/>
              <w:right w:val="nil"/>
            </w:tcBorders>
            <w:shd w:val="clear" w:color="auto" w:fill="auto"/>
            <w:hideMark/>
          </w:tcPr>
          <w:p w:rsidR="0092299C" w:rsidRPr="00D02A2E" w:rsidRDefault="0092299C" w:rsidP="00D553A3">
            <w:pPr>
              <w:pStyle w:val="ARtabletext"/>
            </w:pPr>
            <w:r w:rsidRPr="00D02A2E">
              <w:t>Residential care services accredited</w:t>
            </w:r>
          </w:p>
        </w:tc>
        <w:tc>
          <w:tcPr>
            <w:tcW w:w="1021" w:type="dxa"/>
            <w:tcBorders>
              <w:top w:val="nil"/>
              <w:left w:val="nil"/>
              <w:bottom w:val="single" w:sz="4" w:space="0" w:color="BFBFBF"/>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single" w:sz="4" w:space="0" w:color="BFBFBF"/>
              <w:right w:val="nil"/>
            </w:tcBorders>
            <w:shd w:val="clear" w:color="auto" w:fill="auto"/>
            <w:hideMark/>
          </w:tcPr>
          <w:p w:rsidR="0092299C" w:rsidRPr="00D02A2E" w:rsidRDefault="0092299C" w:rsidP="0092299C">
            <w:pPr>
              <w:pStyle w:val="ARtabletextright"/>
            </w:pPr>
            <w:r w:rsidRPr="00D02A2E">
              <w:t>100</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rsidRPr="00D02A2E">
              <w:t>100</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t>0.0</w:t>
            </w:r>
          </w:p>
        </w:tc>
        <w:tc>
          <w:tcPr>
            <w:tcW w:w="794" w:type="dxa"/>
            <w:tcBorders>
              <w:top w:val="nil"/>
              <w:left w:val="nil"/>
              <w:bottom w:val="single" w:sz="4" w:space="0" w:color="BFBFBF"/>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92299C" w:rsidRPr="00D02A2E" w:rsidTr="001958B8">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hideMark/>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192.4</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189.8</w:t>
            </w:r>
          </w:p>
        </w:tc>
        <w:tc>
          <w:tcPr>
            <w:tcW w:w="1021" w:type="dxa"/>
            <w:tcBorders>
              <w:top w:val="nil"/>
              <w:left w:val="nil"/>
              <w:bottom w:val="nil"/>
              <w:right w:val="nil"/>
            </w:tcBorders>
            <w:shd w:val="clear" w:color="auto" w:fill="auto"/>
          </w:tcPr>
          <w:p w:rsidR="0092299C" w:rsidRPr="00B72935" w:rsidRDefault="00EC4FD8" w:rsidP="0092299C">
            <w:pPr>
              <w:pStyle w:val="ARtabletextright"/>
              <w:rPr>
                <w:b/>
                <w:bCs/>
              </w:rPr>
            </w:pPr>
            <w:r>
              <w:rPr>
                <w:b/>
                <w:bCs/>
              </w:rPr>
              <w:t>–</w:t>
            </w:r>
            <w:r w:rsidR="0092299C" w:rsidRPr="00B72935">
              <w:rPr>
                <w:b/>
                <w:bCs/>
              </w:rPr>
              <w:t>1.3</w:t>
            </w:r>
          </w:p>
        </w:tc>
        <w:tc>
          <w:tcPr>
            <w:tcW w:w="794" w:type="dxa"/>
            <w:tcBorders>
              <w:top w:val="nil"/>
              <w:left w:val="nil"/>
              <w:bottom w:val="nil"/>
              <w:right w:val="nil"/>
            </w:tcBorders>
            <w:shd w:val="clear" w:color="auto" w:fill="auto"/>
            <w:hideMark/>
          </w:tcPr>
          <w:p w:rsidR="0092299C" w:rsidRPr="00D02A2E" w:rsidRDefault="0092299C" w:rsidP="0092299C">
            <w:pPr>
              <w:pStyle w:val="ARtabletextbold"/>
              <w:rPr>
                <w:rFonts w:ascii="Wingdings" w:hAnsi="Wingdings"/>
              </w:rPr>
            </w:pPr>
          </w:p>
        </w:tc>
      </w:tr>
      <w:tr w:rsidR="0092299C" w:rsidRPr="00D02A2E" w:rsidTr="001958B8">
        <w:trPr>
          <w:cantSplit/>
          <w:trHeight w:val="240"/>
        </w:trPr>
        <w:tc>
          <w:tcPr>
            <w:tcW w:w="4763" w:type="dxa"/>
            <w:gridSpan w:val="6"/>
            <w:tcBorders>
              <w:top w:val="nil"/>
              <w:left w:val="nil"/>
              <w:bottom w:val="single" w:sz="4" w:space="0" w:color="000000"/>
              <w:right w:val="nil"/>
            </w:tcBorders>
            <w:shd w:val="clear" w:color="auto" w:fill="auto"/>
          </w:tcPr>
          <w:p w:rsidR="0092299C" w:rsidRPr="00D02A2E" w:rsidRDefault="0092299C" w:rsidP="0092299C">
            <w:pPr>
              <w:pStyle w:val="ARtablenoteindent"/>
            </w:pPr>
            <w:r w:rsidRPr="00D91766">
              <w:t>The 20</w:t>
            </w:r>
            <w:r>
              <w:t>16–17</w:t>
            </w:r>
            <w:r w:rsidRPr="00D91766">
              <w:t xml:space="preserve"> actual outcome primarily reflects lower than expected hospitals' own source revenue.</w:t>
            </w:r>
          </w:p>
        </w:tc>
      </w:tr>
      <w:tr w:rsidR="0092299C" w:rsidRPr="00D02A2E" w:rsidTr="001958B8">
        <w:trPr>
          <w:cantSplit/>
          <w:trHeight w:val="240"/>
        </w:trPr>
        <w:tc>
          <w:tcPr>
            <w:tcW w:w="4763" w:type="dxa"/>
            <w:gridSpan w:val="6"/>
            <w:tcBorders>
              <w:top w:val="nil"/>
              <w:left w:val="nil"/>
              <w:bottom w:val="single" w:sz="4" w:space="0" w:color="000000"/>
              <w:right w:val="nil"/>
            </w:tcBorders>
            <w:shd w:val="clear" w:color="auto" w:fill="auto"/>
            <w:hideMark/>
          </w:tcPr>
          <w:p w:rsidR="0092299C" w:rsidRPr="00D02A2E" w:rsidRDefault="0092299C" w:rsidP="0092299C">
            <w:pPr>
              <w:pStyle w:val="ARtablebluebold"/>
            </w:pPr>
            <w:r w:rsidRPr="00D02A2E">
              <w:t xml:space="preserve">Small Rural Services – Home and Community Care Services </w:t>
            </w:r>
          </w:p>
        </w:tc>
      </w:tr>
      <w:tr w:rsidR="0092299C" w:rsidRPr="00D02A2E" w:rsidTr="001958B8">
        <w:trPr>
          <w:cantSplit/>
          <w:trHeight w:val="240"/>
        </w:trPr>
        <w:tc>
          <w:tcPr>
            <w:tcW w:w="4763"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192F09">
              <w:t>Quantity</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794"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p>
        </w:tc>
      </w:tr>
      <w:tr w:rsidR="0092299C" w:rsidRPr="00D02A2E" w:rsidTr="001958B8">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Home and Community Care service delivery hours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107,719</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107,550</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t>0.2</w:t>
            </w:r>
          </w:p>
        </w:tc>
        <w:tc>
          <w:tcPr>
            <w:tcW w:w="794" w:type="dxa"/>
            <w:tcBorders>
              <w:top w:val="nil"/>
              <w:left w:val="nil"/>
              <w:bottom w:val="nil"/>
              <w:right w:val="nil"/>
            </w:tcBorders>
            <w:shd w:val="clear" w:color="auto" w:fill="auto"/>
            <w:hideMark/>
          </w:tcPr>
          <w:p w:rsidR="0092299C" w:rsidRPr="00D02A2E" w:rsidRDefault="006C04E4"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 This measure is proposed to be discontinued in 20</w:t>
            </w:r>
            <w:r>
              <w:t>17–18</w:t>
            </w:r>
            <w:r w:rsidRPr="00D02A2E">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Standard Equivalent Value Units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59,000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64,927</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10.0</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 xml:space="preserve">Preliminary result. The </w:t>
            </w:r>
            <w:r>
              <w:t>result</w:t>
            </w:r>
            <w:r w:rsidRPr="00D02A2E">
              <w:t xml:space="preserve"> is higher than the target due to underestimating the value of units. This measure is proposed to be discontinued in 20</w:t>
            </w:r>
            <w:r>
              <w:t>17–18</w:t>
            </w:r>
            <w:r w:rsidRPr="00D02A2E">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92299C" w:rsidRPr="00D02A2E" w:rsidTr="001958B8">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hideMark/>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7.8</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6.0</w:t>
            </w:r>
          </w:p>
        </w:tc>
        <w:tc>
          <w:tcPr>
            <w:tcW w:w="1021" w:type="dxa"/>
            <w:tcBorders>
              <w:top w:val="nil"/>
              <w:left w:val="nil"/>
              <w:bottom w:val="nil"/>
              <w:right w:val="nil"/>
            </w:tcBorders>
            <w:shd w:val="clear" w:color="auto" w:fill="auto"/>
          </w:tcPr>
          <w:p w:rsidR="0092299C" w:rsidRPr="00B72935" w:rsidRDefault="00EC4FD8" w:rsidP="0092299C">
            <w:pPr>
              <w:pStyle w:val="ARtabletextright"/>
              <w:rPr>
                <w:b/>
                <w:bCs/>
              </w:rPr>
            </w:pPr>
            <w:r>
              <w:rPr>
                <w:b/>
                <w:bCs/>
              </w:rPr>
              <w:t>–</w:t>
            </w:r>
            <w:r w:rsidR="0092299C">
              <w:rPr>
                <w:b/>
                <w:bCs/>
              </w:rPr>
              <w:t>23.5</w:t>
            </w:r>
          </w:p>
        </w:tc>
        <w:tc>
          <w:tcPr>
            <w:tcW w:w="794" w:type="dxa"/>
            <w:tcBorders>
              <w:top w:val="nil"/>
              <w:left w:val="nil"/>
              <w:bottom w:val="nil"/>
              <w:right w:val="nil"/>
            </w:tcBorders>
            <w:shd w:val="clear" w:color="auto" w:fill="auto"/>
            <w:hideMark/>
          </w:tcPr>
          <w:p w:rsidR="0092299C" w:rsidRPr="00B72935" w:rsidRDefault="0092299C" w:rsidP="0092299C">
            <w:pPr>
              <w:pStyle w:val="ARtabletextright"/>
              <w:rPr>
                <w:b/>
                <w:bCs/>
              </w:rPr>
            </w:pPr>
          </w:p>
        </w:tc>
      </w:tr>
      <w:tr w:rsidR="0092299C" w:rsidRPr="00D02A2E" w:rsidTr="001958B8">
        <w:trPr>
          <w:cantSplit/>
          <w:trHeight w:val="240"/>
        </w:trPr>
        <w:tc>
          <w:tcPr>
            <w:tcW w:w="4763" w:type="dxa"/>
            <w:gridSpan w:val="6"/>
            <w:tcBorders>
              <w:top w:val="nil"/>
              <w:left w:val="nil"/>
              <w:bottom w:val="single" w:sz="4" w:space="0" w:color="auto"/>
              <w:right w:val="nil"/>
            </w:tcBorders>
            <w:shd w:val="clear" w:color="auto" w:fill="auto"/>
          </w:tcPr>
          <w:p w:rsidR="0092299C" w:rsidRPr="00D02A2E" w:rsidRDefault="0092299C" w:rsidP="0092299C">
            <w:pPr>
              <w:pStyle w:val="ARtablenoteindent"/>
            </w:pPr>
            <w:r w:rsidRPr="0031742B">
              <w:t>The 20</w:t>
            </w:r>
            <w:r>
              <w:t>16–17</w:t>
            </w:r>
            <w:r w:rsidRPr="0031742B">
              <w:t xml:space="preserve"> actual outcome primarily reflects a greater than expected reduction in revenue due to the actual split of Commonwealth and State Home and Community Care (HACC) services.</w:t>
            </w:r>
          </w:p>
        </w:tc>
      </w:tr>
      <w:tr w:rsidR="0092299C" w:rsidRPr="00D02A2E" w:rsidTr="001958B8">
        <w:trPr>
          <w:cantSplit/>
          <w:trHeight w:val="240"/>
        </w:trPr>
        <w:tc>
          <w:tcPr>
            <w:tcW w:w="4763" w:type="dxa"/>
            <w:gridSpan w:val="6"/>
            <w:tcBorders>
              <w:top w:val="single" w:sz="4" w:space="0" w:color="auto"/>
              <w:left w:val="nil"/>
              <w:bottom w:val="nil"/>
              <w:right w:val="nil"/>
            </w:tcBorders>
            <w:shd w:val="clear" w:color="auto" w:fill="auto"/>
          </w:tcPr>
          <w:p w:rsidR="0092299C" w:rsidRPr="00D02A2E" w:rsidRDefault="0092299C" w:rsidP="0092299C">
            <w:pPr>
              <w:pStyle w:val="ARtablebluebold"/>
              <w:keepNext/>
            </w:pPr>
            <w:r w:rsidRPr="00D02A2E">
              <w:lastRenderedPageBreak/>
              <w:t>Small Rural Services – Primary Health</w:t>
            </w:r>
          </w:p>
        </w:tc>
      </w:tr>
      <w:tr w:rsidR="0092299C" w:rsidRPr="00D02A2E" w:rsidTr="001958B8">
        <w:trPr>
          <w:cantSplit/>
          <w:trHeight w:val="240"/>
        </w:trPr>
        <w:tc>
          <w:tcPr>
            <w:tcW w:w="4763" w:type="dxa"/>
            <w:tcBorders>
              <w:top w:val="single" w:sz="4" w:space="0" w:color="auto"/>
              <w:left w:val="nil"/>
              <w:bottom w:val="nil"/>
              <w:right w:val="nil"/>
            </w:tcBorders>
            <w:shd w:val="clear" w:color="auto" w:fill="auto"/>
          </w:tcPr>
          <w:p w:rsidR="0092299C" w:rsidRPr="00D02A2E" w:rsidRDefault="0092299C" w:rsidP="0092299C">
            <w:pPr>
              <w:pStyle w:val="ARtablebluebold"/>
              <w:keepNext/>
              <w:rPr>
                <w:i/>
              </w:rPr>
            </w:pPr>
            <w:r w:rsidRPr="00192F09">
              <w:t>Quantity</w:t>
            </w:r>
          </w:p>
        </w:tc>
        <w:tc>
          <w:tcPr>
            <w:tcW w:w="1021" w:type="dxa"/>
            <w:tcBorders>
              <w:top w:val="single" w:sz="4" w:space="0" w:color="auto"/>
              <w:left w:val="nil"/>
              <w:bottom w:val="nil"/>
              <w:right w:val="nil"/>
            </w:tcBorders>
            <w:shd w:val="clear" w:color="auto" w:fill="auto"/>
          </w:tcPr>
          <w:p w:rsidR="0092299C" w:rsidRPr="00D02A2E" w:rsidRDefault="0092299C" w:rsidP="0092299C">
            <w:pPr>
              <w:pStyle w:val="ARtablebluebold"/>
              <w:keepNext/>
              <w:rPr>
                <w:i/>
              </w:rPr>
            </w:pPr>
          </w:p>
        </w:tc>
        <w:tc>
          <w:tcPr>
            <w:tcW w:w="1021" w:type="dxa"/>
            <w:tcBorders>
              <w:top w:val="single" w:sz="4" w:space="0" w:color="auto"/>
              <w:left w:val="nil"/>
              <w:bottom w:val="nil"/>
              <w:right w:val="nil"/>
            </w:tcBorders>
            <w:shd w:val="clear" w:color="auto" w:fill="auto"/>
          </w:tcPr>
          <w:p w:rsidR="0092299C" w:rsidRPr="00D02A2E" w:rsidRDefault="0092299C" w:rsidP="0092299C">
            <w:pPr>
              <w:pStyle w:val="ARtablebluebold"/>
              <w:keepNext/>
              <w:rPr>
                <w:i/>
              </w:rPr>
            </w:pPr>
            <w:r w:rsidRPr="00D02A2E">
              <w:rPr>
                <w:i/>
              </w:rPr>
              <w:t> </w:t>
            </w:r>
          </w:p>
        </w:tc>
        <w:tc>
          <w:tcPr>
            <w:tcW w:w="1021" w:type="dxa"/>
            <w:tcBorders>
              <w:top w:val="single" w:sz="4" w:space="0" w:color="auto"/>
              <w:left w:val="nil"/>
              <w:bottom w:val="nil"/>
              <w:right w:val="nil"/>
            </w:tcBorders>
            <w:shd w:val="clear" w:color="auto" w:fill="auto"/>
          </w:tcPr>
          <w:p w:rsidR="0092299C" w:rsidRPr="00D02A2E" w:rsidRDefault="0092299C" w:rsidP="0092299C">
            <w:pPr>
              <w:pStyle w:val="ARtablebluebold"/>
              <w:keepNext/>
              <w:rPr>
                <w:i/>
              </w:rPr>
            </w:pPr>
            <w:r w:rsidRPr="00D02A2E">
              <w:rPr>
                <w:i/>
              </w:rPr>
              <w:t> </w:t>
            </w:r>
          </w:p>
        </w:tc>
        <w:tc>
          <w:tcPr>
            <w:tcW w:w="1021" w:type="dxa"/>
            <w:tcBorders>
              <w:top w:val="single" w:sz="4" w:space="0" w:color="auto"/>
              <w:left w:val="nil"/>
              <w:bottom w:val="nil"/>
              <w:right w:val="nil"/>
            </w:tcBorders>
            <w:shd w:val="clear" w:color="auto" w:fill="auto"/>
          </w:tcPr>
          <w:p w:rsidR="0092299C" w:rsidRPr="00D02A2E" w:rsidRDefault="0092299C" w:rsidP="0092299C">
            <w:pPr>
              <w:pStyle w:val="ARtablebluebold"/>
              <w:keepNext/>
              <w:rPr>
                <w:i/>
              </w:rPr>
            </w:pPr>
            <w:r w:rsidRPr="00D02A2E">
              <w:rPr>
                <w:i/>
              </w:rPr>
              <w:t> </w:t>
            </w:r>
          </w:p>
        </w:tc>
        <w:tc>
          <w:tcPr>
            <w:tcW w:w="794" w:type="dxa"/>
            <w:tcBorders>
              <w:top w:val="single" w:sz="4" w:space="0" w:color="auto"/>
              <w:left w:val="nil"/>
              <w:bottom w:val="nil"/>
              <w:right w:val="nil"/>
            </w:tcBorders>
            <w:shd w:val="clear" w:color="auto" w:fill="auto"/>
          </w:tcPr>
          <w:p w:rsidR="0092299C" w:rsidRPr="00D02A2E" w:rsidRDefault="0092299C" w:rsidP="0092299C">
            <w:pPr>
              <w:pStyle w:val="ARtablebluebold"/>
              <w:keepNext/>
              <w:rPr>
                <w:i/>
              </w:rPr>
            </w:pPr>
          </w:p>
        </w:tc>
      </w:tr>
      <w:tr w:rsidR="0092299C" w:rsidRPr="00D02A2E" w:rsidTr="001958B8">
        <w:trPr>
          <w:cantSplit/>
          <w:trHeight w:val="240"/>
        </w:trPr>
        <w:tc>
          <w:tcPr>
            <w:tcW w:w="4763" w:type="dxa"/>
            <w:tcBorders>
              <w:top w:val="nil"/>
              <w:left w:val="nil"/>
              <w:bottom w:val="nil"/>
              <w:right w:val="nil"/>
            </w:tcBorders>
            <w:shd w:val="clear" w:color="auto" w:fill="auto"/>
          </w:tcPr>
          <w:p w:rsidR="0092299C" w:rsidRPr="00D02A2E" w:rsidRDefault="00D553A3" w:rsidP="0092299C">
            <w:pPr>
              <w:pStyle w:val="ARtabletext"/>
              <w:keepNext/>
            </w:pPr>
            <w:r w:rsidRPr="00D553A3">
              <w:t>Service delivery hours in community health care</w:t>
            </w:r>
          </w:p>
        </w:tc>
        <w:tc>
          <w:tcPr>
            <w:tcW w:w="1021" w:type="dxa"/>
            <w:tcBorders>
              <w:top w:val="nil"/>
              <w:left w:val="nil"/>
              <w:bottom w:val="nil"/>
              <w:right w:val="nil"/>
            </w:tcBorders>
            <w:shd w:val="clear" w:color="auto" w:fill="auto"/>
          </w:tcPr>
          <w:p w:rsidR="0092299C" w:rsidRPr="00D02A2E" w:rsidRDefault="0092299C" w:rsidP="001F2E2D">
            <w:pPr>
              <w:pStyle w:val="ARtabletext"/>
              <w:keepNext/>
              <w:jc w:val="center"/>
            </w:pPr>
            <w:r w:rsidRPr="00D02A2E">
              <w:t>number</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99,000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111,805</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12.9</w:t>
            </w:r>
          </w:p>
        </w:tc>
        <w:tc>
          <w:tcPr>
            <w:tcW w:w="794" w:type="dxa"/>
            <w:tcBorders>
              <w:top w:val="nil"/>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keepNext/>
            </w:pPr>
            <w:r w:rsidRPr="00D02A2E">
              <w:t xml:space="preserve">Preliminary result. The </w:t>
            </w:r>
            <w:r>
              <w:t>result</w:t>
            </w:r>
            <w:r w:rsidRPr="00D02A2E">
              <w:t xml:space="preserve"> is higher than the target due to permissible use of funding from other Small Rural Services outputs to provide primary health services according to local needs. </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tcPr>
          <w:p w:rsidR="0092299C" w:rsidRPr="00D02A2E" w:rsidRDefault="0092299C" w:rsidP="0092299C">
            <w:pPr>
              <w:pStyle w:val="ARtabletext"/>
            </w:pPr>
            <w:r w:rsidRPr="00D02A2E">
              <w:t>Standard Equivalent Value Units</w:t>
            </w:r>
          </w:p>
        </w:tc>
        <w:tc>
          <w:tcPr>
            <w:tcW w:w="1021" w:type="dxa"/>
            <w:tcBorders>
              <w:top w:val="single" w:sz="4" w:space="0" w:color="BFBFBF"/>
              <w:left w:val="nil"/>
              <w:bottom w:val="nil"/>
              <w:right w:val="nil"/>
            </w:tcBorders>
            <w:shd w:val="clear" w:color="auto" w:fill="auto"/>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104,000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117,452</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12.9</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1958B8">
        <w:trPr>
          <w:cantSplit/>
          <w:trHeight w:val="240"/>
        </w:trPr>
        <w:tc>
          <w:tcPr>
            <w:tcW w:w="4763" w:type="dxa"/>
            <w:gridSpan w:val="6"/>
            <w:tcBorders>
              <w:top w:val="nil"/>
              <w:left w:val="nil"/>
              <w:bottom w:val="single" w:sz="4" w:space="0" w:color="BFBFBF"/>
              <w:right w:val="nil"/>
            </w:tcBorders>
            <w:shd w:val="clear" w:color="auto" w:fill="auto"/>
          </w:tcPr>
          <w:p w:rsidR="0092299C" w:rsidRPr="00D02A2E" w:rsidRDefault="0092299C" w:rsidP="0092299C">
            <w:pPr>
              <w:spacing w:after="80"/>
              <w:ind w:left="454"/>
              <w:rPr>
                <w:rFonts w:eastAsia="Times"/>
                <w:i/>
                <w:iCs/>
                <w:sz w:val="16"/>
                <w:szCs w:val="18"/>
                <w:lang w:eastAsia="en-AU"/>
              </w:rPr>
            </w:pPr>
            <w:r w:rsidRPr="00D02A2E">
              <w:rPr>
                <w:rFonts w:eastAsia="Times"/>
                <w:i/>
                <w:iCs/>
                <w:sz w:val="16"/>
                <w:szCs w:val="18"/>
                <w:lang w:eastAsia="en-AU"/>
              </w:rPr>
              <w:t xml:space="preserve">Preliminary result. The </w:t>
            </w:r>
            <w:r>
              <w:rPr>
                <w:rFonts w:eastAsia="Times"/>
                <w:i/>
                <w:iCs/>
                <w:sz w:val="16"/>
                <w:szCs w:val="18"/>
                <w:lang w:eastAsia="en-AU"/>
              </w:rPr>
              <w:t>result</w:t>
            </w:r>
            <w:r w:rsidRPr="00D02A2E">
              <w:rPr>
                <w:rFonts w:eastAsia="Times"/>
                <w:i/>
                <w:iCs/>
                <w:sz w:val="16"/>
                <w:szCs w:val="18"/>
                <w:lang w:eastAsia="en-AU"/>
              </w:rPr>
              <w:t xml:space="preserve"> is higher than the target due to permissible use of funding from other Small Rural Services outputs to provide primary health services according to local needs. This measure is proposed to be discontinued in 20</w:t>
            </w:r>
            <w:r>
              <w:rPr>
                <w:rFonts w:eastAsia="Times"/>
                <w:i/>
                <w:iCs/>
                <w:sz w:val="16"/>
                <w:szCs w:val="18"/>
                <w:lang w:eastAsia="en-AU"/>
              </w:rPr>
              <w:t>17–18</w:t>
            </w:r>
            <w:r w:rsidRPr="00D02A2E">
              <w:rPr>
                <w:rFonts w:eastAsia="Times"/>
                <w:i/>
                <w:iCs/>
                <w:sz w:val="16"/>
                <w:szCs w:val="18"/>
                <w:lang w:eastAsia="en-AU"/>
              </w:rPr>
              <w:t>.</w:t>
            </w:r>
          </w:p>
        </w:tc>
      </w:tr>
      <w:tr w:rsidR="0092299C" w:rsidRPr="00D02A2E" w:rsidTr="001958B8">
        <w:trPr>
          <w:cantSplit/>
          <w:trHeight w:val="240"/>
        </w:trPr>
        <w:tc>
          <w:tcPr>
            <w:tcW w:w="4763" w:type="dxa"/>
            <w:tcBorders>
              <w:top w:val="single" w:sz="4" w:space="0" w:color="BFBFBF"/>
              <w:left w:val="nil"/>
              <w:bottom w:val="nil"/>
              <w:right w:val="nil"/>
            </w:tcBorders>
            <w:shd w:val="clear" w:color="auto" w:fill="auto"/>
          </w:tcPr>
          <w:p w:rsidR="0092299C" w:rsidRPr="007F588B" w:rsidRDefault="0092299C" w:rsidP="0092299C">
            <w:pPr>
              <w:pStyle w:val="ARtablebluebold"/>
            </w:pPr>
            <w:r w:rsidRPr="007F588B">
              <w:t>Cost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r>
      <w:tr w:rsidR="0092299C" w:rsidRPr="00D02A2E" w:rsidTr="001958B8">
        <w:trPr>
          <w:cantSplit/>
          <w:trHeight w:val="240"/>
        </w:trPr>
        <w:tc>
          <w:tcPr>
            <w:tcW w:w="4763" w:type="dxa"/>
            <w:tcBorders>
              <w:top w:val="nil"/>
              <w:left w:val="nil"/>
              <w:bottom w:val="nil"/>
              <w:right w:val="nil"/>
            </w:tcBorders>
            <w:shd w:val="clear" w:color="auto" w:fill="auto"/>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color w:val="000000"/>
              </w:rPr>
            </w:pPr>
            <w:r w:rsidRPr="00B72935">
              <w:rPr>
                <w:b/>
                <w:bCs/>
                <w:color w:val="000000"/>
              </w:rPr>
              <w:t>20.3</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color w:val="000000"/>
              </w:rPr>
            </w:pPr>
            <w:r w:rsidRPr="00B72935">
              <w:rPr>
                <w:b/>
                <w:bCs/>
                <w:color w:val="000000"/>
              </w:rPr>
              <w:t>19.0</w:t>
            </w:r>
          </w:p>
        </w:tc>
        <w:tc>
          <w:tcPr>
            <w:tcW w:w="1021" w:type="dxa"/>
            <w:tcBorders>
              <w:top w:val="nil"/>
              <w:left w:val="nil"/>
              <w:bottom w:val="nil"/>
              <w:right w:val="nil"/>
            </w:tcBorders>
            <w:shd w:val="clear" w:color="auto" w:fill="auto"/>
          </w:tcPr>
          <w:p w:rsidR="0092299C" w:rsidRPr="00B72935" w:rsidRDefault="00EC4FD8" w:rsidP="0092299C">
            <w:pPr>
              <w:pStyle w:val="ARtabletextright"/>
              <w:rPr>
                <w:b/>
                <w:bCs/>
                <w:color w:val="000000"/>
              </w:rPr>
            </w:pPr>
            <w:r>
              <w:rPr>
                <w:b/>
                <w:bCs/>
                <w:color w:val="000000"/>
              </w:rPr>
              <w:t>–</w:t>
            </w:r>
            <w:r w:rsidR="007B4262">
              <w:rPr>
                <w:b/>
                <w:bCs/>
                <w:color w:val="000000"/>
              </w:rPr>
              <w:t>6.5</w:t>
            </w:r>
          </w:p>
        </w:tc>
        <w:tc>
          <w:tcPr>
            <w:tcW w:w="794" w:type="dxa"/>
            <w:tcBorders>
              <w:top w:val="nil"/>
              <w:left w:val="nil"/>
              <w:bottom w:val="nil"/>
              <w:right w:val="nil"/>
            </w:tcBorders>
            <w:shd w:val="clear" w:color="auto" w:fill="auto"/>
          </w:tcPr>
          <w:p w:rsidR="0092299C" w:rsidRPr="00B72935" w:rsidRDefault="0092299C" w:rsidP="0092299C">
            <w:pPr>
              <w:pStyle w:val="ARtabletextright"/>
              <w:rPr>
                <w:b/>
                <w:bCs/>
                <w:color w:val="000000"/>
              </w:rPr>
            </w:pPr>
          </w:p>
        </w:tc>
      </w:tr>
      <w:tr w:rsidR="0092299C" w:rsidRPr="00D02A2E" w:rsidTr="001958B8">
        <w:trPr>
          <w:cantSplit/>
          <w:trHeight w:val="240"/>
        </w:trPr>
        <w:tc>
          <w:tcPr>
            <w:tcW w:w="4763" w:type="dxa"/>
            <w:gridSpan w:val="6"/>
            <w:tcBorders>
              <w:top w:val="nil"/>
              <w:left w:val="nil"/>
              <w:bottom w:val="single" w:sz="4" w:space="0" w:color="auto"/>
              <w:right w:val="nil"/>
            </w:tcBorders>
            <w:shd w:val="clear" w:color="auto" w:fill="auto"/>
          </w:tcPr>
          <w:p w:rsidR="0092299C" w:rsidRPr="00D02A2E" w:rsidRDefault="0092299C" w:rsidP="0092299C">
            <w:pPr>
              <w:pStyle w:val="ARtablenoteindent"/>
            </w:pPr>
            <w:r w:rsidRPr="0031742B">
              <w:t>The 20</w:t>
            </w:r>
            <w:r>
              <w:t>16–17</w:t>
            </w:r>
            <w:r w:rsidRPr="0031742B">
              <w:t xml:space="preserve"> actual outcome primarily reflects</w:t>
            </w:r>
            <w:r>
              <w:t xml:space="preserve"> </w:t>
            </w:r>
            <w:r w:rsidRPr="0031742B">
              <w:t>movements within the output group.</w:t>
            </w:r>
          </w:p>
        </w:tc>
      </w:tr>
    </w:tbl>
    <w:p w:rsidR="0092299C" w:rsidRPr="00D02A2E" w:rsidRDefault="0092299C" w:rsidP="0092299C">
      <w:pPr>
        <w:pStyle w:val="Heading2"/>
      </w:pPr>
      <w:r w:rsidRPr="00D02A2E">
        <w:t>Public Health</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4745"/>
        <w:gridCol w:w="1018"/>
        <w:gridCol w:w="1018"/>
        <w:gridCol w:w="1018"/>
        <w:gridCol w:w="1018"/>
        <w:gridCol w:w="792"/>
        <w:gridCol w:w="30"/>
      </w:tblGrid>
      <w:tr w:rsidR="001958B8" w:rsidRPr="00D02A2E" w:rsidTr="00E324D1">
        <w:trPr>
          <w:cantSplit/>
          <w:trHeight w:val="240"/>
          <w:tblHeader/>
        </w:trPr>
        <w:tc>
          <w:tcPr>
            <w:tcW w:w="4763" w:type="dxa"/>
            <w:tcBorders>
              <w:top w:val="nil"/>
              <w:left w:val="nil"/>
              <w:right w:val="nil"/>
            </w:tcBorders>
            <w:shd w:val="clear" w:color="auto" w:fill="auto"/>
            <w:noWrap/>
            <w:vAlign w:val="bottom"/>
            <w:hideMark/>
          </w:tcPr>
          <w:p w:rsidR="0092299C" w:rsidRPr="00D02A2E" w:rsidRDefault="0092299C" w:rsidP="0092299C">
            <w:pPr>
              <w:pStyle w:val="ARtablecolhead"/>
            </w:pPr>
            <w:r w:rsidRPr="00D02A2E">
              <w:t>Performance measures</w:t>
            </w:r>
          </w:p>
        </w:tc>
        <w:tc>
          <w:tcPr>
            <w:tcW w:w="1021" w:type="dxa"/>
            <w:tcBorders>
              <w:top w:val="nil"/>
              <w:left w:val="nil"/>
              <w:right w:val="nil"/>
            </w:tcBorders>
            <w:shd w:val="clear" w:color="auto" w:fill="auto"/>
            <w:noWrap/>
            <w:vAlign w:val="bottom"/>
            <w:hideMark/>
          </w:tcPr>
          <w:p w:rsidR="0092299C" w:rsidRPr="00D02A2E" w:rsidRDefault="0092299C" w:rsidP="001F2E2D">
            <w:pPr>
              <w:pStyle w:val="ARtablecolhead"/>
              <w:jc w:val="center"/>
            </w:pPr>
            <w:r w:rsidRPr="00D02A2E">
              <w:t>Unit of measure</w:t>
            </w:r>
          </w:p>
        </w:tc>
        <w:tc>
          <w:tcPr>
            <w:tcW w:w="1021" w:type="dxa"/>
            <w:tcBorders>
              <w:top w:val="nil"/>
              <w:left w:val="nil"/>
              <w:right w:val="nil"/>
            </w:tcBorders>
            <w:shd w:val="clear" w:color="auto" w:fill="auto"/>
            <w:noWrap/>
            <w:vAlign w:val="bottom"/>
            <w:hideMark/>
          </w:tcPr>
          <w:p w:rsidR="0092299C" w:rsidRPr="00D02A2E" w:rsidRDefault="0092299C" w:rsidP="001F2E2D">
            <w:pPr>
              <w:pStyle w:val="ARtablecolhead"/>
              <w:jc w:val="right"/>
            </w:pPr>
            <w:r w:rsidRPr="00D02A2E">
              <w:t>20</w:t>
            </w:r>
            <w:r>
              <w:t>16–17</w:t>
            </w:r>
            <w:r w:rsidRPr="00D02A2E">
              <w:t xml:space="preserve"> target</w:t>
            </w:r>
          </w:p>
        </w:tc>
        <w:tc>
          <w:tcPr>
            <w:tcW w:w="1021" w:type="dxa"/>
            <w:tcBorders>
              <w:top w:val="nil"/>
              <w:left w:val="nil"/>
              <w:right w:val="nil"/>
            </w:tcBorders>
            <w:shd w:val="clear" w:color="auto" w:fill="auto"/>
            <w:noWrap/>
            <w:vAlign w:val="bottom"/>
            <w:hideMark/>
          </w:tcPr>
          <w:p w:rsidR="0092299C" w:rsidRPr="00D02A2E" w:rsidRDefault="0092299C" w:rsidP="001F2E2D">
            <w:pPr>
              <w:pStyle w:val="ARtablecolhead"/>
              <w:jc w:val="right"/>
            </w:pPr>
            <w:r w:rsidRPr="00D02A2E">
              <w:t>20</w:t>
            </w:r>
            <w:r>
              <w:t>16–17</w:t>
            </w:r>
            <w:r w:rsidRPr="00D02A2E">
              <w:t xml:space="preserve"> actual</w:t>
            </w:r>
          </w:p>
        </w:tc>
        <w:tc>
          <w:tcPr>
            <w:tcW w:w="1021" w:type="dxa"/>
            <w:tcBorders>
              <w:top w:val="nil"/>
              <w:left w:val="nil"/>
              <w:right w:val="nil"/>
            </w:tcBorders>
            <w:shd w:val="clear" w:color="auto" w:fill="auto"/>
            <w:noWrap/>
            <w:vAlign w:val="bottom"/>
            <w:hideMark/>
          </w:tcPr>
          <w:p w:rsidR="0092299C" w:rsidRPr="00D02A2E" w:rsidRDefault="0092299C" w:rsidP="001F2E2D">
            <w:pPr>
              <w:pStyle w:val="ARtablecolhead"/>
              <w:jc w:val="right"/>
            </w:pPr>
            <w:r w:rsidRPr="00D02A2E">
              <w:t>Variation (%)</w:t>
            </w:r>
          </w:p>
        </w:tc>
        <w:tc>
          <w:tcPr>
            <w:tcW w:w="794" w:type="dxa"/>
            <w:gridSpan w:val="2"/>
            <w:tcBorders>
              <w:top w:val="nil"/>
              <w:left w:val="nil"/>
              <w:right w:val="nil"/>
            </w:tcBorders>
            <w:shd w:val="clear" w:color="auto" w:fill="auto"/>
            <w:noWrap/>
            <w:vAlign w:val="bottom"/>
            <w:hideMark/>
          </w:tcPr>
          <w:p w:rsidR="0092299C" w:rsidRPr="00D02A2E" w:rsidRDefault="0092299C" w:rsidP="00096BE7">
            <w:pPr>
              <w:pStyle w:val="ARtablecolheadright"/>
            </w:pPr>
            <w:r w:rsidRPr="00D02A2E">
              <w:t>Result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shd w:val="clear" w:color="auto" w:fill="auto"/>
            <w:hideMark/>
          </w:tcPr>
          <w:p w:rsidR="0092299C" w:rsidRPr="00D02A2E" w:rsidRDefault="0092299C" w:rsidP="0092299C">
            <w:pPr>
              <w:pStyle w:val="ARtablebluebold"/>
            </w:pPr>
            <w:r w:rsidRPr="00D02A2E">
              <w:t xml:space="preserve">Health Protection </w:t>
            </w:r>
          </w:p>
        </w:tc>
        <w:tc>
          <w:tcPr>
            <w:tcW w:w="1021" w:type="dxa"/>
            <w:shd w:val="clear" w:color="auto" w:fill="auto"/>
            <w:hideMark/>
          </w:tcPr>
          <w:p w:rsidR="0092299C" w:rsidRPr="00D02A2E" w:rsidRDefault="0092299C" w:rsidP="0092299C">
            <w:pPr>
              <w:pStyle w:val="ARtablebluebold"/>
            </w:pPr>
          </w:p>
        </w:tc>
        <w:tc>
          <w:tcPr>
            <w:tcW w:w="1021" w:type="dxa"/>
            <w:shd w:val="clear" w:color="auto" w:fill="auto"/>
            <w:hideMark/>
          </w:tcPr>
          <w:p w:rsidR="0092299C" w:rsidRPr="00D02A2E" w:rsidRDefault="0092299C" w:rsidP="0092299C">
            <w:pPr>
              <w:pStyle w:val="ARtablebluebold"/>
            </w:pPr>
            <w:r w:rsidRPr="00D02A2E">
              <w:t> </w:t>
            </w:r>
          </w:p>
        </w:tc>
        <w:tc>
          <w:tcPr>
            <w:tcW w:w="1021" w:type="dxa"/>
            <w:shd w:val="clear" w:color="auto" w:fill="auto"/>
            <w:hideMark/>
          </w:tcPr>
          <w:p w:rsidR="0092299C" w:rsidRPr="00D02A2E" w:rsidRDefault="0092299C" w:rsidP="0092299C">
            <w:pPr>
              <w:pStyle w:val="ARtablebluebold"/>
            </w:pPr>
            <w:r w:rsidRPr="00D02A2E">
              <w:t> </w:t>
            </w:r>
          </w:p>
        </w:tc>
        <w:tc>
          <w:tcPr>
            <w:tcW w:w="1021" w:type="dxa"/>
            <w:shd w:val="clear" w:color="auto" w:fill="auto"/>
            <w:hideMark/>
          </w:tcPr>
          <w:p w:rsidR="0092299C" w:rsidRPr="00D02A2E" w:rsidRDefault="0092299C" w:rsidP="0092299C">
            <w:pPr>
              <w:pStyle w:val="ARtablebluebold"/>
            </w:pPr>
            <w:r w:rsidRPr="00D02A2E">
              <w:t> </w:t>
            </w:r>
          </w:p>
        </w:tc>
        <w:tc>
          <w:tcPr>
            <w:tcW w:w="794" w:type="dxa"/>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bottom w:val="nil"/>
            </w:tcBorders>
            <w:shd w:val="clear" w:color="auto" w:fill="auto"/>
            <w:hideMark/>
          </w:tcPr>
          <w:p w:rsidR="0092299C" w:rsidRPr="00D02A2E" w:rsidRDefault="0092299C" w:rsidP="0092299C">
            <w:pPr>
              <w:pStyle w:val="ARtablebluebold"/>
            </w:pPr>
            <w:r w:rsidRPr="00D02A2E">
              <w:t>Quantity</w:t>
            </w:r>
          </w:p>
        </w:tc>
        <w:tc>
          <w:tcPr>
            <w:tcW w:w="1021" w:type="dxa"/>
            <w:tcBorders>
              <w:bottom w:val="nil"/>
            </w:tcBorders>
            <w:shd w:val="clear" w:color="auto" w:fill="auto"/>
            <w:hideMark/>
          </w:tcPr>
          <w:p w:rsidR="0092299C" w:rsidRPr="00D02A2E" w:rsidRDefault="0092299C" w:rsidP="0092299C">
            <w:pPr>
              <w:pStyle w:val="ARtablebluebold"/>
            </w:pPr>
          </w:p>
        </w:tc>
        <w:tc>
          <w:tcPr>
            <w:tcW w:w="1021" w:type="dxa"/>
            <w:tcBorders>
              <w:bottom w:val="nil"/>
            </w:tcBorders>
            <w:shd w:val="clear" w:color="auto" w:fill="auto"/>
            <w:hideMark/>
          </w:tcPr>
          <w:p w:rsidR="0092299C" w:rsidRPr="00D02A2E" w:rsidRDefault="0092299C" w:rsidP="0092299C">
            <w:pPr>
              <w:pStyle w:val="ARtablebluebold"/>
            </w:pPr>
            <w:r w:rsidRPr="00D02A2E">
              <w:t> </w:t>
            </w:r>
          </w:p>
        </w:tc>
        <w:tc>
          <w:tcPr>
            <w:tcW w:w="1021" w:type="dxa"/>
            <w:tcBorders>
              <w:bottom w:val="nil"/>
            </w:tcBorders>
            <w:shd w:val="clear" w:color="auto" w:fill="auto"/>
            <w:hideMark/>
          </w:tcPr>
          <w:p w:rsidR="0092299C" w:rsidRPr="00D02A2E" w:rsidRDefault="0092299C" w:rsidP="0092299C">
            <w:pPr>
              <w:pStyle w:val="ARtablebluebold"/>
            </w:pPr>
            <w:r w:rsidRPr="00D02A2E">
              <w:t> </w:t>
            </w:r>
          </w:p>
        </w:tc>
        <w:tc>
          <w:tcPr>
            <w:tcW w:w="1021" w:type="dxa"/>
            <w:tcBorders>
              <w:bottom w:val="nil"/>
            </w:tcBorders>
            <w:shd w:val="clear" w:color="auto" w:fill="auto"/>
            <w:hideMark/>
          </w:tcPr>
          <w:p w:rsidR="0092299C" w:rsidRPr="00D02A2E" w:rsidRDefault="0092299C" w:rsidP="0092299C">
            <w:pPr>
              <w:pStyle w:val="ARtablebluebold"/>
            </w:pPr>
            <w:r w:rsidRPr="00D02A2E">
              <w:t> </w:t>
            </w:r>
          </w:p>
        </w:tc>
        <w:tc>
          <w:tcPr>
            <w:tcW w:w="794" w:type="dxa"/>
            <w:tcBorders>
              <w:bottom w:val="nil"/>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nil"/>
              <w:bottom w:val="nil"/>
            </w:tcBorders>
            <w:shd w:val="clear" w:color="auto" w:fill="auto"/>
            <w:hideMark/>
          </w:tcPr>
          <w:p w:rsidR="0092299C" w:rsidRPr="00D02A2E" w:rsidRDefault="0092299C" w:rsidP="0092299C">
            <w:pPr>
              <w:pStyle w:val="ARtabletext"/>
            </w:pPr>
            <w:r w:rsidRPr="00D02A2E">
              <w:t>Calls to food safety hotlines</w:t>
            </w:r>
          </w:p>
        </w:tc>
        <w:tc>
          <w:tcPr>
            <w:tcW w:w="1021" w:type="dxa"/>
            <w:tcBorders>
              <w:top w:val="nil"/>
              <w:bottom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nil"/>
              <w:bottom w:val="nil"/>
            </w:tcBorders>
            <w:shd w:val="clear" w:color="auto" w:fill="auto"/>
          </w:tcPr>
          <w:p w:rsidR="0092299C" w:rsidRPr="00B72935" w:rsidRDefault="0092299C" w:rsidP="0092299C">
            <w:pPr>
              <w:pStyle w:val="ARtabletextright"/>
            </w:pPr>
            <w:r w:rsidRPr="00B72935">
              <w:t>4,500</w:t>
            </w:r>
          </w:p>
        </w:tc>
        <w:tc>
          <w:tcPr>
            <w:tcW w:w="1021" w:type="dxa"/>
            <w:tcBorders>
              <w:top w:val="nil"/>
              <w:bottom w:val="nil"/>
            </w:tcBorders>
            <w:shd w:val="clear" w:color="auto" w:fill="auto"/>
          </w:tcPr>
          <w:p w:rsidR="0092299C" w:rsidRPr="00B72935" w:rsidRDefault="0092299C" w:rsidP="0092299C">
            <w:pPr>
              <w:pStyle w:val="ARtabletextright"/>
            </w:pPr>
            <w:r w:rsidRPr="00B72935">
              <w:t>4,213</w:t>
            </w:r>
          </w:p>
        </w:tc>
        <w:tc>
          <w:tcPr>
            <w:tcW w:w="1021" w:type="dxa"/>
            <w:tcBorders>
              <w:top w:val="nil"/>
              <w:bottom w:val="nil"/>
            </w:tcBorders>
            <w:shd w:val="clear" w:color="auto" w:fill="auto"/>
          </w:tcPr>
          <w:p w:rsidR="0092299C" w:rsidRPr="00B72935" w:rsidRDefault="00EC4FD8" w:rsidP="0092299C">
            <w:pPr>
              <w:pStyle w:val="ARtabletextright"/>
            </w:pPr>
            <w:r>
              <w:t>–</w:t>
            </w:r>
            <w:r w:rsidR="0092299C" w:rsidRPr="00B72935">
              <w:t>6.4</w:t>
            </w:r>
          </w:p>
        </w:tc>
        <w:tc>
          <w:tcPr>
            <w:tcW w:w="794" w:type="dxa"/>
            <w:tcBorders>
              <w:top w:val="nil"/>
              <w:bottom w:val="nil"/>
            </w:tcBorders>
            <w:shd w:val="clear" w:color="auto" w:fill="auto"/>
            <w:hideMark/>
          </w:tcPr>
          <w:p w:rsidR="0092299C" w:rsidRPr="00B72935"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BFBFBF"/>
            </w:tcBorders>
            <w:shd w:val="clear" w:color="auto" w:fill="auto"/>
            <w:noWrap/>
            <w:hideMark/>
          </w:tcPr>
          <w:p w:rsidR="0092299C" w:rsidRPr="00D02A2E" w:rsidRDefault="0092299C" w:rsidP="0092299C">
            <w:pPr>
              <w:pStyle w:val="ARtablenoteindent"/>
            </w:pPr>
            <w:r w:rsidRPr="00D02A2E">
              <w:t>The result is lower than the target due to the lack of food safety incidents in 20</w:t>
            </w:r>
            <w:r>
              <w:t>16–17</w:t>
            </w:r>
            <w:r w:rsidRPr="00D02A2E">
              <w:t xml:space="preserve"> which resulted in phone calls. This is possibly because of the public’s</w:t>
            </w:r>
            <w:r>
              <w:t xml:space="preserve"> </w:t>
            </w:r>
            <w:r w:rsidRPr="00D02A2E">
              <w:t>preference to send emails and possibly because of new information on the Food Safety Website during 20</w:t>
            </w:r>
            <w:r>
              <w:t>16–17</w:t>
            </w:r>
            <w:r w:rsidRPr="00D02A2E">
              <w:t>, directing the public to answers to their queries and local councils’ details for food complaint investigations.</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Inspections of cooling towers</w:t>
            </w:r>
          </w:p>
        </w:tc>
        <w:tc>
          <w:tcPr>
            <w:tcW w:w="1021" w:type="dxa"/>
            <w:tcBorders>
              <w:top w:val="single" w:sz="4" w:space="0" w:color="BFBFBF"/>
              <w:bottom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1,250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1,710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t>36.8</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BFBFBF"/>
            </w:tcBorders>
            <w:shd w:val="clear" w:color="auto" w:fill="auto"/>
            <w:noWrap/>
            <w:hideMark/>
          </w:tcPr>
          <w:p w:rsidR="0092299C" w:rsidRPr="00D02A2E" w:rsidRDefault="0092299C" w:rsidP="0092299C">
            <w:pPr>
              <w:pStyle w:val="ARtablenoteindent"/>
            </w:pPr>
            <w:r w:rsidRPr="00D02A2E">
              <w:t xml:space="preserve">The result is higher than the target due to a general increase in the number of cases of legionnaire’s disease in the last two quarters and a significant outbreak of disease in the CBD, which has an extremely high concentration of towers. </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Inspections of radiation safety management licences</w:t>
            </w:r>
          </w:p>
        </w:tc>
        <w:tc>
          <w:tcPr>
            <w:tcW w:w="1021" w:type="dxa"/>
            <w:tcBorders>
              <w:top w:val="single" w:sz="4" w:space="0" w:color="BFBFBF"/>
              <w:bottom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480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476</w:t>
            </w:r>
          </w:p>
        </w:tc>
        <w:tc>
          <w:tcPr>
            <w:tcW w:w="1021" w:type="dxa"/>
            <w:tcBorders>
              <w:top w:val="single" w:sz="4" w:space="0" w:color="BFBFBF"/>
              <w:bottom w:val="nil"/>
            </w:tcBorders>
            <w:shd w:val="clear" w:color="auto" w:fill="auto"/>
          </w:tcPr>
          <w:p w:rsidR="0092299C" w:rsidRPr="00D02A2E" w:rsidRDefault="00EC4FD8" w:rsidP="0092299C">
            <w:pPr>
              <w:pStyle w:val="ARtabletextright"/>
            </w:pPr>
            <w:r>
              <w:t>–</w:t>
            </w:r>
            <w:r w:rsidR="0092299C">
              <w:t>0.8</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Number of available HIV rapid test trial appointments used</w:t>
            </w:r>
          </w:p>
        </w:tc>
        <w:tc>
          <w:tcPr>
            <w:tcW w:w="1021" w:type="dxa"/>
            <w:tcBorders>
              <w:top w:val="single" w:sz="4" w:space="0" w:color="BFBFBF"/>
              <w:bottom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2,688</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2,875</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t>7.0</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BFBFBF"/>
            </w:tcBorders>
            <w:shd w:val="clear" w:color="auto" w:fill="auto"/>
          </w:tcPr>
          <w:p w:rsidR="0092299C" w:rsidRPr="00D02A2E" w:rsidRDefault="0092299C" w:rsidP="006C04E4">
            <w:pPr>
              <w:pStyle w:val="ARtablenoteindent"/>
            </w:pPr>
            <w:r w:rsidRPr="00D02A2E">
              <w:t>The result is higher than the target due to continued service growth and growing community accept</w:t>
            </w:r>
            <w:r w:rsidR="006C04E4">
              <w:t>ance</w:t>
            </w:r>
            <w:r w:rsidRPr="00D02A2E">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Number of shade grants funded under the Community Shade Grant Program and the Schools Shade Grant Program</w:t>
            </w:r>
          </w:p>
        </w:tc>
        <w:tc>
          <w:tcPr>
            <w:tcW w:w="1021" w:type="dxa"/>
            <w:tcBorders>
              <w:top w:val="single" w:sz="4" w:space="0" w:color="BFBFBF"/>
              <w:bottom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460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295</w:t>
            </w:r>
          </w:p>
        </w:tc>
        <w:tc>
          <w:tcPr>
            <w:tcW w:w="1021" w:type="dxa"/>
            <w:tcBorders>
              <w:top w:val="single" w:sz="4" w:space="0" w:color="BFBFBF"/>
              <w:bottom w:val="nil"/>
            </w:tcBorders>
            <w:shd w:val="clear" w:color="auto" w:fill="auto"/>
          </w:tcPr>
          <w:p w:rsidR="0092299C" w:rsidRPr="00D02A2E" w:rsidRDefault="00EC4FD8" w:rsidP="0092299C">
            <w:pPr>
              <w:pStyle w:val="ARtabletextright"/>
            </w:pPr>
            <w:r>
              <w:t>–</w:t>
            </w:r>
            <w:r w:rsidR="0092299C">
              <w:t>35.9</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BFBFBF"/>
            </w:tcBorders>
            <w:shd w:val="clear" w:color="auto" w:fill="auto"/>
            <w:noWrap/>
            <w:hideMark/>
          </w:tcPr>
          <w:p w:rsidR="0092299C" w:rsidRPr="00D02A2E" w:rsidRDefault="0092299C" w:rsidP="0092299C">
            <w:pPr>
              <w:pStyle w:val="ARtablenoteindent"/>
            </w:pPr>
            <w:r w:rsidRPr="00D02A2E">
              <w:t>The result is lower than the target due to changes in the cycle of the grant rounds. When the 20</w:t>
            </w:r>
            <w:r>
              <w:t>16–17</w:t>
            </w:r>
            <w:r w:rsidRPr="00D02A2E">
              <w:t xml:space="preserve"> target was set, it was anticipated that three grant rounds would occur in 20</w:t>
            </w:r>
            <w:r>
              <w:t>16–17</w:t>
            </w:r>
            <w:r w:rsidRPr="00D02A2E">
              <w:t xml:space="preserve"> and one grant round in 20</w:t>
            </w:r>
            <w:r>
              <w:t>17–18</w:t>
            </w:r>
            <w:r w:rsidRPr="00D02A2E">
              <w:t>. However, due to a change in the phasing of funds, there were only two grant rounds in 20</w:t>
            </w:r>
            <w:r>
              <w:t>16–17</w:t>
            </w:r>
            <w:r w:rsidRPr="00D02A2E">
              <w:t xml:space="preserve"> and there will now be two grant rounds in 20</w:t>
            </w:r>
            <w:r>
              <w:t>17–18</w:t>
            </w:r>
            <w:r w:rsidRPr="00D02A2E">
              <w:t>. The estimated overall number of grants delivered under the entire program remains the same.</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Persons screened for prevention and early detection of health conditions – breast cancer screening</w:t>
            </w:r>
          </w:p>
        </w:tc>
        <w:tc>
          <w:tcPr>
            <w:tcW w:w="1021" w:type="dxa"/>
            <w:tcBorders>
              <w:top w:val="single" w:sz="4" w:space="0" w:color="BFBFBF"/>
              <w:bottom w:val="single" w:sz="4" w:space="0" w:color="BFBFBF"/>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243,000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253,889</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t>4.5</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Persons screened for prevention and early detection of health conditions – cervical cancer screening</w:t>
            </w:r>
          </w:p>
        </w:tc>
        <w:tc>
          <w:tcPr>
            <w:tcW w:w="1021" w:type="dxa"/>
            <w:tcBorders>
              <w:top w:val="single" w:sz="4" w:space="0" w:color="BFBFBF"/>
              <w:bottom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570,000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t>547,294</w:t>
            </w:r>
          </w:p>
        </w:tc>
        <w:tc>
          <w:tcPr>
            <w:tcW w:w="1021" w:type="dxa"/>
            <w:tcBorders>
              <w:top w:val="single" w:sz="4" w:space="0" w:color="BFBFBF"/>
              <w:bottom w:val="nil"/>
            </w:tcBorders>
            <w:shd w:val="clear" w:color="auto" w:fill="auto"/>
          </w:tcPr>
          <w:p w:rsidR="0092299C" w:rsidRPr="00D02A2E" w:rsidRDefault="00EC4FD8" w:rsidP="0092299C">
            <w:pPr>
              <w:pStyle w:val="ARtabletextright"/>
            </w:pPr>
            <w:r>
              <w:t>–</w:t>
            </w:r>
            <w:r w:rsidR="0092299C">
              <w:t>4.0</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Persons screened for prevention and early detection of health conditions – newborn and maternal serum screening</w:t>
            </w:r>
          </w:p>
        </w:tc>
        <w:tc>
          <w:tcPr>
            <w:tcW w:w="1021" w:type="dxa"/>
            <w:tcBorders>
              <w:top w:val="single" w:sz="4" w:space="0" w:color="BFBFBF"/>
              <w:bottom w:val="single" w:sz="4" w:space="0" w:color="BFBFBF"/>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80,000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79,313</w:t>
            </w:r>
          </w:p>
        </w:tc>
        <w:tc>
          <w:tcPr>
            <w:tcW w:w="1021" w:type="dxa"/>
            <w:tcBorders>
              <w:top w:val="single" w:sz="4" w:space="0" w:color="BFBFBF"/>
              <w:bottom w:val="single" w:sz="4" w:space="0" w:color="BFBFBF"/>
            </w:tcBorders>
            <w:shd w:val="clear" w:color="auto" w:fill="auto"/>
          </w:tcPr>
          <w:p w:rsidR="0092299C" w:rsidRPr="00D02A2E" w:rsidRDefault="00EC4FD8" w:rsidP="0092299C">
            <w:pPr>
              <w:pStyle w:val="ARtabletextright"/>
            </w:pPr>
            <w:r>
              <w:t>–</w:t>
            </w:r>
            <w:r w:rsidR="0092299C">
              <w:t>0.9</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single" w:sz="4" w:space="0" w:color="BFBFBF"/>
              <w:bottom w:val="nil"/>
            </w:tcBorders>
            <w:shd w:val="clear" w:color="auto" w:fill="auto"/>
            <w:hideMark/>
          </w:tcPr>
          <w:p w:rsidR="0092299C" w:rsidRPr="00D02A2E" w:rsidRDefault="0092299C" w:rsidP="0092299C">
            <w:pPr>
              <w:pStyle w:val="ARtabletext"/>
              <w:keepNext/>
            </w:pPr>
            <w:r w:rsidRPr="00D02A2E">
              <w:t>Persons screened for prevention and early detection of health conditions – pulmonary tuberculosis screening</w:t>
            </w:r>
          </w:p>
        </w:tc>
        <w:tc>
          <w:tcPr>
            <w:tcW w:w="1021" w:type="dxa"/>
            <w:tcBorders>
              <w:top w:val="single" w:sz="4" w:space="0" w:color="BFBFBF"/>
              <w:bottom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2,000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1,230</w:t>
            </w:r>
          </w:p>
        </w:tc>
        <w:tc>
          <w:tcPr>
            <w:tcW w:w="1021" w:type="dxa"/>
            <w:tcBorders>
              <w:top w:val="single" w:sz="4" w:space="0" w:color="BFBFBF"/>
              <w:bottom w:val="nil"/>
            </w:tcBorders>
            <w:shd w:val="clear" w:color="auto" w:fill="auto"/>
          </w:tcPr>
          <w:p w:rsidR="0092299C" w:rsidRPr="00D02A2E" w:rsidRDefault="00EC4FD8" w:rsidP="0092299C">
            <w:pPr>
              <w:pStyle w:val="ARtabletextright"/>
            </w:pPr>
            <w:r>
              <w:t>–</w:t>
            </w:r>
            <w:r w:rsidR="0092299C">
              <w:t>38.5</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BFBFBF"/>
            </w:tcBorders>
            <w:shd w:val="clear" w:color="auto" w:fill="auto"/>
            <w:noWrap/>
            <w:hideMark/>
          </w:tcPr>
          <w:p w:rsidR="0092299C" w:rsidRPr="00D02A2E" w:rsidRDefault="0092299C" w:rsidP="0092299C">
            <w:pPr>
              <w:pStyle w:val="ARtablenoteindent"/>
              <w:keepNext/>
            </w:pPr>
            <w:r w:rsidRPr="00D02A2E">
              <w:t>The result is lower than the target due to fluctuations in the number of persons screened each year, which is influenced by several factors, including the number of infectious tuberculosis cases notified each year and the number of large scale screenings required.</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C04681">
            <w:pPr>
              <w:pStyle w:val="ARtablebluebold"/>
              <w:keepNext/>
            </w:pPr>
            <w:r w:rsidRPr="00D02A2E">
              <w:t>Quality</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bottom w:val="nil"/>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nil"/>
              <w:bottom w:val="single" w:sz="4" w:space="0" w:color="BFBFBF"/>
            </w:tcBorders>
            <w:shd w:val="clear" w:color="auto" w:fill="auto"/>
            <w:hideMark/>
          </w:tcPr>
          <w:p w:rsidR="0092299C" w:rsidRPr="00D02A2E" w:rsidRDefault="0092299C" w:rsidP="0092299C">
            <w:pPr>
              <w:pStyle w:val="ARtabletext"/>
            </w:pPr>
            <w:r w:rsidRPr="00D02A2E">
              <w:t>Calls to food safety hotlines that are answered</w:t>
            </w:r>
          </w:p>
        </w:tc>
        <w:tc>
          <w:tcPr>
            <w:tcW w:w="1021" w:type="dxa"/>
            <w:tcBorders>
              <w:top w:val="nil"/>
              <w:bottom w:val="single" w:sz="4" w:space="0" w:color="BFBFBF"/>
            </w:tcBorders>
            <w:shd w:val="clear" w:color="auto" w:fill="auto"/>
            <w:hideMark/>
          </w:tcPr>
          <w:p w:rsidR="0092299C" w:rsidRPr="00D02A2E" w:rsidRDefault="0092299C" w:rsidP="00D56197">
            <w:pPr>
              <w:pStyle w:val="ARtabletext"/>
              <w:jc w:val="center"/>
            </w:pPr>
            <w:r w:rsidRPr="00D02A2E">
              <w:t>per cent</w:t>
            </w:r>
          </w:p>
        </w:tc>
        <w:tc>
          <w:tcPr>
            <w:tcW w:w="1021" w:type="dxa"/>
            <w:tcBorders>
              <w:top w:val="nil"/>
              <w:bottom w:val="single" w:sz="4" w:space="0" w:color="BFBFBF"/>
            </w:tcBorders>
            <w:shd w:val="clear" w:color="auto" w:fill="auto"/>
            <w:hideMark/>
          </w:tcPr>
          <w:p w:rsidR="0092299C" w:rsidRPr="00D02A2E" w:rsidRDefault="0092299C" w:rsidP="0092299C">
            <w:pPr>
              <w:pStyle w:val="ARtabletextright"/>
            </w:pPr>
            <w:r w:rsidRPr="00D02A2E">
              <w:t>97</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rsidRPr="00D02A2E">
              <w:t>99</w:t>
            </w:r>
            <w:r w:rsidR="004C2C15">
              <w:t>.0</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t>2.1</w:t>
            </w:r>
          </w:p>
        </w:tc>
        <w:tc>
          <w:tcPr>
            <w:tcW w:w="794" w:type="dxa"/>
            <w:tcBorders>
              <w:top w:val="nil"/>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lastRenderedPageBreak/>
              <w:t xml:space="preserve">Immunisation coverage: adolescent (Year 7) students fully immunised for </w:t>
            </w:r>
            <w:proofErr w:type="spellStart"/>
            <w:r w:rsidRPr="00D02A2E">
              <w:t>DTPa</w:t>
            </w:r>
            <w:proofErr w:type="spellEnd"/>
            <w:r w:rsidRPr="00D02A2E">
              <w:t xml:space="preserve"> (diphtheria, tetanus and pertussis)</w:t>
            </w:r>
          </w:p>
        </w:tc>
        <w:tc>
          <w:tcPr>
            <w:tcW w:w="1021" w:type="dxa"/>
            <w:tcBorders>
              <w:top w:val="single" w:sz="4" w:space="0" w:color="BFBFBF"/>
              <w:bottom w:val="nil"/>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nil"/>
            </w:tcBorders>
            <w:shd w:val="clear" w:color="auto" w:fill="auto"/>
            <w:hideMark/>
          </w:tcPr>
          <w:p w:rsidR="0092299C" w:rsidRPr="00D02A2E" w:rsidRDefault="0092299C" w:rsidP="0092299C">
            <w:pPr>
              <w:pStyle w:val="ARtabletextright"/>
            </w:pPr>
            <w:r w:rsidRPr="00D02A2E">
              <w:t>80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89</w:t>
            </w:r>
            <w:r w:rsidR="004C2C15">
              <w:t>.0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t>11.3</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794" w:type="dxa"/>
            <w:gridSpan w:val="6"/>
            <w:tcBorders>
              <w:top w:val="nil"/>
              <w:bottom w:val="nil"/>
            </w:tcBorders>
            <w:shd w:val="clear" w:color="auto" w:fill="auto"/>
          </w:tcPr>
          <w:p w:rsidR="0092299C" w:rsidRPr="00D02A2E" w:rsidRDefault="0092299C" w:rsidP="0092299C">
            <w:pPr>
              <w:pStyle w:val="ARtablenoteindent"/>
            </w:pPr>
            <w:r w:rsidRPr="00D02A2E">
              <w:t>The result is higher than the target due to the marked increase in adolescent vaccination coverage rates since moving from Year 10 to Year 7 in 2015.</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Immunisation coverage: at school entry</w:t>
            </w:r>
          </w:p>
        </w:tc>
        <w:tc>
          <w:tcPr>
            <w:tcW w:w="1021" w:type="dxa"/>
            <w:tcBorders>
              <w:top w:val="single" w:sz="4" w:space="0" w:color="BFBFBF"/>
              <w:bottom w:val="single" w:sz="4" w:space="0" w:color="BFBFBF"/>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95</w:t>
            </w:r>
          </w:p>
        </w:tc>
        <w:tc>
          <w:tcPr>
            <w:tcW w:w="1021" w:type="dxa"/>
            <w:tcBorders>
              <w:top w:val="single" w:sz="4" w:space="0" w:color="BFBFBF"/>
              <w:bottom w:val="single" w:sz="4" w:space="0" w:color="BFBFBF"/>
            </w:tcBorders>
            <w:shd w:val="clear" w:color="auto" w:fill="auto"/>
          </w:tcPr>
          <w:p w:rsidR="0092299C" w:rsidRPr="001F2E2D" w:rsidRDefault="0092299C" w:rsidP="0092299C">
            <w:pPr>
              <w:pStyle w:val="ARtabletextright"/>
            </w:pPr>
            <w:r w:rsidRPr="001F2E2D">
              <w:t>94</w:t>
            </w:r>
            <w:r w:rsidR="0089740C" w:rsidRPr="001F2E2D">
              <w:t>.1</w:t>
            </w:r>
          </w:p>
        </w:tc>
        <w:tc>
          <w:tcPr>
            <w:tcW w:w="1021" w:type="dxa"/>
            <w:tcBorders>
              <w:top w:val="single" w:sz="4" w:space="0" w:color="BFBFBF"/>
              <w:bottom w:val="single" w:sz="4" w:space="0" w:color="BFBFBF"/>
            </w:tcBorders>
            <w:shd w:val="clear" w:color="auto" w:fill="auto"/>
          </w:tcPr>
          <w:p w:rsidR="0092299C" w:rsidRPr="00D02A2E" w:rsidRDefault="00EC4FD8" w:rsidP="0092299C">
            <w:pPr>
              <w:pStyle w:val="ARtabletextright"/>
            </w:pPr>
            <w:r>
              <w:t>–</w:t>
            </w:r>
            <w:r w:rsidR="0092299C">
              <w:t>1.0</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Immunisation coverage: at two years of age</w:t>
            </w:r>
          </w:p>
        </w:tc>
        <w:tc>
          <w:tcPr>
            <w:tcW w:w="1021" w:type="dxa"/>
            <w:tcBorders>
              <w:top w:val="single" w:sz="4" w:space="0" w:color="BFBFBF"/>
              <w:bottom w:val="nil"/>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95</w:t>
            </w:r>
          </w:p>
        </w:tc>
        <w:tc>
          <w:tcPr>
            <w:tcW w:w="1021" w:type="dxa"/>
            <w:tcBorders>
              <w:top w:val="single" w:sz="4" w:space="0" w:color="BFBFBF"/>
              <w:bottom w:val="nil"/>
            </w:tcBorders>
            <w:shd w:val="clear" w:color="auto" w:fill="auto"/>
          </w:tcPr>
          <w:p w:rsidR="0092299C" w:rsidRPr="001F2E2D" w:rsidRDefault="0092299C" w:rsidP="0092299C">
            <w:pPr>
              <w:pStyle w:val="ARtabletextright"/>
            </w:pPr>
            <w:r w:rsidRPr="001F2E2D">
              <w:t>91</w:t>
            </w:r>
            <w:r w:rsidR="0089740C" w:rsidRPr="001F2E2D">
              <w:t>.5</w:t>
            </w:r>
          </w:p>
        </w:tc>
        <w:tc>
          <w:tcPr>
            <w:tcW w:w="1021" w:type="dxa"/>
            <w:tcBorders>
              <w:top w:val="single" w:sz="4" w:space="0" w:color="BFBFBF"/>
              <w:bottom w:val="nil"/>
            </w:tcBorders>
            <w:shd w:val="clear" w:color="auto" w:fill="auto"/>
          </w:tcPr>
          <w:p w:rsidR="0092299C" w:rsidRPr="00D02A2E" w:rsidRDefault="00EC4FD8" w:rsidP="0092299C">
            <w:pPr>
              <w:pStyle w:val="ARtabletextright"/>
            </w:pPr>
            <w:r>
              <w:t>–</w:t>
            </w:r>
            <w:r w:rsidR="0092299C">
              <w:t>3.7</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Public Health emergency response calls dealt with within designated plans and procedure timelines</w:t>
            </w:r>
          </w:p>
        </w:tc>
        <w:tc>
          <w:tcPr>
            <w:tcW w:w="1021" w:type="dxa"/>
            <w:tcBorders>
              <w:top w:val="single" w:sz="4" w:space="0" w:color="BFBFBF"/>
              <w:bottom w:val="single" w:sz="4" w:space="0" w:color="BFBFBF"/>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0.0</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bottom w:val="nil"/>
            </w:tcBorders>
            <w:shd w:val="clear" w:color="auto" w:fill="auto"/>
            <w:hideMark/>
          </w:tcPr>
          <w:p w:rsidR="0092299C" w:rsidRPr="00D02A2E" w:rsidRDefault="0092299C" w:rsidP="00D56197">
            <w:pPr>
              <w:spacing w:before="80" w:after="60"/>
              <w:jc w:val="center"/>
              <w:rPr>
                <w:rFonts w:eastAsia="Times" w:cs="Arial"/>
                <w:b/>
                <w:i/>
                <w:color w:val="004C97"/>
                <w:sz w:val="18"/>
                <w:szCs w:val="18"/>
                <w:lang w:eastAsia="en-AU"/>
              </w:rPr>
            </w:pPr>
          </w:p>
        </w:tc>
        <w:tc>
          <w:tcPr>
            <w:tcW w:w="1021" w:type="dxa"/>
            <w:tcBorders>
              <w:top w:val="single" w:sz="4" w:space="0" w:color="BFBFBF"/>
              <w:bottom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bottom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bottom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BFBFBF"/>
              <w:bottom w:val="nil"/>
            </w:tcBorders>
            <w:shd w:val="clear" w:color="auto" w:fill="auto"/>
            <w:hideMark/>
          </w:tcPr>
          <w:p w:rsidR="0092299C" w:rsidRPr="00D02A2E" w:rsidRDefault="0092299C" w:rsidP="0092299C">
            <w:pPr>
              <w:spacing w:before="80" w:after="60"/>
              <w:rPr>
                <w:rFonts w:eastAsia="Times" w:cs="Arial"/>
                <w:b/>
                <w:i/>
                <w:color w:val="004C97"/>
                <w:sz w:val="18"/>
                <w:szCs w:val="18"/>
                <w:lang w:eastAsia="en-AU"/>
              </w:rPr>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nil"/>
              <w:bottom w:val="single" w:sz="4" w:space="0" w:color="BFBFBF"/>
            </w:tcBorders>
            <w:shd w:val="clear" w:color="auto" w:fill="auto"/>
            <w:hideMark/>
          </w:tcPr>
          <w:p w:rsidR="0092299C" w:rsidRPr="00D02A2E" w:rsidRDefault="0092299C" w:rsidP="0092299C">
            <w:pPr>
              <w:pStyle w:val="ARtabletext"/>
            </w:pPr>
            <w:r w:rsidRPr="00D02A2E">
              <w:t>Average time taken from notification of a food complaint to commencement of appropriate action</w:t>
            </w:r>
          </w:p>
        </w:tc>
        <w:tc>
          <w:tcPr>
            <w:tcW w:w="1021" w:type="dxa"/>
            <w:tcBorders>
              <w:top w:val="nil"/>
              <w:bottom w:val="single" w:sz="4" w:space="0" w:color="BFBFBF"/>
            </w:tcBorders>
            <w:shd w:val="clear" w:color="auto" w:fill="auto"/>
            <w:hideMark/>
          </w:tcPr>
          <w:p w:rsidR="0092299C" w:rsidRPr="00D02A2E" w:rsidRDefault="0092299C" w:rsidP="00D56197">
            <w:pPr>
              <w:pStyle w:val="ARtabletext"/>
              <w:jc w:val="center"/>
            </w:pPr>
            <w:r w:rsidRPr="00D02A2E">
              <w:t>hours</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rsidRPr="00D02A2E">
              <w:t>24</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rsidRPr="00D02A2E">
              <w:t>24</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t>0.0</w:t>
            </w:r>
          </w:p>
        </w:tc>
        <w:tc>
          <w:tcPr>
            <w:tcW w:w="794" w:type="dxa"/>
            <w:tcBorders>
              <w:top w:val="nil"/>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Infectious disease outbreaks responded to within 24 hours</w:t>
            </w:r>
          </w:p>
        </w:tc>
        <w:tc>
          <w:tcPr>
            <w:tcW w:w="1021" w:type="dxa"/>
            <w:tcBorders>
              <w:top w:val="single" w:sz="4" w:space="0" w:color="BFBFBF"/>
              <w:bottom w:val="single" w:sz="4" w:space="0" w:color="BFBFBF"/>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Target population screened within specified timeframe for breast cancer</w:t>
            </w:r>
          </w:p>
        </w:tc>
        <w:tc>
          <w:tcPr>
            <w:tcW w:w="1021" w:type="dxa"/>
            <w:tcBorders>
              <w:top w:val="single" w:sz="4" w:space="0" w:color="BFBFBF"/>
              <w:bottom w:val="single" w:sz="4" w:space="0" w:color="BFBFBF"/>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single" w:sz="4" w:space="0" w:color="BFBFBF"/>
            </w:tcBorders>
            <w:shd w:val="clear" w:color="auto" w:fill="auto"/>
            <w:hideMark/>
          </w:tcPr>
          <w:p w:rsidR="0092299C" w:rsidRPr="00D02A2E" w:rsidRDefault="0092299C" w:rsidP="0092299C">
            <w:pPr>
              <w:pStyle w:val="ARtabletextright"/>
            </w:pPr>
            <w:r w:rsidRPr="00D02A2E">
              <w:t>54</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pPr>
            <w:r>
              <w:t>53.7</w:t>
            </w:r>
          </w:p>
        </w:tc>
        <w:tc>
          <w:tcPr>
            <w:tcW w:w="1021" w:type="dxa"/>
            <w:tcBorders>
              <w:top w:val="single" w:sz="4" w:space="0" w:color="BFBFBF"/>
              <w:bottom w:val="single" w:sz="4" w:space="0" w:color="BFBFBF"/>
            </w:tcBorders>
            <w:shd w:val="clear" w:color="auto" w:fill="auto"/>
          </w:tcPr>
          <w:p w:rsidR="0092299C" w:rsidRPr="00D02A2E" w:rsidRDefault="00EC4FD8" w:rsidP="0092299C">
            <w:pPr>
              <w:pStyle w:val="ARtabletextright"/>
            </w:pPr>
            <w:r>
              <w:t>–</w:t>
            </w:r>
            <w:r w:rsidR="0092299C">
              <w:t>0.6</w:t>
            </w:r>
          </w:p>
        </w:tc>
        <w:tc>
          <w:tcPr>
            <w:tcW w:w="794" w:type="dxa"/>
            <w:tcBorders>
              <w:top w:val="single" w:sz="4" w:space="0" w:color="BFBFBF"/>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Target population screened within specified timeframe for cervical cancer</w:t>
            </w:r>
          </w:p>
        </w:tc>
        <w:tc>
          <w:tcPr>
            <w:tcW w:w="1021" w:type="dxa"/>
            <w:tcBorders>
              <w:top w:val="single" w:sz="4" w:space="0" w:color="BFBFBF"/>
              <w:bottom w:val="nil"/>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62</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t>58.7</w:t>
            </w:r>
          </w:p>
        </w:tc>
        <w:tc>
          <w:tcPr>
            <w:tcW w:w="1021" w:type="dxa"/>
            <w:tcBorders>
              <w:top w:val="single" w:sz="4" w:space="0" w:color="BFBFBF"/>
              <w:bottom w:val="nil"/>
            </w:tcBorders>
            <w:shd w:val="clear" w:color="auto" w:fill="auto"/>
          </w:tcPr>
          <w:p w:rsidR="0092299C" w:rsidRPr="00D02A2E" w:rsidRDefault="00EC4FD8" w:rsidP="0092299C">
            <w:pPr>
              <w:pStyle w:val="ARtabletextright"/>
            </w:pPr>
            <w:r>
              <w:t>–</w:t>
            </w:r>
            <w:r w:rsidR="0092299C">
              <w:t>5.3</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BFBFBF"/>
            </w:tcBorders>
            <w:shd w:val="clear" w:color="auto" w:fill="auto"/>
          </w:tcPr>
          <w:p w:rsidR="0092299C" w:rsidRPr="00464211" w:rsidRDefault="0092299C" w:rsidP="00AE5701">
            <w:pPr>
              <w:pStyle w:val="ARtablenoteindent"/>
              <w:rPr>
                <w:rFonts w:ascii="Helv" w:hAnsi="Helv"/>
                <w:color w:val="000000"/>
                <w:sz w:val="20"/>
              </w:rPr>
            </w:pPr>
            <w:r w:rsidRPr="00BF2965">
              <w:t>Recently released data</w:t>
            </w:r>
            <w:r>
              <w:t>, based on</w:t>
            </w:r>
            <w:r w:rsidR="00AE5701">
              <w:t xml:space="preserve"> the two-</w:t>
            </w:r>
            <w:r w:rsidRPr="00BF2965">
              <w:t>year calendar period of 1 Jan 2015 to 31 Dec 2016</w:t>
            </w:r>
            <w:r>
              <w:t>,</w:t>
            </w:r>
            <w:r w:rsidRPr="00BF2965">
              <w:t xml:space="preserve"> shows the participation rate has continued to decline</w:t>
            </w:r>
            <w:r w:rsidR="00AE5701">
              <w:t>.</w:t>
            </w:r>
            <w:r w:rsidRPr="00BF2965">
              <w:t xml:space="preserve"> This decline is believed to be associated with the changes to the national cervical cancer screening program</w:t>
            </w:r>
            <w:r>
              <w:t>, including</w:t>
            </w:r>
            <w:r w:rsidRPr="00BF2965">
              <w:t xml:space="preserve"> an increase in the recommended screening interval from </w:t>
            </w:r>
            <w:r>
              <w:t>two</w:t>
            </w:r>
            <w:r w:rsidRPr="00BF2965">
              <w:t xml:space="preserve"> years to five years. It is believed that women are delaying screening until the new program is implemented on 1 December 2017, impacting on current </w:t>
            </w:r>
            <w:r>
              <w:t>two</w:t>
            </w:r>
            <w:r w:rsidR="00AE5701">
              <w:t>-</w:t>
            </w:r>
            <w:r w:rsidRPr="00BF2965">
              <w:t>year screening participation.</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bottom w:val="nil"/>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nil"/>
              <w:bottom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bottom w:val="nil"/>
            </w:tcBorders>
            <w:shd w:val="clear" w:color="auto" w:fill="auto"/>
            <w:hideMark/>
          </w:tcPr>
          <w:p w:rsidR="0092299C" w:rsidRPr="00D02A2E" w:rsidRDefault="0092299C" w:rsidP="00D56197">
            <w:pPr>
              <w:pStyle w:val="ARtabletextbold"/>
              <w:jc w:val="center"/>
            </w:pPr>
            <w:r w:rsidRPr="00D02A2E">
              <w:t>$ million</w:t>
            </w:r>
          </w:p>
        </w:tc>
        <w:tc>
          <w:tcPr>
            <w:tcW w:w="1021" w:type="dxa"/>
            <w:tcBorders>
              <w:top w:val="nil"/>
              <w:bottom w:val="nil"/>
            </w:tcBorders>
            <w:shd w:val="clear" w:color="auto" w:fill="auto"/>
          </w:tcPr>
          <w:p w:rsidR="0092299C" w:rsidRPr="00B72935" w:rsidRDefault="0092299C" w:rsidP="0092299C">
            <w:pPr>
              <w:pStyle w:val="ARtabletextright"/>
              <w:rPr>
                <w:b/>
                <w:bCs/>
              </w:rPr>
            </w:pPr>
            <w:r w:rsidRPr="00B72935">
              <w:rPr>
                <w:b/>
                <w:bCs/>
              </w:rPr>
              <w:t>258.6</w:t>
            </w:r>
          </w:p>
        </w:tc>
        <w:tc>
          <w:tcPr>
            <w:tcW w:w="1021" w:type="dxa"/>
            <w:tcBorders>
              <w:top w:val="nil"/>
              <w:bottom w:val="nil"/>
            </w:tcBorders>
            <w:shd w:val="clear" w:color="auto" w:fill="auto"/>
          </w:tcPr>
          <w:p w:rsidR="0092299C" w:rsidRPr="00B72935" w:rsidRDefault="0092299C" w:rsidP="0092299C">
            <w:pPr>
              <w:pStyle w:val="ARtabletextright"/>
              <w:rPr>
                <w:b/>
                <w:bCs/>
              </w:rPr>
            </w:pPr>
            <w:r w:rsidRPr="00B72935">
              <w:rPr>
                <w:b/>
                <w:bCs/>
              </w:rPr>
              <w:t>241.6</w:t>
            </w:r>
          </w:p>
        </w:tc>
        <w:tc>
          <w:tcPr>
            <w:tcW w:w="1021" w:type="dxa"/>
            <w:tcBorders>
              <w:top w:val="nil"/>
              <w:bottom w:val="nil"/>
            </w:tcBorders>
            <w:shd w:val="clear" w:color="auto" w:fill="auto"/>
          </w:tcPr>
          <w:p w:rsidR="0092299C" w:rsidRPr="00B72935" w:rsidRDefault="00EC4FD8" w:rsidP="0092299C">
            <w:pPr>
              <w:pStyle w:val="ARtabletextright"/>
              <w:rPr>
                <w:b/>
                <w:bCs/>
              </w:rPr>
            </w:pPr>
            <w:r>
              <w:rPr>
                <w:b/>
                <w:bCs/>
              </w:rPr>
              <w:t>–</w:t>
            </w:r>
            <w:r w:rsidR="0092299C" w:rsidRPr="00B72935">
              <w:rPr>
                <w:b/>
                <w:bCs/>
              </w:rPr>
              <w:t>6.6</w:t>
            </w:r>
          </w:p>
        </w:tc>
        <w:tc>
          <w:tcPr>
            <w:tcW w:w="794" w:type="dxa"/>
            <w:tcBorders>
              <w:top w:val="nil"/>
              <w:bottom w:val="nil"/>
            </w:tcBorders>
            <w:shd w:val="clear" w:color="auto" w:fill="auto"/>
            <w:hideMark/>
          </w:tcPr>
          <w:p w:rsidR="0092299C" w:rsidRPr="00B72935" w:rsidRDefault="0092299C" w:rsidP="0092299C">
            <w:pPr>
              <w:pStyle w:val="ARtabletextright"/>
              <w:rPr>
                <w:b/>
                <w:bCs/>
              </w:rPr>
            </w:pP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tcBorders>
            <w:shd w:val="clear" w:color="auto" w:fill="auto"/>
          </w:tcPr>
          <w:p w:rsidR="0092299C" w:rsidRPr="00D02A2E" w:rsidRDefault="0092299C" w:rsidP="0092299C">
            <w:pPr>
              <w:pStyle w:val="ARtablenoteindent"/>
            </w:pPr>
            <w:r w:rsidRPr="0031742B">
              <w:t>The 20</w:t>
            </w:r>
            <w:r>
              <w:t>16–17</w:t>
            </w:r>
            <w:r w:rsidRPr="0031742B">
              <w:t xml:space="preserve"> actual outcome primarily reflects funding requested to be carried over into 20</w:t>
            </w:r>
            <w:r>
              <w:t>17–18</w:t>
            </w:r>
            <w:r w:rsidRPr="0031742B">
              <w:t xml:space="preserve">. This was partially offset by increase in expenditure related to the September </w:t>
            </w:r>
            <w:r>
              <w:t>f</w:t>
            </w:r>
            <w:r w:rsidRPr="0031742B">
              <w:t xml:space="preserve">loods and </w:t>
            </w:r>
            <w:r>
              <w:t>m</w:t>
            </w:r>
            <w:r w:rsidRPr="0031742B">
              <w:t>eningococcal W vaccine.</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nil"/>
              <w:bottom w:val="single" w:sz="4" w:space="0" w:color="auto"/>
            </w:tcBorders>
            <w:shd w:val="clear" w:color="auto" w:fill="auto"/>
            <w:hideMark/>
          </w:tcPr>
          <w:p w:rsidR="0092299C" w:rsidRPr="00D02A2E" w:rsidRDefault="0092299C" w:rsidP="0092299C">
            <w:pPr>
              <w:pStyle w:val="ARtablebluebold"/>
            </w:pPr>
            <w:r w:rsidRPr="00D02A2E">
              <w:t xml:space="preserve">Health Advancement </w:t>
            </w: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r w:rsidRPr="00D02A2E">
              <w:t> </w:t>
            </w:r>
          </w:p>
        </w:tc>
        <w:tc>
          <w:tcPr>
            <w:tcW w:w="794" w:type="dxa"/>
            <w:tcBorders>
              <w:top w:val="nil"/>
              <w:bottom w:val="single" w:sz="4" w:space="0" w:color="auto"/>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auto"/>
              <w:bottom w:val="nil"/>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auto"/>
              <w:bottom w:val="nil"/>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nil"/>
              <w:bottom w:val="nil"/>
            </w:tcBorders>
            <w:shd w:val="clear" w:color="auto" w:fill="auto"/>
            <w:hideMark/>
          </w:tcPr>
          <w:p w:rsidR="0092299C" w:rsidRPr="00D02A2E" w:rsidRDefault="0092299C" w:rsidP="0092299C">
            <w:pPr>
              <w:pStyle w:val="ARtabletext"/>
            </w:pPr>
            <w:r w:rsidRPr="00D02A2E">
              <w:t>Persons completing the Life! – Diabetes and Cardiovascular Disease Prevention program</w:t>
            </w:r>
          </w:p>
        </w:tc>
        <w:tc>
          <w:tcPr>
            <w:tcW w:w="1021" w:type="dxa"/>
            <w:tcBorders>
              <w:top w:val="nil"/>
              <w:bottom w:val="nil"/>
            </w:tcBorders>
            <w:shd w:val="clear" w:color="auto" w:fill="auto"/>
            <w:hideMark/>
          </w:tcPr>
          <w:p w:rsidR="0092299C" w:rsidRPr="00D02A2E" w:rsidRDefault="0092299C" w:rsidP="00D56197">
            <w:pPr>
              <w:pStyle w:val="ARtabletext"/>
              <w:jc w:val="center"/>
            </w:pPr>
            <w:r w:rsidRPr="00D02A2E">
              <w:t>number</w:t>
            </w:r>
          </w:p>
        </w:tc>
        <w:tc>
          <w:tcPr>
            <w:tcW w:w="1021" w:type="dxa"/>
            <w:tcBorders>
              <w:top w:val="nil"/>
              <w:bottom w:val="nil"/>
            </w:tcBorders>
            <w:shd w:val="clear" w:color="auto" w:fill="auto"/>
          </w:tcPr>
          <w:p w:rsidR="0092299C" w:rsidRPr="00D02A2E" w:rsidRDefault="0092299C" w:rsidP="0092299C">
            <w:pPr>
              <w:pStyle w:val="ARtabletextright"/>
            </w:pPr>
            <w:r w:rsidRPr="00D02A2E">
              <w:t>5,616</w:t>
            </w:r>
          </w:p>
        </w:tc>
        <w:tc>
          <w:tcPr>
            <w:tcW w:w="1021" w:type="dxa"/>
            <w:tcBorders>
              <w:top w:val="nil"/>
              <w:bottom w:val="nil"/>
            </w:tcBorders>
            <w:shd w:val="clear" w:color="auto" w:fill="auto"/>
          </w:tcPr>
          <w:p w:rsidR="0092299C" w:rsidRPr="00D02A2E" w:rsidRDefault="0092299C" w:rsidP="0092299C">
            <w:pPr>
              <w:pStyle w:val="ARtabletextright"/>
            </w:pPr>
            <w:r w:rsidRPr="00D02A2E">
              <w:t>5,199</w:t>
            </w:r>
          </w:p>
        </w:tc>
        <w:tc>
          <w:tcPr>
            <w:tcW w:w="1021" w:type="dxa"/>
            <w:tcBorders>
              <w:top w:val="nil"/>
              <w:bottom w:val="nil"/>
            </w:tcBorders>
            <w:shd w:val="clear" w:color="auto" w:fill="auto"/>
          </w:tcPr>
          <w:p w:rsidR="0092299C" w:rsidRPr="00D02A2E" w:rsidRDefault="00EC4FD8" w:rsidP="0092299C">
            <w:pPr>
              <w:pStyle w:val="ARtabletextright"/>
            </w:pPr>
            <w:r>
              <w:t>–</w:t>
            </w:r>
            <w:r w:rsidR="0092299C">
              <w:t>7.4</w:t>
            </w:r>
          </w:p>
        </w:tc>
        <w:tc>
          <w:tcPr>
            <w:tcW w:w="794" w:type="dxa"/>
            <w:tcBorders>
              <w:top w:val="nil"/>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794" w:type="dxa"/>
            <w:gridSpan w:val="6"/>
            <w:tcBorders>
              <w:top w:val="nil"/>
              <w:bottom w:val="single" w:sz="4" w:space="0" w:color="BFBFBF"/>
            </w:tcBorders>
            <w:shd w:val="clear" w:color="auto" w:fill="auto"/>
          </w:tcPr>
          <w:p w:rsidR="0092299C" w:rsidRPr="00D02A2E" w:rsidRDefault="0092299C" w:rsidP="0092299C">
            <w:pPr>
              <w:pStyle w:val="ARtablenoteindent"/>
            </w:pPr>
            <w:r w:rsidRPr="00D02A2E">
              <w:t xml:space="preserve">The result is lower than the target due to significant shortfalls in </w:t>
            </w:r>
            <w:r>
              <w:t>q</w:t>
            </w:r>
            <w:r w:rsidRPr="00D02A2E">
              <w:t>uarters 1 and 3 in 20</w:t>
            </w:r>
            <w:r>
              <w:t>16–17</w:t>
            </w:r>
            <w:r w:rsidRPr="00D02A2E">
              <w:t>. The department is working with Diabetes Victoria on strategies to increase program uptake.</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text"/>
            </w:pPr>
            <w:r w:rsidRPr="00D02A2E">
              <w:t xml:space="preserve">Workplaces and pubs and clubs complying with </w:t>
            </w:r>
            <w:r w:rsidR="00EC4FD8">
              <w:br/>
            </w:r>
            <w:r w:rsidRPr="00D02A2E">
              <w:t>smoke</w:t>
            </w:r>
            <w:r>
              <w:t>-</w:t>
            </w:r>
            <w:r w:rsidRPr="00D02A2E">
              <w:t>free environment laws</w:t>
            </w:r>
          </w:p>
        </w:tc>
        <w:tc>
          <w:tcPr>
            <w:tcW w:w="1021" w:type="dxa"/>
            <w:tcBorders>
              <w:top w:val="single" w:sz="4" w:space="0" w:color="BFBFBF"/>
              <w:bottom w:val="nil"/>
            </w:tcBorders>
            <w:shd w:val="clear" w:color="auto" w:fill="auto"/>
            <w:hideMark/>
          </w:tcPr>
          <w:p w:rsidR="0092299C" w:rsidRPr="00D02A2E" w:rsidRDefault="0092299C" w:rsidP="00D56197">
            <w:pPr>
              <w:pStyle w:val="ARtabletext"/>
              <w:jc w:val="center"/>
            </w:pPr>
            <w:r w:rsidRPr="00D02A2E">
              <w:t>per cent</w:t>
            </w:r>
          </w:p>
        </w:tc>
        <w:tc>
          <w:tcPr>
            <w:tcW w:w="1021" w:type="dxa"/>
            <w:tcBorders>
              <w:top w:val="single" w:sz="4" w:space="0" w:color="BFBFBF"/>
              <w:bottom w:val="nil"/>
            </w:tcBorders>
            <w:shd w:val="clear" w:color="auto" w:fill="auto"/>
            <w:hideMark/>
          </w:tcPr>
          <w:p w:rsidR="0092299C" w:rsidRPr="00D02A2E" w:rsidRDefault="0092299C" w:rsidP="0092299C">
            <w:pPr>
              <w:pStyle w:val="ARtabletextright"/>
            </w:pPr>
            <w:r w:rsidRPr="00D02A2E">
              <w:t>99</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rsidRPr="00D02A2E">
              <w:t>99</w:t>
            </w:r>
            <w:r w:rsidR="004C2C15">
              <w:t>.0</w:t>
            </w:r>
          </w:p>
        </w:tc>
        <w:tc>
          <w:tcPr>
            <w:tcW w:w="1021" w:type="dxa"/>
            <w:tcBorders>
              <w:top w:val="single" w:sz="4" w:space="0" w:color="BFBFBF"/>
              <w:bottom w:val="nil"/>
            </w:tcBorders>
            <w:shd w:val="clear" w:color="auto" w:fill="auto"/>
          </w:tcPr>
          <w:p w:rsidR="0092299C" w:rsidRPr="00D02A2E" w:rsidRDefault="0092299C" w:rsidP="0092299C">
            <w:pPr>
              <w:pStyle w:val="ARtabletextright"/>
            </w:pPr>
            <w:r>
              <w:t>0.0</w:t>
            </w:r>
          </w:p>
        </w:tc>
        <w:tc>
          <w:tcPr>
            <w:tcW w:w="794" w:type="dxa"/>
            <w:tcBorders>
              <w:top w:val="single" w:sz="4" w:space="0" w:color="BFBFBF"/>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bottom w:val="nil"/>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480"/>
        </w:trPr>
        <w:tc>
          <w:tcPr>
            <w:tcW w:w="4763" w:type="dxa"/>
            <w:tcBorders>
              <w:top w:val="nil"/>
              <w:bottom w:val="nil"/>
            </w:tcBorders>
            <w:shd w:val="clear" w:color="auto" w:fill="auto"/>
            <w:hideMark/>
          </w:tcPr>
          <w:p w:rsidR="0092299C" w:rsidRPr="00D02A2E" w:rsidRDefault="0092299C" w:rsidP="0092299C">
            <w:pPr>
              <w:pStyle w:val="ARtabletext"/>
            </w:pPr>
            <w:r w:rsidRPr="00D02A2E">
              <w:t>Local government authorities with municipal public health and wellbeing plans</w:t>
            </w:r>
          </w:p>
        </w:tc>
        <w:tc>
          <w:tcPr>
            <w:tcW w:w="1021" w:type="dxa"/>
            <w:tcBorders>
              <w:top w:val="nil"/>
              <w:bottom w:val="nil"/>
            </w:tcBorders>
            <w:shd w:val="clear" w:color="auto" w:fill="auto"/>
            <w:hideMark/>
          </w:tcPr>
          <w:p w:rsidR="0092299C" w:rsidRPr="00D02A2E" w:rsidRDefault="0092299C" w:rsidP="00D56197">
            <w:pPr>
              <w:pStyle w:val="ARtabletext"/>
              <w:jc w:val="center"/>
            </w:pPr>
            <w:r w:rsidRPr="00D02A2E">
              <w:t>per cent</w:t>
            </w:r>
          </w:p>
        </w:tc>
        <w:tc>
          <w:tcPr>
            <w:tcW w:w="1021" w:type="dxa"/>
            <w:tcBorders>
              <w:top w:val="nil"/>
              <w:bottom w:val="nil"/>
            </w:tcBorders>
            <w:shd w:val="clear" w:color="auto" w:fill="auto"/>
            <w:hideMark/>
          </w:tcPr>
          <w:p w:rsidR="0092299C" w:rsidRPr="00D02A2E" w:rsidRDefault="0092299C" w:rsidP="0092299C">
            <w:pPr>
              <w:pStyle w:val="ARtabletextright"/>
            </w:pPr>
            <w:r w:rsidRPr="00D02A2E">
              <w:t>100</w:t>
            </w:r>
          </w:p>
        </w:tc>
        <w:tc>
          <w:tcPr>
            <w:tcW w:w="1021" w:type="dxa"/>
            <w:tcBorders>
              <w:top w:val="nil"/>
              <w:bottom w:val="nil"/>
            </w:tcBorders>
            <w:shd w:val="clear" w:color="auto" w:fill="auto"/>
          </w:tcPr>
          <w:p w:rsidR="0092299C" w:rsidRPr="00D02A2E" w:rsidRDefault="0092299C" w:rsidP="0092299C">
            <w:pPr>
              <w:pStyle w:val="ARtabletextright"/>
            </w:pPr>
            <w:r w:rsidRPr="00D02A2E">
              <w:t>100</w:t>
            </w:r>
          </w:p>
        </w:tc>
        <w:tc>
          <w:tcPr>
            <w:tcW w:w="1021" w:type="dxa"/>
            <w:tcBorders>
              <w:top w:val="nil"/>
              <w:bottom w:val="nil"/>
            </w:tcBorders>
            <w:shd w:val="clear" w:color="auto" w:fill="auto"/>
          </w:tcPr>
          <w:p w:rsidR="0092299C" w:rsidRPr="00D02A2E" w:rsidRDefault="0092299C" w:rsidP="0092299C">
            <w:pPr>
              <w:pStyle w:val="ARtabletextright"/>
            </w:pPr>
            <w:r>
              <w:t>0.0</w:t>
            </w:r>
          </w:p>
        </w:tc>
        <w:tc>
          <w:tcPr>
            <w:tcW w:w="794" w:type="dxa"/>
            <w:tcBorders>
              <w:top w:val="nil"/>
              <w:bottom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bottom w:val="nil"/>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nil"/>
              <w:bottom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bottom w:val="nil"/>
            </w:tcBorders>
            <w:shd w:val="clear" w:color="auto" w:fill="auto"/>
            <w:hideMark/>
          </w:tcPr>
          <w:p w:rsidR="0092299C" w:rsidRPr="00D02A2E" w:rsidRDefault="0092299C" w:rsidP="00D56197">
            <w:pPr>
              <w:pStyle w:val="ARtabletextbold"/>
              <w:jc w:val="center"/>
            </w:pPr>
            <w:r w:rsidRPr="00D02A2E">
              <w:t>$ million</w:t>
            </w:r>
          </w:p>
        </w:tc>
        <w:tc>
          <w:tcPr>
            <w:tcW w:w="1021" w:type="dxa"/>
            <w:tcBorders>
              <w:top w:val="nil"/>
              <w:bottom w:val="nil"/>
            </w:tcBorders>
            <w:shd w:val="clear" w:color="auto" w:fill="auto"/>
          </w:tcPr>
          <w:p w:rsidR="0092299C" w:rsidRPr="00B72935" w:rsidRDefault="0092299C" w:rsidP="0092299C">
            <w:pPr>
              <w:pStyle w:val="ARtabletextbold"/>
              <w:jc w:val="right"/>
              <w:rPr>
                <w:bCs/>
              </w:rPr>
            </w:pPr>
            <w:r w:rsidRPr="00B72935">
              <w:rPr>
                <w:bCs/>
              </w:rPr>
              <w:t>78.0</w:t>
            </w:r>
          </w:p>
        </w:tc>
        <w:tc>
          <w:tcPr>
            <w:tcW w:w="1021" w:type="dxa"/>
            <w:tcBorders>
              <w:top w:val="nil"/>
              <w:bottom w:val="nil"/>
            </w:tcBorders>
            <w:shd w:val="clear" w:color="auto" w:fill="auto"/>
          </w:tcPr>
          <w:p w:rsidR="0092299C" w:rsidRPr="00B72935" w:rsidRDefault="0092299C" w:rsidP="0092299C">
            <w:pPr>
              <w:pStyle w:val="ARtabletextbold"/>
              <w:jc w:val="right"/>
              <w:rPr>
                <w:bCs/>
              </w:rPr>
            </w:pPr>
            <w:r w:rsidRPr="00B72935">
              <w:rPr>
                <w:bCs/>
              </w:rPr>
              <w:t>70.6</w:t>
            </w:r>
          </w:p>
        </w:tc>
        <w:tc>
          <w:tcPr>
            <w:tcW w:w="1021" w:type="dxa"/>
            <w:tcBorders>
              <w:top w:val="nil"/>
              <w:bottom w:val="nil"/>
            </w:tcBorders>
            <w:shd w:val="clear" w:color="auto" w:fill="auto"/>
          </w:tcPr>
          <w:p w:rsidR="0092299C" w:rsidRPr="00B72935" w:rsidRDefault="00EC4FD8" w:rsidP="0092299C">
            <w:pPr>
              <w:pStyle w:val="ARtabletextbold"/>
              <w:jc w:val="right"/>
              <w:rPr>
                <w:bCs/>
              </w:rPr>
            </w:pPr>
            <w:r>
              <w:rPr>
                <w:bCs/>
              </w:rPr>
              <w:t>–</w:t>
            </w:r>
            <w:r w:rsidR="007B4262">
              <w:rPr>
                <w:bCs/>
              </w:rPr>
              <w:t>9.5</w:t>
            </w:r>
          </w:p>
        </w:tc>
        <w:tc>
          <w:tcPr>
            <w:tcW w:w="794" w:type="dxa"/>
            <w:tcBorders>
              <w:top w:val="nil"/>
              <w:bottom w:val="nil"/>
            </w:tcBorders>
            <w:shd w:val="clear" w:color="auto" w:fill="auto"/>
            <w:hideMark/>
          </w:tcPr>
          <w:p w:rsidR="0092299C" w:rsidRPr="00B72935" w:rsidRDefault="0092299C" w:rsidP="0092299C">
            <w:pPr>
              <w:pStyle w:val="ARtabletextbold"/>
              <w:jc w:val="right"/>
              <w:rPr>
                <w:rFonts w:ascii="Wingdings" w:hAnsi="Wingdings"/>
                <w:bCs/>
              </w:rPr>
            </w:pP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auto"/>
            </w:tcBorders>
            <w:shd w:val="clear" w:color="auto" w:fill="auto"/>
            <w:noWrap/>
            <w:hideMark/>
          </w:tcPr>
          <w:p w:rsidR="0092299C" w:rsidRPr="00D02A2E" w:rsidRDefault="0092299C" w:rsidP="0092299C">
            <w:pPr>
              <w:pStyle w:val="ARtablenoteindent"/>
            </w:pPr>
            <w:r w:rsidRPr="0031742B">
              <w:t>The 20</w:t>
            </w:r>
            <w:r>
              <w:t>16–17</w:t>
            </w:r>
            <w:r w:rsidRPr="0031742B">
              <w:t xml:space="preserve"> actual outcome primarily reflects funding requested to be carried over into 20</w:t>
            </w:r>
            <w:r>
              <w:t>17–18</w:t>
            </w:r>
            <w:r w:rsidRPr="0031742B">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nil"/>
              <w:bottom w:val="single" w:sz="4" w:space="0" w:color="auto"/>
            </w:tcBorders>
            <w:shd w:val="clear" w:color="auto" w:fill="auto"/>
            <w:hideMark/>
          </w:tcPr>
          <w:p w:rsidR="0092299C" w:rsidRPr="00D02A2E" w:rsidRDefault="0092299C" w:rsidP="0092299C">
            <w:pPr>
              <w:pStyle w:val="ARtablebluebold"/>
            </w:pPr>
            <w:r w:rsidRPr="00D02A2E">
              <w:t xml:space="preserve">Public Health Development, Research and Support </w:t>
            </w: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r w:rsidRPr="00D02A2E">
              <w:t> </w:t>
            </w:r>
          </w:p>
        </w:tc>
        <w:tc>
          <w:tcPr>
            <w:tcW w:w="1021" w:type="dxa"/>
            <w:tcBorders>
              <w:top w:val="nil"/>
              <w:bottom w:val="single" w:sz="4" w:space="0" w:color="auto"/>
            </w:tcBorders>
            <w:shd w:val="clear" w:color="auto" w:fill="auto"/>
            <w:hideMark/>
          </w:tcPr>
          <w:p w:rsidR="0092299C" w:rsidRPr="00D02A2E" w:rsidRDefault="0092299C" w:rsidP="0092299C">
            <w:pPr>
              <w:pStyle w:val="ARtablebluebold"/>
            </w:pPr>
            <w:r w:rsidRPr="00D02A2E">
              <w:t> </w:t>
            </w:r>
          </w:p>
        </w:tc>
        <w:tc>
          <w:tcPr>
            <w:tcW w:w="794" w:type="dxa"/>
            <w:tcBorders>
              <w:top w:val="nil"/>
              <w:bottom w:val="single" w:sz="4" w:space="0" w:color="auto"/>
            </w:tcBorders>
            <w:shd w:val="clear" w:color="auto" w:fill="auto"/>
            <w:hideMark/>
          </w:tcPr>
          <w:p w:rsidR="0092299C" w:rsidRPr="00D02A2E" w:rsidRDefault="0092299C" w:rsidP="0092299C">
            <w:pPr>
              <w:pStyle w:val="ARtablebluebold"/>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auto"/>
              <w:bottom w:val="nil"/>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auto"/>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auto"/>
              <w:bottom w:val="nil"/>
            </w:tcBorders>
            <w:shd w:val="clear" w:color="auto" w:fill="auto"/>
            <w:hideMark/>
          </w:tcPr>
          <w:p w:rsidR="0092299C" w:rsidRPr="00D02A2E" w:rsidRDefault="0092299C" w:rsidP="0092299C">
            <w:pPr>
              <w:pStyle w:val="ARtablebluebold"/>
            </w:pPr>
          </w:p>
        </w:tc>
      </w:tr>
      <w:tr w:rsidR="00F15164" w:rsidRPr="00D02A2E" w:rsidTr="00001CB9">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nil"/>
              <w:bottom w:val="single" w:sz="4" w:space="0" w:color="BFBFBF"/>
            </w:tcBorders>
            <w:shd w:val="clear" w:color="auto" w:fill="auto"/>
            <w:hideMark/>
          </w:tcPr>
          <w:p w:rsidR="0092299C" w:rsidRPr="00D02A2E" w:rsidRDefault="0092299C" w:rsidP="0092299C">
            <w:pPr>
              <w:pStyle w:val="ARtabletext"/>
            </w:pPr>
            <w:r w:rsidRPr="00D02A2E">
              <w:t>Number of people trained in emergency response</w:t>
            </w:r>
          </w:p>
        </w:tc>
        <w:tc>
          <w:tcPr>
            <w:tcW w:w="1021" w:type="dxa"/>
            <w:tcBorders>
              <w:top w:val="nil"/>
              <w:bottom w:val="single" w:sz="4" w:space="0" w:color="BFBFBF"/>
            </w:tcBorders>
            <w:shd w:val="clear" w:color="auto" w:fill="auto"/>
            <w:hideMark/>
          </w:tcPr>
          <w:p w:rsidR="0092299C" w:rsidRPr="00D02A2E" w:rsidRDefault="0092299C" w:rsidP="00D56197">
            <w:pPr>
              <w:pStyle w:val="ARtabletext"/>
              <w:jc w:val="center"/>
            </w:pPr>
            <w:r w:rsidRPr="00D02A2E">
              <w:t>number</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rsidRPr="00D02A2E">
              <w:t>2,000</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rsidRPr="00D02A2E">
              <w:t>2,000</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t>0.0</w:t>
            </w:r>
          </w:p>
        </w:tc>
        <w:tc>
          <w:tcPr>
            <w:tcW w:w="794" w:type="dxa"/>
            <w:tcBorders>
              <w:top w:val="nil"/>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FFFFFF" w:themeFill="background1"/>
          </w:tcPr>
          <w:p w:rsidR="0092299C" w:rsidRPr="00D02A2E" w:rsidRDefault="0092299C" w:rsidP="0092299C">
            <w:pPr>
              <w:pStyle w:val="ARtabletext"/>
            </w:pPr>
            <w:r w:rsidRPr="00D02A2E">
              <w:t>Operational infrastructure support grants under management</w:t>
            </w:r>
          </w:p>
        </w:tc>
        <w:tc>
          <w:tcPr>
            <w:tcW w:w="1021" w:type="dxa"/>
            <w:tcBorders>
              <w:top w:val="single" w:sz="4" w:space="0" w:color="BFBFBF"/>
              <w:bottom w:val="nil"/>
            </w:tcBorders>
            <w:shd w:val="clear" w:color="auto" w:fill="FFFFFF" w:themeFill="background1"/>
          </w:tcPr>
          <w:p w:rsidR="0092299C" w:rsidRPr="00D02A2E" w:rsidRDefault="0092299C" w:rsidP="00D56197">
            <w:pPr>
              <w:pStyle w:val="ARtabletext"/>
              <w:jc w:val="center"/>
            </w:pPr>
            <w:r w:rsidRPr="00D02A2E">
              <w:t>number</w:t>
            </w: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textright"/>
            </w:pPr>
            <w:r w:rsidRPr="00D02A2E">
              <w:t>10</w:t>
            </w: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textright"/>
            </w:pPr>
            <w:r w:rsidRPr="00D02A2E">
              <w:t>10</w:t>
            </w: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textright"/>
            </w:pPr>
            <w:r>
              <w:t>0.0</w:t>
            </w:r>
          </w:p>
        </w:tc>
        <w:tc>
          <w:tcPr>
            <w:tcW w:w="794" w:type="dxa"/>
            <w:tcBorders>
              <w:top w:val="single" w:sz="4" w:space="0" w:color="BFBFBF"/>
              <w:bottom w:val="nil"/>
            </w:tcBorders>
            <w:shd w:val="clear" w:color="auto" w:fill="FFFFFF" w:themeFill="background1"/>
          </w:tcPr>
          <w:p w:rsidR="0092299C" w:rsidRPr="00D02A2E" w:rsidRDefault="0092299C" w:rsidP="008C184A">
            <w:pPr>
              <w:pStyle w:val="ARtabletextright"/>
            </w:pPr>
            <w:r w:rsidRPr="008C184A">
              <w:rPr>
                <w:rFonts w:ascii="Wingdings" w:hAnsi="Wingdings"/>
              </w:rPr>
              <w:t></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FFFFFF" w:themeFill="background1"/>
          </w:tcPr>
          <w:p w:rsidR="0092299C" w:rsidRPr="00D02A2E" w:rsidRDefault="0092299C" w:rsidP="0092299C">
            <w:pPr>
              <w:pStyle w:val="ARtablebluebold"/>
              <w:keepNext/>
            </w:pPr>
            <w:r w:rsidRPr="00D02A2E">
              <w:lastRenderedPageBreak/>
              <w:t>Timeliness</w:t>
            </w: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bluebold"/>
              <w:keepNext/>
            </w:pP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textright"/>
            </w:pP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textright"/>
            </w:pP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textright"/>
            </w:pPr>
          </w:p>
        </w:tc>
        <w:tc>
          <w:tcPr>
            <w:tcW w:w="794" w:type="dxa"/>
            <w:tcBorders>
              <w:top w:val="single" w:sz="4" w:space="0" w:color="BFBFBF"/>
              <w:bottom w:val="nil"/>
            </w:tcBorders>
            <w:shd w:val="clear" w:color="auto" w:fill="FFFFFF" w:themeFill="background1"/>
          </w:tcPr>
          <w:p w:rsidR="0092299C" w:rsidRPr="00D02A2E" w:rsidRDefault="0092299C" w:rsidP="0092299C">
            <w:pPr>
              <w:pStyle w:val="ARtabletextright"/>
              <w:rPr>
                <w:rFonts w:ascii="Wingdings" w:hAnsi="Wingdings"/>
              </w:rPr>
            </w:pP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bottom w:val="nil"/>
            </w:tcBorders>
            <w:shd w:val="clear" w:color="auto" w:fill="FFFFFF" w:themeFill="background1"/>
          </w:tcPr>
          <w:p w:rsidR="0092299C" w:rsidRPr="00D02A2E" w:rsidRDefault="0092299C" w:rsidP="0092299C">
            <w:pPr>
              <w:pStyle w:val="ARtabletext"/>
              <w:keepNext/>
            </w:pPr>
            <w:r w:rsidRPr="00D02A2E">
              <w:t>Practitioner medicinal cannabis authorisations processed within prescribed timeline</w:t>
            </w:r>
          </w:p>
        </w:tc>
        <w:tc>
          <w:tcPr>
            <w:tcW w:w="1021" w:type="dxa"/>
            <w:tcBorders>
              <w:top w:val="single" w:sz="4" w:space="0" w:color="BFBFBF"/>
              <w:bottom w:val="nil"/>
            </w:tcBorders>
            <w:shd w:val="clear" w:color="auto" w:fill="FFFFFF" w:themeFill="background1"/>
          </w:tcPr>
          <w:p w:rsidR="0092299C" w:rsidRPr="00D02A2E" w:rsidRDefault="00546F4A" w:rsidP="00D56197">
            <w:pPr>
              <w:pStyle w:val="ARtabletext"/>
              <w:keepNext/>
              <w:jc w:val="center"/>
            </w:pPr>
            <w:r>
              <w:t>p</w:t>
            </w:r>
            <w:r w:rsidR="0092299C" w:rsidRPr="00D02A2E">
              <w:t>er cent</w:t>
            </w:r>
          </w:p>
        </w:tc>
        <w:tc>
          <w:tcPr>
            <w:tcW w:w="1021" w:type="dxa"/>
            <w:tcBorders>
              <w:top w:val="single" w:sz="4" w:space="0" w:color="BFBFBF"/>
              <w:bottom w:val="nil"/>
            </w:tcBorders>
            <w:shd w:val="clear" w:color="auto" w:fill="FFFFFF" w:themeFill="background1"/>
          </w:tcPr>
          <w:p w:rsidR="0092299C" w:rsidRPr="00D02A2E" w:rsidRDefault="0092299C" w:rsidP="0092299C">
            <w:pPr>
              <w:pStyle w:val="ARtabletextright"/>
            </w:pPr>
            <w:r w:rsidRPr="00D02A2E">
              <w:t>95</w:t>
            </w:r>
          </w:p>
        </w:tc>
        <w:tc>
          <w:tcPr>
            <w:tcW w:w="1021" w:type="dxa"/>
            <w:tcBorders>
              <w:top w:val="single" w:sz="4" w:space="0" w:color="BFBFBF"/>
              <w:bottom w:val="nil"/>
            </w:tcBorders>
            <w:shd w:val="clear" w:color="auto" w:fill="FFFFFF" w:themeFill="background1"/>
          </w:tcPr>
          <w:p w:rsidR="0092299C" w:rsidRPr="00D02A2E" w:rsidRDefault="00970C36" w:rsidP="0092299C">
            <w:pPr>
              <w:pStyle w:val="ARtabletextright"/>
            </w:pPr>
            <w:r w:rsidRPr="00D02A2E">
              <w:t>n/a</w:t>
            </w:r>
          </w:p>
        </w:tc>
        <w:tc>
          <w:tcPr>
            <w:tcW w:w="1021" w:type="dxa"/>
            <w:tcBorders>
              <w:top w:val="single" w:sz="4" w:space="0" w:color="BFBFBF"/>
              <w:bottom w:val="nil"/>
            </w:tcBorders>
            <w:shd w:val="clear" w:color="auto" w:fill="FFFFFF" w:themeFill="background1"/>
          </w:tcPr>
          <w:p w:rsidR="0092299C" w:rsidRPr="00D02A2E" w:rsidRDefault="00970C36" w:rsidP="0092299C">
            <w:pPr>
              <w:pStyle w:val="ARtabletextright"/>
            </w:pPr>
            <w:r w:rsidRPr="00D02A2E">
              <w:t>n/a</w:t>
            </w:r>
          </w:p>
        </w:tc>
        <w:tc>
          <w:tcPr>
            <w:tcW w:w="794" w:type="dxa"/>
            <w:tcBorders>
              <w:top w:val="single" w:sz="4" w:space="0" w:color="BFBFBF"/>
              <w:bottom w:val="nil"/>
            </w:tcBorders>
            <w:shd w:val="clear" w:color="auto" w:fill="FFFFFF" w:themeFill="background1"/>
          </w:tcPr>
          <w:p w:rsidR="0092299C" w:rsidRPr="00D02A2E" w:rsidRDefault="0092299C" w:rsidP="0092299C">
            <w:pPr>
              <w:pStyle w:val="ARtabletextright"/>
              <w:rPr>
                <w:rFonts w:ascii="Wingdings" w:hAnsi="Wingdings"/>
              </w:rPr>
            </w:pPr>
          </w:p>
        </w:tc>
      </w:tr>
      <w:tr w:rsidR="0092299C"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794" w:type="dxa"/>
            <w:gridSpan w:val="6"/>
            <w:tcBorders>
              <w:top w:val="nil"/>
              <w:bottom w:val="single" w:sz="4" w:space="0" w:color="BFBFBF" w:themeColor="background1" w:themeShade="BF"/>
            </w:tcBorders>
            <w:shd w:val="clear" w:color="auto" w:fill="FFFFFF" w:themeFill="background1"/>
          </w:tcPr>
          <w:p w:rsidR="0092299C" w:rsidRPr="00D02A2E" w:rsidRDefault="0092299C" w:rsidP="0092299C">
            <w:pPr>
              <w:pStyle w:val="ARtablenoteindent"/>
              <w:keepNext/>
            </w:pPr>
            <w:r w:rsidRPr="00D02A2E">
              <w:t>This measure is not yet operational due to additional regulatory requirements of the Commonwealth which have delayed the introduction of the Victorian scheme.</w:t>
            </w:r>
          </w:p>
        </w:tc>
      </w:tr>
      <w:tr w:rsidR="00F15164" w:rsidRPr="00D02A2E" w:rsidTr="00E324D1">
        <w:tblPrEx>
          <w:tblBorders>
            <w:top w:val="single" w:sz="4" w:space="0" w:color="FFFFFF"/>
            <w:left w:val="none" w:sz="0" w:space="0" w:color="auto"/>
            <w:right w:val="none" w:sz="0" w:space="0" w:color="auto"/>
            <w:insideV w:val="none" w:sz="0" w:space="0" w:color="auto"/>
          </w:tblBorders>
        </w:tblPrEx>
        <w:trPr>
          <w:gridAfter w:val="1"/>
          <w:wAfter w:w="30" w:type="dxa"/>
          <w:cantSplit/>
          <w:trHeight w:val="240"/>
        </w:trPr>
        <w:tc>
          <w:tcPr>
            <w:tcW w:w="4763" w:type="dxa"/>
            <w:tcBorders>
              <w:top w:val="single" w:sz="4" w:space="0" w:color="BFBFBF" w:themeColor="background1" w:themeShade="BF"/>
              <w:bottom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themeColor="background1" w:themeShade="BF"/>
              <w:bottom w:val="nil"/>
            </w:tcBorders>
            <w:shd w:val="clear" w:color="auto" w:fill="auto"/>
            <w:hideMark/>
          </w:tcPr>
          <w:p w:rsidR="0092299C" w:rsidRPr="00D02A2E" w:rsidRDefault="0092299C" w:rsidP="0092299C">
            <w:pPr>
              <w:pStyle w:val="ARtablebluebold"/>
            </w:pPr>
          </w:p>
        </w:tc>
        <w:tc>
          <w:tcPr>
            <w:tcW w:w="1021" w:type="dxa"/>
            <w:tcBorders>
              <w:top w:val="single" w:sz="4" w:space="0" w:color="BFBFBF" w:themeColor="background1" w:themeShade="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hemeColor="background1" w:themeShade="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themeColor="background1" w:themeShade="BF"/>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themeColor="background1" w:themeShade="BF"/>
              <w:bottom w:val="nil"/>
            </w:tcBorders>
            <w:shd w:val="clear" w:color="auto" w:fill="auto"/>
            <w:hideMark/>
          </w:tcPr>
          <w:p w:rsidR="0092299C" w:rsidRPr="00D02A2E" w:rsidRDefault="0092299C" w:rsidP="0092299C">
            <w:pPr>
              <w:pStyle w:val="ARtablebluebold"/>
            </w:pPr>
          </w:p>
        </w:tc>
      </w:tr>
      <w:tr w:rsidR="001958B8" w:rsidRPr="00D02A2E" w:rsidTr="00E324D1">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hideMark/>
          </w:tcPr>
          <w:p w:rsidR="0092299C" w:rsidRPr="00D02A2E" w:rsidRDefault="0092299C" w:rsidP="00D56197">
            <w:pPr>
              <w:pStyle w:val="ARtabletextbold"/>
              <w:jc w:val="center"/>
            </w:pPr>
            <w:r w:rsidRPr="00D02A2E">
              <w:t>$ million</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53.1</w:t>
            </w:r>
          </w:p>
        </w:tc>
        <w:tc>
          <w:tcPr>
            <w:tcW w:w="1021" w:type="dxa"/>
            <w:tcBorders>
              <w:top w:val="nil"/>
              <w:left w:val="nil"/>
              <w:bottom w:val="nil"/>
              <w:right w:val="nil"/>
            </w:tcBorders>
            <w:shd w:val="clear" w:color="auto" w:fill="auto"/>
          </w:tcPr>
          <w:p w:rsidR="0092299C" w:rsidRPr="00B72935" w:rsidRDefault="0092299C" w:rsidP="0092299C">
            <w:pPr>
              <w:pStyle w:val="ARtabletextright"/>
              <w:rPr>
                <w:b/>
                <w:bCs/>
              </w:rPr>
            </w:pPr>
            <w:r w:rsidRPr="00B72935">
              <w:rPr>
                <w:b/>
                <w:bCs/>
              </w:rPr>
              <w:t>49.0</w:t>
            </w:r>
          </w:p>
        </w:tc>
        <w:tc>
          <w:tcPr>
            <w:tcW w:w="1021" w:type="dxa"/>
            <w:tcBorders>
              <w:top w:val="nil"/>
              <w:left w:val="nil"/>
              <w:bottom w:val="nil"/>
              <w:right w:val="nil"/>
            </w:tcBorders>
            <w:shd w:val="clear" w:color="auto" w:fill="auto"/>
          </w:tcPr>
          <w:p w:rsidR="0092299C" w:rsidRPr="00B72935" w:rsidRDefault="00EC4FD8" w:rsidP="0092299C">
            <w:pPr>
              <w:pStyle w:val="ARtabletextright"/>
              <w:rPr>
                <w:b/>
                <w:bCs/>
              </w:rPr>
            </w:pPr>
            <w:r>
              <w:rPr>
                <w:b/>
                <w:bCs/>
              </w:rPr>
              <w:t>–</w:t>
            </w:r>
            <w:r w:rsidR="0092299C">
              <w:rPr>
                <w:b/>
                <w:bCs/>
              </w:rPr>
              <w:t>7.8</w:t>
            </w:r>
          </w:p>
        </w:tc>
        <w:tc>
          <w:tcPr>
            <w:tcW w:w="794" w:type="dxa"/>
            <w:gridSpan w:val="2"/>
            <w:tcBorders>
              <w:top w:val="nil"/>
              <w:left w:val="nil"/>
              <w:bottom w:val="nil"/>
              <w:right w:val="nil"/>
            </w:tcBorders>
            <w:shd w:val="clear" w:color="auto" w:fill="auto"/>
            <w:hideMark/>
          </w:tcPr>
          <w:p w:rsidR="0092299C" w:rsidRPr="00D02A2E" w:rsidRDefault="0092299C" w:rsidP="0092299C">
            <w:pPr>
              <w:pStyle w:val="ARtabletextbold"/>
              <w:rPr>
                <w:rFonts w:ascii="Wingdings" w:hAnsi="Wingdings"/>
              </w:rPr>
            </w:pPr>
          </w:p>
        </w:tc>
      </w:tr>
      <w:tr w:rsidR="0092299C" w:rsidRPr="00D02A2E" w:rsidTr="00E324D1">
        <w:trPr>
          <w:cantSplit/>
          <w:trHeight w:val="240"/>
        </w:trPr>
        <w:tc>
          <w:tcPr>
            <w:tcW w:w="794" w:type="dxa"/>
            <w:gridSpan w:val="7"/>
            <w:tcBorders>
              <w:top w:val="nil"/>
              <w:left w:val="nil"/>
              <w:right w:val="nil"/>
            </w:tcBorders>
            <w:shd w:val="clear" w:color="auto" w:fill="auto"/>
          </w:tcPr>
          <w:p w:rsidR="0092299C" w:rsidRPr="00D02A2E" w:rsidRDefault="0092299C" w:rsidP="0092299C">
            <w:pPr>
              <w:pStyle w:val="ARtablenoteindent"/>
            </w:pPr>
            <w:r w:rsidRPr="0031742B">
              <w:t>The 20</w:t>
            </w:r>
            <w:r>
              <w:t>16–17</w:t>
            </w:r>
            <w:r w:rsidRPr="0031742B">
              <w:t xml:space="preserve"> actual outcome primarily reflects funding requested to be carried over into 20</w:t>
            </w:r>
            <w:r>
              <w:t>17–18</w:t>
            </w:r>
            <w:r w:rsidRPr="0031742B">
              <w:t>.</w:t>
            </w:r>
          </w:p>
        </w:tc>
      </w:tr>
    </w:tbl>
    <w:p w:rsidR="0092299C" w:rsidRPr="00D02A2E" w:rsidRDefault="0092299C" w:rsidP="0092299C">
      <w:pPr>
        <w:pStyle w:val="Heading2"/>
      </w:pPr>
      <w:r w:rsidRPr="00D02A2E">
        <w:t>Drugs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4784"/>
        <w:gridCol w:w="1016"/>
        <w:gridCol w:w="1016"/>
        <w:gridCol w:w="1016"/>
        <w:gridCol w:w="1016"/>
        <w:gridCol w:w="791"/>
      </w:tblGrid>
      <w:tr w:rsidR="0092299C" w:rsidRPr="00D02A2E" w:rsidTr="00E324D1">
        <w:trPr>
          <w:cantSplit/>
          <w:trHeight w:val="240"/>
          <w:tblHeader/>
        </w:trPr>
        <w:tc>
          <w:tcPr>
            <w:tcW w:w="4807" w:type="dxa"/>
            <w:shd w:val="clear" w:color="auto" w:fill="auto"/>
            <w:noWrap/>
            <w:vAlign w:val="bottom"/>
            <w:hideMark/>
          </w:tcPr>
          <w:p w:rsidR="0092299C" w:rsidRPr="00D02A2E" w:rsidRDefault="0092299C" w:rsidP="007B4262">
            <w:pPr>
              <w:pStyle w:val="ARtablecolhead"/>
              <w:keepNext/>
            </w:pPr>
            <w:r w:rsidRPr="00D02A2E">
              <w:t>Performance measures</w:t>
            </w:r>
          </w:p>
        </w:tc>
        <w:tc>
          <w:tcPr>
            <w:tcW w:w="1021" w:type="dxa"/>
            <w:shd w:val="clear" w:color="auto" w:fill="auto"/>
            <w:noWrap/>
            <w:vAlign w:val="bottom"/>
            <w:hideMark/>
          </w:tcPr>
          <w:p w:rsidR="0092299C" w:rsidRPr="00D02A2E" w:rsidRDefault="0092299C" w:rsidP="001F2E2D">
            <w:pPr>
              <w:pStyle w:val="ARtablecolhead"/>
              <w:jc w:val="center"/>
            </w:pPr>
            <w:r w:rsidRPr="00D02A2E">
              <w:t>Unit of measure</w:t>
            </w:r>
          </w:p>
        </w:tc>
        <w:tc>
          <w:tcPr>
            <w:tcW w:w="1021" w:type="dxa"/>
            <w:shd w:val="clear" w:color="auto" w:fill="auto"/>
            <w:noWrap/>
            <w:vAlign w:val="bottom"/>
            <w:hideMark/>
          </w:tcPr>
          <w:p w:rsidR="0092299C" w:rsidRPr="00D02A2E" w:rsidRDefault="0092299C" w:rsidP="001F2E2D">
            <w:pPr>
              <w:pStyle w:val="ARtablecolhead"/>
              <w:jc w:val="right"/>
            </w:pPr>
            <w:r w:rsidRPr="00D02A2E">
              <w:t>20</w:t>
            </w:r>
            <w:r>
              <w:t>16–17</w:t>
            </w:r>
            <w:r w:rsidRPr="00D02A2E">
              <w:t xml:space="preserve"> target</w:t>
            </w:r>
          </w:p>
        </w:tc>
        <w:tc>
          <w:tcPr>
            <w:tcW w:w="1021" w:type="dxa"/>
            <w:shd w:val="clear" w:color="auto" w:fill="auto"/>
            <w:noWrap/>
            <w:vAlign w:val="bottom"/>
            <w:hideMark/>
          </w:tcPr>
          <w:p w:rsidR="0092299C" w:rsidRPr="00D02A2E" w:rsidRDefault="0092299C" w:rsidP="001F2E2D">
            <w:pPr>
              <w:pStyle w:val="ARtablecolhead"/>
              <w:jc w:val="right"/>
            </w:pPr>
            <w:r w:rsidRPr="00D02A2E">
              <w:t>20</w:t>
            </w:r>
            <w:r>
              <w:t>16–17</w:t>
            </w:r>
            <w:r w:rsidRPr="00D02A2E">
              <w:t xml:space="preserve"> actual</w:t>
            </w:r>
          </w:p>
        </w:tc>
        <w:tc>
          <w:tcPr>
            <w:tcW w:w="1021" w:type="dxa"/>
            <w:shd w:val="clear" w:color="auto" w:fill="auto"/>
            <w:noWrap/>
            <w:vAlign w:val="bottom"/>
            <w:hideMark/>
          </w:tcPr>
          <w:p w:rsidR="0092299C" w:rsidRPr="00D02A2E" w:rsidRDefault="0092299C" w:rsidP="001F2E2D">
            <w:pPr>
              <w:pStyle w:val="ARtablecolhead"/>
              <w:jc w:val="right"/>
            </w:pPr>
            <w:r w:rsidRPr="00D02A2E">
              <w:t>Variation (%)</w:t>
            </w:r>
          </w:p>
        </w:tc>
        <w:tc>
          <w:tcPr>
            <w:tcW w:w="794" w:type="dxa"/>
            <w:shd w:val="clear" w:color="auto" w:fill="auto"/>
            <w:noWrap/>
            <w:vAlign w:val="bottom"/>
            <w:hideMark/>
          </w:tcPr>
          <w:p w:rsidR="0092299C" w:rsidRPr="00D02A2E" w:rsidRDefault="0092299C" w:rsidP="00096BE7">
            <w:pPr>
              <w:pStyle w:val="ARtablecolheadright"/>
            </w:pPr>
            <w:r w:rsidRPr="00D02A2E">
              <w:t>Result</w:t>
            </w:r>
          </w:p>
        </w:tc>
      </w:tr>
      <w:tr w:rsidR="0092299C" w:rsidRPr="00D02A2E" w:rsidTr="00E324D1">
        <w:trPr>
          <w:cantSplit/>
          <w:trHeight w:val="240"/>
        </w:trPr>
        <w:tc>
          <w:tcPr>
            <w:tcW w:w="4807" w:type="dxa"/>
            <w:tcBorders>
              <w:bottom w:val="single" w:sz="4" w:space="0" w:color="000000"/>
            </w:tcBorders>
            <w:shd w:val="clear" w:color="auto" w:fill="auto"/>
            <w:hideMark/>
          </w:tcPr>
          <w:p w:rsidR="0092299C" w:rsidRPr="00D02A2E" w:rsidRDefault="0092299C" w:rsidP="007B4262">
            <w:pPr>
              <w:pStyle w:val="ARtablebluebold"/>
              <w:keepNext/>
            </w:pPr>
            <w:r w:rsidRPr="00D02A2E">
              <w:t xml:space="preserve">Drug Prevention and Control </w:t>
            </w:r>
          </w:p>
        </w:tc>
        <w:tc>
          <w:tcPr>
            <w:tcW w:w="1021" w:type="dxa"/>
            <w:tcBorders>
              <w:bottom w:val="single" w:sz="4" w:space="0" w:color="000000"/>
            </w:tcBorders>
            <w:shd w:val="clear" w:color="auto" w:fill="auto"/>
            <w:hideMark/>
          </w:tcPr>
          <w:p w:rsidR="0092299C" w:rsidRPr="00D02A2E" w:rsidRDefault="0092299C" w:rsidP="0092299C">
            <w:pPr>
              <w:pStyle w:val="ARtablebluebold"/>
            </w:pPr>
          </w:p>
        </w:tc>
        <w:tc>
          <w:tcPr>
            <w:tcW w:w="1021" w:type="dxa"/>
            <w:tcBorders>
              <w:bottom w:val="single" w:sz="4" w:space="0" w:color="000000"/>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000000"/>
            </w:tcBorders>
            <w:shd w:val="clear" w:color="auto" w:fill="auto"/>
            <w:hideMark/>
          </w:tcPr>
          <w:p w:rsidR="0092299C" w:rsidRPr="00D02A2E" w:rsidRDefault="0092299C" w:rsidP="0092299C">
            <w:pPr>
              <w:pStyle w:val="ARtablebluebold"/>
            </w:pPr>
            <w:r w:rsidRPr="00D02A2E">
              <w:t> </w:t>
            </w:r>
          </w:p>
        </w:tc>
        <w:tc>
          <w:tcPr>
            <w:tcW w:w="1021" w:type="dxa"/>
            <w:tcBorders>
              <w:bottom w:val="single" w:sz="4" w:space="0" w:color="000000"/>
            </w:tcBorders>
            <w:shd w:val="clear" w:color="auto" w:fill="auto"/>
            <w:hideMark/>
          </w:tcPr>
          <w:p w:rsidR="0092299C" w:rsidRPr="00D02A2E" w:rsidRDefault="0092299C" w:rsidP="0092299C">
            <w:pPr>
              <w:pStyle w:val="ARtablebluebold"/>
            </w:pPr>
            <w:r w:rsidRPr="00D02A2E">
              <w:t> </w:t>
            </w:r>
          </w:p>
        </w:tc>
        <w:tc>
          <w:tcPr>
            <w:tcW w:w="794" w:type="dxa"/>
            <w:tcBorders>
              <w:bottom w:val="single" w:sz="4" w:space="0" w:color="000000"/>
            </w:tcBorders>
            <w:shd w:val="clear" w:color="auto" w:fill="auto"/>
            <w:hideMark/>
          </w:tcPr>
          <w:p w:rsidR="0092299C" w:rsidRPr="00D02A2E" w:rsidRDefault="0092299C" w:rsidP="0092299C">
            <w:pPr>
              <w:pStyle w:val="ARtablebluebold"/>
            </w:pPr>
          </w:p>
        </w:tc>
      </w:tr>
      <w:tr w:rsidR="0092299C" w:rsidRPr="00D02A2E" w:rsidTr="00E324D1">
        <w:trPr>
          <w:cantSplit/>
          <w:trHeight w:val="240"/>
        </w:trPr>
        <w:tc>
          <w:tcPr>
            <w:tcW w:w="4763"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Quantity</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000000"/>
              <w:left w:val="nil"/>
              <w:bottom w:val="nil"/>
              <w:right w:val="nil"/>
            </w:tcBorders>
            <w:shd w:val="clear" w:color="auto" w:fill="auto"/>
            <w:hideMark/>
          </w:tcPr>
          <w:p w:rsidR="0092299C" w:rsidRPr="00D02A2E" w:rsidRDefault="0092299C" w:rsidP="0092299C">
            <w:pPr>
              <w:pStyle w:val="ARtablebluebold"/>
            </w:pPr>
          </w:p>
        </w:tc>
      </w:tr>
      <w:tr w:rsidR="0092299C" w:rsidRPr="00D02A2E" w:rsidTr="00E324D1">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Contacts through Family Drug Help</w:t>
            </w:r>
          </w:p>
        </w:tc>
        <w:tc>
          <w:tcPr>
            <w:tcW w:w="1021" w:type="dxa"/>
            <w:tcBorders>
              <w:top w:val="nil"/>
              <w:left w:val="nil"/>
              <w:bottom w:val="nil"/>
              <w:right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5,000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4,379</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rsidRPr="00D02A2E">
              <w:t>12.4</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themeColor="background1" w:themeShade="BF"/>
              <w:right w:val="nil"/>
            </w:tcBorders>
            <w:shd w:val="clear" w:color="auto" w:fill="auto"/>
            <w:noWrap/>
            <w:hideMark/>
          </w:tcPr>
          <w:p w:rsidR="0092299C" w:rsidRPr="00D02A2E" w:rsidRDefault="0092299C" w:rsidP="0092299C">
            <w:pPr>
              <w:pStyle w:val="ARtablenoteindent"/>
            </w:pPr>
            <w:r w:rsidRPr="00D02A2E">
              <w:t xml:space="preserve">The result is lower than the target due to a wider range of sources of assistance for families now being available. This has diverted some volume from the Family Drug Helpline. </w:t>
            </w:r>
            <w:r w:rsidRPr="00D02A2E">
              <w:rPr>
                <w:szCs w:val="16"/>
              </w:rPr>
              <w:t>This measure is proposed to be discontinued in 20</w:t>
            </w:r>
            <w:r>
              <w:rPr>
                <w:szCs w:val="16"/>
              </w:rPr>
              <w:t>17–18</w:t>
            </w:r>
            <w:r w:rsidRPr="00D02A2E">
              <w:rPr>
                <w:szCs w:val="16"/>
              </w:rPr>
              <w:t>.</w:t>
            </w:r>
          </w:p>
        </w:tc>
      </w:tr>
      <w:tr w:rsidR="0092299C" w:rsidRPr="00D02A2E" w:rsidTr="00E324D1">
        <w:trPr>
          <w:cantSplit/>
          <w:trHeight w:val="480"/>
        </w:trPr>
        <w:tc>
          <w:tcPr>
            <w:tcW w:w="4763" w:type="dxa"/>
            <w:tcBorders>
              <w:top w:val="single" w:sz="4" w:space="0" w:color="BFBFBF" w:themeColor="background1" w:themeShade="BF"/>
              <w:left w:val="nil"/>
              <w:bottom w:val="nil"/>
              <w:right w:val="nil"/>
            </w:tcBorders>
            <w:shd w:val="clear" w:color="auto" w:fill="auto"/>
            <w:hideMark/>
          </w:tcPr>
          <w:p w:rsidR="0092299C" w:rsidRPr="00D02A2E" w:rsidRDefault="0092299C" w:rsidP="0092299C">
            <w:pPr>
              <w:pStyle w:val="ARtabletext"/>
            </w:pPr>
            <w:r w:rsidRPr="00D02A2E">
              <w:t xml:space="preserve">Licences and permits issued to health services or businesses for the manufacture, use or supply of drugs and poisons. </w:t>
            </w:r>
          </w:p>
        </w:tc>
        <w:tc>
          <w:tcPr>
            <w:tcW w:w="1021" w:type="dxa"/>
            <w:tcBorders>
              <w:top w:val="single" w:sz="4" w:space="0" w:color="BFBFBF" w:themeColor="background1" w:themeShade="BF"/>
              <w:left w:val="nil"/>
              <w:bottom w:val="nil"/>
              <w:right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textright"/>
            </w:pPr>
            <w:r w:rsidRPr="00D02A2E">
              <w:t>1,425</w:t>
            </w:r>
          </w:p>
        </w:tc>
        <w:tc>
          <w:tcPr>
            <w:tcW w:w="1021"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textright"/>
            </w:pPr>
            <w:r w:rsidRPr="00D02A2E">
              <w:t>1,493</w:t>
            </w:r>
          </w:p>
        </w:tc>
        <w:tc>
          <w:tcPr>
            <w:tcW w:w="1021"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textright"/>
            </w:pPr>
            <w:r>
              <w:t>4.8</w:t>
            </w:r>
          </w:p>
        </w:tc>
        <w:tc>
          <w:tcPr>
            <w:tcW w:w="794" w:type="dxa"/>
            <w:tcBorders>
              <w:top w:val="single" w:sz="4" w:space="0" w:color="BFBFBF" w:themeColor="background1" w:themeShade="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81"/>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This measure is proposed to be discontinued in 20</w:t>
            </w:r>
            <w:r>
              <w:t>17–18</w:t>
            </w:r>
            <w:r w:rsidRPr="00D02A2E">
              <w:t>.</w:t>
            </w:r>
          </w:p>
        </w:tc>
      </w:tr>
      <w:tr w:rsidR="00752C50" w:rsidRPr="00D02A2E" w:rsidTr="00E324D1">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rPr>
                <w:sz w:val="20"/>
                <w:szCs w:val="20"/>
              </w:rPr>
              <w:br w:type="page"/>
            </w:r>
            <w:r w:rsidRPr="00D02A2E">
              <w:t>Needles and syringes provided through the Needle and Syringe Program</w:t>
            </w:r>
          </w:p>
        </w:tc>
        <w:tc>
          <w:tcPr>
            <w:tcW w:w="1021" w:type="dxa"/>
            <w:tcBorders>
              <w:top w:val="single" w:sz="4" w:space="0" w:color="BFBFBF"/>
              <w:left w:val="nil"/>
              <w:bottom w:val="nil"/>
              <w:right w:val="nil"/>
            </w:tcBorders>
            <w:shd w:val="clear" w:color="auto" w:fill="auto"/>
            <w:hideMark/>
          </w:tcPr>
          <w:p w:rsidR="0092299C" w:rsidRPr="00D02A2E" w:rsidRDefault="0092299C" w:rsidP="00D56197">
            <w:pPr>
              <w:pStyle w:val="ARtabletext"/>
              <w:jc w:val="center"/>
            </w:pPr>
            <w:r w:rsidRPr="00D02A2E">
              <w:t xml:space="preserve">number </w:t>
            </w:r>
            <w:r w:rsidR="00D56197">
              <w:br/>
            </w:r>
            <w:r w:rsidRPr="00D02A2E">
              <w:t>(</w:t>
            </w:r>
            <w:r w:rsidR="00D56197">
              <w:t>’</w:t>
            </w:r>
            <w:r w:rsidRPr="00D02A2E">
              <w:t>000)</w:t>
            </w:r>
          </w:p>
        </w:tc>
        <w:tc>
          <w:tcPr>
            <w:tcW w:w="1021" w:type="dxa"/>
            <w:tcBorders>
              <w:top w:val="single" w:sz="4" w:space="0" w:color="BFBFBF"/>
              <w:left w:val="nil"/>
              <w:bottom w:val="nil"/>
              <w:right w:val="nil"/>
            </w:tcBorders>
            <w:shd w:val="clear" w:color="auto" w:fill="auto"/>
          </w:tcPr>
          <w:p w:rsidR="0092299C" w:rsidRPr="00D02A2E" w:rsidRDefault="0092299C" w:rsidP="00D1019A">
            <w:pPr>
              <w:pStyle w:val="ARtabletextright"/>
            </w:pPr>
            <w:r w:rsidRPr="00D02A2E">
              <w:t>8,800</w:t>
            </w:r>
          </w:p>
        </w:tc>
        <w:tc>
          <w:tcPr>
            <w:tcW w:w="1021" w:type="dxa"/>
            <w:tcBorders>
              <w:top w:val="single" w:sz="4" w:space="0" w:color="BFBFBF"/>
              <w:left w:val="nil"/>
              <w:bottom w:val="nil"/>
              <w:right w:val="nil"/>
            </w:tcBorders>
            <w:shd w:val="clear" w:color="auto" w:fill="auto"/>
          </w:tcPr>
          <w:p w:rsidR="0092299C" w:rsidRPr="00D02A2E" w:rsidRDefault="0092299C" w:rsidP="00CE14F0">
            <w:pPr>
              <w:pStyle w:val="ARtabletextright"/>
            </w:pPr>
            <w:r w:rsidRPr="00D02A2E">
              <w:t>10,476</w:t>
            </w:r>
          </w:p>
        </w:tc>
        <w:tc>
          <w:tcPr>
            <w:tcW w:w="1021" w:type="dxa"/>
            <w:tcBorders>
              <w:top w:val="single" w:sz="4" w:space="0" w:color="BFBFBF"/>
              <w:left w:val="nil"/>
              <w:bottom w:val="nil"/>
              <w:right w:val="nil"/>
            </w:tcBorders>
            <w:shd w:val="clear" w:color="auto" w:fill="auto"/>
          </w:tcPr>
          <w:p w:rsidR="0092299C" w:rsidRPr="00D02A2E" w:rsidRDefault="0092299C" w:rsidP="00A06E99">
            <w:pPr>
              <w:pStyle w:val="ARtabletextright"/>
            </w:pPr>
            <w:r>
              <w:t>19.0</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480"/>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The result is higher than the target due to ongoing growth in the Needle and Syringe Program.</w:t>
            </w:r>
          </w:p>
        </w:tc>
      </w:tr>
      <w:tr w:rsidR="00752C50" w:rsidRPr="00D02A2E" w:rsidTr="00E324D1">
        <w:trPr>
          <w:cantSplit/>
          <w:trHeight w:val="72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telephone, email, website contacts and in person responses to queries and requests for information on alcohol and drug issues (through the Australian Drug Foundation)</w:t>
            </w:r>
          </w:p>
        </w:tc>
        <w:tc>
          <w:tcPr>
            <w:tcW w:w="1021" w:type="dxa"/>
            <w:tcBorders>
              <w:top w:val="single" w:sz="4" w:space="0" w:color="BFBFBF"/>
              <w:left w:val="nil"/>
              <w:bottom w:val="nil"/>
              <w:right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1,200,000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1,467,215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22.3</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higher than the target due to ongoing strong uptake of the desktop and mobile website resources during the year. This measure is proposed to be discontinued in 20</w:t>
            </w:r>
            <w:r>
              <w:t>17–18</w:t>
            </w:r>
            <w:r w:rsidRPr="00D02A2E">
              <w:t>.</w:t>
            </w:r>
          </w:p>
        </w:tc>
      </w:tr>
      <w:tr w:rsidR="00752C50" w:rsidRPr="00D02A2E" w:rsidTr="00E324D1">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Treatment permits issued to medical practitioners or nurse practitioners to prescribe Schedule 8 drugs, including pharmacotherapy</w:t>
            </w:r>
          </w:p>
        </w:tc>
        <w:tc>
          <w:tcPr>
            <w:tcW w:w="1021" w:type="dxa"/>
            <w:tcBorders>
              <w:top w:val="single" w:sz="4" w:space="0" w:color="BFBFBF"/>
              <w:left w:val="nil"/>
              <w:bottom w:val="nil"/>
              <w:right w:val="nil"/>
            </w:tcBorders>
            <w:shd w:val="clear" w:color="auto" w:fill="auto"/>
            <w:hideMark/>
          </w:tcPr>
          <w:p w:rsidR="0092299C" w:rsidRPr="00D02A2E" w:rsidRDefault="00472A7A" w:rsidP="001F2E2D">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48,000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56,430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17.6</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 xml:space="preserve">The result is higher than the target due to more than the anticipated number of permits being issued in </w:t>
            </w:r>
            <w:r>
              <w:t>q</w:t>
            </w:r>
            <w:r w:rsidRPr="00D02A2E">
              <w:t>uarter 3 of 20</w:t>
            </w:r>
            <w:r>
              <w:t>16–17</w:t>
            </w:r>
            <w:r w:rsidRPr="00D02A2E">
              <w:t>. The number of permits issued is demand driven. This performance measure is proposed to be discontinued in 20</w:t>
            </w:r>
            <w:r>
              <w:t>17–18</w:t>
            </w:r>
            <w:r w:rsidRPr="00D02A2E">
              <w:t xml:space="preserve"> and replaced by the new measure 'Percentage of treatment permits for medical practitioners or nurse practitioners to prescribe Schedule 8 drugs assessed within four weeks', which will more accurately reflect timeliness for high priority treatment permits. </w:t>
            </w:r>
          </w:p>
        </w:tc>
      </w:tr>
      <w:tr w:rsidR="00752C50" w:rsidRPr="00D02A2E" w:rsidTr="00E324D1">
        <w:trPr>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bottom w:val="nil"/>
            </w:tcBorders>
            <w:shd w:val="clear" w:color="auto" w:fill="auto"/>
            <w:hideMark/>
          </w:tcPr>
          <w:p w:rsidR="0092299C" w:rsidRPr="00D02A2E" w:rsidRDefault="0092299C" w:rsidP="0092299C">
            <w:pPr>
              <w:pStyle w:val="ARtablebluebold"/>
            </w:pPr>
          </w:p>
        </w:tc>
      </w:tr>
      <w:tr w:rsidR="00752C50" w:rsidRPr="00D02A2E" w:rsidTr="00E324D1">
        <w:trPr>
          <w:cantSplit/>
          <w:trHeight w:val="240"/>
        </w:trPr>
        <w:tc>
          <w:tcPr>
            <w:tcW w:w="4763" w:type="dxa"/>
            <w:tcBorders>
              <w:top w:val="nil"/>
              <w:bottom w:val="single" w:sz="4" w:space="0" w:color="BFBFBF"/>
            </w:tcBorders>
            <w:shd w:val="clear" w:color="auto" w:fill="auto"/>
            <w:hideMark/>
          </w:tcPr>
          <w:p w:rsidR="0092299C" w:rsidRPr="00D02A2E" w:rsidRDefault="0092299C" w:rsidP="0092299C">
            <w:pPr>
              <w:pStyle w:val="ARtabletext"/>
            </w:pPr>
            <w:r w:rsidRPr="00D02A2E">
              <w:t>Pharmacotherapy permits processed within designated timeframe</w:t>
            </w:r>
          </w:p>
        </w:tc>
        <w:tc>
          <w:tcPr>
            <w:tcW w:w="1021" w:type="dxa"/>
            <w:tcBorders>
              <w:top w:val="nil"/>
              <w:bottom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bottom w:val="single" w:sz="4" w:space="0" w:color="BFBFBF"/>
            </w:tcBorders>
            <w:shd w:val="clear" w:color="auto" w:fill="auto"/>
            <w:hideMark/>
          </w:tcPr>
          <w:p w:rsidR="0092299C" w:rsidRPr="00D02A2E" w:rsidRDefault="0092299C" w:rsidP="0092299C">
            <w:pPr>
              <w:pStyle w:val="ARtabletextright"/>
            </w:pPr>
            <w:r w:rsidRPr="00D02A2E">
              <w:t>100</w:t>
            </w:r>
          </w:p>
        </w:tc>
        <w:tc>
          <w:tcPr>
            <w:tcW w:w="1021" w:type="dxa"/>
            <w:tcBorders>
              <w:top w:val="nil"/>
              <w:bottom w:val="single" w:sz="4" w:space="0" w:color="BFBFBF"/>
            </w:tcBorders>
            <w:shd w:val="clear" w:color="auto" w:fill="auto"/>
          </w:tcPr>
          <w:p w:rsidR="0092299C" w:rsidRPr="00D02A2E" w:rsidRDefault="0092299C" w:rsidP="0092299C">
            <w:pPr>
              <w:pStyle w:val="ARtabletextright"/>
            </w:pPr>
            <w:r w:rsidRPr="00D02A2E">
              <w:t>98</w:t>
            </w:r>
            <w:r w:rsidR="00272D00">
              <w:t>.0</w:t>
            </w:r>
          </w:p>
        </w:tc>
        <w:tc>
          <w:tcPr>
            <w:tcW w:w="1021" w:type="dxa"/>
            <w:tcBorders>
              <w:top w:val="nil"/>
              <w:bottom w:val="single" w:sz="4" w:space="0" w:color="BFBFBF"/>
            </w:tcBorders>
            <w:shd w:val="clear" w:color="auto" w:fill="auto"/>
          </w:tcPr>
          <w:p w:rsidR="0092299C" w:rsidRPr="00D02A2E" w:rsidRDefault="00EC4FD8" w:rsidP="0092299C">
            <w:pPr>
              <w:pStyle w:val="ARtabletextright"/>
            </w:pPr>
            <w:r>
              <w:t>–</w:t>
            </w:r>
            <w:r w:rsidR="0092299C">
              <w:t>2.0</w:t>
            </w:r>
          </w:p>
        </w:tc>
        <w:tc>
          <w:tcPr>
            <w:tcW w:w="794" w:type="dxa"/>
            <w:tcBorders>
              <w:top w:val="nil"/>
              <w:bottom w:val="single" w:sz="4" w:space="0" w:color="BFBFBF"/>
            </w:tcBorders>
            <w:shd w:val="clear" w:color="auto" w:fill="auto"/>
            <w:hideMark/>
          </w:tcPr>
          <w:p w:rsidR="0092299C" w:rsidRPr="00D02A2E" w:rsidRDefault="0092299C" w:rsidP="008C184A">
            <w:pPr>
              <w:pStyle w:val="ARtabletextright"/>
            </w:pPr>
            <w:r w:rsidRPr="008C184A">
              <w:rPr>
                <w:rFonts w:ascii="Wingdings" w:hAnsi="Wingdings"/>
              </w:rPr>
              <w:t></w:t>
            </w:r>
          </w:p>
        </w:tc>
      </w:tr>
      <w:tr w:rsidR="00752C50" w:rsidRPr="00D02A2E" w:rsidTr="00E324D1">
        <w:trPr>
          <w:cantSplit/>
          <w:trHeight w:val="240"/>
        </w:trPr>
        <w:tc>
          <w:tcPr>
            <w:tcW w:w="4763" w:type="dxa"/>
            <w:tcBorders>
              <w:top w:val="single" w:sz="4" w:space="0" w:color="BFBFBF"/>
              <w:bottom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bottom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bottom w:val="nil"/>
            </w:tcBorders>
            <w:shd w:val="clear" w:color="auto" w:fill="auto"/>
            <w:hideMark/>
          </w:tcPr>
          <w:p w:rsidR="0092299C" w:rsidRPr="00D02A2E" w:rsidRDefault="0092299C" w:rsidP="0092299C">
            <w:pPr>
              <w:pStyle w:val="ARtablebluebold"/>
            </w:pPr>
          </w:p>
        </w:tc>
      </w:tr>
      <w:tr w:rsidR="00752C50" w:rsidRPr="00D02A2E" w:rsidTr="00E324D1">
        <w:trPr>
          <w:cantSplit/>
          <w:trHeight w:val="240"/>
        </w:trPr>
        <w:tc>
          <w:tcPr>
            <w:tcW w:w="4763" w:type="dxa"/>
            <w:tcBorders>
              <w:top w:val="nil"/>
              <w:bottom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bottom w:val="nil"/>
            </w:tcBorders>
            <w:shd w:val="clear" w:color="auto" w:fill="auto"/>
            <w:hideMark/>
          </w:tcPr>
          <w:p w:rsidR="0092299C" w:rsidRPr="00D02A2E" w:rsidRDefault="0092299C" w:rsidP="001F2E2D">
            <w:pPr>
              <w:pStyle w:val="ARtabletextbold"/>
              <w:jc w:val="center"/>
            </w:pPr>
            <w:r w:rsidRPr="00D02A2E">
              <w:t>$ million</w:t>
            </w:r>
          </w:p>
        </w:tc>
        <w:tc>
          <w:tcPr>
            <w:tcW w:w="1021" w:type="dxa"/>
            <w:tcBorders>
              <w:top w:val="nil"/>
              <w:bottom w:val="nil"/>
            </w:tcBorders>
            <w:shd w:val="clear" w:color="auto" w:fill="auto"/>
            <w:hideMark/>
          </w:tcPr>
          <w:p w:rsidR="0092299C" w:rsidRPr="000B6AC5" w:rsidRDefault="0092299C" w:rsidP="0092299C">
            <w:pPr>
              <w:pStyle w:val="ARtabletextright"/>
              <w:rPr>
                <w:b/>
                <w:bCs/>
              </w:rPr>
            </w:pPr>
            <w:r w:rsidRPr="000B6AC5">
              <w:rPr>
                <w:b/>
                <w:bCs/>
              </w:rPr>
              <w:t>34.6</w:t>
            </w:r>
          </w:p>
        </w:tc>
        <w:tc>
          <w:tcPr>
            <w:tcW w:w="1021" w:type="dxa"/>
            <w:tcBorders>
              <w:top w:val="nil"/>
              <w:bottom w:val="nil"/>
            </w:tcBorders>
            <w:shd w:val="clear" w:color="auto" w:fill="auto"/>
          </w:tcPr>
          <w:p w:rsidR="0092299C" w:rsidRPr="000B6AC5" w:rsidRDefault="0092299C" w:rsidP="0092299C">
            <w:pPr>
              <w:pStyle w:val="ARtabletextright"/>
              <w:rPr>
                <w:b/>
                <w:bCs/>
              </w:rPr>
            </w:pPr>
            <w:r w:rsidRPr="000B6AC5">
              <w:rPr>
                <w:b/>
                <w:bCs/>
              </w:rPr>
              <w:t>31.1</w:t>
            </w:r>
          </w:p>
        </w:tc>
        <w:tc>
          <w:tcPr>
            <w:tcW w:w="1021" w:type="dxa"/>
            <w:tcBorders>
              <w:top w:val="nil"/>
              <w:bottom w:val="nil"/>
            </w:tcBorders>
            <w:shd w:val="clear" w:color="auto" w:fill="auto"/>
          </w:tcPr>
          <w:p w:rsidR="0092299C" w:rsidRPr="000B6AC5" w:rsidRDefault="00EC4FD8" w:rsidP="0092299C">
            <w:pPr>
              <w:pStyle w:val="ARtabletextright"/>
              <w:rPr>
                <w:b/>
                <w:bCs/>
              </w:rPr>
            </w:pPr>
            <w:r>
              <w:rPr>
                <w:b/>
                <w:bCs/>
              </w:rPr>
              <w:t>–</w:t>
            </w:r>
            <w:r w:rsidR="0092299C">
              <w:rPr>
                <w:b/>
                <w:bCs/>
              </w:rPr>
              <w:t>10.2</w:t>
            </w:r>
          </w:p>
        </w:tc>
        <w:tc>
          <w:tcPr>
            <w:tcW w:w="794" w:type="dxa"/>
            <w:tcBorders>
              <w:top w:val="nil"/>
              <w:bottom w:val="nil"/>
            </w:tcBorders>
            <w:shd w:val="clear" w:color="auto" w:fill="auto"/>
            <w:hideMark/>
          </w:tcPr>
          <w:p w:rsidR="0092299C" w:rsidRPr="000B6AC5" w:rsidRDefault="0092299C" w:rsidP="0092299C">
            <w:pPr>
              <w:pStyle w:val="ARtabletextright"/>
              <w:rPr>
                <w:b/>
                <w:bCs/>
              </w:rPr>
            </w:pPr>
          </w:p>
        </w:tc>
      </w:tr>
      <w:tr w:rsidR="0092299C" w:rsidRPr="00D02A2E" w:rsidTr="00E324D1">
        <w:trPr>
          <w:cantSplit/>
          <w:trHeight w:val="240"/>
        </w:trPr>
        <w:tc>
          <w:tcPr>
            <w:tcW w:w="794" w:type="dxa"/>
            <w:gridSpan w:val="6"/>
            <w:tcBorders>
              <w:top w:val="nil"/>
            </w:tcBorders>
            <w:shd w:val="clear" w:color="auto" w:fill="auto"/>
          </w:tcPr>
          <w:p w:rsidR="0092299C" w:rsidRPr="00D02A2E" w:rsidRDefault="0092299C" w:rsidP="0092299C">
            <w:pPr>
              <w:pStyle w:val="ARtablenoteindent"/>
            </w:pPr>
            <w:r w:rsidRPr="0031742B">
              <w:t>The 20</w:t>
            </w:r>
            <w:r>
              <w:t>16–17</w:t>
            </w:r>
            <w:r w:rsidRPr="0031742B">
              <w:t xml:space="preserve"> actual outcome primarily reflects movements within the output group, movements among output groups, and the difference between 20</w:t>
            </w:r>
            <w:r>
              <w:t>15–16</w:t>
            </w:r>
            <w:r w:rsidRPr="0031742B">
              <w:t xml:space="preserve"> estimated and actual carry-over.</w:t>
            </w:r>
          </w:p>
        </w:tc>
      </w:tr>
      <w:tr w:rsidR="00752C50" w:rsidRPr="00D02A2E" w:rsidTr="00E324D1">
        <w:trPr>
          <w:cantSplit/>
          <w:trHeight w:val="240"/>
        </w:trPr>
        <w:tc>
          <w:tcPr>
            <w:tcW w:w="4763" w:type="dxa"/>
            <w:tcBorders>
              <w:top w:val="nil"/>
              <w:bottom w:val="single" w:sz="4" w:space="0" w:color="000000"/>
            </w:tcBorders>
            <w:shd w:val="clear" w:color="auto" w:fill="auto"/>
            <w:hideMark/>
          </w:tcPr>
          <w:p w:rsidR="0092299C" w:rsidRPr="00D02A2E" w:rsidRDefault="0092299C" w:rsidP="0092299C">
            <w:pPr>
              <w:keepNext/>
              <w:spacing w:before="80" w:after="60"/>
              <w:rPr>
                <w:rFonts w:eastAsia="Times" w:cs="Arial"/>
                <w:b/>
                <w:color w:val="004C97"/>
                <w:sz w:val="18"/>
                <w:szCs w:val="18"/>
                <w:lang w:eastAsia="en-AU"/>
              </w:rPr>
            </w:pPr>
            <w:r w:rsidRPr="00D02A2E">
              <w:rPr>
                <w:rFonts w:eastAsia="Times" w:cs="Arial"/>
                <w:b/>
                <w:color w:val="004C97"/>
                <w:sz w:val="18"/>
                <w:szCs w:val="18"/>
                <w:lang w:eastAsia="en-AU"/>
              </w:rPr>
              <w:t xml:space="preserve">Drug Treatment and Rehabilitation </w:t>
            </w:r>
          </w:p>
        </w:tc>
        <w:tc>
          <w:tcPr>
            <w:tcW w:w="1021" w:type="dxa"/>
            <w:tcBorders>
              <w:top w:val="nil"/>
              <w:bottom w:val="single" w:sz="4" w:space="0" w:color="000000"/>
            </w:tcBorders>
            <w:shd w:val="clear" w:color="auto" w:fill="auto"/>
            <w:hideMark/>
          </w:tcPr>
          <w:p w:rsidR="0092299C" w:rsidRPr="00D02A2E" w:rsidRDefault="0092299C" w:rsidP="0092299C">
            <w:pPr>
              <w:spacing w:before="80" w:after="60"/>
              <w:jc w:val="center"/>
              <w:rPr>
                <w:rFonts w:eastAsia="Times" w:cs="Arial"/>
                <w:b/>
                <w:color w:val="004C97"/>
                <w:sz w:val="18"/>
                <w:szCs w:val="18"/>
                <w:lang w:eastAsia="en-AU"/>
              </w:rPr>
            </w:pPr>
          </w:p>
        </w:tc>
        <w:tc>
          <w:tcPr>
            <w:tcW w:w="1021" w:type="dxa"/>
            <w:tcBorders>
              <w:top w:val="nil"/>
              <w:bottom w:val="single" w:sz="4" w:space="0" w:color="000000"/>
            </w:tcBorders>
            <w:shd w:val="clear" w:color="auto" w:fill="auto"/>
            <w:hideMark/>
          </w:tcPr>
          <w:p w:rsidR="0092299C" w:rsidRPr="00D02A2E" w:rsidRDefault="0092299C" w:rsidP="0092299C">
            <w:pPr>
              <w:spacing w:before="80" w:after="60"/>
              <w:jc w:val="right"/>
              <w:rPr>
                <w:rFonts w:eastAsia="Times" w:cs="Arial"/>
                <w:b/>
                <w:color w:val="004C97"/>
                <w:sz w:val="18"/>
                <w:szCs w:val="18"/>
                <w:lang w:eastAsia="en-AU"/>
              </w:rPr>
            </w:pPr>
            <w:r w:rsidRPr="00D02A2E">
              <w:rPr>
                <w:rFonts w:eastAsia="Times" w:cs="Arial"/>
                <w:b/>
                <w:color w:val="004C97"/>
                <w:sz w:val="18"/>
                <w:szCs w:val="18"/>
                <w:lang w:eastAsia="en-AU"/>
              </w:rPr>
              <w:t> </w:t>
            </w:r>
          </w:p>
        </w:tc>
        <w:tc>
          <w:tcPr>
            <w:tcW w:w="1021" w:type="dxa"/>
            <w:tcBorders>
              <w:top w:val="nil"/>
              <w:bottom w:val="single" w:sz="4" w:space="0" w:color="000000"/>
            </w:tcBorders>
            <w:shd w:val="clear" w:color="auto" w:fill="auto"/>
            <w:hideMark/>
          </w:tcPr>
          <w:p w:rsidR="0092299C" w:rsidRPr="00D02A2E" w:rsidRDefault="0092299C" w:rsidP="0092299C">
            <w:pPr>
              <w:spacing w:before="80" w:after="60"/>
              <w:jc w:val="right"/>
              <w:rPr>
                <w:rFonts w:eastAsia="Times" w:cs="Arial"/>
                <w:b/>
                <w:color w:val="004C97"/>
                <w:sz w:val="18"/>
                <w:szCs w:val="18"/>
                <w:lang w:eastAsia="en-AU"/>
              </w:rPr>
            </w:pPr>
            <w:r w:rsidRPr="00D02A2E">
              <w:rPr>
                <w:rFonts w:eastAsia="Times" w:cs="Arial"/>
                <w:b/>
                <w:color w:val="004C97"/>
                <w:sz w:val="18"/>
                <w:szCs w:val="18"/>
                <w:lang w:eastAsia="en-AU"/>
              </w:rPr>
              <w:t> </w:t>
            </w:r>
          </w:p>
        </w:tc>
        <w:tc>
          <w:tcPr>
            <w:tcW w:w="1021" w:type="dxa"/>
            <w:tcBorders>
              <w:top w:val="nil"/>
              <w:bottom w:val="single" w:sz="4" w:space="0" w:color="000000"/>
            </w:tcBorders>
            <w:shd w:val="clear" w:color="auto" w:fill="auto"/>
            <w:hideMark/>
          </w:tcPr>
          <w:p w:rsidR="0092299C" w:rsidRPr="00D02A2E" w:rsidRDefault="0092299C" w:rsidP="0092299C">
            <w:pPr>
              <w:spacing w:before="80" w:after="60"/>
              <w:jc w:val="right"/>
              <w:rPr>
                <w:rFonts w:eastAsia="Times" w:cs="Arial"/>
                <w:b/>
                <w:color w:val="004C97"/>
                <w:sz w:val="18"/>
                <w:szCs w:val="18"/>
                <w:lang w:eastAsia="en-AU"/>
              </w:rPr>
            </w:pPr>
            <w:r w:rsidRPr="00D02A2E">
              <w:rPr>
                <w:rFonts w:eastAsia="Times" w:cs="Arial"/>
                <w:b/>
                <w:color w:val="004C97"/>
                <w:sz w:val="18"/>
                <w:szCs w:val="18"/>
                <w:lang w:eastAsia="en-AU"/>
              </w:rPr>
              <w:t> </w:t>
            </w:r>
          </w:p>
        </w:tc>
        <w:tc>
          <w:tcPr>
            <w:tcW w:w="794" w:type="dxa"/>
            <w:tcBorders>
              <w:top w:val="nil"/>
              <w:bottom w:val="single" w:sz="4" w:space="0" w:color="000000"/>
            </w:tcBorders>
            <w:shd w:val="clear" w:color="auto" w:fill="auto"/>
            <w:hideMark/>
          </w:tcPr>
          <w:p w:rsidR="0092299C" w:rsidRPr="00D02A2E" w:rsidRDefault="0092299C" w:rsidP="0092299C">
            <w:pPr>
              <w:spacing w:before="80" w:after="60"/>
              <w:jc w:val="center"/>
              <w:rPr>
                <w:rFonts w:eastAsia="Times" w:cs="Arial"/>
                <w:b/>
                <w:color w:val="004C97"/>
                <w:sz w:val="18"/>
                <w:szCs w:val="18"/>
                <w:lang w:eastAsia="en-AU"/>
              </w:rPr>
            </w:pPr>
          </w:p>
        </w:tc>
      </w:tr>
      <w:tr w:rsidR="00752C50" w:rsidRPr="00D02A2E" w:rsidTr="00E324D1">
        <w:trPr>
          <w:cantSplit/>
          <w:trHeight w:val="240"/>
        </w:trPr>
        <w:tc>
          <w:tcPr>
            <w:tcW w:w="4763" w:type="dxa"/>
            <w:tcBorders>
              <w:top w:val="single" w:sz="4" w:space="0" w:color="000000"/>
              <w:left w:val="nil"/>
              <w:bottom w:val="nil"/>
              <w:right w:val="nil"/>
            </w:tcBorders>
            <w:shd w:val="clear" w:color="auto" w:fill="auto"/>
            <w:hideMark/>
          </w:tcPr>
          <w:p w:rsidR="0092299C" w:rsidRPr="00D02A2E" w:rsidRDefault="0092299C" w:rsidP="00001CB9">
            <w:pPr>
              <w:pStyle w:val="ARtablebluebold"/>
            </w:pPr>
            <w:r w:rsidRPr="00D02A2E">
              <w:t>Quantity</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spacing w:before="80" w:after="60"/>
              <w:jc w:val="center"/>
              <w:rPr>
                <w:rFonts w:eastAsia="Times" w:cs="Arial"/>
                <w:b/>
                <w:i/>
                <w:color w:val="004C97"/>
                <w:sz w:val="18"/>
                <w:szCs w:val="18"/>
                <w:lang w:eastAsia="en-AU"/>
              </w:rPr>
            </w:pPr>
          </w:p>
        </w:tc>
        <w:tc>
          <w:tcPr>
            <w:tcW w:w="1021" w:type="dxa"/>
            <w:tcBorders>
              <w:top w:val="single" w:sz="4" w:space="0" w:color="000000"/>
              <w:left w:val="nil"/>
              <w:bottom w:val="nil"/>
              <w:right w:val="nil"/>
            </w:tcBorders>
            <w:shd w:val="clear" w:color="auto" w:fill="auto"/>
            <w:hideMark/>
          </w:tcPr>
          <w:p w:rsidR="0092299C" w:rsidRPr="00D02A2E" w:rsidRDefault="0092299C" w:rsidP="0092299C">
            <w:pPr>
              <w:spacing w:before="80" w:after="60"/>
              <w:jc w:val="right"/>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spacing w:before="80" w:after="60"/>
              <w:jc w:val="right"/>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spacing w:before="80" w:after="60"/>
              <w:jc w:val="right"/>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000000"/>
              <w:left w:val="nil"/>
              <w:bottom w:val="nil"/>
              <w:right w:val="nil"/>
            </w:tcBorders>
            <w:shd w:val="clear" w:color="auto" w:fill="auto"/>
            <w:hideMark/>
          </w:tcPr>
          <w:p w:rsidR="0092299C" w:rsidRPr="00D02A2E" w:rsidRDefault="0092299C" w:rsidP="0092299C">
            <w:pPr>
              <w:spacing w:before="80" w:after="60"/>
              <w:jc w:val="center"/>
              <w:rPr>
                <w:rFonts w:eastAsia="Times" w:cs="Arial"/>
                <w:b/>
                <w:i/>
                <w:color w:val="004C97"/>
                <w:sz w:val="18"/>
                <w:szCs w:val="18"/>
                <w:lang w:eastAsia="en-AU"/>
              </w:rPr>
            </w:pPr>
          </w:p>
        </w:tc>
      </w:tr>
      <w:tr w:rsidR="00752C50" w:rsidRPr="00D02A2E" w:rsidTr="00E324D1">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Clients on the pharmacotherapy program</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14,000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14,233</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1.7</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001CB9">
            <w:pPr>
              <w:pStyle w:val="ARtabletext"/>
              <w:keepNext/>
            </w:pPr>
            <w:r w:rsidRPr="00D02A2E">
              <w:lastRenderedPageBreak/>
              <w:t>Commenced courses of treatment: community-based drug treatment services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7,494</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9,264</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23.6</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t>The</w:t>
            </w:r>
            <w:r w:rsidRPr="00D02A2E">
              <w:t xml:space="preserve"> result is higher than the target due to ongoing increased activity, largely in youth services.</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Commenced courses of treatment: residential-based drug treatment services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6,302</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5,854</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7.1</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The result is lower than the target due to significant reporting issues from one withdrawal service. The department is working with the service to address this issue.</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Drug Treatment Activity Units (DTAUs)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75,885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82,511</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8.7</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higher than the target due to reported over-performance in the 'Counselling and Care' and 'Recovery Coordination' streams.</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new residential withdrawal clients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2,200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1,801</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18.1</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lower than the target due to lower overall throughput of clients, due in turn to longer stays or multiple courses of treatment required for some clients, and significant reporting issues from one withdrawal service.</w:t>
            </w:r>
            <w:r w:rsidRPr="00D02A2E">
              <w:rPr>
                <w:rFonts w:cs="Arial"/>
                <w:szCs w:val="16"/>
              </w:rPr>
              <w:t xml:space="preserve"> The department is working with the service to address the latter issue.</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Residential bed days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107,310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106,927</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0.4</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001CB9">
            <w:pPr>
              <w:pStyle w:val="ARtablebluebold"/>
            </w:pPr>
            <w:r w:rsidRPr="00D02A2E">
              <w:t>Quality</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jc w:val="center"/>
              <w:rPr>
                <w:rFonts w:eastAsia="Times" w:cs="Arial"/>
                <w:b/>
                <w:i/>
                <w:color w:val="004C97"/>
                <w:sz w:val="18"/>
                <w:szCs w:val="18"/>
                <w:lang w:eastAsia="en-AU"/>
              </w:rPr>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jc w:val="right"/>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jc w:val="right"/>
              <w:rPr>
                <w:rFonts w:eastAsia="Times" w:cs="Arial"/>
                <w:b/>
                <w:i/>
                <w:color w:val="004C97"/>
                <w:sz w:val="18"/>
                <w:szCs w:val="18"/>
                <w:lang w:eastAsia="en-AU"/>
              </w:rPr>
            </w:pPr>
            <w:r w:rsidRPr="00D02A2E">
              <w:rPr>
                <w:rFonts w:eastAsia="Times" w:cs="Arial"/>
                <w:b/>
                <w:i/>
                <w:color w:val="004C97"/>
                <w:sz w:val="18"/>
                <w:szCs w:val="18"/>
                <w:lang w:eastAsia="en-AU"/>
              </w:rPr>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spacing w:before="80" w:after="60"/>
              <w:jc w:val="right"/>
              <w:rPr>
                <w:rFonts w:eastAsia="Times" w:cs="Arial"/>
                <w:b/>
                <w:i/>
                <w:color w:val="004C97"/>
                <w:sz w:val="18"/>
                <w:szCs w:val="18"/>
                <w:lang w:eastAsia="en-AU"/>
              </w:rPr>
            </w:pPr>
            <w:r w:rsidRPr="00D02A2E">
              <w:rPr>
                <w:rFonts w:eastAsia="Times" w:cs="Arial"/>
                <w:b/>
                <w:i/>
                <w:color w:val="004C97"/>
                <w:sz w:val="18"/>
                <w:szCs w:val="18"/>
                <w:lang w:eastAsia="en-AU"/>
              </w:rPr>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spacing w:before="80" w:after="60"/>
              <w:jc w:val="center"/>
              <w:rPr>
                <w:rFonts w:eastAsia="Times" w:cs="Arial"/>
                <w:b/>
                <w:i/>
                <w:color w:val="004C97"/>
                <w:sz w:val="18"/>
                <w:szCs w:val="18"/>
                <w:lang w:eastAsia="en-AU"/>
              </w:rPr>
            </w:pPr>
          </w:p>
        </w:tc>
      </w:tr>
      <w:tr w:rsidR="00752C50" w:rsidRPr="00D02A2E" w:rsidTr="00E324D1">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Percentage of new clients to existing clients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50</w:t>
            </w:r>
          </w:p>
        </w:tc>
        <w:tc>
          <w:tcPr>
            <w:tcW w:w="1021" w:type="dxa"/>
            <w:tcBorders>
              <w:top w:val="nil"/>
              <w:left w:val="nil"/>
              <w:bottom w:val="nil"/>
              <w:right w:val="nil"/>
            </w:tcBorders>
            <w:shd w:val="clear" w:color="auto" w:fill="auto"/>
          </w:tcPr>
          <w:p w:rsidR="0092299C" w:rsidRPr="001F2E2D" w:rsidRDefault="0092299C" w:rsidP="0092299C">
            <w:pPr>
              <w:pStyle w:val="ARtabletextright"/>
            </w:pPr>
            <w:r w:rsidRPr="001F2E2D">
              <w:t>34</w:t>
            </w:r>
            <w:r w:rsidR="00272D00" w:rsidRPr="001F2E2D">
              <w:t>.1</w:t>
            </w:r>
          </w:p>
        </w:tc>
        <w:tc>
          <w:tcPr>
            <w:tcW w:w="1021" w:type="dxa"/>
            <w:tcBorders>
              <w:top w:val="nil"/>
              <w:left w:val="nil"/>
              <w:bottom w:val="nil"/>
              <w:right w:val="nil"/>
            </w:tcBorders>
            <w:shd w:val="clear" w:color="auto" w:fill="auto"/>
          </w:tcPr>
          <w:p w:rsidR="0092299C" w:rsidRPr="001F2E2D" w:rsidRDefault="00EC4FD8" w:rsidP="0092299C">
            <w:pPr>
              <w:pStyle w:val="ARtabletextright"/>
            </w:pPr>
            <w:r>
              <w:t>–</w:t>
            </w:r>
            <w:r w:rsidR="0092299C" w:rsidRPr="001F2E2D">
              <w:t>3</w:t>
            </w:r>
            <w:r w:rsidR="003C620C" w:rsidRPr="001F2E2D">
              <w:t>1.8</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lower than the target due to more clients receiving multiple courses of treatment to address increasing complexities.</w:t>
            </w:r>
          </w:p>
        </w:tc>
      </w:tr>
      <w:tr w:rsidR="00752C50" w:rsidRPr="00D02A2E" w:rsidTr="00E324D1">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Percentage of residential rehabilitation courses of treatment greater than 65 days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50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47</w:t>
            </w:r>
            <w:r w:rsidR="00272D00">
              <w:t>.0</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6.0</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lower than the target due to several service providers operating delivery models wit</w:t>
            </w:r>
            <w:r>
              <w:t>h shorter courses of treatment.</w:t>
            </w:r>
          </w:p>
        </w:tc>
      </w:tr>
      <w:tr w:rsidR="00752C50" w:rsidRPr="00D02A2E" w:rsidTr="00E324D1">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Successful courses of treatment (episodes of care): community-based drug treatment services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6,508</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8,253</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26.8</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higher than the target due to increased activity across youth services consistent with the 'Commenced courses of treatment' performance measure.</w:t>
            </w:r>
          </w:p>
        </w:tc>
      </w:tr>
      <w:tr w:rsidR="00752C50" w:rsidRPr="00D02A2E" w:rsidTr="00E324D1">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rPr>
                <w:i/>
                <w:sz w:val="16"/>
                <w:szCs w:val="16"/>
              </w:rPr>
            </w:pPr>
            <w:r w:rsidRPr="00D02A2E">
              <w:t>Successful courses of treatment (episodes of care): residential-based drug treatment services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5,859</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5,481</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6.5</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480"/>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18"/>
                <w:lang w:val="en-US"/>
              </w:rPr>
            </w:pPr>
            <w:r w:rsidRPr="00D02A2E">
              <w:t>The result is lower than the target due to significant reporting issues from one withdrawal service and under performance at one residential services</w:t>
            </w:r>
            <w:r w:rsidRPr="00D02A2E">
              <w:rPr>
                <w:lang w:val="en-US"/>
              </w:rPr>
              <w:t>.</w:t>
            </w:r>
            <w:r w:rsidRPr="00D02A2E">
              <w:t xml:space="preserve"> The department is working with the service to address the reporting issues.</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Trained alcohol and drug workers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85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62</w:t>
            </w:r>
            <w:r w:rsidR="00272D00">
              <w:t>.0</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27.1</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92299C" w:rsidRPr="00D02A2E" w:rsidTr="00E324D1">
        <w:trPr>
          <w:cantSplit/>
          <w:trHeight w:val="240"/>
        </w:trPr>
        <w:tc>
          <w:tcPr>
            <w:tcW w:w="794" w:type="dxa"/>
            <w:gridSpan w:val="6"/>
            <w:tcBorders>
              <w:top w:val="nil"/>
              <w:left w:val="nil"/>
              <w:bottom w:val="single" w:sz="4" w:space="0" w:color="BFBFBF"/>
              <w:right w:val="nil"/>
            </w:tcBorders>
            <w:shd w:val="clear" w:color="auto" w:fill="auto"/>
            <w:noWrap/>
            <w:hideMark/>
          </w:tcPr>
          <w:p w:rsidR="0092299C" w:rsidRPr="00D02A2E" w:rsidRDefault="0092299C" w:rsidP="0092299C">
            <w:pPr>
              <w:pStyle w:val="ARtablenoteindent"/>
            </w:pPr>
            <w:r w:rsidRPr="00D02A2E">
              <w:t>The result is lower than the target due to significant workforce turnover experienced as a result of service recommissioning in 2014.</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Timeliness</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752C50" w:rsidRPr="000D0AD7" w:rsidTr="00E324D1">
        <w:trPr>
          <w:cantSplit/>
          <w:trHeight w:val="480"/>
        </w:trPr>
        <w:tc>
          <w:tcPr>
            <w:tcW w:w="4763" w:type="dxa"/>
            <w:tcBorders>
              <w:top w:val="nil"/>
              <w:left w:val="nil"/>
              <w:bottom w:val="nil"/>
              <w:right w:val="nil"/>
            </w:tcBorders>
            <w:shd w:val="clear" w:color="auto" w:fill="auto"/>
            <w:hideMark/>
          </w:tcPr>
          <w:p w:rsidR="0092299C" w:rsidRPr="000D0AD7" w:rsidRDefault="0092299C" w:rsidP="0092299C">
            <w:pPr>
              <w:pStyle w:val="ARtabletext"/>
            </w:pPr>
            <w:r w:rsidRPr="000D0AD7">
              <w:t>Average working days between screening of client and commencement of community-based drug treatment</w:t>
            </w:r>
          </w:p>
        </w:tc>
        <w:tc>
          <w:tcPr>
            <w:tcW w:w="1021" w:type="dxa"/>
            <w:tcBorders>
              <w:top w:val="nil"/>
              <w:left w:val="nil"/>
              <w:bottom w:val="nil"/>
              <w:right w:val="nil"/>
            </w:tcBorders>
            <w:shd w:val="clear" w:color="auto" w:fill="auto"/>
            <w:hideMark/>
          </w:tcPr>
          <w:p w:rsidR="0092299C" w:rsidRPr="000D0AD7" w:rsidRDefault="0092299C" w:rsidP="001F2E2D">
            <w:pPr>
              <w:pStyle w:val="ARtabletext"/>
              <w:jc w:val="center"/>
            </w:pPr>
            <w:r w:rsidRPr="000D0AD7">
              <w:t>days</w:t>
            </w:r>
          </w:p>
        </w:tc>
        <w:tc>
          <w:tcPr>
            <w:tcW w:w="1021" w:type="dxa"/>
            <w:tcBorders>
              <w:top w:val="nil"/>
              <w:left w:val="nil"/>
              <w:bottom w:val="nil"/>
              <w:right w:val="nil"/>
            </w:tcBorders>
            <w:shd w:val="clear" w:color="auto" w:fill="auto"/>
            <w:hideMark/>
          </w:tcPr>
          <w:p w:rsidR="0092299C" w:rsidRPr="000D0AD7" w:rsidRDefault="0092299C" w:rsidP="0092299C">
            <w:pPr>
              <w:pStyle w:val="ARtabletextright"/>
            </w:pPr>
            <w:r w:rsidRPr="000D0AD7">
              <w:t>3</w:t>
            </w:r>
          </w:p>
        </w:tc>
        <w:tc>
          <w:tcPr>
            <w:tcW w:w="1021" w:type="dxa"/>
            <w:tcBorders>
              <w:top w:val="nil"/>
              <w:left w:val="nil"/>
              <w:bottom w:val="nil"/>
              <w:right w:val="nil"/>
            </w:tcBorders>
            <w:shd w:val="clear" w:color="auto" w:fill="auto"/>
          </w:tcPr>
          <w:p w:rsidR="0092299C" w:rsidRPr="000D0AD7" w:rsidRDefault="0092299C" w:rsidP="0092299C">
            <w:pPr>
              <w:pStyle w:val="ARtabletextright"/>
            </w:pPr>
            <w:r w:rsidRPr="000D0AD7">
              <w:t>0</w:t>
            </w:r>
          </w:p>
        </w:tc>
        <w:tc>
          <w:tcPr>
            <w:tcW w:w="1021" w:type="dxa"/>
            <w:tcBorders>
              <w:top w:val="nil"/>
              <w:left w:val="nil"/>
              <w:bottom w:val="nil"/>
              <w:right w:val="nil"/>
            </w:tcBorders>
            <w:shd w:val="clear" w:color="auto" w:fill="auto"/>
          </w:tcPr>
          <w:p w:rsidR="0092299C" w:rsidRPr="000D0AD7" w:rsidRDefault="0092299C" w:rsidP="0092299C">
            <w:pPr>
              <w:pStyle w:val="ARtabletextright"/>
            </w:pPr>
            <w:r>
              <w:t>100.0</w:t>
            </w:r>
          </w:p>
        </w:tc>
        <w:tc>
          <w:tcPr>
            <w:tcW w:w="794" w:type="dxa"/>
            <w:tcBorders>
              <w:top w:val="nil"/>
              <w:left w:val="nil"/>
              <w:bottom w:val="nil"/>
              <w:right w:val="nil"/>
            </w:tcBorders>
            <w:shd w:val="clear" w:color="auto" w:fill="auto"/>
            <w:hideMark/>
          </w:tcPr>
          <w:p w:rsidR="0092299C" w:rsidRPr="000D0AD7" w:rsidRDefault="002670E9" w:rsidP="008C184A">
            <w:pPr>
              <w:pStyle w:val="ARtabletextright"/>
            </w:pPr>
            <w:r w:rsidRPr="008C184A">
              <w:rPr>
                <w:rFonts w:ascii="Wingdings" w:hAnsi="Wingdings"/>
              </w:rPr>
              <w:t></w:t>
            </w:r>
          </w:p>
        </w:tc>
      </w:tr>
      <w:tr w:rsidR="0092299C" w:rsidRPr="00D02A2E" w:rsidTr="00E324D1">
        <w:trPr>
          <w:cantSplit/>
          <w:trHeight w:val="480"/>
        </w:trPr>
        <w:tc>
          <w:tcPr>
            <w:tcW w:w="794" w:type="dxa"/>
            <w:gridSpan w:val="6"/>
            <w:tcBorders>
              <w:top w:val="nil"/>
              <w:left w:val="nil"/>
              <w:bottom w:val="nil"/>
              <w:right w:val="nil"/>
            </w:tcBorders>
            <w:shd w:val="clear" w:color="auto" w:fill="auto"/>
          </w:tcPr>
          <w:p w:rsidR="0092299C" w:rsidRPr="00D02A2E" w:rsidRDefault="0092299C" w:rsidP="002670E9">
            <w:pPr>
              <w:pStyle w:val="ARtablenoteindent"/>
            </w:pPr>
            <w:r w:rsidRPr="00D02A2E">
              <w:t xml:space="preserve">The result is </w:t>
            </w:r>
            <w:r w:rsidR="002670E9">
              <w:t>better</w:t>
            </w:r>
            <w:r w:rsidR="002670E9" w:rsidRPr="00D02A2E">
              <w:t xml:space="preserve"> </w:t>
            </w:r>
            <w:r w:rsidRPr="00D02A2E">
              <w:t>than the target because this measure is not a true reflection of wait times. Client information is generally only recorded once a person is accepted into treatment rather than when initially screened.</w:t>
            </w:r>
          </w:p>
        </w:tc>
      </w:tr>
      <w:tr w:rsidR="00752C50" w:rsidRPr="00D02A2E" w:rsidTr="00E324D1">
        <w:trPr>
          <w:cantSplit/>
          <w:trHeight w:val="48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Average working days between screening of client and commencement of residential-based drug treatment</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right"/>
              <w:jc w:val="center"/>
            </w:pPr>
            <w:r w:rsidRPr="00D02A2E">
              <w:t>days</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6</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single" w:sz="4" w:space="0" w:color="BFBFBF"/>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rPr>
              <w:t></w:t>
            </w:r>
          </w:p>
        </w:tc>
      </w:tr>
      <w:tr w:rsidR="00752C50" w:rsidRPr="00D02A2E" w:rsidTr="00E324D1">
        <w:trPr>
          <w:cantSplit/>
          <w:trHeight w:val="240"/>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752C50" w:rsidRPr="00D02A2E" w:rsidTr="00E324D1">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spacing w:before="80" w:after="60"/>
              <w:rPr>
                <w:rFonts w:eastAsia="Times" w:cs="Arial"/>
                <w:b/>
                <w:sz w:val="18"/>
                <w:szCs w:val="18"/>
                <w:lang w:eastAsia="en-AU"/>
              </w:rPr>
            </w:pPr>
            <w:r w:rsidRPr="00D02A2E">
              <w:rPr>
                <w:rFonts w:eastAsia="Times" w:cs="Arial"/>
                <w:b/>
                <w:sz w:val="18"/>
                <w:szCs w:val="18"/>
                <w:lang w:eastAsia="en-AU"/>
              </w:rPr>
              <w:t>Total output cost</w:t>
            </w:r>
          </w:p>
        </w:tc>
        <w:tc>
          <w:tcPr>
            <w:tcW w:w="1021" w:type="dxa"/>
            <w:tcBorders>
              <w:top w:val="nil"/>
              <w:left w:val="nil"/>
              <w:bottom w:val="nil"/>
              <w:right w:val="nil"/>
            </w:tcBorders>
            <w:shd w:val="clear" w:color="auto" w:fill="auto"/>
            <w:hideMark/>
          </w:tcPr>
          <w:p w:rsidR="0092299C" w:rsidRPr="00D02A2E" w:rsidRDefault="0092299C" w:rsidP="001F2E2D">
            <w:pPr>
              <w:pStyle w:val="ARtablecolheadright"/>
              <w:spacing w:line="240" w:lineRule="auto"/>
              <w:jc w:val="center"/>
              <w:rPr>
                <w:lang w:eastAsia="en-AU"/>
              </w:rPr>
            </w:pPr>
            <w:r w:rsidRPr="00D02A2E">
              <w:rPr>
                <w:lang w:eastAsia="en-AU"/>
              </w:rPr>
              <w:t>$ million</w:t>
            </w:r>
          </w:p>
        </w:tc>
        <w:tc>
          <w:tcPr>
            <w:tcW w:w="1021" w:type="dxa"/>
            <w:tcBorders>
              <w:top w:val="nil"/>
              <w:left w:val="nil"/>
              <w:bottom w:val="nil"/>
              <w:right w:val="nil"/>
            </w:tcBorders>
            <w:shd w:val="clear" w:color="auto" w:fill="auto"/>
          </w:tcPr>
          <w:p w:rsidR="0092299C" w:rsidRPr="000B6AC5" w:rsidRDefault="0092299C" w:rsidP="0092299C">
            <w:pPr>
              <w:pStyle w:val="ARtabletextright"/>
              <w:rPr>
                <w:b/>
                <w:bCs/>
                <w:color w:val="000000"/>
              </w:rPr>
            </w:pPr>
            <w:r w:rsidRPr="000B6AC5">
              <w:rPr>
                <w:b/>
                <w:bCs/>
                <w:color w:val="000000"/>
              </w:rPr>
              <w:t>157.9</w:t>
            </w:r>
          </w:p>
        </w:tc>
        <w:tc>
          <w:tcPr>
            <w:tcW w:w="1021" w:type="dxa"/>
            <w:tcBorders>
              <w:top w:val="nil"/>
              <w:left w:val="nil"/>
              <w:bottom w:val="nil"/>
              <w:right w:val="nil"/>
            </w:tcBorders>
            <w:shd w:val="clear" w:color="auto" w:fill="auto"/>
          </w:tcPr>
          <w:p w:rsidR="0092299C" w:rsidRPr="000B6AC5" w:rsidRDefault="0092299C" w:rsidP="0092299C">
            <w:pPr>
              <w:pStyle w:val="ARtabletextright"/>
              <w:rPr>
                <w:b/>
                <w:bCs/>
                <w:color w:val="000000"/>
              </w:rPr>
            </w:pPr>
            <w:r w:rsidRPr="000B6AC5">
              <w:rPr>
                <w:b/>
                <w:bCs/>
                <w:color w:val="000000"/>
              </w:rPr>
              <w:t>166.6</w:t>
            </w:r>
          </w:p>
        </w:tc>
        <w:tc>
          <w:tcPr>
            <w:tcW w:w="1021" w:type="dxa"/>
            <w:tcBorders>
              <w:top w:val="nil"/>
              <w:left w:val="nil"/>
              <w:bottom w:val="nil"/>
              <w:right w:val="nil"/>
            </w:tcBorders>
            <w:shd w:val="clear" w:color="auto" w:fill="auto"/>
          </w:tcPr>
          <w:p w:rsidR="0092299C" w:rsidRPr="000B6AC5" w:rsidRDefault="0092299C" w:rsidP="0092299C">
            <w:pPr>
              <w:pStyle w:val="ARtabletextright"/>
              <w:rPr>
                <w:b/>
                <w:bCs/>
                <w:color w:val="000000"/>
              </w:rPr>
            </w:pPr>
            <w:r>
              <w:rPr>
                <w:b/>
                <w:bCs/>
                <w:color w:val="000000"/>
              </w:rPr>
              <w:t>5.5</w:t>
            </w:r>
          </w:p>
        </w:tc>
        <w:tc>
          <w:tcPr>
            <w:tcW w:w="794" w:type="dxa"/>
            <w:tcBorders>
              <w:top w:val="nil"/>
              <w:left w:val="nil"/>
              <w:bottom w:val="nil"/>
              <w:right w:val="nil"/>
            </w:tcBorders>
            <w:shd w:val="clear" w:color="auto" w:fill="auto"/>
            <w:hideMark/>
          </w:tcPr>
          <w:p w:rsidR="0092299C" w:rsidRPr="00D02A2E" w:rsidRDefault="0092299C" w:rsidP="0092299C">
            <w:pPr>
              <w:spacing w:before="80"/>
              <w:jc w:val="center"/>
              <w:rPr>
                <w:rFonts w:ascii="Wingdings" w:eastAsia="Times" w:hAnsi="Wingdings"/>
                <w:sz w:val="18"/>
                <w:szCs w:val="18"/>
                <w:lang w:eastAsia="en-AU"/>
              </w:rPr>
            </w:pPr>
          </w:p>
        </w:tc>
      </w:tr>
      <w:tr w:rsidR="0092299C" w:rsidRPr="00D02A2E" w:rsidTr="00E324D1">
        <w:trPr>
          <w:cantSplit/>
          <w:trHeight w:val="240"/>
        </w:trPr>
        <w:tc>
          <w:tcPr>
            <w:tcW w:w="794" w:type="dxa"/>
            <w:gridSpan w:val="6"/>
            <w:tcBorders>
              <w:top w:val="nil"/>
              <w:left w:val="nil"/>
              <w:bottom w:val="single" w:sz="4" w:space="0" w:color="000000"/>
              <w:right w:val="nil"/>
            </w:tcBorders>
            <w:shd w:val="clear" w:color="auto" w:fill="auto"/>
          </w:tcPr>
          <w:p w:rsidR="0092299C" w:rsidRPr="00D02A2E" w:rsidRDefault="0092299C" w:rsidP="0092299C">
            <w:pPr>
              <w:spacing w:after="80"/>
              <w:ind w:left="454"/>
              <w:rPr>
                <w:rFonts w:eastAsia="Times"/>
                <w:i/>
                <w:iCs/>
                <w:sz w:val="16"/>
                <w:szCs w:val="18"/>
                <w:lang w:eastAsia="en-AU"/>
              </w:rPr>
            </w:pPr>
            <w:r w:rsidRPr="0031742B">
              <w:rPr>
                <w:rFonts w:eastAsia="Times"/>
                <w:i/>
                <w:iCs/>
                <w:sz w:val="16"/>
                <w:szCs w:val="18"/>
                <w:lang w:eastAsia="en-AU"/>
              </w:rPr>
              <w:t>The 20</w:t>
            </w:r>
            <w:r>
              <w:rPr>
                <w:rFonts w:eastAsia="Times"/>
                <w:i/>
                <w:iCs/>
                <w:sz w:val="16"/>
                <w:szCs w:val="18"/>
                <w:lang w:eastAsia="en-AU"/>
              </w:rPr>
              <w:t>16–17</w:t>
            </w:r>
            <w:r w:rsidRPr="0031742B">
              <w:rPr>
                <w:rFonts w:eastAsia="Times"/>
                <w:i/>
                <w:iCs/>
                <w:sz w:val="16"/>
                <w:szCs w:val="18"/>
                <w:lang w:eastAsia="en-AU"/>
              </w:rPr>
              <w:t xml:space="preserve"> actual outcome primarily reflects an increase related to clients on community correction orders, movements within the output group, and</w:t>
            </w:r>
            <w:r>
              <w:rPr>
                <w:rFonts w:eastAsia="Times"/>
                <w:i/>
                <w:iCs/>
                <w:sz w:val="16"/>
                <w:szCs w:val="18"/>
                <w:lang w:eastAsia="en-AU"/>
              </w:rPr>
              <w:t xml:space="preserve"> </w:t>
            </w:r>
            <w:r w:rsidRPr="0031742B">
              <w:rPr>
                <w:rFonts w:eastAsia="Times"/>
                <w:i/>
                <w:iCs/>
                <w:sz w:val="16"/>
                <w:szCs w:val="18"/>
                <w:lang w:eastAsia="en-AU"/>
              </w:rPr>
              <w:t>the difference between 20</w:t>
            </w:r>
            <w:r>
              <w:rPr>
                <w:rFonts w:eastAsia="Times"/>
                <w:i/>
                <w:iCs/>
                <w:sz w:val="16"/>
                <w:szCs w:val="18"/>
                <w:lang w:eastAsia="en-AU"/>
              </w:rPr>
              <w:t>15–16</w:t>
            </w:r>
            <w:r w:rsidRPr="0031742B">
              <w:rPr>
                <w:rFonts w:eastAsia="Times"/>
                <w:i/>
                <w:iCs/>
                <w:sz w:val="16"/>
                <w:szCs w:val="18"/>
                <w:lang w:eastAsia="en-AU"/>
              </w:rPr>
              <w:t xml:space="preserve"> estimated and actual carry-over.</w:t>
            </w:r>
          </w:p>
        </w:tc>
      </w:tr>
    </w:tbl>
    <w:p w:rsidR="00265943" w:rsidRPr="00265943" w:rsidRDefault="00265943" w:rsidP="00265943">
      <w:pPr>
        <w:pStyle w:val="ARbody"/>
      </w:pPr>
      <w:r w:rsidRPr="00265943">
        <w:br w:type="page"/>
      </w:r>
    </w:p>
    <w:p w:rsidR="0092299C" w:rsidRPr="00D02A2E" w:rsidRDefault="0092299C" w:rsidP="0092299C">
      <w:pPr>
        <w:pStyle w:val="Heading2"/>
      </w:pPr>
      <w:r w:rsidRPr="00D02A2E">
        <w:lastRenderedPageBreak/>
        <w:t>Disability Services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E324D1">
        <w:trPr>
          <w:cantSplit/>
          <w:trHeight w:val="480"/>
          <w:tblHeader/>
        </w:trPr>
        <w:tc>
          <w:tcPr>
            <w:tcW w:w="4761" w:type="dxa"/>
            <w:tcBorders>
              <w:top w:val="nil"/>
              <w:left w:val="nil"/>
              <w:bottom w:val="single" w:sz="4" w:space="0" w:color="auto"/>
              <w:right w:val="nil"/>
            </w:tcBorders>
            <w:shd w:val="clear" w:color="auto" w:fill="auto"/>
            <w:vAlign w:val="bottom"/>
            <w:hideMark/>
          </w:tcPr>
          <w:p w:rsidR="0092299C" w:rsidRPr="00B61E8B" w:rsidRDefault="0092299C" w:rsidP="0092299C">
            <w:pPr>
              <w:pStyle w:val="ARtablecolhead"/>
            </w:pPr>
            <w:r w:rsidRPr="00B61E8B">
              <w:t>Performance measures</w:t>
            </w:r>
          </w:p>
        </w:tc>
        <w:tc>
          <w:tcPr>
            <w:tcW w:w="1021" w:type="dxa"/>
            <w:tcBorders>
              <w:top w:val="nil"/>
              <w:left w:val="nil"/>
              <w:bottom w:val="single" w:sz="4" w:space="0" w:color="auto"/>
              <w:right w:val="nil"/>
            </w:tcBorders>
            <w:shd w:val="clear" w:color="auto" w:fill="auto"/>
            <w:vAlign w:val="bottom"/>
            <w:hideMark/>
          </w:tcPr>
          <w:p w:rsidR="0092299C" w:rsidRPr="00B61E8B" w:rsidRDefault="0092299C" w:rsidP="001F2E2D">
            <w:pPr>
              <w:pStyle w:val="ARtablecolheadright"/>
              <w:jc w:val="center"/>
            </w:pPr>
            <w:r w:rsidRPr="00B61E8B">
              <w:t>Unit of measure</w:t>
            </w:r>
          </w:p>
        </w:tc>
        <w:tc>
          <w:tcPr>
            <w:tcW w:w="1021" w:type="dxa"/>
            <w:tcBorders>
              <w:top w:val="nil"/>
              <w:left w:val="nil"/>
              <w:bottom w:val="single" w:sz="4" w:space="0" w:color="auto"/>
              <w:right w:val="nil"/>
            </w:tcBorders>
            <w:shd w:val="clear" w:color="auto" w:fill="auto"/>
            <w:vAlign w:val="bottom"/>
            <w:hideMark/>
          </w:tcPr>
          <w:p w:rsidR="0092299C" w:rsidRPr="00B61E8B" w:rsidRDefault="0092299C" w:rsidP="0092299C">
            <w:pPr>
              <w:pStyle w:val="ARtablecolheadright"/>
            </w:pPr>
            <w:r w:rsidRPr="00B61E8B">
              <w:t>2016–17 target</w:t>
            </w:r>
          </w:p>
        </w:tc>
        <w:tc>
          <w:tcPr>
            <w:tcW w:w="1021" w:type="dxa"/>
            <w:tcBorders>
              <w:top w:val="nil"/>
              <w:left w:val="nil"/>
              <w:bottom w:val="single" w:sz="4" w:space="0" w:color="auto"/>
              <w:right w:val="nil"/>
            </w:tcBorders>
            <w:shd w:val="clear" w:color="auto" w:fill="auto"/>
            <w:vAlign w:val="bottom"/>
            <w:hideMark/>
          </w:tcPr>
          <w:p w:rsidR="0092299C" w:rsidRPr="00B61E8B" w:rsidRDefault="0092299C" w:rsidP="0092299C">
            <w:pPr>
              <w:pStyle w:val="ARtablecolheadright"/>
            </w:pPr>
            <w:r w:rsidRPr="00B61E8B">
              <w:t>2016–17 actual</w:t>
            </w:r>
          </w:p>
        </w:tc>
        <w:tc>
          <w:tcPr>
            <w:tcW w:w="1021" w:type="dxa"/>
            <w:tcBorders>
              <w:top w:val="nil"/>
              <w:left w:val="nil"/>
              <w:bottom w:val="single" w:sz="4" w:space="0" w:color="auto"/>
              <w:right w:val="nil"/>
            </w:tcBorders>
            <w:shd w:val="clear" w:color="auto" w:fill="auto"/>
            <w:vAlign w:val="bottom"/>
            <w:hideMark/>
          </w:tcPr>
          <w:p w:rsidR="0092299C" w:rsidRPr="00B61E8B" w:rsidRDefault="0092299C" w:rsidP="0092299C">
            <w:pPr>
              <w:pStyle w:val="ARtablecolheadright"/>
            </w:pPr>
            <w:r w:rsidRPr="00B61E8B">
              <w:t>Variation (%)</w:t>
            </w:r>
          </w:p>
        </w:tc>
        <w:tc>
          <w:tcPr>
            <w:tcW w:w="794" w:type="dxa"/>
            <w:tcBorders>
              <w:top w:val="nil"/>
              <w:left w:val="nil"/>
              <w:bottom w:val="single" w:sz="4" w:space="0" w:color="auto"/>
              <w:right w:val="nil"/>
            </w:tcBorders>
            <w:shd w:val="clear" w:color="auto" w:fill="auto"/>
            <w:vAlign w:val="bottom"/>
            <w:hideMark/>
          </w:tcPr>
          <w:p w:rsidR="0092299C" w:rsidRPr="00B61E8B" w:rsidRDefault="0092299C" w:rsidP="00096BE7">
            <w:pPr>
              <w:pStyle w:val="ARtablecolheadright"/>
            </w:pPr>
            <w:r w:rsidRPr="00B61E8B">
              <w:t>Result</w:t>
            </w:r>
          </w:p>
        </w:tc>
      </w:tr>
      <w:tr w:rsidR="0092299C" w:rsidRPr="00D02A2E" w:rsidTr="00E324D1">
        <w:trPr>
          <w:cantSplit/>
          <w:trHeight w:val="431"/>
        </w:trPr>
        <w:tc>
          <w:tcPr>
            <w:tcW w:w="4763" w:type="dxa"/>
            <w:tcBorders>
              <w:top w:val="single" w:sz="4" w:space="0" w:color="auto"/>
              <w:left w:val="nil"/>
              <w:bottom w:val="nil"/>
              <w:right w:val="nil"/>
            </w:tcBorders>
            <w:shd w:val="clear" w:color="auto" w:fill="auto"/>
            <w:hideMark/>
          </w:tcPr>
          <w:p w:rsidR="0092299C" w:rsidRPr="00D02A2E" w:rsidRDefault="0092299C" w:rsidP="0092299C">
            <w:pPr>
              <w:pStyle w:val="ARtablebluebold"/>
              <w:keepNext/>
            </w:pPr>
            <w:r w:rsidRPr="00D02A2E">
              <w:t>Quantity</w:t>
            </w:r>
          </w:p>
        </w:tc>
        <w:tc>
          <w:tcPr>
            <w:tcW w:w="1021" w:type="dxa"/>
            <w:tcBorders>
              <w:top w:val="single" w:sz="4" w:space="0" w:color="auto"/>
              <w:left w:val="nil"/>
              <w:bottom w:val="nil"/>
              <w:right w:val="nil"/>
            </w:tcBorders>
            <w:shd w:val="clear" w:color="auto" w:fill="auto"/>
            <w:vAlign w:val="center"/>
            <w:hideMark/>
          </w:tcPr>
          <w:p w:rsidR="0092299C" w:rsidRPr="00D02A2E" w:rsidRDefault="0092299C" w:rsidP="0092299C">
            <w:pPr>
              <w:pStyle w:val="ARtablebluebold"/>
              <w:keepNext/>
            </w:pPr>
          </w:p>
        </w:tc>
        <w:tc>
          <w:tcPr>
            <w:tcW w:w="1021" w:type="dxa"/>
            <w:tcBorders>
              <w:top w:val="single" w:sz="4" w:space="0" w:color="auto"/>
              <w:left w:val="nil"/>
              <w:bottom w:val="nil"/>
              <w:right w:val="nil"/>
            </w:tcBorders>
            <w:shd w:val="clear" w:color="auto" w:fill="auto"/>
            <w:vAlign w:val="center"/>
            <w:hideMark/>
          </w:tcPr>
          <w:p w:rsidR="0092299C" w:rsidRPr="00D02A2E" w:rsidRDefault="0092299C" w:rsidP="0092299C">
            <w:pPr>
              <w:pStyle w:val="ARtablebluebold"/>
              <w:keepNext/>
            </w:pPr>
            <w:r w:rsidRPr="00D02A2E">
              <w:t> </w:t>
            </w:r>
          </w:p>
        </w:tc>
        <w:tc>
          <w:tcPr>
            <w:tcW w:w="1021" w:type="dxa"/>
            <w:tcBorders>
              <w:top w:val="single" w:sz="4" w:space="0" w:color="auto"/>
              <w:left w:val="nil"/>
              <w:bottom w:val="nil"/>
              <w:right w:val="nil"/>
            </w:tcBorders>
            <w:shd w:val="clear" w:color="auto" w:fill="auto"/>
            <w:vAlign w:val="center"/>
            <w:hideMark/>
          </w:tcPr>
          <w:p w:rsidR="0092299C" w:rsidRPr="00D02A2E" w:rsidRDefault="0092299C" w:rsidP="0092299C">
            <w:pPr>
              <w:pStyle w:val="ARtablebluebold"/>
              <w:keepNext/>
            </w:pPr>
            <w:r w:rsidRPr="00D02A2E">
              <w:t> </w:t>
            </w:r>
          </w:p>
        </w:tc>
        <w:tc>
          <w:tcPr>
            <w:tcW w:w="1021" w:type="dxa"/>
            <w:tcBorders>
              <w:top w:val="single" w:sz="4" w:space="0" w:color="auto"/>
              <w:left w:val="nil"/>
              <w:bottom w:val="nil"/>
              <w:right w:val="nil"/>
            </w:tcBorders>
            <w:shd w:val="clear" w:color="auto" w:fill="auto"/>
            <w:vAlign w:val="center"/>
            <w:hideMark/>
          </w:tcPr>
          <w:p w:rsidR="0092299C" w:rsidRPr="00D02A2E" w:rsidRDefault="0092299C" w:rsidP="0092299C">
            <w:pPr>
              <w:pStyle w:val="ARtablebluebold"/>
              <w:keepNext/>
            </w:pPr>
            <w:r w:rsidRPr="00D02A2E">
              <w:t> </w:t>
            </w:r>
          </w:p>
        </w:tc>
        <w:tc>
          <w:tcPr>
            <w:tcW w:w="794" w:type="dxa"/>
            <w:tcBorders>
              <w:top w:val="single" w:sz="4" w:space="0" w:color="auto"/>
              <w:left w:val="nil"/>
              <w:bottom w:val="nil"/>
              <w:right w:val="nil"/>
            </w:tcBorders>
            <w:shd w:val="clear" w:color="auto" w:fill="auto"/>
            <w:vAlign w:val="center"/>
            <w:hideMark/>
          </w:tcPr>
          <w:p w:rsidR="0092299C" w:rsidRPr="00D02A2E" w:rsidRDefault="0092299C" w:rsidP="0092299C">
            <w:pPr>
              <w:pStyle w:val="ARtablebluebold"/>
              <w:keepNext/>
            </w:pPr>
          </w:p>
        </w:tc>
      </w:tr>
      <w:tr w:rsidR="0092299C" w:rsidRPr="00D02A2E" w:rsidTr="00E324D1">
        <w:trPr>
          <w:cantSplit/>
          <w:trHeight w:val="227"/>
        </w:trPr>
        <w:tc>
          <w:tcPr>
            <w:tcW w:w="4763" w:type="dxa"/>
            <w:tcBorders>
              <w:top w:val="nil"/>
              <w:left w:val="nil"/>
              <w:bottom w:val="single" w:sz="4" w:space="0" w:color="BFBFBF"/>
              <w:right w:val="nil"/>
            </w:tcBorders>
            <w:shd w:val="clear" w:color="auto" w:fill="auto"/>
            <w:hideMark/>
          </w:tcPr>
          <w:p w:rsidR="0092299C" w:rsidRPr="00D02A2E" w:rsidRDefault="0092299C" w:rsidP="0092299C">
            <w:pPr>
              <w:pStyle w:val="ARtabletext"/>
              <w:keepNext/>
            </w:pPr>
            <w:r w:rsidRPr="00D02A2E">
              <w:t>Clients accessing aids and equipment</w:t>
            </w:r>
          </w:p>
        </w:tc>
        <w:tc>
          <w:tcPr>
            <w:tcW w:w="1021" w:type="dxa"/>
            <w:tcBorders>
              <w:top w:val="nil"/>
              <w:left w:val="nil"/>
              <w:bottom w:val="single" w:sz="4" w:space="0" w:color="BFBFBF"/>
              <w:right w:val="nil"/>
            </w:tcBorders>
            <w:shd w:val="clear" w:color="auto" w:fill="auto"/>
            <w:hideMark/>
          </w:tcPr>
          <w:p w:rsidR="0092299C" w:rsidRPr="00D02A2E" w:rsidRDefault="0092299C" w:rsidP="001F2E2D">
            <w:pPr>
              <w:pStyle w:val="ARtabletext"/>
              <w:keepNext/>
              <w:jc w:val="center"/>
            </w:pPr>
            <w:r w:rsidRPr="00D02A2E">
              <w:t>number</w:t>
            </w:r>
          </w:p>
        </w:tc>
        <w:tc>
          <w:tcPr>
            <w:tcW w:w="1021" w:type="dxa"/>
            <w:tcBorders>
              <w:top w:val="nil"/>
              <w:left w:val="nil"/>
              <w:bottom w:val="single" w:sz="4" w:space="0" w:color="BFBFBF"/>
              <w:right w:val="nil"/>
            </w:tcBorders>
            <w:shd w:val="clear" w:color="auto" w:fill="auto"/>
            <w:hideMark/>
          </w:tcPr>
          <w:p w:rsidR="0092299C" w:rsidRPr="00D02A2E" w:rsidRDefault="0092299C" w:rsidP="0092299C">
            <w:pPr>
              <w:pStyle w:val="ARtabletextright"/>
            </w:pPr>
            <w:r w:rsidRPr="00D02A2E">
              <w:t xml:space="preserve">30,307 </w:t>
            </w:r>
          </w:p>
        </w:tc>
        <w:tc>
          <w:tcPr>
            <w:tcW w:w="1021" w:type="dxa"/>
            <w:tcBorders>
              <w:top w:val="nil"/>
              <w:left w:val="nil"/>
              <w:bottom w:val="single" w:sz="4" w:space="0" w:color="BFBFBF"/>
              <w:right w:val="nil"/>
            </w:tcBorders>
            <w:shd w:val="clear" w:color="auto" w:fill="auto"/>
            <w:vAlign w:val="center"/>
          </w:tcPr>
          <w:p w:rsidR="0092299C" w:rsidRPr="00D02A2E" w:rsidRDefault="0092299C" w:rsidP="0092299C">
            <w:pPr>
              <w:pStyle w:val="ARtabletextright"/>
            </w:pPr>
            <w:r w:rsidRPr="00D02A2E">
              <w:t>30,761</w:t>
            </w:r>
          </w:p>
        </w:tc>
        <w:tc>
          <w:tcPr>
            <w:tcW w:w="1021" w:type="dxa"/>
            <w:tcBorders>
              <w:top w:val="nil"/>
              <w:left w:val="nil"/>
              <w:bottom w:val="single" w:sz="4" w:space="0" w:color="BFBFBF"/>
              <w:right w:val="nil"/>
            </w:tcBorders>
            <w:shd w:val="clear" w:color="auto" w:fill="auto"/>
            <w:vAlign w:val="center"/>
          </w:tcPr>
          <w:p w:rsidR="0092299C" w:rsidRPr="00D02A2E" w:rsidRDefault="0092299C" w:rsidP="0092299C">
            <w:pPr>
              <w:pStyle w:val="ARtabletextright"/>
            </w:pPr>
            <w:r>
              <w:t>1.5</w:t>
            </w:r>
          </w:p>
        </w:tc>
        <w:tc>
          <w:tcPr>
            <w:tcW w:w="794" w:type="dxa"/>
            <w:tcBorders>
              <w:top w:val="nil"/>
              <w:left w:val="nil"/>
              <w:bottom w:val="single" w:sz="4" w:space="0" w:color="BFBFBF"/>
              <w:right w:val="nil"/>
            </w:tcBorders>
            <w:shd w:val="clear" w:color="auto" w:fill="auto"/>
            <w:vAlign w:val="center"/>
          </w:tcPr>
          <w:p w:rsidR="0092299C" w:rsidRPr="00CA3C06" w:rsidRDefault="0092299C" w:rsidP="00CA3C06">
            <w:pPr>
              <w:pStyle w:val="ARtabletextright"/>
            </w:pPr>
            <w:r w:rsidRPr="00CA3C06">
              <w:sym w:font="Wingdings" w:char="F0FC"/>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rPr>
                <w:i/>
                <w:sz w:val="16"/>
                <w:szCs w:val="16"/>
              </w:rPr>
            </w:pPr>
            <w:r w:rsidRPr="00D02A2E">
              <w:t>Clients in residential institutions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79 </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r w:rsidRPr="00D02A2E">
              <w:t>75</w:t>
            </w:r>
          </w:p>
        </w:tc>
        <w:tc>
          <w:tcPr>
            <w:tcW w:w="1021" w:type="dxa"/>
            <w:tcBorders>
              <w:top w:val="single" w:sz="4" w:space="0" w:color="BFBFBF"/>
              <w:left w:val="nil"/>
              <w:bottom w:val="nil"/>
              <w:right w:val="nil"/>
            </w:tcBorders>
            <w:shd w:val="clear" w:color="auto" w:fill="auto"/>
            <w:vAlign w:val="center"/>
          </w:tcPr>
          <w:p w:rsidR="0092299C" w:rsidRPr="00D02A2E" w:rsidRDefault="00EC4FD8" w:rsidP="0092299C">
            <w:pPr>
              <w:pStyle w:val="ARtabletextright"/>
            </w:pPr>
            <w:r>
              <w:t>–</w:t>
            </w:r>
            <w:r w:rsidR="0092299C">
              <w:t>5.1</w:t>
            </w:r>
          </w:p>
        </w:tc>
        <w:tc>
          <w:tcPr>
            <w:tcW w:w="794" w:type="dxa"/>
            <w:tcBorders>
              <w:top w:val="single" w:sz="4" w:space="0" w:color="BFBFBF"/>
              <w:left w:val="nil"/>
              <w:bottom w:val="nil"/>
              <w:right w:val="nil"/>
            </w:tcBorders>
            <w:shd w:val="clear" w:color="auto" w:fill="auto"/>
            <w:vAlign w:val="center"/>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20"/>
                <w:szCs w:val="20"/>
              </w:rPr>
            </w:pPr>
            <w:r w:rsidRPr="00D02A2E">
              <w:t xml:space="preserve">The result is lower than the target in line with the closure of </w:t>
            </w:r>
            <w:proofErr w:type="spellStart"/>
            <w:r w:rsidRPr="00D02A2E">
              <w:t>Colanda</w:t>
            </w:r>
            <w:proofErr w:type="spellEnd"/>
            <w:r w:rsidRPr="00D02A2E">
              <w:t>, and government policy to reduce institutionalisation. This is a positive result.</w:t>
            </w:r>
          </w:p>
        </w:tc>
      </w:tr>
      <w:tr w:rsidR="0092299C" w:rsidRPr="00D02A2E" w:rsidTr="00E324D1">
        <w:trPr>
          <w:cantSplit/>
          <w:trHeight w:val="227"/>
        </w:trPr>
        <w:tc>
          <w:tcPr>
            <w:tcW w:w="4763" w:type="dxa"/>
            <w:tcBorders>
              <w:top w:val="nil"/>
              <w:left w:val="nil"/>
              <w:bottom w:val="single" w:sz="4" w:space="0" w:color="BFBFBF"/>
              <w:right w:val="nil"/>
            </w:tcBorders>
            <w:shd w:val="clear" w:color="auto" w:fill="auto"/>
            <w:hideMark/>
          </w:tcPr>
          <w:p w:rsidR="0092299C" w:rsidRPr="00D02A2E" w:rsidRDefault="0092299C" w:rsidP="0092299C">
            <w:pPr>
              <w:pStyle w:val="ARtabletext"/>
            </w:pPr>
            <w:r w:rsidRPr="00D02A2E">
              <w:t>Clients receiving case management services</w:t>
            </w:r>
          </w:p>
        </w:tc>
        <w:tc>
          <w:tcPr>
            <w:tcW w:w="1021" w:type="dxa"/>
            <w:tcBorders>
              <w:top w:val="nil"/>
              <w:left w:val="nil"/>
              <w:bottom w:val="single" w:sz="4" w:space="0" w:color="BFBFBF"/>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single" w:sz="4" w:space="0" w:color="BFBFBF"/>
              <w:right w:val="nil"/>
            </w:tcBorders>
            <w:shd w:val="clear" w:color="auto" w:fill="auto"/>
            <w:hideMark/>
          </w:tcPr>
          <w:p w:rsidR="0092299C" w:rsidRPr="00D02A2E" w:rsidRDefault="0092299C" w:rsidP="0092299C">
            <w:pPr>
              <w:pStyle w:val="ARtabletextright"/>
            </w:pPr>
            <w:r w:rsidRPr="00D02A2E">
              <w:t xml:space="preserve">5,300 </w:t>
            </w:r>
          </w:p>
        </w:tc>
        <w:tc>
          <w:tcPr>
            <w:tcW w:w="1021" w:type="dxa"/>
            <w:tcBorders>
              <w:top w:val="nil"/>
              <w:left w:val="nil"/>
              <w:bottom w:val="single" w:sz="4" w:space="0" w:color="BFBFBF"/>
              <w:right w:val="nil"/>
            </w:tcBorders>
            <w:shd w:val="clear" w:color="auto" w:fill="auto"/>
            <w:vAlign w:val="center"/>
          </w:tcPr>
          <w:p w:rsidR="0092299C" w:rsidRPr="00D02A2E" w:rsidRDefault="0092299C" w:rsidP="0092299C">
            <w:pPr>
              <w:pStyle w:val="ARtabletextright"/>
            </w:pPr>
            <w:r w:rsidRPr="00D02A2E">
              <w:t>5,207</w:t>
            </w:r>
          </w:p>
        </w:tc>
        <w:tc>
          <w:tcPr>
            <w:tcW w:w="1021" w:type="dxa"/>
            <w:tcBorders>
              <w:top w:val="nil"/>
              <w:left w:val="nil"/>
              <w:bottom w:val="single" w:sz="4" w:space="0" w:color="BFBFBF"/>
              <w:right w:val="nil"/>
            </w:tcBorders>
            <w:shd w:val="clear" w:color="auto" w:fill="auto"/>
            <w:vAlign w:val="center"/>
          </w:tcPr>
          <w:p w:rsidR="0092299C" w:rsidRPr="00D02A2E" w:rsidRDefault="00EC4FD8" w:rsidP="0092299C">
            <w:pPr>
              <w:pStyle w:val="ARtabletextright"/>
            </w:pPr>
            <w:r>
              <w:t>–</w:t>
            </w:r>
            <w:r w:rsidR="0092299C">
              <w:t>1.8</w:t>
            </w:r>
          </w:p>
        </w:tc>
        <w:tc>
          <w:tcPr>
            <w:tcW w:w="794" w:type="dxa"/>
            <w:tcBorders>
              <w:top w:val="nil"/>
              <w:left w:val="nil"/>
              <w:bottom w:val="single" w:sz="4" w:space="0" w:color="BFBFBF"/>
              <w:right w:val="nil"/>
            </w:tcBorders>
            <w:shd w:val="clear" w:color="auto" w:fill="auto"/>
          </w:tcPr>
          <w:p w:rsidR="0092299C" w:rsidRPr="00D02A2E" w:rsidRDefault="0092299C" w:rsidP="00CA3C06">
            <w:pPr>
              <w:pStyle w:val="ARtabletextright"/>
            </w:pPr>
            <w:r w:rsidRPr="00D02A2E">
              <w:sym w:font="Wingdings 2" w:char="F099"/>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Clients receiving individualised support</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16,192 </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r w:rsidRPr="00D02A2E">
              <w:t>15,276</w:t>
            </w:r>
          </w:p>
        </w:tc>
        <w:tc>
          <w:tcPr>
            <w:tcW w:w="1021" w:type="dxa"/>
            <w:tcBorders>
              <w:top w:val="single" w:sz="4" w:space="0" w:color="BFBFBF"/>
              <w:left w:val="nil"/>
              <w:bottom w:val="nil"/>
              <w:right w:val="nil"/>
            </w:tcBorders>
            <w:shd w:val="clear" w:color="auto" w:fill="auto"/>
            <w:vAlign w:val="center"/>
          </w:tcPr>
          <w:p w:rsidR="0092299C" w:rsidRPr="00D02A2E" w:rsidRDefault="00EC4FD8" w:rsidP="0092299C">
            <w:pPr>
              <w:pStyle w:val="ARtabletextright"/>
            </w:pPr>
            <w:r>
              <w:t>–</w:t>
            </w:r>
            <w:r w:rsidR="0092299C">
              <w:t>5.7</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6E"/>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 xml:space="preserve">The </w:t>
            </w:r>
            <w:r w:rsidRPr="00D02A2E">
              <w:rPr>
                <w:szCs w:val="16"/>
              </w:rPr>
              <w:t>result</w:t>
            </w:r>
            <w:r w:rsidRPr="00D02A2E">
              <w:t xml:space="preserve"> is lower than the target due to people transitioning to the NDIS.</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Hours of community-based respite</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D1019A">
            <w:pPr>
              <w:pStyle w:val="ARtabletextright"/>
            </w:pPr>
            <w:r w:rsidRPr="00D02A2E">
              <w:t xml:space="preserve">1,000,000 </w:t>
            </w:r>
          </w:p>
        </w:tc>
        <w:tc>
          <w:tcPr>
            <w:tcW w:w="1021" w:type="dxa"/>
            <w:tcBorders>
              <w:top w:val="single" w:sz="4" w:space="0" w:color="BFBFBF"/>
              <w:left w:val="nil"/>
              <w:bottom w:val="nil"/>
              <w:right w:val="nil"/>
            </w:tcBorders>
            <w:shd w:val="clear" w:color="auto" w:fill="auto"/>
            <w:vAlign w:val="center"/>
          </w:tcPr>
          <w:p w:rsidR="0092299C" w:rsidRPr="00D02A2E" w:rsidRDefault="0092299C" w:rsidP="00CE14F0">
            <w:pPr>
              <w:pStyle w:val="ARtabletextright"/>
            </w:pPr>
            <w:r w:rsidRPr="00D02A2E">
              <w:t>1,183,089</w:t>
            </w:r>
          </w:p>
        </w:tc>
        <w:tc>
          <w:tcPr>
            <w:tcW w:w="1021" w:type="dxa"/>
            <w:tcBorders>
              <w:top w:val="single" w:sz="4" w:space="0" w:color="BFBFBF"/>
              <w:left w:val="nil"/>
              <w:bottom w:val="nil"/>
              <w:right w:val="nil"/>
            </w:tcBorders>
            <w:shd w:val="clear" w:color="auto" w:fill="auto"/>
            <w:vAlign w:val="center"/>
          </w:tcPr>
          <w:p w:rsidR="0092299C" w:rsidRPr="00D02A2E" w:rsidRDefault="0092299C" w:rsidP="00A06E99">
            <w:pPr>
              <w:pStyle w:val="ARtabletextright"/>
            </w:pPr>
            <w:r>
              <w:t>18.3</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This result is higher than the target due to good performance for community-based respite. This is a positive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respite days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101,475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rPr>
                <w:highlight w:val="yellow"/>
              </w:rPr>
            </w:pPr>
            <w:r w:rsidRPr="00D02A2E">
              <w:t>96,257</w:t>
            </w:r>
          </w:p>
        </w:tc>
        <w:tc>
          <w:tcPr>
            <w:tcW w:w="1021" w:type="dxa"/>
            <w:tcBorders>
              <w:top w:val="single" w:sz="4" w:space="0" w:color="BFBFBF"/>
              <w:left w:val="nil"/>
              <w:bottom w:val="nil"/>
              <w:right w:val="nil"/>
            </w:tcBorders>
            <w:shd w:val="clear" w:color="auto" w:fill="auto"/>
            <w:vAlign w:val="center"/>
          </w:tcPr>
          <w:p w:rsidR="0092299C" w:rsidRPr="00D02A2E" w:rsidRDefault="00EC4FD8" w:rsidP="0092299C">
            <w:pPr>
              <w:pStyle w:val="ARtabletextright"/>
            </w:pPr>
            <w:r>
              <w:t>–</w:t>
            </w:r>
            <w:r w:rsidR="0092299C">
              <w:t>5.1</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2" w:char="F099"/>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20"/>
                <w:szCs w:val="20"/>
              </w:rPr>
            </w:pPr>
            <w:r w:rsidRPr="00D02A2E">
              <w:t>The result is lower than the target due to people transitioning to the NDIS</w:t>
            </w:r>
            <w:r w:rsidRPr="00D02A2E">
              <w:rPr>
                <w:sz w:val="20"/>
                <w:szCs w:val="20"/>
              </w:rPr>
              <w: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supported accommodation beds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5,141</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3,917</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23.8</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6E"/>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20"/>
                <w:szCs w:val="20"/>
              </w:rPr>
            </w:pPr>
            <w:r w:rsidRPr="00D02A2E">
              <w:t>The result is lower than the target due to areas transitioning to the NDIS. This measure is proposed to be discontinued in 20</w:t>
            </w:r>
            <w:r>
              <w:t>17–18</w:t>
            </w:r>
            <w:r w:rsidRPr="00D02A2E">
              <w: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Quality</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r>
      <w:tr w:rsidR="0092299C" w:rsidRPr="00D02A2E" w:rsidTr="00E324D1">
        <w:trPr>
          <w:cantSplit/>
          <w:trHeight w:val="227"/>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Clients satisfied with the aids and equipment services system</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0B6AC5" w:rsidRDefault="0092299C" w:rsidP="0092299C">
            <w:pPr>
              <w:pStyle w:val="ARtabletextright"/>
            </w:pPr>
            <w:r w:rsidRPr="000B6AC5">
              <w:t>85</w:t>
            </w:r>
          </w:p>
        </w:tc>
        <w:tc>
          <w:tcPr>
            <w:tcW w:w="1021" w:type="dxa"/>
            <w:tcBorders>
              <w:top w:val="nil"/>
              <w:left w:val="nil"/>
              <w:bottom w:val="nil"/>
              <w:right w:val="nil"/>
            </w:tcBorders>
            <w:shd w:val="clear" w:color="auto" w:fill="auto"/>
          </w:tcPr>
          <w:p w:rsidR="0092299C" w:rsidRPr="000B6AC5" w:rsidRDefault="0092299C" w:rsidP="0092299C">
            <w:pPr>
              <w:pStyle w:val="ARtabletextright"/>
            </w:pPr>
            <w:r w:rsidRPr="000B6AC5">
              <w:t>92</w:t>
            </w:r>
            <w:r w:rsidR="008A7604">
              <w:t>.0</w:t>
            </w:r>
          </w:p>
        </w:tc>
        <w:tc>
          <w:tcPr>
            <w:tcW w:w="1021" w:type="dxa"/>
            <w:tcBorders>
              <w:top w:val="nil"/>
              <w:left w:val="nil"/>
              <w:bottom w:val="nil"/>
              <w:right w:val="nil"/>
            </w:tcBorders>
            <w:shd w:val="clear" w:color="auto" w:fill="auto"/>
          </w:tcPr>
          <w:p w:rsidR="0092299C" w:rsidRPr="000B6AC5" w:rsidRDefault="0092299C" w:rsidP="0092299C">
            <w:pPr>
              <w:pStyle w:val="ARtabletextright"/>
            </w:pPr>
            <w:r w:rsidRPr="000B6AC5">
              <w:t>8.2</w:t>
            </w:r>
          </w:p>
        </w:tc>
        <w:tc>
          <w:tcPr>
            <w:tcW w:w="794" w:type="dxa"/>
            <w:tcBorders>
              <w:top w:val="nil"/>
              <w:left w:val="nil"/>
              <w:bottom w:val="nil"/>
              <w:right w:val="nil"/>
            </w:tcBorders>
            <w:shd w:val="clear" w:color="auto" w:fill="auto"/>
          </w:tcPr>
          <w:p w:rsidR="0092299C" w:rsidRPr="000B6AC5" w:rsidRDefault="0092299C" w:rsidP="00CA3C06">
            <w:pPr>
              <w:pStyle w:val="ARtabletextright"/>
            </w:pPr>
            <w:r w:rsidRPr="000B6AC5">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The result is higher than the target due to the result of surveys completed by clients. This is a positive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spacing w:before="80" w:after="60"/>
              <w:rPr>
                <w:rFonts w:eastAsia="Times" w:cs="Arial"/>
                <w:sz w:val="18"/>
                <w:szCs w:val="18"/>
                <w:lang w:eastAsia="en-AU"/>
              </w:rPr>
            </w:pPr>
            <w:r w:rsidRPr="00D02A2E">
              <w:rPr>
                <w:rFonts w:eastAsia="Times" w:cs="Arial"/>
                <w:sz w:val="18"/>
                <w:szCs w:val="18"/>
                <w:lang w:eastAsia="en-AU"/>
              </w:rPr>
              <w:t>Clients who have had a comprehensive health status review</w:t>
            </w:r>
          </w:p>
        </w:tc>
        <w:tc>
          <w:tcPr>
            <w:tcW w:w="1021" w:type="dxa"/>
            <w:tcBorders>
              <w:top w:val="single" w:sz="4" w:space="0" w:color="BFBFBF"/>
              <w:left w:val="nil"/>
              <w:bottom w:val="nil"/>
              <w:right w:val="nil"/>
            </w:tcBorders>
            <w:shd w:val="clear" w:color="auto" w:fill="auto"/>
            <w:hideMark/>
          </w:tcPr>
          <w:p w:rsidR="0092299C" w:rsidRPr="00D1019A" w:rsidRDefault="0092299C" w:rsidP="001F2E2D">
            <w:pPr>
              <w:pStyle w:val="ARheaderright"/>
              <w:pBdr>
                <w:bottom w:val="none" w:sz="0" w:space="0" w:color="auto"/>
              </w:pBdr>
              <w:spacing w:before="80" w:after="60"/>
              <w:jc w:val="center"/>
              <w:rPr>
                <w:rFonts w:eastAsia="Times" w:cs="Arial"/>
                <w:szCs w:val="18"/>
                <w:lang w:eastAsia="en-AU"/>
              </w:rPr>
            </w:pPr>
            <w:r w:rsidRPr="00D1019A">
              <w:rPr>
                <w:rFonts w:eastAsia="Times" w:cs="Arial"/>
                <w:szCs w:val="18"/>
                <w:lang w:eastAsia="en-AU"/>
              </w:rPr>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97</w:t>
            </w:r>
            <w:r w:rsidR="008A7604">
              <w:t>.0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7.8</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spacing w:after="80"/>
              <w:ind w:left="454"/>
              <w:rPr>
                <w:rFonts w:eastAsia="Times"/>
                <w:i/>
                <w:iCs/>
                <w:sz w:val="16"/>
                <w:szCs w:val="18"/>
                <w:lang w:eastAsia="en-AU"/>
              </w:rPr>
            </w:pPr>
            <w:r w:rsidRPr="00D02A2E">
              <w:rPr>
                <w:rFonts w:eastAsia="Times"/>
                <w:i/>
                <w:iCs/>
                <w:sz w:val="16"/>
                <w:szCs w:val="18"/>
                <w:lang w:eastAsia="en-AU"/>
              </w:rPr>
              <w:t>Preliminary result. The result is higher than the target due to active monitoring of health status reviews. This is a positive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Organisations that have successfully completed a quality review (accommodation supports)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
              <w:jc w:val="right"/>
            </w:pPr>
            <w:r w:rsidRPr="00D02A2E">
              <w:t>95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
              <w:jc w:val="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
              <w:jc w:val="right"/>
            </w:pPr>
            <w:r>
              <w:t>5.3</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Organisations that have successfully completed a quality review (client services and capacity)</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5.3</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Organisations that have successfully completed a quality review (individualised supports)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5.3</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Support plans reviewed at least once during each period of three years commencing from when the support plan was first prepared (accommodation supports)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Support plans reviewed at least once during each period of three years commencing from when the support plan was first prepared (individualised supports)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1F2E2D">
              <w:t>95</w:t>
            </w:r>
            <w:r w:rsidR="008A7604" w:rsidRPr="001F2E2D">
              <w:t>.2</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4.8</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2" w:char="F099"/>
            </w:r>
          </w:p>
        </w:tc>
      </w:tr>
      <w:tr w:rsidR="0092299C" w:rsidRPr="00D02A2E" w:rsidTr="00E324D1">
        <w:trPr>
          <w:cantSplit/>
          <w:trHeight w:val="579"/>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Support plans reviewed every 12 months for persons residing in residential institutions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Timeliness</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r>
      <w:tr w:rsidR="0092299C" w:rsidRPr="00D02A2E" w:rsidTr="00E324D1">
        <w:trPr>
          <w:cantSplit/>
          <w:trHeight w:val="227"/>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Applications for aids and equipment acknowledged in writing within 10 working days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98</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9.1</w:t>
            </w:r>
          </w:p>
        </w:tc>
        <w:tc>
          <w:tcPr>
            <w:tcW w:w="794" w:type="dxa"/>
            <w:tcBorders>
              <w:top w:val="nil"/>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The actual is higher than the target and is reflective of a timely and responsive service system. This is a positive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Proportion of clients whose support is commenced within departmental timelines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85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92</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8.1</w:t>
            </w:r>
          </w:p>
        </w:tc>
        <w:tc>
          <w:tcPr>
            <w:tcW w:w="794" w:type="dxa"/>
            <w:tcBorders>
              <w:top w:val="single" w:sz="4" w:space="0" w:color="BFBFBF"/>
              <w:left w:val="nil"/>
              <w:bottom w:val="nil"/>
              <w:right w:val="nil"/>
            </w:tcBorders>
            <w:shd w:val="clear" w:color="auto" w:fill="auto"/>
          </w:tcPr>
          <w:p w:rsidR="0092299C" w:rsidRPr="00D02A2E" w:rsidRDefault="0092299C" w:rsidP="00CA3C06">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The result is higher than the target due to the timely development of each person's support plan and funding proposals. This is a positive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lastRenderedPageBreak/>
              <w:t>Support plans prepared within 60 days of the person commencing to regularly access the disability services (accommodation supports)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single" w:sz="4" w:space="0" w:color="BFBFBF"/>
              <w:left w:val="nil"/>
              <w:bottom w:val="nil"/>
              <w:right w:val="nil"/>
            </w:tcBorders>
            <w:shd w:val="clear" w:color="auto" w:fill="auto"/>
          </w:tcPr>
          <w:p w:rsidR="0092299C" w:rsidRPr="00B64D71" w:rsidRDefault="0092299C" w:rsidP="00B64D71">
            <w:pPr>
              <w:pStyle w:val="ARtabletextright"/>
            </w:pPr>
            <w:r w:rsidRPr="00D02A2E">
              <w:sym w:font="Wingdings" w:char="F0FC"/>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Support plans prepared within 60 days of the person commencing to regularly access the disability services (individualised supports)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100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83</w:t>
            </w:r>
            <w:r w:rsidR="008A7604">
              <w:t>.0</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17.0</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w:char="F06E"/>
            </w:r>
          </w:p>
        </w:tc>
      </w:tr>
      <w:tr w:rsidR="0092299C" w:rsidRPr="00D02A2E" w:rsidTr="00E324D1">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The result is lower than the target due to the complex planning required by some individuals, which takes longer than 60 days to complete. Business continuity (staff disruptions) has also impacted on the 20</w:t>
            </w:r>
            <w:r>
              <w:t>16–17</w:t>
            </w:r>
            <w:r w:rsidRPr="00D02A2E">
              <w:t xml:space="preserve"> outcome.</w:t>
            </w:r>
          </w:p>
        </w:tc>
      </w:tr>
      <w:tr w:rsidR="0092299C" w:rsidRPr="00D02A2E" w:rsidTr="00E324D1">
        <w:trPr>
          <w:cantSplit/>
          <w:trHeight w:val="227"/>
        </w:trPr>
        <w:tc>
          <w:tcPr>
            <w:tcW w:w="4763"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
            </w:pPr>
            <w:r w:rsidRPr="00D02A2E">
              <w:t>Supported accommodation occupancy rate</w:t>
            </w:r>
          </w:p>
          <w:p w:rsidR="0092299C" w:rsidRPr="00D02A2E" w:rsidRDefault="0092299C" w:rsidP="0092299C">
            <w:pPr>
              <w:pStyle w:val="ARtabletext"/>
              <w:rPr>
                <w:i/>
                <w:color w:val="FF0000"/>
                <w:sz w:val="16"/>
                <w:szCs w:val="16"/>
              </w:rPr>
            </w:pPr>
            <w:r w:rsidRPr="00D02A2E">
              <w:rPr>
                <w:i/>
                <w:color w:val="000000" w:themeColor="text1"/>
                <w:sz w:val="16"/>
                <w:szCs w:val="16"/>
              </w:rPr>
              <w:t>This measure is proposed to be discontinued in 20</w:t>
            </w:r>
            <w:r>
              <w:rPr>
                <w:i/>
                <w:color w:val="000000" w:themeColor="text1"/>
                <w:sz w:val="16"/>
                <w:szCs w:val="16"/>
              </w:rPr>
              <w:t>17–18</w:t>
            </w:r>
            <w:r w:rsidRPr="00D02A2E">
              <w:rPr>
                <w:i/>
                <w:color w:val="000000" w:themeColor="text1"/>
                <w:sz w:val="16"/>
                <w:szCs w:val="16"/>
              </w:rPr>
              <w:t xml:space="preserve">. </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left w:val="nil"/>
              <w:bottom w:val="single" w:sz="4" w:space="0" w:color="BFBFBF"/>
              <w:right w:val="nil"/>
            </w:tcBorders>
            <w:shd w:val="clear" w:color="auto" w:fill="auto"/>
          </w:tcPr>
          <w:p w:rsidR="0092299C" w:rsidRPr="001F2E2D" w:rsidRDefault="0092299C" w:rsidP="0092299C">
            <w:pPr>
              <w:pStyle w:val="ARtabletextright"/>
            </w:pPr>
            <w:r w:rsidRPr="001F2E2D">
              <w:t>9</w:t>
            </w:r>
            <w:r w:rsidR="008A7604" w:rsidRPr="001F2E2D">
              <w:t>6.8</w:t>
            </w:r>
          </w:p>
        </w:tc>
        <w:tc>
          <w:tcPr>
            <w:tcW w:w="1021" w:type="dxa"/>
            <w:tcBorders>
              <w:top w:val="single" w:sz="4" w:space="0" w:color="BFBFBF"/>
              <w:left w:val="nil"/>
              <w:bottom w:val="single" w:sz="4" w:space="0" w:color="BFBFBF"/>
              <w:right w:val="nil"/>
            </w:tcBorders>
            <w:shd w:val="clear" w:color="auto" w:fill="auto"/>
          </w:tcPr>
          <w:p w:rsidR="0092299C" w:rsidRPr="001F2E2D" w:rsidRDefault="008A7604" w:rsidP="0092299C">
            <w:pPr>
              <w:pStyle w:val="ARtabletextright"/>
            </w:pPr>
            <w:r w:rsidRPr="001F2E2D">
              <w:t>1.9</w:t>
            </w:r>
          </w:p>
        </w:tc>
        <w:tc>
          <w:tcPr>
            <w:tcW w:w="794" w:type="dxa"/>
            <w:tcBorders>
              <w:top w:val="single" w:sz="4" w:space="0" w:color="BFBFBF"/>
              <w:left w:val="nil"/>
              <w:bottom w:val="single" w:sz="4" w:space="0" w:color="BFBFBF"/>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E324D1">
        <w:trPr>
          <w:cantSplit/>
          <w:trHeight w:val="227"/>
        </w:trPr>
        <w:tc>
          <w:tcPr>
            <w:tcW w:w="4763"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Cost</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r>
      <w:tr w:rsidR="0092299C" w:rsidRPr="00D02A2E" w:rsidTr="00E324D1">
        <w:trPr>
          <w:cantSplit/>
          <w:trHeight w:val="227"/>
        </w:trPr>
        <w:tc>
          <w:tcPr>
            <w:tcW w:w="4763" w:type="dxa"/>
            <w:tcBorders>
              <w:top w:val="nil"/>
              <w:left w:val="nil"/>
              <w:bottom w:val="nil"/>
              <w:right w:val="nil"/>
            </w:tcBorders>
            <w:shd w:val="clear" w:color="auto" w:fill="auto"/>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tcPr>
          <w:p w:rsidR="0092299C" w:rsidRPr="004F1B9E" w:rsidRDefault="0092299C" w:rsidP="001F2E2D">
            <w:pPr>
              <w:pStyle w:val="ARtabletextright"/>
              <w:jc w:val="center"/>
              <w:rPr>
                <w:b/>
                <w:bCs/>
              </w:rPr>
            </w:pPr>
            <w:r w:rsidRPr="004F1B9E">
              <w:rPr>
                <w:b/>
                <w:bCs/>
              </w:rPr>
              <w:t>$ million</w:t>
            </w:r>
          </w:p>
        </w:tc>
        <w:tc>
          <w:tcPr>
            <w:tcW w:w="1021" w:type="dxa"/>
            <w:tcBorders>
              <w:top w:val="nil"/>
              <w:left w:val="nil"/>
              <w:bottom w:val="nil"/>
              <w:right w:val="nil"/>
            </w:tcBorders>
            <w:shd w:val="clear" w:color="auto" w:fill="auto"/>
          </w:tcPr>
          <w:p w:rsidR="0092299C" w:rsidRPr="004F1B9E" w:rsidRDefault="0092299C" w:rsidP="0092299C">
            <w:pPr>
              <w:pStyle w:val="ARtabletextright"/>
              <w:rPr>
                <w:b/>
                <w:bCs/>
              </w:rPr>
            </w:pPr>
            <w:r w:rsidRPr="004F1B9E">
              <w:rPr>
                <w:b/>
                <w:bCs/>
              </w:rPr>
              <w:t xml:space="preserve">1,683.4 </w:t>
            </w:r>
          </w:p>
        </w:tc>
        <w:tc>
          <w:tcPr>
            <w:tcW w:w="1021" w:type="dxa"/>
            <w:tcBorders>
              <w:top w:val="nil"/>
              <w:left w:val="nil"/>
              <w:bottom w:val="nil"/>
              <w:right w:val="nil"/>
            </w:tcBorders>
            <w:shd w:val="clear" w:color="auto" w:fill="auto"/>
            <w:vAlign w:val="center"/>
          </w:tcPr>
          <w:p w:rsidR="0092299C" w:rsidRPr="004F1B9E" w:rsidRDefault="0092299C" w:rsidP="0092299C">
            <w:pPr>
              <w:pStyle w:val="ARtabletextright"/>
              <w:rPr>
                <w:b/>
                <w:bCs/>
                <w:highlight w:val="yellow"/>
              </w:rPr>
            </w:pPr>
            <w:r w:rsidRPr="004F1B9E">
              <w:rPr>
                <w:b/>
                <w:bCs/>
              </w:rPr>
              <w:t>1,799.0</w:t>
            </w:r>
          </w:p>
        </w:tc>
        <w:tc>
          <w:tcPr>
            <w:tcW w:w="1021" w:type="dxa"/>
            <w:tcBorders>
              <w:top w:val="nil"/>
              <w:left w:val="nil"/>
              <w:bottom w:val="nil"/>
              <w:right w:val="nil"/>
            </w:tcBorders>
            <w:shd w:val="clear" w:color="auto" w:fill="auto"/>
            <w:vAlign w:val="center"/>
          </w:tcPr>
          <w:p w:rsidR="0092299C" w:rsidRPr="004F1B9E" w:rsidRDefault="0092299C" w:rsidP="0092299C">
            <w:pPr>
              <w:pStyle w:val="ARtabletextright"/>
              <w:rPr>
                <w:b/>
                <w:bCs/>
              </w:rPr>
            </w:pPr>
            <w:r w:rsidRPr="004F1B9E">
              <w:rPr>
                <w:b/>
                <w:bCs/>
              </w:rPr>
              <w:t>6.9</w:t>
            </w:r>
          </w:p>
        </w:tc>
        <w:tc>
          <w:tcPr>
            <w:tcW w:w="794" w:type="dxa"/>
            <w:tcBorders>
              <w:top w:val="nil"/>
              <w:left w:val="nil"/>
              <w:bottom w:val="nil"/>
              <w:right w:val="nil"/>
            </w:tcBorders>
            <w:shd w:val="clear" w:color="auto" w:fill="auto"/>
            <w:vAlign w:val="center"/>
          </w:tcPr>
          <w:p w:rsidR="0092299C" w:rsidRPr="00DF003D" w:rsidRDefault="0092299C" w:rsidP="0092299C">
            <w:pPr>
              <w:pStyle w:val="ARtabletextright"/>
              <w:rPr>
                <w:b/>
                <w:bCs/>
              </w:rPr>
            </w:pPr>
          </w:p>
        </w:tc>
      </w:tr>
      <w:tr w:rsidR="0092299C" w:rsidRPr="000D0518" w:rsidTr="00E324D1">
        <w:trPr>
          <w:cantSplit/>
          <w:trHeight w:val="362"/>
        </w:trPr>
        <w:tc>
          <w:tcPr>
            <w:tcW w:w="794" w:type="dxa"/>
            <w:gridSpan w:val="6"/>
            <w:tcBorders>
              <w:top w:val="nil"/>
              <w:left w:val="nil"/>
              <w:bottom w:val="single" w:sz="4" w:space="0" w:color="auto"/>
              <w:right w:val="nil"/>
            </w:tcBorders>
            <w:shd w:val="clear" w:color="auto" w:fill="auto"/>
          </w:tcPr>
          <w:p w:rsidR="0092299C" w:rsidRPr="000D0518" w:rsidRDefault="0092299C" w:rsidP="0092299C">
            <w:pPr>
              <w:pStyle w:val="ARtablenoteindent"/>
            </w:pPr>
            <w:r w:rsidRPr="0031742B">
              <w:t>The higher 20</w:t>
            </w:r>
            <w:r>
              <w:t>16–17</w:t>
            </w:r>
            <w:r w:rsidRPr="0031742B">
              <w:t xml:space="preserve"> outcome reflects Commonwealth funding received for older people in specialist disability services under the cross billing arrangements, and slower than planned phasing of existing clients into the National Disability Insurance Scheme (NDIS).</w:t>
            </w:r>
          </w:p>
        </w:tc>
      </w:tr>
    </w:tbl>
    <w:p w:rsidR="0092299C" w:rsidRPr="00D02A2E" w:rsidRDefault="0092299C" w:rsidP="0092299C">
      <w:pPr>
        <w:pStyle w:val="Heading2"/>
      </w:pPr>
      <w:r w:rsidRPr="00D02A2E">
        <w:t>Victorian Contribution to National Disability Insurance Scheme</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66"/>
        <w:gridCol w:w="1021"/>
        <w:gridCol w:w="1021"/>
        <w:gridCol w:w="1021"/>
        <w:gridCol w:w="1021"/>
        <w:gridCol w:w="794"/>
      </w:tblGrid>
      <w:tr w:rsidR="0092299C" w:rsidRPr="00D02A2E" w:rsidTr="001B639E">
        <w:trPr>
          <w:cantSplit/>
          <w:trHeight w:val="227"/>
          <w:tblHeader/>
        </w:trPr>
        <w:tc>
          <w:tcPr>
            <w:tcW w:w="4765" w:type="dxa"/>
            <w:tcBorders>
              <w:top w:val="nil"/>
              <w:left w:val="nil"/>
              <w:bottom w:val="single" w:sz="4" w:space="0" w:color="auto"/>
              <w:right w:val="nil"/>
            </w:tcBorders>
            <w:shd w:val="clear" w:color="auto" w:fill="auto"/>
            <w:vAlign w:val="bottom"/>
          </w:tcPr>
          <w:p w:rsidR="0092299C" w:rsidRPr="00D02A2E" w:rsidRDefault="0092299C" w:rsidP="0092299C">
            <w:pPr>
              <w:pStyle w:val="ARtablecolhead"/>
            </w:pPr>
            <w:r w:rsidRPr="00D02A2E">
              <w:t>Performance measures</w:t>
            </w:r>
          </w:p>
        </w:tc>
        <w:tc>
          <w:tcPr>
            <w:tcW w:w="1021" w:type="dxa"/>
            <w:tcBorders>
              <w:top w:val="nil"/>
              <w:left w:val="nil"/>
              <w:bottom w:val="single" w:sz="4" w:space="0" w:color="auto"/>
              <w:right w:val="nil"/>
            </w:tcBorders>
            <w:shd w:val="clear" w:color="auto" w:fill="auto"/>
            <w:vAlign w:val="bottom"/>
          </w:tcPr>
          <w:p w:rsidR="0092299C" w:rsidRPr="00D02A2E" w:rsidRDefault="0092299C" w:rsidP="001F2E2D">
            <w:pPr>
              <w:pStyle w:val="ARtablecolheadright"/>
              <w:jc w:val="center"/>
            </w:pPr>
            <w:r w:rsidRPr="00D02A2E">
              <w:t>Unit of measure</w:t>
            </w:r>
          </w:p>
        </w:tc>
        <w:tc>
          <w:tcPr>
            <w:tcW w:w="1021" w:type="dxa"/>
            <w:tcBorders>
              <w:top w:val="nil"/>
              <w:left w:val="nil"/>
              <w:bottom w:val="single" w:sz="4" w:space="0" w:color="auto"/>
              <w:right w:val="nil"/>
            </w:tcBorders>
            <w:shd w:val="clear" w:color="auto" w:fill="auto"/>
            <w:vAlign w:val="bottom"/>
          </w:tcPr>
          <w:p w:rsidR="0092299C" w:rsidRPr="00D02A2E" w:rsidRDefault="0092299C" w:rsidP="0092299C">
            <w:pPr>
              <w:pStyle w:val="ARtablecolheadright"/>
            </w:pPr>
            <w:r w:rsidRPr="00D02A2E">
              <w:t>2016–17 target</w:t>
            </w:r>
          </w:p>
        </w:tc>
        <w:tc>
          <w:tcPr>
            <w:tcW w:w="1021" w:type="dxa"/>
            <w:tcBorders>
              <w:top w:val="nil"/>
              <w:left w:val="nil"/>
              <w:bottom w:val="single" w:sz="4" w:space="0" w:color="auto"/>
              <w:right w:val="nil"/>
            </w:tcBorders>
            <w:shd w:val="clear" w:color="auto" w:fill="auto"/>
            <w:vAlign w:val="bottom"/>
          </w:tcPr>
          <w:p w:rsidR="0092299C" w:rsidRPr="00D02A2E" w:rsidRDefault="0092299C" w:rsidP="0092299C">
            <w:pPr>
              <w:pStyle w:val="ARtablecolheadright"/>
            </w:pPr>
            <w:r w:rsidRPr="00D02A2E">
              <w:t>2016–17 actual</w:t>
            </w:r>
          </w:p>
        </w:tc>
        <w:tc>
          <w:tcPr>
            <w:tcW w:w="1021" w:type="dxa"/>
            <w:tcBorders>
              <w:top w:val="nil"/>
              <w:left w:val="nil"/>
              <w:bottom w:val="single" w:sz="4" w:space="0" w:color="auto"/>
              <w:right w:val="nil"/>
            </w:tcBorders>
            <w:shd w:val="clear" w:color="auto" w:fill="auto"/>
            <w:vAlign w:val="bottom"/>
          </w:tcPr>
          <w:p w:rsidR="0092299C" w:rsidRPr="00D02A2E" w:rsidRDefault="0092299C" w:rsidP="0092299C">
            <w:pPr>
              <w:pStyle w:val="ARtablecolheadright"/>
            </w:pPr>
            <w:r w:rsidRPr="00D02A2E">
              <w:t>Variation (%)</w:t>
            </w:r>
          </w:p>
        </w:tc>
        <w:tc>
          <w:tcPr>
            <w:tcW w:w="794" w:type="dxa"/>
            <w:tcBorders>
              <w:top w:val="nil"/>
              <w:left w:val="nil"/>
              <w:bottom w:val="single" w:sz="4" w:space="0" w:color="auto"/>
              <w:right w:val="nil"/>
            </w:tcBorders>
            <w:shd w:val="clear" w:color="auto" w:fill="auto"/>
            <w:vAlign w:val="bottom"/>
          </w:tcPr>
          <w:p w:rsidR="0092299C" w:rsidRPr="00D02A2E" w:rsidRDefault="0092299C" w:rsidP="00096BE7">
            <w:pPr>
              <w:pStyle w:val="ARtablecolheadright"/>
            </w:pPr>
            <w:r w:rsidRPr="00D02A2E">
              <w:t>Result</w:t>
            </w:r>
          </w:p>
        </w:tc>
      </w:tr>
      <w:tr w:rsidR="0092299C" w:rsidRPr="00D02A2E" w:rsidTr="001B639E">
        <w:trPr>
          <w:cantSplit/>
          <w:trHeight w:val="227"/>
        </w:trPr>
        <w:tc>
          <w:tcPr>
            <w:tcW w:w="4763" w:type="dxa"/>
            <w:tcBorders>
              <w:top w:val="nil"/>
              <w:left w:val="nil"/>
              <w:bottom w:val="nil"/>
              <w:right w:val="nil"/>
            </w:tcBorders>
            <w:shd w:val="clear" w:color="auto" w:fill="auto"/>
          </w:tcPr>
          <w:p w:rsidR="0092299C" w:rsidRPr="00D02A2E" w:rsidRDefault="0092299C" w:rsidP="0092299C">
            <w:pPr>
              <w:pStyle w:val="ARtablebluebold"/>
            </w:pPr>
            <w:r w:rsidRPr="00D02A2E">
              <w:t>Quantity</w:t>
            </w: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nil"/>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1B639E">
        <w:trPr>
          <w:cantSplit/>
          <w:trHeight w:val="227"/>
        </w:trPr>
        <w:tc>
          <w:tcPr>
            <w:tcW w:w="4763" w:type="dxa"/>
            <w:tcBorders>
              <w:top w:val="nil"/>
              <w:left w:val="nil"/>
              <w:bottom w:val="nil"/>
              <w:right w:val="nil"/>
            </w:tcBorders>
            <w:shd w:val="clear" w:color="auto" w:fill="auto"/>
            <w:hideMark/>
          </w:tcPr>
          <w:p w:rsidR="0092299C" w:rsidRPr="00D02A2E" w:rsidRDefault="0092299C" w:rsidP="0092299C">
            <w:pPr>
              <w:pStyle w:val="ARtabletext"/>
            </w:pPr>
            <w:r w:rsidRPr="00D02A2E">
              <w:t>National Disability Insurance Scheme participants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20,205</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14,512</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rsidRPr="00D02A2E">
              <w:t>28.2</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6E"/>
            </w:r>
          </w:p>
        </w:tc>
      </w:tr>
      <w:tr w:rsidR="0092299C" w:rsidRPr="00D02A2E" w:rsidTr="001B639E">
        <w:trPr>
          <w:cantSplit/>
          <w:trHeight w:val="227"/>
        </w:trPr>
        <w:tc>
          <w:tcPr>
            <w:tcW w:w="79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The 20</w:t>
            </w:r>
            <w:r>
              <w:t>16–17</w:t>
            </w:r>
            <w:r w:rsidRPr="00D02A2E">
              <w:t xml:space="preserve"> result is lower than the 20</w:t>
            </w:r>
            <w:r>
              <w:t>16–17</w:t>
            </w:r>
            <w:r w:rsidRPr="00D02A2E">
              <w:t xml:space="preserve"> target due to the slower than forecast transition of clients into the NDIS by the NDIA.</w:t>
            </w:r>
          </w:p>
        </w:tc>
      </w:tr>
      <w:tr w:rsidR="0092299C" w:rsidRPr="00D02A2E" w:rsidTr="001B639E">
        <w:trPr>
          <w:cantSplit/>
          <w:trHeight w:val="227"/>
        </w:trPr>
        <w:tc>
          <w:tcPr>
            <w:tcW w:w="4763"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Cost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tcPr>
          <w:p w:rsidR="0092299C" w:rsidRPr="00D02A2E" w:rsidRDefault="0092299C" w:rsidP="0092299C">
            <w:pPr>
              <w:pStyle w:val="ARtablebluebold"/>
              <w:rPr>
                <w:sz w:val="20"/>
                <w:szCs w:val="20"/>
              </w:rPr>
            </w:pPr>
          </w:p>
        </w:tc>
      </w:tr>
      <w:tr w:rsidR="0092299C" w:rsidRPr="00D02A2E" w:rsidTr="001B639E">
        <w:tblPrEx>
          <w:tblBorders>
            <w:top w:val="none" w:sz="0" w:space="0" w:color="auto"/>
            <w:left w:val="single" w:sz="4" w:space="0" w:color="FFFFFF"/>
            <w:right w:val="single" w:sz="4" w:space="0" w:color="FFFFFF"/>
            <w:insideV w:val="single" w:sz="4" w:space="0" w:color="FFFFFF"/>
          </w:tblBorders>
        </w:tblPrEx>
        <w:trPr>
          <w:cantSplit/>
          <w:trHeight w:val="240"/>
        </w:trPr>
        <w:tc>
          <w:tcPr>
            <w:tcW w:w="4763" w:type="dxa"/>
            <w:tcBorders>
              <w:top w:val="nil"/>
              <w:left w:val="nil"/>
              <w:bottom w:val="nil"/>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hideMark/>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DF003D" w:rsidRDefault="0092299C" w:rsidP="0092299C">
            <w:pPr>
              <w:pStyle w:val="ARtabletextright"/>
              <w:rPr>
                <w:b/>
                <w:bCs/>
              </w:rPr>
            </w:pPr>
            <w:r w:rsidRPr="00DF003D">
              <w:rPr>
                <w:b/>
                <w:bCs/>
              </w:rPr>
              <w:t>268.6</w:t>
            </w:r>
          </w:p>
        </w:tc>
        <w:tc>
          <w:tcPr>
            <w:tcW w:w="1021" w:type="dxa"/>
            <w:tcBorders>
              <w:top w:val="nil"/>
              <w:left w:val="nil"/>
              <w:bottom w:val="nil"/>
              <w:right w:val="nil"/>
            </w:tcBorders>
            <w:shd w:val="clear" w:color="auto" w:fill="auto"/>
          </w:tcPr>
          <w:p w:rsidR="0092299C" w:rsidRPr="00DF003D" w:rsidRDefault="0092299C" w:rsidP="0092299C">
            <w:pPr>
              <w:pStyle w:val="ARtabletextright"/>
              <w:rPr>
                <w:b/>
                <w:bCs/>
              </w:rPr>
            </w:pPr>
            <w:r w:rsidRPr="00DF003D">
              <w:rPr>
                <w:b/>
                <w:bCs/>
              </w:rPr>
              <w:t>210.0</w:t>
            </w:r>
          </w:p>
        </w:tc>
        <w:tc>
          <w:tcPr>
            <w:tcW w:w="1021" w:type="dxa"/>
            <w:tcBorders>
              <w:top w:val="nil"/>
              <w:left w:val="nil"/>
              <w:bottom w:val="nil"/>
              <w:right w:val="nil"/>
            </w:tcBorders>
            <w:shd w:val="clear" w:color="auto" w:fill="auto"/>
          </w:tcPr>
          <w:p w:rsidR="0092299C" w:rsidRPr="00DF003D" w:rsidRDefault="00EC4FD8" w:rsidP="0092299C">
            <w:pPr>
              <w:pStyle w:val="ARtabletextright"/>
              <w:rPr>
                <w:b/>
                <w:bCs/>
              </w:rPr>
            </w:pPr>
            <w:r>
              <w:rPr>
                <w:b/>
                <w:bCs/>
              </w:rPr>
              <w:t>–</w:t>
            </w:r>
            <w:r w:rsidR="0092299C">
              <w:rPr>
                <w:b/>
                <w:bCs/>
              </w:rPr>
              <w:t>21.8</w:t>
            </w:r>
          </w:p>
        </w:tc>
        <w:tc>
          <w:tcPr>
            <w:tcW w:w="794" w:type="dxa"/>
            <w:tcBorders>
              <w:top w:val="nil"/>
              <w:left w:val="nil"/>
              <w:bottom w:val="nil"/>
              <w:right w:val="nil"/>
            </w:tcBorders>
            <w:shd w:val="clear" w:color="auto" w:fill="auto"/>
            <w:hideMark/>
          </w:tcPr>
          <w:p w:rsidR="0092299C" w:rsidRPr="00D02A2E" w:rsidRDefault="0092299C" w:rsidP="0092299C">
            <w:pPr>
              <w:pStyle w:val="ARtabletextbold"/>
              <w:rPr>
                <w:rFonts w:ascii="Wingdings" w:hAnsi="Wingdings"/>
              </w:rPr>
            </w:pPr>
          </w:p>
        </w:tc>
      </w:tr>
      <w:tr w:rsidR="0092299C" w:rsidRPr="00D02A2E" w:rsidTr="001B639E">
        <w:tblPrEx>
          <w:tblBorders>
            <w:top w:val="none" w:sz="0" w:space="0" w:color="auto"/>
            <w:left w:val="single" w:sz="4" w:space="0" w:color="FFFFFF"/>
            <w:right w:val="single" w:sz="4" w:space="0" w:color="FFFFFF"/>
            <w:insideV w:val="single" w:sz="4" w:space="0" w:color="FFFFFF"/>
          </w:tblBorders>
        </w:tblPrEx>
        <w:trPr>
          <w:cantSplit/>
          <w:trHeight w:val="240"/>
        </w:trPr>
        <w:tc>
          <w:tcPr>
            <w:tcW w:w="794" w:type="dxa"/>
            <w:gridSpan w:val="6"/>
            <w:tcBorders>
              <w:top w:val="nil"/>
              <w:left w:val="nil"/>
              <w:right w:val="nil"/>
            </w:tcBorders>
            <w:shd w:val="clear" w:color="auto" w:fill="auto"/>
          </w:tcPr>
          <w:p w:rsidR="0092299C" w:rsidRPr="00D02A2E" w:rsidRDefault="0092299C" w:rsidP="0092299C">
            <w:pPr>
              <w:pStyle w:val="ARtablenoteindent"/>
            </w:pPr>
            <w:r w:rsidRPr="0031742B">
              <w:t>The lower 20</w:t>
            </w:r>
            <w:r>
              <w:t>16–17</w:t>
            </w:r>
            <w:r w:rsidRPr="0031742B">
              <w:t xml:space="preserve"> outcome primarily reflects slower than planned phasing of existing Disability clients into the National Disability Insurance Scheme (NDIS).</w:t>
            </w:r>
          </w:p>
        </w:tc>
      </w:tr>
    </w:tbl>
    <w:p w:rsidR="0092299C" w:rsidRPr="00D02A2E" w:rsidRDefault="0092299C" w:rsidP="00E560D2">
      <w:pPr>
        <w:pStyle w:val="Heading2"/>
      </w:pPr>
      <w:r w:rsidRPr="00D02A2E">
        <w:t>Child Protection and Family Services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B403F2">
        <w:trPr>
          <w:cantSplit/>
          <w:trHeight w:val="480"/>
          <w:tblHeader/>
        </w:trPr>
        <w:tc>
          <w:tcPr>
            <w:tcW w:w="4761" w:type="dxa"/>
            <w:tcBorders>
              <w:top w:val="nil"/>
              <w:left w:val="nil"/>
              <w:bottom w:val="single" w:sz="4" w:space="0" w:color="auto"/>
              <w:right w:val="nil"/>
            </w:tcBorders>
            <w:shd w:val="clear" w:color="auto" w:fill="auto"/>
            <w:vAlign w:val="bottom"/>
            <w:hideMark/>
          </w:tcPr>
          <w:p w:rsidR="0092299C" w:rsidRPr="00D02A2E" w:rsidRDefault="0092299C" w:rsidP="0092299C">
            <w:pPr>
              <w:spacing w:before="80" w:after="60" w:line="216" w:lineRule="auto"/>
              <w:rPr>
                <w:rFonts w:eastAsia="Times" w:cs="Arial"/>
                <w:b/>
                <w:sz w:val="18"/>
                <w:szCs w:val="18"/>
              </w:rPr>
            </w:pPr>
            <w:r w:rsidRPr="00D02A2E">
              <w:rPr>
                <w:rFonts w:eastAsia="Times" w:cs="Arial"/>
                <w:b/>
                <w:sz w:val="18"/>
                <w:szCs w:val="18"/>
              </w:rPr>
              <w:t>Performance measures</w:t>
            </w:r>
          </w:p>
        </w:tc>
        <w:tc>
          <w:tcPr>
            <w:tcW w:w="1021" w:type="dxa"/>
            <w:tcBorders>
              <w:top w:val="nil"/>
              <w:left w:val="nil"/>
              <w:bottom w:val="single" w:sz="4" w:space="0" w:color="auto"/>
              <w:right w:val="nil"/>
            </w:tcBorders>
            <w:shd w:val="clear" w:color="auto" w:fill="auto"/>
            <w:vAlign w:val="bottom"/>
            <w:hideMark/>
          </w:tcPr>
          <w:p w:rsidR="0092299C" w:rsidRPr="00D02A2E" w:rsidRDefault="0092299C" w:rsidP="0092299C">
            <w:pPr>
              <w:spacing w:before="80" w:after="60" w:line="216" w:lineRule="auto"/>
              <w:jc w:val="center"/>
              <w:rPr>
                <w:rFonts w:eastAsia="Times" w:cs="Arial"/>
                <w:b/>
                <w:sz w:val="18"/>
                <w:szCs w:val="18"/>
              </w:rPr>
            </w:pPr>
            <w:r w:rsidRPr="00D02A2E">
              <w:rPr>
                <w:rFonts w:eastAsia="Times" w:cs="Arial"/>
                <w:b/>
                <w:sz w:val="18"/>
                <w:szCs w:val="18"/>
              </w:rPr>
              <w:t>Unit of measure</w:t>
            </w:r>
          </w:p>
        </w:tc>
        <w:tc>
          <w:tcPr>
            <w:tcW w:w="1021" w:type="dxa"/>
            <w:tcBorders>
              <w:top w:val="nil"/>
              <w:left w:val="nil"/>
              <w:bottom w:val="single" w:sz="4" w:space="0" w:color="auto"/>
              <w:right w:val="nil"/>
            </w:tcBorders>
            <w:shd w:val="clear" w:color="auto" w:fill="auto"/>
            <w:vAlign w:val="bottom"/>
            <w:hideMark/>
          </w:tcPr>
          <w:p w:rsidR="0092299C" w:rsidRPr="00D02A2E" w:rsidRDefault="0092299C" w:rsidP="0092299C">
            <w:pPr>
              <w:spacing w:before="80" w:after="60" w:line="216" w:lineRule="auto"/>
              <w:jc w:val="right"/>
              <w:rPr>
                <w:rFonts w:eastAsia="Times" w:cs="Arial"/>
                <w:b/>
                <w:sz w:val="18"/>
                <w:szCs w:val="18"/>
              </w:rPr>
            </w:pPr>
            <w:r w:rsidRPr="00D02A2E">
              <w:rPr>
                <w:rFonts w:eastAsia="Times" w:cs="Arial"/>
                <w:b/>
                <w:sz w:val="18"/>
                <w:szCs w:val="18"/>
              </w:rPr>
              <w:t>2016–17 target</w:t>
            </w:r>
          </w:p>
        </w:tc>
        <w:tc>
          <w:tcPr>
            <w:tcW w:w="1021" w:type="dxa"/>
            <w:tcBorders>
              <w:top w:val="nil"/>
              <w:left w:val="nil"/>
              <w:bottom w:val="single" w:sz="4" w:space="0" w:color="auto"/>
              <w:right w:val="nil"/>
            </w:tcBorders>
            <w:shd w:val="clear" w:color="auto" w:fill="auto"/>
            <w:vAlign w:val="bottom"/>
            <w:hideMark/>
          </w:tcPr>
          <w:p w:rsidR="0092299C" w:rsidRPr="00D02A2E" w:rsidRDefault="0092299C" w:rsidP="0092299C">
            <w:pPr>
              <w:spacing w:before="80" w:after="60" w:line="216" w:lineRule="auto"/>
              <w:jc w:val="right"/>
              <w:rPr>
                <w:rFonts w:eastAsia="Times" w:cs="Arial"/>
                <w:b/>
                <w:sz w:val="18"/>
                <w:szCs w:val="18"/>
              </w:rPr>
            </w:pPr>
            <w:r w:rsidRPr="00D02A2E">
              <w:rPr>
                <w:rFonts w:eastAsia="Times" w:cs="Arial"/>
                <w:b/>
                <w:sz w:val="18"/>
                <w:szCs w:val="18"/>
              </w:rPr>
              <w:t>2016–17 actual</w:t>
            </w:r>
          </w:p>
        </w:tc>
        <w:tc>
          <w:tcPr>
            <w:tcW w:w="1021" w:type="dxa"/>
            <w:tcBorders>
              <w:top w:val="nil"/>
              <w:left w:val="nil"/>
              <w:bottom w:val="single" w:sz="4" w:space="0" w:color="auto"/>
              <w:right w:val="nil"/>
            </w:tcBorders>
            <w:shd w:val="clear" w:color="auto" w:fill="auto"/>
            <w:vAlign w:val="bottom"/>
            <w:hideMark/>
          </w:tcPr>
          <w:p w:rsidR="0092299C" w:rsidRPr="00D02A2E" w:rsidRDefault="0092299C" w:rsidP="0092299C">
            <w:pPr>
              <w:spacing w:before="80" w:after="60" w:line="216" w:lineRule="auto"/>
              <w:jc w:val="right"/>
              <w:rPr>
                <w:rFonts w:eastAsia="Times" w:cs="Arial"/>
                <w:b/>
                <w:sz w:val="18"/>
                <w:szCs w:val="18"/>
              </w:rPr>
            </w:pPr>
            <w:r w:rsidRPr="00D02A2E">
              <w:rPr>
                <w:rFonts w:eastAsia="Times" w:cs="Arial"/>
                <w:b/>
                <w:sz w:val="18"/>
                <w:szCs w:val="18"/>
              </w:rPr>
              <w:t>Variation (%)</w:t>
            </w:r>
          </w:p>
        </w:tc>
        <w:tc>
          <w:tcPr>
            <w:tcW w:w="794" w:type="dxa"/>
            <w:tcBorders>
              <w:top w:val="nil"/>
              <w:left w:val="nil"/>
              <w:bottom w:val="single" w:sz="4" w:space="0" w:color="auto"/>
              <w:right w:val="nil"/>
            </w:tcBorders>
            <w:shd w:val="clear" w:color="auto" w:fill="auto"/>
            <w:vAlign w:val="bottom"/>
            <w:hideMark/>
          </w:tcPr>
          <w:p w:rsidR="0092299C" w:rsidRPr="00096BE7" w:rsidRDefault="0092299C" w:rsidP="00096BE7">
            <w:pPr>
              <w:pStyle w:val="ARtablecolheadright"/>
            </w:pPr>
            <w:r w:rsidRPr="00096BE7">
              <w:t>Result</w:t>
            </w:r>
          </w:p>
        </w:tc>
      </w:tr>
      <w:tr w:rsidR="0092299C" w:rsidRPr="00D02A2E" w:rsidTr="00B403F2">
        <w:trPr>
          <w:cantSplit/>
          <w:trHeight w:val="227"/>
        </w:trPr>
        <w:tc>
          <w:tcPr>
            <w:tcW w:w="4761" w:type="dxa"/>
            <w:tcBorders>
              <w:top w:val="nil"/>
              <w:left w:val="nil"/>
              <w:bottom w:val="nil"/>
              <w:right w:val="nil"/>
            </w:tcBorders>
            <w:shd w:val="clear" w:color="auto" w:fill="auto"/>
            <w:vAlign w:val="center"/>
          </w:tcPr>
          <w:p w:rsidR="0092299C" w:rsidRPr="00D02A2E" w:rsidRDefault="0092299C" w:rsidP="0092299C">
            <w:pPr>
              <w:pStyle w:val="ARtablebluebold"/>
            </w:pPr>
            <w:r w:rsidRPr="00D02A2E">
              <w:t>Quantity</w:t>
            </w: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nil"/>
              <w:left w:val="nil"/>
              <w:bottom w:val="nil"/>
              <w:right w:val="nil"/>
            </w:tcBorders>
            <w:shd w:val="clear" w:color="auto" w:fill="auto"/>
            <w:vAlign w:val="center"/>
          </w:tcPr>
          <w:p w:rsidR="0092299C" w:rsidRPr="00D02A2E" w:rsidRDefault="0092299C" w:rsidP="0092299C">
            <w:pPr>
              <w:pStyle w:val="ARtablebluebold"/>
            </w:pP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shd w:val="clear" w:color="auto" w:fill="auto"/>
            <w:hideMark/>
          </w:tcPr>
          <w:p w:rsidR="0092299C" w:rsidRPr="00D02A2E" w:rsidRDefault="0092299C" w:rsidP="0092299C">
            <w:pPr>
              <w:pStyle w:val="ARtabletext"/>
            </w:pPr>
            <w:r w:rsidRPr="00D02A2E">
              <w:t>Daily average number of children in out-of-home care placements</w:t>
            </w:r>
          </w:p>
        </w:tc>
        <w:tc>
          <w:tcPr>
            <w:tcW w:w="1021" w:type="dxa"/>
            <w:shd w:val="clear" w:color="auto" w:fill="auto"/>
            <w:hideMark/>
          </w:tcPr>
          <w:p w:rsidR="0092299C" w:rsidRPr="00D02A2E" w:rsidRDefault="0092299C" w:rsidP="001F2E2D">
            <w:pPr>
              <w:pStyle w:val="ARtabletext"/>
              <w:jc w:val="center"/>
            </w:pPr>
            <w:r w:rsidRPr="00D02A2E">
              <w:t>number</w:t>
            </w:r>
          </w:p>
        </w:tc>
        <w:tc>
          <w:tcPr>
            <w:tcW w:w="1021" w:type="dxa"/>
            <w:shd w:val="clear" w:color="auto" w:fill="auto"/>
            <w:hideMark/>
          </w:tcPr>
          <w:p w:rsidR="0092299C" w:rsidRPr="00D02A2E" w:rsidRDefault="0092299C" w:rsidP="0092299C">
            <w:pPr>
              <w:pStyle w:val="ARtabletextright"/>
            </w:pPr>
            <w:r w:rsidRPr="00D02A2E">
              <w:t>8,159</w:t>
            </w:r>
          </w:p>
        </w:tc>
        <w:tc>
          <w:tcPr>
            <w:tcW w:w="1021" w:type="dxa"/>
            <w:shd w:val="clear" w:color="auto" w:fill="auto"/>
          </w:tcPr>
          <w:p w:rsidR="0092299C" w:rsidRPr="00D02A2E" w:rsidRDefault="0092299C" w:rsidP="0092299C">
            <w:pPr>
              <w:pStyle w:val="ARtabletextright"/>
            </w:pPr>
            <w:r w:rsidRPr="00D02A2E">
              <w:t>9,446</w:t>
            </w:r>
          </w:p>
        </w:tc>
        <w:tc>
          <w:tcPr>
            <w:tcW w:w="1021" w:type="dxa"/>
            <w:shd w:val="clear" w:color="auto" w:fill="auto"/>
          </w:tcPr>
          <w:p w:rsidR="0092299C" w:rsidRPr="00D02A2E" w:rsidRDefault="0092299C" w:rsidP="0092299C">
            <w:pPr>
              <w:pStyle w:val="ARtabletextright"/>
            </w:pPr>
            <w:r>
              <w:t>15.8</w:t>
            </w:r>
          </w:p>
        </w:tc>
        <w:tc>
          <w:tcPr>
            <w:tcW w:w="794" w:type="dxa"/>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92299C">
            <w:pPr>
              <w:pStyle w:val="ARtablenoteindent"/>
            </w:pPr>
            <w:r>
              <w:t>The result reflects the demand for out-of-home care placements</w:t>
            </w:r>
            <w:r w:rsidRPr="00D02A2E">
              <w:t>.</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Number of Child FIRST assessments and interventions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 xml:space="preserve">11,931 </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20,016</w:t>
            </w:r>
          </w:p>
        </w:tc>
        <w:tc>
          <w:tcPr>
            <w:tcW w:w="1021" w:type="dxa"/>
            <w:tcBorders>
              <w:top w:val="single" w:sz="4" w:space="0" w:color="BFBFBF"/>
            </w:tcBorders>
            <w:shd w:val="clear" w:color="auto" w:fill="auto"/>
          </w:tcPr>
          <w:p w:rsidR="0092299C" w:rsidRPr="00D02A2E" w:rsidRDefault="0092299C" w:rsidP="0092299C">
            <w:pPr>
              <w:pStyle w:val="ARtabletextright"/>
            </w:pPr>
            <w:r>
              <w:t>67.8</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hemeColor="background1" w:themeShade="BF"/>
            </w:tcBorders>
            <w:shd w:val="clear" w:color="auto" w:fill="auto"/>
          </w:tcPr>
          <w:p w:rsidR="0092299C" w:rsidRPr="00D02A2E" w:rsidRDefault="0092299C" w:rsidP="0092299C">
            <w:pPr>
              <w:pStyle w:val="ARtablenoteindent"/>
            </w:pPr>
            <w:r w:rsidRPr="00D02A2E">
              <w:t xml:space="preserve">The </w:t>
            </w:r>
            <w:r w:rsidRPr="00D02A2E">
              <w:rPr>
                <w:szCs w:val="16"/>
              </w:rPr>
              <w:t>result</w:t>
            </w:r>
            <w:r>
              <w:t xml:space="preserve"> is higher than the</w:t>
            </w:r>
            <w:r w:rsidRPr="00D02A2E">
              <w:t xml:space="preserve"> target due to the continuing </w:t>
            </w:r>
            <w:r>
              <w:t xml:space="preserve">high </w:t>
            </w:r>
            <w:r w:rsidRPr="00D02A2E">
              <w:t>demand for</w:t>
            </w:r>
            <w:r>
              <w:t xml:space="preserve"> Child FIRST services</w:t>
            </w:r>
            <w:r w:rsidR="00BB7EF8">
              <w:t xml:space="preserve"> and additional funded places</w:t>
            </w:r>
            <w:r w:rsidRPr="00D02A2E">
              <w:t xml:space="preserve">. </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hemeColor="background1" w:themeShade="BF"/>
            </w:tcBorders>
            <w:shd w:val="clear" w:color="auto" w:fill="auto"/>
            <w:hideMark/>
          </w:tcPr>
          <w:p w:rsidR="0092299C" w:rsidRPr="00D02A2E" w:rsidRDefault="0092299C" w:rsidP="0092299C">
            <w:pPr>
              <w:pStyle w:val="ARtabletext"/>
            </w:pPr>
            <w:r w:rsidRPr="00D02A2E">
              <w:t>Number of children in kinship care whose placements are managed by community service organisations</w:t>
            </w:r>
          </w:p>
        </w:tc>
        <w:tc>
          <w:tcPr>
            <w:tcW w:w="1021" w:type="dxa"/>
            <w:tcBorders>
              <w:top w:val="single" w:sz="4" w:space="0" w:color="BFBFBF" w:themeColor="background1" w:themeShade="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hemeColor="background1" w:themeShade="BF"/>
            </w:tcBorders>
            <w:shd w:val="clear" w:color="auto" w:fill="auto"/>
            <w:hideMark/>
          </w:tcPr>
          <w:p w:rsidR="0092299C" w:rsidRPr="00D02A2E" w:rsidRDefault="0092299C" w:rsidP="0092299C">
            <w:pPr>
              <w:pStyle w:val="ARtabletextright"/>
            </w:pPr>
            <w:r w:rsidRPr="00D02A2E">
              <w:t>750</w:t>
            </w:r>
          </w:p>
        </w:tc>
        <w:tc>
          <w:tcPr>
            <w:tcW w:w="1021" w:type="dxa"/>
            <w:tcBorders>
              <w:top w:val="single" w:sz="4" w:space="0" w:color="BFBFBF" w:themeColor="background1" w:themeShade="BF"/>
            </w:tcBorders>
            <w:shd w:val="clear" w:color="auto" w:fill="auto"/>
          </w:tcPr>
          <w:p w:rsidR="0092299C" w:rsidRPr="00D02A2E" w:rsidRDefault="0092299C" w:rsidP="0092299C">
            <w:pPr>
              <w:pStyle w:val="ARtabletextright"/>
            </w:pPr>
            <w:r w:rsidRPr="00D02A2E">
              <w:t>8</w:t>
            </w:r>
            <w:r>
              <w:t>40</w:t>
            </w:r>
          </w:p>
        </w:tc>
        <w:tc>
          <w:tcPr>
            <w:tcW w:w="1021" w:type="dxa"/>
            <w:tcBorders>
              <w:top w:val="single" w:sz="4" w:space="0" w:color="BFBFBF" w:themeColor="background1" w:themeShade="BF"/>
            </w:tcBorders>
            <w:shd w:val="clear" w:color="auto" w:fill="auto"/>
          </w:tcPr>
          <w:p w:rsidR="0092299C" w:rsidRPr="00D02A2E" w:rsidRDefault="0092299C" w:rsidP="0092299C">
            <w:pPr>
              <w:pStyle w:val="ARtabletextright"/>
            </w:pPr>
            <w:r>
              <w:t>12.0</w:t>
            </w:r>
          </w:p>
        </w:tc>
        <w:tc>
          <w:tcPr>
            <w:tcW w:w="794" w:type="dxa"/>
            <w:tcBorders>
              <w:top w:val="single" w:sz="4" w:space="0" w:color="BFBFBF" w:themeColor="background1" w:themeShade="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hemeColor="background1" w:themeShade="BF"/>
            </w:tcBorders>
            <w:shd w:val="clear" w:color="auto" w:fill="auto"/>
          </w:tcPr>
          <w:p w:rsidR="0092299C" w:rsidRPr="00D02A2E" w:rsidRDefault="0092299C" w:rsidP="00BB7EF8">
            <w:pPr>
              <w:pStyle w:val="ARtablenoteindent"/>
            </w:pPr>
            <w:r w:rsidRPr="00D02A2E">
              <w:t>The result is higher than the target due to the allocation of an additional 88 targets to Aboriginal organisations in 20</w:t>
            </w:r>
            <w:r>
              <w:t>16–17.</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hemeColor="background1" w:themeShade="BF"/>
            </w:tcBorders>
            <w:shd w:val="clear" w:color="auto" w:fill="auto"/>
            <w:hideMark/>
          </w:tcPr>
          <w:p w:rsidR="0092299C" w:rsidRPr="00D02A2E" w:rsidRDefault="0092299C" w:rsidP="0092299C">
            <w:pPr>
              <w:pStyle w:val="ARtabletext"/>
            </w:pPr>
            <w:r w:rsidRPr="00D02A2E">
              <w:t>Number of children receiving an intensive support service</w:t>
            </w:r>
          </w:p>
        </w:tc>
        <w:tc>
          <w:tcPr>
            <w:tcW w:w="1021" w:type="dxa"/>
            <w:tcBorders>
              <w:top w:val="single" w:sz="4" w:space="0" w:color="BFBFBF" w:themeColor="background1" w:themeShade="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hemeColor="background1" w:themeShade="BF"/>
            </w:tcBorders>
            <w:shd w:val="clear" w:color="auto" w:fill="auto"/>
            <w:hideMark/>
          </w:tcPr>
          <w:p w:rsidR="0092299C" w:rsidRPr="00D02A2E" w:rsidRDefault="0092299C" w:rsidP="0092299C">
            <w:pPr>
              <w:pStyle w:val="ARtabletextright"/>
            </w:pPr>
            <w:r w:rsidRPr="00D02A2E">
              <w:t xml:space="preserve">1,400 </w:t>
            </w:r>
          </w:p>
        </w:tc>
        <w:tc>
          <w:tcPr>
            <w:tcW w:w="1021" w:type="dxa"/>
            <w:tcBorders>
              <w:top w:val="single" w:sz="4" w:space="0" w:color="BFBFBF" w:themeColor="background1" w:themeShade="BF"/>
            </w:tcBorders>
            <w:shd w:val="clear" w:color="auto" w:fill="auto"/>
          </w:tcPr>
          <w:p w:rsidR="0092299C" w:rsidRPr="00D02A2E" w:rsidRDefault="0092299C" w:rsidP="0092299C">
            <w:pPr>
              <w:pStyle w:val="ARtabletextright"/>
            </w:pPr>
            <w:r w:rsidRPr="00D02A2E">
              <w:t>1,400</w:t>
            </w:r>
          </w:p>
        </w:tc>
        <w:tc>
          <w:tcPr>
            <w:tcW w:w="1021" w:type="dxa"/>
            <w:tcBorders>
              <w:top w:val="single" w:sz="4" w:space="0" w:color="BFBFBF" w:themeColor="background1" w:themeShade="BF"/>
            </w:tcBorders>
            <w:shd w:val="clear" w:color="auto" w:fill="auto"/>
          </w:tcPr>
          <w:p w:rsidR="0092299C" w:rsidRPr="00D02A2E" w:rsidRDefault="0092299C" w:rsidP="0092299C">
            <w:pPr>
              <w:pStyle w:val="ARtabletextright"/>
            </w:pPr>
            <w:r>
              <w:t>0.0</w:t>
            </w:r>
          </w:p>
        </w:tc>
        <w:tc>
          <w:tcPr>
            <w:tcW w:w="794" w:type="dxa"/>
            <w:tcBorders>
              <w:top w:val="single" w:sz="4" w:space="0" w:color="BFBFBF" w:themeColor="background1" w:themeShade="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Number of family services cases provided to Aboriginal families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2,547</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3,153</w:t>
            </w:r>
          </w:p>
        </w:tc>
        <w:tc>
          <w:tcPr>
            <w:tcW w:w="1021" w:type="dxa"/>
            <w:tcBorders>
              <w:top w:val="single" w:sz="4" w:space="0" w:color="BFBFBF"/>
            </w:tcBorders>
            <w:shd w:val="clear" w:color="auto" w:fill="auto"/>
          </w:tcPr>
          <w:p w:rsidR="0092299C" w:rsidRPr="00D02A2E" w:rsidRDefault="0092299C" w:rsidP="0092299C">
            <w:pPr>
              <w:pStyle w:val="ARtabletextright"/>
            </w:pPr>
            <w:r>
              <w:t>23.8</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The </w:t>
            </w:r>
            <w:r w:rsidRPr="00D02A2E">
              <w:rPr>
                <w:szCs w:val="16"/>
              </w:rPr>
              <w:t>result</w:t>
            </w:r>
            <w:r w:rsidRPr="00D02A2E">
              <w:t xml:space="preserve"> is higher than the target due to the continuing high demand for assistance. A further 800 targets will be funded for Aboriginal families in 20</w:t>
            </w:r>
            <w:r>
              <w:t>17–18</w:t>
            </w:r>
            <w:r w:rsidRPr="00D02A2E">
              <w:t>.</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keepNext/>
            </w:pPr>
            <w:r w:rsidRPr="00D02A2E">
              <w:lastRenderedPageBreak/>
              <w:t>Reports to child protection services about the wellbeing and safety of children</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121,600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110,987</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8.7</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BB7EF8">
            <w:pPr>
              <w:pStyle w:val="ARtablenoteindent"/>
            </w:pPr>
            <w:r>
              <w:t xml:space="preserve">This is an increase from 2015–16 actual but is lower than </w:t>
            </w:r>
            <w:r w:rsidRPr="00D02A2E">
              <w:t>20</w:t>
            </w:r>
            <w:r>
              <w:t>16–17</w:t>
            </w:r>
            <w:r w:rsidR="00F8267D">
              <w:t xml:space="preserve"> </w:t>
            </w:r>
            <w:r>
              <w:t>target</w:t>
            </w:r>
            <w:r w:rsidR="00F8267D">
              <w:t xml:space="preserve"> </w:t>
            </w:r>
            <w:r w:rsidRPr="00D02A2E">
              <w:t>due to</w:t>
            </w:r>
            <w:r w:rsidR="00BB7EF8">
              <w:t xml:space="preserve"> enhanced training, better information sharing and increased access to support services leading to more appropriate referrals of families to Child First, family support services and family violence services where children were not in need of protection.</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Total number of family services cases provided</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35,855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41,517</w:t>
            </w:r>
          </w:p>
        </w:tc>
        <w:tc>
          <w:tcPr>
            <w:tcW w:w="1021" w:type="dxa"/>
            <w:tcBorders>
              <w:top w:val="single" w:sz="4" w:space="0" w:color="BFBFBF"/>
            </w:tcBorders>
            <w:shd w:val="clear" w:color="auto" w:fill="auto"/>
          </w:tcPr>
          <w:p w:rsidR="0092299C" w:rsidRPr="00D02A2E" w:rsidRDefault="0092299C" w:rsidP="0092299C">
            <w:pPr>
              <w:pStyle w:val="ARtabletextright"/>
            </w:pPr>
            <w:r>
              <w:t>15.8</w:t>
            </w:r>
          </w:p>
        </w:tc>
        <w:tc>
          <w:tcPr>
            <w:tcW w:w="794" w:type="dxa"/>
            <w:tcBorders>
              <w:top w:val="single" w:sz="4" w:space="0" w:color="BFBFBF"/>
            </w:tcBorders>
            <w:shd w:val="clear" w:color="auto" w:fill="auto"/>
          </w:tcPr>
          <w:p w:rsidR="0092299C" w:rsidRPr="00D02A2E" w:rsidRDefault="0092299C" w:rsidP="00B64D71">
            <w:pPr>
              <w:pStyle w:val="ARtabletextright"/>
              <w:rPr>
                <w:sz w:val="20"/>
                <w:szCs w:val="20"/>
              </w:rPr>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shd w:val="clear" w:color="auto" w:fill="auto"/>
          </w:tcPr>
          <w:p w:rsidR="0092299C" w:rsidRPr="00D02A2E" w:rsidRDefault="0092299C" w:rsidP="0092299C">
            <w:pPr>
              <w:pStyle w:val="ARtablenoteindent"/>
              <w:rPr>
                <w:rFonts w:ascii="Calibri" w:hAnsi="Calibri" w:cs="Arial"/>
                <w:b/>
                <w:color w:val="004C97"/>
              </w:rPr>
            </w:pPr>
            <w:r w:rsidRPr="00D02A2E">
              <w:t xml:space="preserve">The </w:t>
            </w:r>
            <w:r>
              <w:t>result</w:t>
            </w:r>
            <w:r w:rsidRPr="00D02A2E">
              <w:t xml:space="preserve"> is higher than the target due to the continuing high demand for assistance. A further 2,311 family services targets will be funded in 20</w:t>
            </w:r>
            <w:r>
              <w:t>17–18</w:t>
            </w:r>
            <w:r w:rsidRPr="00D02A2E">
              <w:t>.</w:t>
            </w:r>
          </w:p>
        </w:tc>
      </w:tr>
      <w:tr w:rsidR="00964875" w:rsidRPr="00D02A2E" w:rsidTr="00D428E7">
        <w:trPr>
          <w:cantSplit/>
          <w:trHeight w:val="227"/>
        </w:trPr>
        <w:tc>
          <w:tcPr>
            <w:tcW w:w="4761" w:type="dxa"/>
            <w:tcBorders>
              <w:top w:val="single" w:sz="4" w:space="0" w:color="BFBFBF"/>
              <w:left w:val="nil"/>
              <w:bottom w:val="nil"/>
              <w:right w:val="nil"/>
            </w:tcBorders>
            <w:shd w:val="clear" w:color="auto" w:fill="auto"/>
          </w:tcPr>
          <w:p w:rsidR="00964875" w:rsidRPr="00D02A2E" w:rsidRDefault="00964875" w:rsidP="00D428E7">
            <w:pPr>
              <w:pStyle w:val="ARtablebluebold"/>
              <w:rPr>
                <w:color w:val="000000"/>
              </w:rPr>
            </w:pPr>
            <w:r w:rsidRPr="00D02A2E">
              <w:t>Quality</w:t>
            </w:r>
          </w:p>
        </w:tc>
        <w:tc>
          <w:tcPr>
            <w:tcW w:w="1021" w:type="dxa"/>
            <w:tcBorders>
              <w:top w:val="single" w:sz="4" w:space="0" w:color="BFBFBF"/>
              <w:left w:val="nil"/>
              <w:bottom w:val="nil"/>
              <w:right w:val="nil"/>
            </w:tcBorders>
            <w:shd w:val="clear" w:color="auto" w:fill="auto"/>
            <w:vAlign w:val="center"/>
          </w:tcPr>
          <w:p w:rsidR="00964875" w:rsidRPr="00D02A2E" w:rsidRDefault="00964875" w:rsidP="00D428E7">
            <w:pPr>
              <w:pStyle w:val="ARtablebluebold"/>
            </w:pPr>
          </w:p>
        </w:tc>
        <w:tc>
          <w:tcPr>
            <w:tcW w:w="1021" w:type="dxa"/>
            <w:tcBorders>
              <w:top w:val="single" w:sz="4" w:space="0" w:color="BFBFBF"/>
              <w:left w:val="nil"/>
              <w:bottom w:val="nil"/>
              <w:right w:val="nil"/>
            </w:tcBorders>
            <w:shd w:val="clear" w:color="auto" w:fill="auto"/>
            <w:vAlign w:val="center"/>
          </w:tcPr>
          <w:p w:rsidR="00964875" w:rsidRPr="00D02A2E" w:rsidRDefault="00964875" w:rsidP="00D428E7">
            <w:pPr>
              <w:pStyle w:val="ARtablebluebold"/>
            </w:pPr>
          </w:p>
        </w:tc>
        <w:tc>
          <w:tcPr>
            <w:tcW w:w="1021" w:type="dxa"/>
            <w:tcBorders>
              <w:top w:val="single" w:sz="4" w:space="0" w:color="BFBFBF"/>
              <w:left w:val="nil"/>
              <w:bottom w:val="nil"/>
              <w:right w:val="nil"/>
            </w:tcBorders>
            <w:shd w:val="clear" w:color="auto" w:fill="auto"/>
            <w:vAlign w:val="center"/>
          </w:tcPr>
          <w:p w:rsidR="00964875" w:rsidRPr="00D02A2E" w:rsidRDefault="00964875" w:rsidP="00D428E7">
            <w:pPr>
              <w:pStyle w:val="ARtablebluebold"/>
            </w:pPr>
          </w:p>
        </w:tc>
        <w:tc>
          <w:tcPr>
            <w:tcW w:w="1021" w:type="dxa"/>
            <w:tcBorders>
              <w:top w:val="single" w:sz="4" w:space="0" w:color="BFBFBF"/>
              <w:left w:val="nil"/>
              <w:bottom w:val="nil"/>
              <w:right w:val="nil"/>
            </w:tcBorders>
            <w:shd w:val="clear" w:color="auto" w:fill="auto"/>
            <w:vAlign w:val="center"/>
          </w:tcPr>
          <w:p w:rsidR="00964875" w:rsidRPr="00D02A2E" w:rsidRDefault="00964875" w:rsidP="00D428E7">
            <w:pPr>
              <w:pStyle w:val="ARtablebluebold"/>
            </w:pPr>
          </w:p>
        </w:tc>
        <w:tc>
          <w:tcPr>
            <w:tcW w:w="794" w:type="dxa"/>
            <w:tcBorders>
              <w:top w:val="single" w:sz="4" w:space="0" w:color="BFBFBF"/>
              <w:left w:val="nil"/>
              <w:bottom w:val="nil"/>
              <w:right w:val="nil"/>
            </w:tcBorders>
            <w:shd w:val="clear" w:color="auto" w:fill="auto"/>
            <w:vAlign w:val="center"/>
          </w:tcPr>
          <w:p w:rsidR="00964875" w:rsidRPr="00D02A2E" w:rsidRDefault="00964875" w:rsidP="00D428E7">
            <w:pPr>
              <w:pStyle w:val="ARtablebluebold"/>
            </w:pP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shd w:val="clear" w:color="auto" w:fill="auto"/>
            <w:hideMark/>
          </w:tcPr>
          <w:p w:rsidR="0092299C" w:rsidRPr="00D02A2E" w:rsidRDefault="0092299C" w:rsidP="0092299C">
            <w:pPr>
              <w:pStyle w:val="ARtabletext"/>
            </w:pPr>
            <w:r w:rsidRPr="00D02A2E">
              <w:t>Children and young people in out-of-home care who have had two or less placements in the past 12 months (not including placements at home)</w:t>
            </w:r>
          </w:p>
        </w:tc>
        <w:tc>
          <w:tcPr>
            <w:tcW w:w="1021" w:type="dxa"/>
            <w:shd w:val="clear" w:color="auto" w:fill="auto"/>
            <w:hideMark/>
          </w:tcPr>
          <w:p w:rsidR="0092299C" w:rsidRPr="00D02A2E" w:rsidRDefault="0092299C" w:rsidP="001F2E2D">
            <w:pPr>
              <w:pStyle w:val="ARtabletext"/>
              <w:jc w:val="center"/>
            </w:pPr>
            <w:r w:rsidRPr="00D02A2E">
              <w:t>per cent</w:t>
            </w:r>
          </w:p>
        </w:tc>
        <w:tc>
          <w:tcPr>
            <w:tcW w:w="1021" w:type="dxa"/>
            <w:shd w:val="clear" w:color="auto" w:fill="auto"/>
            <w:hideMark/>
          </w:tcPr>
          <w:p w:rsidR="0092299C" w:rsidRPr="00D02A2E" w:rsidRDefault="0092299C" w:rsidP="0092299C">
            <w:pPr>
              <w:pStyle w:val="ARtabletextright"/>
            </w:pPr>
            <w:r w:rsidRPr="00D02A2E">
              <w:t>86</w:t>
            </w:r>
          </w:p>
        </w:tc>
        <w:tc>
          <w:tcPr>
            <w:tcW w:w="1021" w:type="dxa"/>
            <w:shd w:val="clear" w:color="auto" w:fill="auto"/>
          </w:tcPr>
          <w:p w:rsidR="0092299C" w:rsidRPr="00D02A2E" w:rsidRDefault="0092299C" w:rsidP="0092299C">
            <w:pPr>
              <w:pStyle w:val="ARtabletextright"/>
            </w:pPr>
            <w:r w:rsidRPr="001F2E2D">
              <w:t>91</w:t>
            </w:r>
            <w:r w:rsidR="008A7604" w:rsidRPr="001F2E2D">
              <w:t>.2</w:t>
            </w:r>
          </w:p>
        </w:tc>
        <w:tc>
          <w:tcPr>
            <w:tcW w:w="1021" w:type="dxa"/>
            <w:shd w:val="clear" w:color="auto" w:fill="auto"/>
          </w:tcPr>
          <w:p w:rsidR="0092299C" w:rsidRPr="00D02A2E" w:rsidRDefault="0092299C" w:rsidP="0092299C">
            <w:pPr>
              <w:pStyle w:val="ARtabletextright"/>
            </w:pPr>
            <w:r>
              <w:t>6.0</w:t>
            </w:r>
          </w:p>
        </w:tc>
        <w:tc>
          <w:tcPr>
            <w:tcW w:w="794" w:type="dxa"/>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2C1AAA">
            <w:pPr>
              <w:pStyle w:val="ARtablenoteindent"/>
            </w:pPr>
            <w:r w:rsidRPr="00D02A2E">
              <w:t xml:space="preserve">The </w:t>
            </w:r>
            <w:r w:rsidRPr="00D02A2E">
              <w:rPr>
                <w:szCs w:val="16"/>
              </w:rPr>
              <w:t>result</w:t>
            </w:r>
            <w:r w:rsidRPr="00D02A2E">
              <w:t xml:space="preserve"> is higher than the target due to improved practice. This is a positive result.</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35"/>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Children and young people who were the subject of a substantiated report within 12 months of the closure of a previous substantiated report</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17.5</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17.1</w:t>
            </w:r>
          </w:p>
        </w:tc>
        <w:tc>
          <w:tcPr>
            <w:tcW w:w="1021" w:type="dxa"/>
            <w:tcBorders>
              <w:top w:val="single" w:sz="4" w:space="0" w:color="BFBFBF"/>
            </w:tcBorders>
            <w:shd w:val="clear" w:color="auto" w:fill="auto"/>
          </w:tcPr>
          <w:p w:rsidR="0092299C" w:rsidRPr="00D02A2E" w:rsidRDefault="00EC4FD8" w:rsidP="0092299C">
            <w:pPr>
              <w:pStyle w:val="ARtabletextright"/>
            </w:pPr>
            <w:r>
              <w:t>–</w:t>
            </w:r>
            <w:r w:rsidR="0092299C">
              <w:t>2.3</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This is a positive result.</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Children and young people who were the subject of an investigation which led to a decision not to substantiate, who were subsequently the subject of a substantiation within three months of case closure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3</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3</w:t>
            </w:r>
            <w:r w:rsidR="008A7604">
              <w:t>.0</w:t>
            </w:r>
          </w:p>
        </w:tc>
        <w:tc>
          <w:tcPr>
            <w:tcW w:w="1021" w:type="dxa"/>
            <w:tcBorders>
              <w:top w:val="single" w:sz="4" w:space="0" w:color="BFBFBF"/>
            </w:tcBorders>
            <w:shd w:val="clear" w:color="auto" w:fill="auto"/>
          </w:tcPr>
          <w:p w:rsidR="0092299C" w:rsidRPr="00D02A2E" w:rsidRDefault="0092299C" w:rsidP="0092299C">
            <w:pPr>
              <w:pStyle w:val="ARtabletextright"/>
            </w:pPr>
            <w:r>
              <w:t>0.0</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92299C">
            <w:pPr>
              <w:pStyle w:val="ARtablenoteindent"/>
            </w:pPr>
            <w:r>
              <w:t>This is a positive result</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bottom w:val="single" w:sz="4" w:space="0" w:color="BFBFBF"/>
            </w:tcBorders>
            <w:shd w:val="clear" w:color="auto" w:fill="auto"/>
            <w:hideMark/>
          </w:tcPr>
          <w:p w:rsidR="0092299C" w:rsidRPr="00D02A2E" w:rsidRDefault="0092299C" w:rsidP="0092299C">
            <w:pPr>
              <w:pStyle w:val="ARtabletext"/>
            </w:pPr>
            <w:r w:rsidRPr="00D02A2E">
              <w:t>Organisations that have successfully completed a quality review (family and community services)</w:t>
            </w:r>
          </w:p>
        </w:tc>
        <w:tc>
          <w:tcPr>
            <w:tcW w:w="1021" w:type="dxa"/>
            <w:tcBorders>
              <w:top w:val="single" w:sz="4" w:space="0" w:color="BFBFBF"/>
              <w:bottom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bottom w:val="single" w:sz="4" w:space="0" w:color="BFBFBF"/>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rPr>
                <w:highlight w:val="yellow"/>
              </w:rPr>
            </w:pPr>
            <w:r w:rsidRPr="00D02A2E">
              <w:t>100</w:t>
            </w:r>
          </w:p>
        </w:tc>
        <w:tc>
          <w:tcPr>
            <w:tcW w:w="1021" w:type="dxa"/>
            <w:tcBorders>
              <w:top w:val="single" w:sz="4" w:space="0" w:color="BFBFBF"/>
              <w:bottom w:val="single" w:sz="4" w:space="0" w:color="BFBFBF"/>
            </w:tcBorders>
            <w:shd w:val="clear" w:color="auto" w:fill="auto"/>
          </w:tcPr>
          <w:p w:rsidR="0092299C" w:rsidRPr="00D02A2E" w:rsidRDefault="0092299C" w:rsidP="0092299C">
            <w:pPr>
              <w:pStyle w:val="ARtabletextright"/>
              <w:rPr>
                <w:highlight w:val="yellow"/>
              </w:rPr>
            </w:pPr>
            <w:r w:rsidRPr="00D02A2E">
              <w:t>5.3</w:t>
            </w:r>
          </w:p>
        </w:tc>
        <w:tc>
          <w:tcPr>
            <w:tcW w:w="794" w:type="dxa"/>
            <w:tcBorders>
              <w:top w:val="single" w:sz="4" w:space="0" w:color="BFBFBF"/>
              <w:bottom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Organisations that have successfully completed a quality review (specialist support and placement services)</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tcBorders>
            <w:shd w:val="clear" w:color="auto" w:fill="auto"/>
          </w:tcPr>
          <w:p w:rsidR="0092299C" w:rsidRPr="00D02A2E" w:rsidRDefault="0092299C" w:rsidP="0092299C">
            <w:pPr>
              <w:pStyle w:val="ARtabletextright"/>
              <w:rPr>
                <w:highlight w:val="yellow"/>
              </w:rPr>
            </w:pPr>
            <w:r w:rsidRPr="00D02A2E">
              <w:t>100</w:t>
            </w:r>
          </w:p>
        </w:tc>
        <w:tc>
          <w:tcPr>
            <w:tcW w:w="1021" w:type="dxa"/>
            <w:tcBorders>
              <w:top w:val="single" w:sz="4" w:space="0" w:color="BFBFBF"/>
            </w:tcBorders>
            <w:shd w:val="clear" w:color="auto" w:fill="auto"/>
          </w:tcPr>
          <w:p w:rsidR="0092299C" w:rsidRPr="00D02A2E" w:rsidRDefault="0092299C" w:rsidP="0092299C">
            <w:pPr>
              <w:pStyle w:val="ARtabletextright"/>
              <w:rPr>
                <w:highlight w:val="yellow"/>
              </w:rPr>
            </w:pPr>
            <w:r w:rsidRPr="00D02A2E">
              <w:t>5.3</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Proportion of Aboriginal children placed with relatives/kin, other Aboriginal carers or in Aboriginal residential care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60</w:t>
            </w:r>
          </w:p>
        </w:tc>
        <w:tc>
          <w:tcPr>
            <w:tcW w:w="1021" w:type="dxa"/>
            <w:tcBorders>
              <w:top w:val="single" w:sz="4" w:space="0" w:color="BFBFBF"/>
            </w:tcBorders>
            <w:shd w:val="clear" w:color="auto" w:fill="auto"/>
          </w:tcPr>
          <w:p w:rsidR="0092299C" w:rsidRPr="00D02A2E" w:rsidRDefault="0092299C" w:rsidP="0092299C">
            <w:pPr>
              <w:pStyle w:val="ARtabletextright"/>
            </w:pPr>
            <w:r w:rsidRPr="00D02A2E">
              <w:t>76</w:t>
            </w:r>
            <w:r w:rsidR="008A7604">
              <w:t>.0</w:t>
            </w:r>
          </w:p>
        </w:tc>
        <w:tc>
          <w:tcPr>
            <w:tcW w:w="1021" w:type="dxa"/>
            <w:tcBorders>
              <w:top w:val="single" w:sz="4" w:space="0" w:color="BFBFBF"/>
            </w:tcBorders>
            <w:shd w:val="clear" w:color="auto" w:fill="auto"/>
          </w:tcPr>
          <w:p w:rsidR="0092299C" w:rsidRPr="00D02A2E" w:rsidRDefault="0092299C" w:rsidP="0092299C">
            <w:pPr>
              <w:pStyle w:val="ARtabletextright"/>
            </w:pPr>
            <w:r>
              <w:t>26.7</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The </w:t>
            </w:r>
            <w:r w:rsidRPr="00D02A2E">
              <w:rPr>
                <w:szCs w:val="16"/>
              </w:rPr>
              <w:t>result</w:t>
            </w:r>
            <w:r w:rsidRPr="00D02A2E">
              <w:t xml:space="preserve"> is higher than the target due to an increased focus on the Aboriginal placement principle. This is a positive result.</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hideMark/>
          </w:tcPr>
          <w:p w:rsidR="0092299C" w:rsidRPr="00D02A2E" w:rsidRDefault="0092299C" w:rsidP="0092299C">
            <w:pPr>
              <w:pStyle w:val="ARtabletext"/>
            </w:pPr>
            <w:r w:rsidRPr="00D02A2E">
              <w:t>Proportion of placements that are home-based care</w:t>
            </w:r>
          </w:p>
        </w:tc>
        <w:tc>
          <w:tcPr>
            <w:tcW w:w="1021" w:type="dxa"/>
            <w:tcBorders>
              <w:top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tcBorders>
            <w:shd w:val="clear" w:color="auto" w:fill="auto"/>
            <w:hideMark/>
          </w:tcPr>
          <w:p w:rsidR="0092299C" w:rsidRPr="00D02A2E" w:rsidRDefault="0092299C" w:rsidP="0092299C">
            <w:pPr>
              <w:pStyle w:val="ARtabletextright"/>
            </w:pPr>
            <w:r w:rsidRPr="00D02A2E">
              <w:t>90</w:t>
            </w:r>
          </w:p>
        </w:tc>
        <w:tc>
          <w:tcPr>
            <w:tcW w:w="1021" w:type="dxa"/>
            <w:tcBorders>
              <w:top w:val="single" w:sz="4" w:space="0" w:color="BFBFBF"/>
            </w:tcBorders>
            <w:shd w:val="clear" w:color="auto" w:fill="auto"/>
          </w:tcPr>
          <w:p w:rsidR="0092299C" w:rsidRPr="00D02A2E" w:rsidRDefault="0092299C" w:rsidP="0092299C">
            <w:pPr>
              <w:pStyle w:val="ARtabletextright"/>
            </w:pPr>
            <w:r w:rsidRPr="001F2E2D">
              <w:t>95</w:t>
            </w:r>
            <w:r w:rsidR="008A7604" w:rsidRPr="001F2E2D">
              <w:t>.4</w:t>
            </w:r>
          </w:p>
        </w:tc>
        <w:tc>
          <w:tcPr>
            <w:tcW w:w="1021" w:type="dxa"/>
            <w:tcBorders>
              <w:top w:val="single" w:sz="4" w:space="0" w:color="BFBFBF"/>
            </w:tcBorders>
            <w:shd w:val="clear" w:color="auto" w:fill="auto"/>
          </w:tcPr>
          <w:p w:rsidR="0092299C" w:rsidRPr="00D02A2E" w:rsidRDefault="0092299C" w:rsidP="0092299C">
            <w:pPr>
              <w:pStyle w:val="ARtabletextright"/>
            </w:pPr>
            <w:r>
              <w:t>6.0</w:t>
            </w:r>
          </w:p>
        </w:tc>
        <w:tc>
          <w:tcPr>
            <w:tcW w:w="794" w:type="dxa"/>
            <w:tcBorders>
              <w:top w:val="single" w:sz="4" w:space="0" w:color="BFBF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9639" w:type="dxa"/>
            <w:gridSpan w:val="6"/>
            <w:tcBorders>
              <w:bottom w:val="single" w:sz="4" w:space="0" w:color="BFBFBF"/>
            </w:tcBorders>
            <w:shd w:val="clear" w:color="auto" w:fill="auto"/>
          </w:tcPr>
          <w:p w:rsidR="0092299C" w:rsidRPr="00D02A2E" w:rsidRDefault="0092299C" w:rsidP="0092299C">
            <w:pPr>
              <w:pStyle w:val="ARtablenoteindent"/>
            </w:pPr>
            <w:r w:rsidRPr="00D02A2E">
              <w:t xml:space="preserve">The </w:t>
            </w:r>
            <w:r w:rsidRPr="00D02A2E">
              <w:rPr>
                <w:szCs w:val="16"/>
              </w:rPr>
              <w:t>result</w:t>
            </w:r>
            <w:r w:rsidRPr="00D02A2E">
              <w:t xml:space="preserve"> is higher than the target due to the use of alternatives to residential care, such a</w:t>
            </w:r>
            <w:r>
              <w:t xml:space="preserve">s </w:t>
            </w:r>
            <w:r w:rsidRPr="00D02A2E">
              <w:t>Targeted Care Packages. This is a positive result.</w:t>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cBorders>
            <w:shd w:val="clear" w:color="auto" w:fill="auto"/>
          </w:tcPr>
          <w:p w:rsidR="0092299C" w:rsidRPr="00D02A2E" w:rsidRDefault="0092299C" w:rsidP="0092299C">
            <w:pPr>
              <w:pStyle w:val="ARtablebluebold"/>
              <w:rPr>
                <w:color w:val="000000"/>
              </w:rPr>
            </w:pPr>
            <w:r w:rsidRPr="00D02A2E">
              <w:t>Timeliness</w:t>
            </w:r>
          </w:p>
        </w:tc>
        <w:tc>
          <w:tcPr>
            <w:tcW w:w="1021" w:type="dxa"/>
            <w:tcBorders>
              <w:top w:val="single" w:sz="4" w:space="0" w:color="BFBFBF"/>
            </w:tcBorders>
            <w:shd w:val="clear" w:color="auto" w:fill="auto"/>
            <w:vAlign w:val="center"/>
          </w:tcPr>
          <w:p w:rsidR="0092299C" w:rsidRPr="00D02A2E" w:rsidRDefault="0092299C" w:rsidP="0092299C">
            <w:pPr>
              <w:pStyle w:val="ARtablebluebold"/>
            </w:pPr>
          </w:p>
        </w:tc>
        <w:tc>
          <w:tcPr>
            <w:tcW w:w="1021" w:type="dxa"/>
            <w:tcBorders>
              <w:top w:val="single" w:sz="4" w:space="0" w:color="BFBFBF"/>
            </w:tcBorders>
            <w:shd w:val="clear" w:color="auto" w:fill="auto"/>
            <w:vAlign w:val="center"/>
          </w:tcPr>
          <w:p w:rsidR="0092299C" w:rsidRPr="00D02A2E" w:rsidRDefault="0092299C" w:rsidP="0092299C">
            <w:pPr>
              <w:pStyle w:val="ARtablebluebold"/>
            </w:pPr>
          </w:p>
        </w:tc>
        <w:tc>
          <w:tcPr>
            <w:tcW w:w="1021" w:type="dxa"/>
            <w:tcBorders>
              <w:top w:val="single" w:sz="4" w:space="0" w:color="BFBFBF"/>
            </w:tcBorders>
            <w:shd w:val="clear" w:color="auto" w:fill="auto"/>
            <w:vAlign w:val="center"/>
          </w:tcPr>
          <w:p w:rsidR="0092299C" w:rsidRPr="00D02A2E" w:rsidRDefault="0092299C" w:rsidP="0092299C">
            <w:pPr>
              <w:pStyle w:val="ARtablebluebold"/>
            </w:pPr>
          </w:p>
        </w:tc>
        <w:tc>
          <w:tcPr>
            <w:tcW w:w="1021" w:type="dxa"/>
            <w:tcBorders>
              <w:top w:val="single" w:sz="4" w:space="0" w:color="BFBFBF"/>
            </w:tcBorders>
            <w:shd w:val="clear" w:color="auto" w:fill="auto"/>
            <w:vAlign w:val="center"/>
          </w:tcPr>
          <w:p w:rsidR="0092299C" w:rsidRPr="00D02A2E" w:rsidRDefault="0092299C" w:rsidP="0092299C">
            <w:pPr>
              <w:pStyle w:val="ARtablebluebold"/>
            </w:pPr>
          </w:p>
        </w:tc>
        <w:tc>
          <w:tcPr>
            <w:tcW w:w="794" w:type="dxa"/>
            <w:tcBorders>
              <w:top w:val="single" w:sz="4" w:space="0" w:color="BFBFBF"/>
            </w:tcBorders>
            <w:shd w:val="clear" w:color="auto" w:fill="auto"/>
            <w:vAlign w:val="center"/>
          </w:tcPr>
          <w:p w:rsidR="0092299C" w:rsidRPr="00D02A2E" w:rsidRDefault="0092299C" w:rsidP="0092299C">
            <w:pPr>
              <w:pStyle w:val="ARtablebluebold"/>
              <w:rPr>
                <w:sz w:val="20"/>
                <w:szCs w:val="20"/>
              </w:rPr>
            </w:pP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bottom w:val="single" w:sz="4" w:space="0" w:color="BFBFBF"/>
            </w:tcBorders>
            <w:shd w:val="clear" w:color="auto" w:fill="auto"/>
            <w:hideMark/>
          </w:tcPr>
          <w:p w:rsidR="0092299C" w:rsidRPr="00D02A2E" w:rsidRDefault="0092299C" w:rsidP="0092299C">
            <w:pPr>
              <w:pStyle w:val="ARtabletext"/>
            </w:pPr>
            <w:r w:rsidRPr="00D02A2E">
              <w:t>Percentage of child protection investigations assessed as urgent, that were visited, or where attempts were made to visit, within two days of receipt of the report</w:t>
            </w:r>
          </w:p>
        </w:tc>
        <w:tc>
          <w:tcPr>
            <w:tcW w:w="1021" w:type="dxa"/>
            <w:tcBorders>
              <w:bottom w:val="single" w:sz="4" w:space="0" w:color="BFBFBF"/>
            </w:tcBorders>
            <w:shd w:val="clear" w:color="auto" w:fill="auto"/>
            <w:hideMark/>
          </w:tcPr>
          <w:p w:rsidR="0092299C" w:rsidRPr="00D02A2E" w:rsidRDefault="0092299C" w:rsidP="001F2E2D">
            <w:pPr>
              <w:pStyle w:val="ARtabletext"/>
              <w:jc w:val="center"/>
            </w:pPr>
            <w:r w:rsidRPr="00D02A2E">
              <w:t>per cent</w:t>
            </w:r>
          </w:p>
        </w:tc>
        <w:tc>
          <w:tcPr>
            <w:tcW w:w="1021" w:type="dxa"/>
            <w:tcBorders>
              <w:bottom w:val="single" w:sz="4" w:space="0" w:color="BFBFBF"/>
            </w:tcBorders>
            <w:shd w:val="clear" w:color="auto" w:fill="auto"/>
            <w:hideMark/>
          </w:tcPr>
          <w:p w:rsidR="0092299C" w:rsidRPr="00D02A2E" w:rsidRDefault="0092299C" w:rsidP="0092299C">
            <w:pPr>
              <w:pStyle w:val="ARtabletextright"/>
            </w:pPr>
            <w:r w:rsidRPr="00D02A2E">
              <w:t>97</w:t>
            </w:r>
          </w:p>
        </w:tc>
        <w:tc>
          <w:tcPr>
            <w:tcW w:w="1021" w:type="dxa"/>
            <w:tcBorders>
              <w:bottom w:val="single" w:sz="4" w:space="0" w:color="BFBFBF"/>
            </w:tcBorders>
            <w:shd w:val="clear" w:color="auto" w:fill="auto"/>
          </w:tcPr>
          <w:p w:rsidR="0092299C" w:rsidRPr="001F2E2D" w:rsidRDefault="0092299C" w:rsidP="0092299C">
            <w:pPr>
              <w:pStyle w:val="ARtabletextright"/>
            </w:pPr>
            <w:r w:rsidRPr="001F2E2D">
              <w:t>9</w:t>
            </w:r>
            <w:r w:rsidR="008A7604" w:rsidRPr="001F2E2D">
              <w:t>5.6</w:t>
            </w:r>
          </w:p>
        </w:tc>
        <w:tc>
          <w:tcPr>
            <w:tcW w:w="1021" w:type="dxa"/>
            <w:tcBorders>
              <w:bottom w:val="single" w:sz="4" w:space="0" w:color="BFBFBF"/>
            </w:tcBorders>
            <w:shd w:val="clear" w:color="auto" w:fill="auto"/>
          </w:tcPr>
          <w:p w:rsidR="0092299C" w:rsidRPr="001F2E2D" w:rsidRDefault="00EC4FD8" w:rsidP="0092299C">
            <w:pPr>
              <w:pStyle w:val="ARtabletextright"/>
            </w:pPr>
            <w:r>
              <w:t>–</w:t>
            </w:r>
            <w:r w:rsidR="0092299C" w:rsidRPr="001F2E2D">
              <w:t>1.</w:t>
            </w:r>
            <w:r w:rsidR="008A7604" w:rsidRPr="001F2E2D">
              <w:t>4</w:t>
            </w:r>
          </w:p>
        </w:tc>
        <w:tc>
          <w:tcPr>
            <w:tcW w:w="794" w:type="dxa"/>
            <w:tcBorders>
              <w:bottom w:val="single" w:sz="4" w:space="0" w:color="BFBFBF"/>
            </w:tcBorders>
            <w:shd w:val="clear" w:color="auto" w:fill="auto"/>
          </w:tcPr>
          <w:p w:rsidR="0092299C" w:rsidRPr="00D02A2E" w:rsidRDefault="0092299C" w:rsidP="00B64D71">
            <w:pPr>
              <w:pStyle w:val="ARtabletextright"/>
            </w:pPr>
            <w:r w:rsidRPr="00D02A2E">
              <w:sym w:font="Wingdings 2" w:char="F099"/>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bottom w:val="single" w:sz="4" w:space="0" w:color="BFBFBF" w:themeColor="background1" w:themeShade="BF"/>
            </w:tcBorders>
            <w:shd w:val="clear" w:color="auto" w:fill="auto"/>
            <w:hideMark/>
          </w:tcPr>
          <w:p w:rsidR="0092299C" w:rsidRPr="00D02A2E" w:rsidRDefault="0092299C" w:rsidP="0092299C">
            <w:pPr>
              <w:pStyle w:val="ARtabletext"/>
            </w:pPr>
            <w:r w:rsidRPr="00D02A2E">
              <w:t>Sexual assault support services clients receiving an initial response within five working days of referral</w:t>
            </w:r>
          </w:p>
        </w:tc>
        <w:tc>
          <w:tcPr>
            <w:tcW w:w="1021" w:type="dxa"/>
            <w:tcBorders>
              <w:top w:val="single" w:sz="4" w:space="0" w:color="BFBFBF"/>
              <w:bottom w:val="single" w:sz="4" w:space="0" w:color="BFBFBF" w:themeColor="background1" w:themeShade="BF"/>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bottom w:val="single" w:sz="4" w:space="0" w:color="BFBFBF" w:themeColor="background1" w:themeShade="BF"/>
            </w:tcBorders>
            <w:shd w:val="clear" w:color="auto" w:fill="auto"/>
            <w:hideMark/>
          </w:tcPr>
          <w:p w:rsidR="0092299C" w:rsidRPr="00D02A2E" w:rsidRDefault="0092299C" w:rsidP="0092299C">
            <w:pPr>
              <w:pStyle w:val="ARtabletextright"/>
            </w:pPr>
            <w:r w:rsidRPr="00D02A2E">
              <w:t>95</w:t>
            </w:r>
          </w:p>
        </w:tc>
        <w:tc>
          <w:tcPr>
            <w:tcW w:w="1021" w:type="dxa"/>
            <w:tcBorders>
              <w:top w:val="single" w:sz="4" w:space="0" w:color="BFBFBF"/>
              <w:bottom w:val="single" w:sz="4" w:space="0" w:color="BFBFBF" w:themeColor="background1" w:themeShade="BF"/>
            </w:tcBorders>
            <w:shd w:val="clear" w:color="auto" w:fill="auto"/>
          </w:tcPr>
          <w:p w:rsidR="0092299C" w:rsidRPr="00D02A2E" w:rsidRDefault="0092299C" w:rsidP="0092299C">
            <w:pPr>
              <w:pStyle w:val="ARtabletextright"/>
            </w:pPr>
            <w:r w:rsidRPr="00D02A2E">
              <w:t>98.5</w:t>
            </w:r>
          </w:p>
        </w:tc>
        <w:tc>
          <w:tcPr>
            <w:tcW w:w="1021" w:type="dxa"/>
            <w:tcBorders>
              <w:top w:val="single" w:sz="4" w:space="0" w:color="BFBFBF"/>
              <w:bottom w:val="single" w:sz="4" w:space="0" w:color="BFBFBF" w:themeColor="background1" w:themeShade="BF"/>
            </w:tcBorders>
            <w:shd w:val="clear" w:color="auto" w:fill="auto"/>
          </w:tcPr>
          <w:p w:rsidR="0092299C" w:rsidRPr="00D02A2E" w:rsidRDefault="0092299C" w:rsidP="0092299C">
            <w:pPr>
              <w:pStyle w:val="ARtabletextright"/>
            </w:pPr>
            <w:r>
              <w:t>3.7</w:t>
            </w:r>
          </w:p>
        </w:tc>
        <w:tc>
          <w:tcPr>
            <w:tcW w:w="794" w:type="dxa"/>
            <w:tcBorders>
              <w:top w:val="single" w:sz="4" w:space="0" w:color="BFBFBF"/>
              <w:bottom w:val="single" w:sz="4" w:space="0" w:color="BFBFBF" w:themeColor="background1" w:themeShade="BF"/>
            </w:tcBorders>
            <w:shd w:val="clear" w:color="auto" w:fill="auto"/>
          </w:tcPr>
          <w:p w:rsidR="0092299C" w:rsidRPr="00D02A2E" w:rsidRDefault="0092299C" w:rsidP="00B64D71">
            <w:pPr>
              <w:pStyle w:val="ARtabletextright"/>
            </w:pPr>
            <w:r w:rsidRPr="00D02A2E">
              <w:sym w:font="Wingdings" w:char="F0FC"/>
            </w:r>
          </w:p>
        </w:tc>
      </w:tr>
      <w:tr w:rsidR="0092299C" w:rsidRPr="00D02A2E" w:rsidTr="00B40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761" w:type="dxa"/>
            <w:tcBorders>
              <w:top w:val="single" w:sz="4" w:space="0" w:color="BFBFBF" w:themeColor="background1" w:themeShade="BF"/>
            </w:tcBorders>
            <w:shd w:val="clear" w:color="auto" w:fill="auto"/>
            <w:hideMark/>
          </w:tcPr>
          <w:p w:rsidR="0092299C" w:rsidRPr="00D02A2E" w:rsidRDefault="0092299C" w:rsidP="0092299C">
            <w:pPr>
              <w:pStyle w:val="ARtablebluebold"/>
              <w:rPr>
                <w:color w:val="000000"/>
              </w:rPr>
            </w:pPr>
            <w:r w:rsidRPr="00D02A2E">
              <w:t>Cost</w:t>
            </w:r>
          </w:p>
        </w:tc>
        <w:tc>
          <w:tcPr>
            <w:tcW w:w="1021" w:type="dxa"/>
            <w:tcBorders>
              <w:top w:val="single" w:sz="4" w:space="0" w:color="BFBFBF" w:themeColor="background1" w:themeShade="BF"/>
            </w:tcBorders>
            <w:shd w:val="clear" w:color="auto" w:fill="auto"/>
            <w:vAlign w:val="center"/>
            <w:hideMark/>
          </w:tcPr>
          <w:p w:rsidR="0092299C" w:rsidRPr="00D02A2E" w:rsidRDefault="0092299C" w:rsidP="0092299C">
            <w:pPr>
              <w:pStyle w:val="ARtablebluebold"/>
            </w:pPr>
          </w:p>
        </w:tc>
        <w:tc>
          <w:tcPr>
            <w:tcW w:w="1021" w:type="dxa"/>
            <w:tcBorders>
              <w:top w:val="single" w:sz="4" w:space="0" w:color="BFBFBF" w:themeColor="background1" w:themeShade="BF"/>
            </w:tcBorders>
            <w:shd w:val="clear" w:color="auto" w:fill="auto"/>
            <w:vAlign w:val="center"/>
            <w:hideMark/>
          </w:tcPr>
          <w:p w:rsidR="0092299C" w:rsidRPr="00D02A2E" w:rsidRDefault="0092299C" w:rsidP="0092299C">
            <w:pPr>
              <w:pStyle w:val="ARtablebluebold"/>
            </w:pPr>
          </w:p>
        </w:tc>
        <w:tc>
          <w:tcPr>
            <w:tcW w:w="1021" w:type="dxa"/>
            <w:tcBorders>
              <w:top w:val="single" w:sz="4" w:space="0" w:color="BFBFBF" w:themeColor="background1" w:themeShade="BF"/>
            </w:tcBorders>
            <w:shd w:val="clear" w:color="auto" w:fill="auto"/>
            <w:vAlign w:val="center"/>
          </w:tcPr>
          <w:p w:rsidR="0092299C" w:rsidRPr="00D02A2E" w:rsidRDefault="0092299C" w:rsidP="0092299C">
            <w:pPr>
              <w:pStyle w:val="ARtablebluebold"/>
            </w:pPr>
          </w:p>
        </w:tc>
        <w:tc>
          <w:tcPr>
            <w:tcW w:w="1021" w:type="dxa"/>
            <w:tcBorders>
              <w:top w:val="single" w:sz="4" w:space="0" w:color="BFBFBF" w:themeColor="background1" w:themeShade="BF"/>
            </w:tcBorders>
            <w:shd w:val="clear" w:color="auto" w:fill="auto"/>
            <w:vAlign w:val="center"/>
          </w:tcPr>
          <w:p w:rsidR="0092299C" w:rsidRPr="00D02A2E" w:rsidRDefault="0092299C" w:rsidP="0092299C">
            <w:pPr>
              <w:pStyle w:val="ARtablebluebold"/>
            </w:pPr>
          </w:p>
        </w:tc>
        <w:tc>
          <w:tcPr>
            <w:tcW w:w="794" w:type="dxa"/>
            <w:tcBorders>
              <w:top w:val="single" w:sz="4" w:space="0" w:color="BFBFBF" w:themeColor="background1" w:themeShade="BF"/>
            </w:tcBorders>
            <w:shd w:val="clear" w:color="auto" w:fill="auto"/>
            <w:vAlign w:val="center"/>
          </w:tcPr>
          <w:p w:rsidR="0092299C" w:rsidRPr="00D02A2E" w:rsidRDefault="0092299C" w:rsidP="0092299C">
            <w:pPr>
              <w:pStyle w:val="ARtablebluebold"/>
              <w:rPr>
                <w:sz w:val="20"/>
                <w:szCs w:val="20"/>
              </w:rPr>
            </w:pPr>
          </w:p>
        </w:tc>
      </w:tr>
      <w:tr w:rsidR="0092299C" w:rsidRPr="00D02A2E" w:rsidTr="00B403F2">
        <w:tblPrEx>
          <w:tblBorders>
            <w:top w:val="none" w:sz="0" w:space="0" w:color="auto"/>
            <w:left w:val="single" w:sz="4" w:space="0" w:color="FFFFFF"/>
            <w:right w:val="single" w:sz="4" w:space="0" w:color="FFFFFF"/>
            <w:insideV w:val="single" w:sz="4" w:space="0" w:color="FFFFFF"/>
          </w:tblBorders>
        </w:tblPrEx>
        <w:trPr>
          <w:cantSplit/>
          <w:trHeight w:val="240"/>
        </w:trPr>
        <w:tc>
          <w:tcPr>
            <w:tcW w:w="4761" w:type="dxa"/>
            <w:tcBorders>
              <w:top w:val="nil"/>
              <w:left w:val="nil"/>
              <w:bottom w:val="nil"/>
              <w:right w:val="nil"/>
            </w:tcBorders>
            <w:shd w:val="clear" w:color="auto" w:fill="auto"/>
            <w:hideMark/>
          </w:tcPr>
          <w:p w:rsidR="0092299C" w:rsidRPr="00D02A2E" w:rsidRDefault="0092299C" w:rsidP="0092299C">
            <w:pPr>
              <w:spacing w:before="80" w:after="60"/>
              <w:rPr>
                <w:rFonts w:eastAsia="Times" w:cs="Arial"/>
                <w:b/>
                <w:sz w:val="18"/>
                <w:szCs w:val="18"/>
                <w:lang w:eastAsia="en-AU"/>
              </w:rPr>
            </w:pPr>
            <w:r w:rsidRPr="00D02A2E">
              <w:rPr>
                <w:rFonts w:eastAsia="Times" w:cs="Arial"/>
                <w:b/>
                <w:sz w:val="18"/>
                <w:szCs w:val="18"/>
                <w:lang w:eastAsia="en-AU"/>
              </w:rPr>
              <w:t>Total output cost</w:t>
            </w:r>
          </w:p>
        </w:tc>
        <w:tc>
          <w:tcPr>
            <w:tcW w:w="1021" w:type="dxa"/>
            <w:tcBorders>
              <w:top w:val="nil"/>
              <w:left w:val="nil"/>
              <w:bottom w:val="nil"/>
              <w:right w:val="nil"/>
            </w:tcBorders>
            <w:shd w:val="clear" w:color="auto" w:fill="auto"/>
            <w:hideMark/>
          </w:tcPr>
          <w:p w:rsidR="0092299C" w:rsidRPr="00D02A2E" w:rsidRDefault="0092299C" w:rsidP="001F2E2D">
            <w:pPr>
              <w:spacing w:before="80" w:after="60"/>
              <w:jc w:val="center"/>
              <w:rPr>
                <w:rFonts w:eastAsia="Times" w:cs="Arial"/>
                <w:b/>
                <w:sz w:val="18"/>
                <w:szCs w:val="18"/>
                <w:lang w:eastAsia="en-AU"/>
              </w:rPr>
            </w:pPr>
            <w:r w:rsidRPr="00D02A2E">
              <w:rPr>
                <w:rFonts w:eastAsia="Times" w:cs="Arial"/>
                <w:b/>
                <w:sz w:val="18"/>
                <w:szCs w:val="18"/>
                <w:lang w:eastAsia="en-AU"/>
              </w:rPr>
              <w:t>$ million</w:t>
            </w:r>
          </w:p>
        </w:tc>
        <w:tc>
          <w:tcPr>
            <w:tcW w:w="1021" w:type="dxa"/>
            <w:tcBorders>
              <w:top w:val="nil"/>
              <w:left w:val="nil"/>
              <w:bottom w:val="nil"/>
              <w:right w:val="nil"/>
            </w:tcBorders>
            <w:shd w:val="clear" w:color="auto" w:fill="auto"/>
          </w:tcPr>
          <w:p w:rsidR="0092299C" w:rsidRPr="00CA0E9C" w:rsidRDefault="0092299C" w:rsidP="0092299C">
            <w:pPr>
              <w:pStyle w:val="ARtabletextright"/>
              <w:spacing w:before="70" w:after="50"/>
              <w:rPr>
                <w:b/>
                <w:bCs/>
              </w:rPr>
            </w:pPr>
            <w:r w:rsidRPr="00CA0E9C">
              <w:rPr>
                <w:b/>
                <w:bCs/>
              </w:rPr>
              <w:t>1,105.6</w:t>
            </w:r>
          </w:p>
        </w:tc>
        <w:tc>
          <w:tcPr>
            <w:tcW w:w="1021" w:type="dxa"/>
            <w:tcBorders>
              <w:top w:val="nil"/>
              <w:left w:val="nil"/>
              <w:bottom w:val="nil"/>
              <w:right w:val="nil"/>
            </w:tcBorders>
            <w:shd w:val="clear" w:color="auto" w:fill="auto"/>
          </w:tcPr>
          <w:p w:rsidR="0092299C" w:rsidRPr="00CA0E9C" w:rsidRDefault="0092299C" w:rsidP="0092299C">
            <w:pPr>
              <w:pStyle w:val="ARtabletextright"/>
              <w:spacing w:before="70" w:after="50"/>
              <w:rPr>
                <w:b/>
                <w:bCs/>
              </w:rPr>
            </w:pPr>
            <w:r w:rsidRPr="00CA0E9C">
              <w:rPr>
                <w:b/>
                <w:bCs/>
              </w:rPr>
              <w:t>1,171.7</w:t>
            </w:r>
          </w:p>
        </w:tc>
        <w:tc>
          <w:tcPr>
            <w:tcW w:w="1021" w:type="dxa"/>
            <w:tcBorders>
              <w:top w:val="nil"/>
              <w:left w:val="nil"/>
              <w:bottom w:val="nil"/>
              <w:right w:val="nil"/>
            </w:tcBorders>
            <w:shd w:val="clear" w:color="auto" w:fill="auto"/>
          </w:tcPr>
          <w:p w:rsidR="0092299C" w:rsidRPr="00CA0E9C" w:rsidRDefault="0092299C" w:rsidP="0092299C">
            <w:pPr>
              <w:pStyle w:val="ARtabletextright"/>
              <w:spacing w:before="70" w:after="50"/>
              <w:rPr>
                <w:b/>
                <w:bCs/>
              </w:rPr>
            </w:pPr>
            <w:r>
              <w:rPr>
                <w:b/>
                <w:bCs/>
              </w:rPr>
              <w:t>6.0</w:t>
            </w:r>
          </w:p>
        </w:tc>
        <w:tc>
          <w:tcPr>
            <w:tcW w:w="794" w:type="dxa"/>
            <w:tcBorders>
              <w:top w:val="nil"/>
              <w:left w:val="nil"/>
              <w:bottom w:val="nil"/>
              <w:right w:val="nil"/>
            </w:tcBorders>
            <w:shd w:val="clear" w:color="auto" w:fill="auto"/>
            <w:hideMark/>
          </w:tcPr>
          <w:p w:rsidR="0092299C" w:rsidRPr="00CA0E9C" w:rsidRDefault="0092299C" w:rsidP="0092299C">
            <w:pPr>
              <w:pStyle w:val="ARtabletextright"/>
              <w:spacing w:before="70" w:after="50"/>
              <w:rPr>
                <w:rFonts w:ascii="Wingdings" w:hAnsi="Wingdings"/>
                <w:b/>
                <w:bCs/>
              </w:rPr>
            </w:pPr>
          </w:p>
        </w:tc>
      </w:tr>
      <w:tr w:rsidR="0092299C" w:rsidRPr="00D02A2E" w:rsidTr="00B403F2">
        <w:tblPrEx>
          <w:tblBorders>
            <w:top w:val="none" w:sz="0" w:space="0" w:color="auto"/>
            <w:left w:val="single" w:sz="4" w:space="0" w:color="FFFFFF"/>
            <w:right w:val="single" w:sz="4" w:space="0" w:color="FFFFFF"/>
            <w:insideV w:val="single" w:sz="4" w:space="0" w:color="FFFFFF"/>
          </w:tblBorders>
        </w:tblPrEx>
        <w:trPr>
          <w:cantSplit/>
          <w:trHeight w:val="240"/>
        </w:trPr>
        <w:tc>
          <w:tcPr>
            <w:tcW w:w="9639" w:type="dxa"/>
            <w:gridSpan w:val="6"/>
            <w:tcBorders>
              <w:top w:val="nil"/>
              <w:left w:val="nil"/>
              <w:right w:val="nil"/>
            </w:tcBorders>
            <w:shd w:val="clear" w:color="auto" w:fill="auto"/>
          </w:tcPr>
          <w:p w:rsidR="0092299C" w:rsidRPr="00D02A2E" w:rsidRDefault="0092299C" w:rsidP="0092299C">
            <w:pPr>
              <w:pStyle w:val="ARtablenoteindent"/>
            </w:pPr>
            <w:r w:rsidRPr="0031742B">
              <w:t>The higher 20</w:t>
            </w:r>
            <w:r>
              <w:t>16–17</w:t>
            </w:r>
            <w:r w:rsidRPr="0031742B">
              <w:t xml:space="preserve"> outcome primarily reflects additional investment by government, transfer of the Safe at Home </w:t>
            </w:r>
            <w:r w:rsidR="00EC4FD8">
              <w:t>–</w:t>
            </w:r>
            <w:r w:rsidRPr="0031742B">
              <w:t xml:space="preserve"> Flexible Support Packages initiatives from Housing Assistance output, and impact of Youth Services and Youth Justice programs not transferred to the Department of Justice and Regulation, as part of changes announced by the government with effect from 3 April 2017.</w:t>
            </w:r>
          </w:p>
        </w:tc>
      </w:tr>
    </w:tbl>
    <w:p w:rsidR="0092299C" w:rsidRPr="00D02A2E" w:rsidRDefault="0092299C" w:rsidP="0092299C">
      <w:pPr>
        <w:pStyle w:val="Heading2"/>
      </w:pPr>
      <w:r w:rsidRPr="00D02A2E">
        <w:t>Concessions to Pensioners and Beneficiaries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1B639E">
        <w:trPr>
          <w:cantSplit/>
          <w:trHeight w:val="227"/>
          <w:tblHeader/>
        </w:trPr>
        <w:tc>
          <w:tcPr>
            <w:tcW w:w="4761" w:type="dxa"/>
            <w:tcBorders>
              <w:bottom w:val="single" w:sz="4" w:space="0" w:color="auto"/>
            </w:tcBorders>
            <w:shd w:val="clear" w:color="auto" w:fill="auto"/>
            <w:vAlign w:val="bottom"/>
          </w:tcPr>
          <w:p w:rsidR="0092299C" w:rsidRPr="00D02A2E" w:rsidRDefault="0092299C" w:rsidP="0092299C">
            <w:pPr>
              <w:pStyle w:val="ARtablecolhead"/>
            </w:pPr>
            <w:r w:rsidRPr="00D02A2E">
              <w:t>Performance measures</w:t>
            </w:r>
          </w:p>
        </w:tc>
        <w:tc>
          <w:tcPr>
            <w:tcW w:w="1021" w:type="dxa"/>
            <w:tcBorders>
              <w:bottom w:val="single" w:sz="4" w:space="0" w:color="auto"/>
            </w:tcBorders>
            <w:shd w:val="clear" w:color="auto" w:fill="auto"/>
            <w:vAlign w:val="bottom"/>
          </w:tcPr>
          <w:p w:rsidR="0092299C" w:rsidRPr="00D02A2E" w:rsidRDefault="0092299C" w:rsidP="001F2E2D">
            <w:pPr>
              <w:pStyle w:val="ARtablecolheadright"/>
              <w:jc w:val="center"/>
            </w:pPr>
            <w:r w:rsidRPr="00D02A2E">
              <w:t>Unit of measure</w:t>
            </w:r>
          </w:p>
        </w:tc>
        <w:tc>
          <w:tcPr>
            <w:tcW w:w="1021" w:type="dxa"/>
            <w:tcBorders>
              <w:bottom w:val="single" w:sz="4" w:space="0" w:color="auto"/>
            </w:tcBorders>
            <w:shd w:val="clear" w:color="auto" w:fill="auto"/>
            <w:vAlign w:val="bottom"/>
          </w:tcPr>
          <w:p w:rsidR="0092299C" w:rsidRPr="00D02A2E" w:rsidRDefault="0092299C" w:rsidP="0092299C">
            <w:pPr>
              <w:pStyle w:val="ARtablecolheadright"/>
            </w:pPr>
            <w:r w:rsidRPr="00D02A2E">
              <w:t>2016–17 target</w:t>
            </w:r>
          </w:p>
        </w:tc>
        <w:tc>
          <w:tcPr>
            <w:tcW w:w="1021" w:type="dxa"/>
            <w:tcBorders>
              <w:bottom w:val="single" w:sz="4" w:space="0" w:color="auto"/>
            </w:tcBorders>
            <w:shd w:val="clear" w:color="auto" w:fill="auto"/>
            <w:vAlign w:val="bottom"/>
          </w:tcPr>
          <w:p w:rsidR="0092299C" w:rsidRPr="00D02A2E" w:rsidRDefault="0092299C" w:rsidP="0092299C">
            <w:pPr>
              <w:pStyle w:val="ARtablecolheadright"/>
            </w:pPr>
            <w:r w:rsidRPr="00D02A2E">
              <w:t>2016–17 actual</w:t>
            </w:r>
          </w:p>
        </w:tc>
        <w:tc>
          <w:tcPr>
            <w:tcW w:w="1021" w:type="dxa"/>
            <w:tcBorders>
              <w:bottom w:val="single" w:sz="4" w:space="0" w:color="auto"/>
            </w:tcBorders>
            <w:shd w:val="clear" w:color="auto" w:fill="auto"/>
            <w:vAlign w:val="bottom"/>
          </w:tcPr>
          <w:p w:rsidR="0092299C" w:rsidRPr="00D02A2E" w:rsidRDefault="0092299C" w:rsidP="0092299C">
            <w:pPr>
              <w:pStyle w:val="ARtablecolheadright"/>
            </w:pPr>
            <w:r w:rsidRPr="00D02A2E">
              <w:t>Variation (%)</w:t>
            </w:r>
          </w:p>
        </w:tc>
        <w:tc>
          <w:tcPr>
            <w:tcW w:w="794" w:type="dxa"/>
            <w:tcBorders>
              <w:bottom w:val="single" w:sz="4" w:space="0" w:color="auto"/>
            </w:tcBorders>
            <w:shd w:val="clear" w:color="auto" w:fill="auto"/>
            <w:vAlign w:val="bottom"/>
          </w:tcPr>
          <w:p w:rsidR="0092299C" w:rsidRPr="00D02A2E" w:rsidRDefault="0092299C" w:rsidP="00096BE7">
            <w:pPr>
              <w:pStyle w:val="ARtablecolheadright"/>
            </w:pPr>
            <w:r w:rsidRPr="00D02A2E">
              <w:t>Result</w:t>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nil"/>
              <w:right w:val="nil"/>
            </w:tcBorders>
            <w:shd w:val="clear" w:color="auto" w:fill="auto"/>
          </w:tcPr>
          <w:p w:rsidR="0092299C" w:rsidRPr="00D02A2E" w:rsidRDefault="0092299C" w:rsidP="0092299C">
            <w:pPr>
              <w:pStyle w:val="ARtablebluebold"/>
            </w:pPr>
            <w:r w:rsidRPr="00D02A2E">
              <w:t>Quantity</w:t>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single" w:sz="4" w:space="0" w:color="BFBFBF"/>
              <w:right w:val="nil"/>
            </w:tcBorders>
            <w:shd w:val="clear" w:color="auto" w:fill="auto"/>
            <w:hideMark/>
          </w:tcPr>
          <w:p w:rsidR="0092299C" w:rsidRDefault="0092299C" w:rsidP="0092299C">
            <w:pPr>
              <w:pStyle w:val="ARtabletext"/>
            </w:pPr>
            <w:r w:rsidRPr="00D02A2E">
              <w:t>Households receiving mains electricity concessions</w:t>
            </w:r>
          </w:p>
          <w:p w:rsidR="0092299C" w:rsidRPr="00D02A2E" w:rsidRDefault="0092299C" w:rsidP="0092299C">
            <w:pPr>
              <w:pStyle w:val="ARtablenoteindent"/>
            </w:pPr>
            <w:r>
              <w:t>Eligibility for this concession has not changed.</w:t>
            </w:r>
          </w:p>
        </w:tc>
        <w:tc>
          <w:tcPr>
            <w:tcW w:w="1021" w:type="dxa"/>
            <w:tcBorders>
              <w:top w:val="nil"/>
              <w:left w:val="nil"/>
              <w:bottom w:val="single" w:sz="4" w:space="0" w:color="BFBFBF"/>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single" w:sz="4" w:space="0" w:color="BFBFBF"/>
              <w:right w:val="nil"/>
            </w:tcBorders>
            <w:shd w:val="clear" w:color="auto" w:fill="auto"/>
            <w:hideMark/>
          </w:tcPr>
          <w:p w:rsidR="0092299C" w:rsidRPr="00D02A2E" w:rsidRDefault="0092299C" w:rsidP="0092299C">
            <w:pPr>
              <w:pStyle w:val="ARtabletextright"/>
            </w:pPr>
            <w:r w:rsidRPr="00D02A2E">
              <w:t xml:space="preserve">911,070 </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rsidRPr="00D02A2E">
              <w:t>912,364</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t>0.1</w:t>
            </w:r>
          </w:p>
        </w:tc>
        <w:tc>
          <w:tcPr>
            <w:tcW w:w="794" w:type="dxa"/>
            <w:tcBorders>
              <w:top w:val="nil"/>
              <w:left w:val="nil"/>
              <w:bottom w:val="single" w:sz="4" w:space="0" w:color="BFBFBF"/>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Default="0092299C" w:rsidP="0092299C">
            <w:pPr>
              <w:pStyle w:val="ARtabletext"/>
            </w:pPr>
            <w:r w:rsidRPr="00D02A2E">
              <w:lastRenderedPageBreak/>
              <w:t>Households receiving mains gas concessions</w:t>
            </w:r>
          </w:p>
          <w:p w:rsidR="0092299C" w:rsidRPr="00D02A2E" w:rsidRDefault="0092299C" w:rsidP="0092299C">
            <w:pPr>
              <w:pStyle w:val="ARtablenoteindent"/>
            </w:pPr>
            <w:r>
              <w:t>Eligibility for this concession has not changed.</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650,482</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650,026</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0.1</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2" w:char="F099"/>
            </w:r>
          </w:p>
        </w:tc>
      </w:tr>
      <w:tr w:rsidR="0092299C" w:rsidRPr="00D02A2E" w:rsidTr="0026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single" w:sz="4" w:space="0" w:color="BFBFBF"/>
              <w:right w:val="nil"/>
            </w:tcBorders>
            <w:shd w:val="clear" w:color="auto" w:fill="auto"/>
            <w:hideMark/>
          </w:tcPr>
          <w:p w:rsidR="0092299C" w:rsidRDefault="0092299C" w:rsidP="0092299C">
            <w:pPr>
              <w:pStyle w:val="ARtabletext"/>
            </w:pPr>
            <w:r w:rsidRPr="00D02A2E">
              <w:t>Households receiving non-mains energy concessions</w:t>
            </w:r>
          </w:p>
          <w:p w:rsidR="0092299C" w:rsidRPr="00D02A2E" w:rsidRDefault="0092299C" w:rsidP="0092299C">
            <w:pPr>
              <w:pStyle w:val="ARtablenoteindent"/>
            </w:pPr>
            <w:r>
              <w:t>Eligibility for this concession has not changed.</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right"/>
            </w:pPr>
            <w:r w:rsidRPr="00D02A2E">
              <w:t>23,074</w:t>
            </w:r>
          </w:p>
        </w:tc>
        <w:tc>
          <w:tcPr>
            <w:tcW w:w="1021" w:type="dxa"/>
            <w:tcBorders>
              <w:top w:val="single" w:sz="4" w:space="0" w:color="BFBFBF"/>
              <w:left w:val="nil"/>
              <w:bottom w:val="single" w:sz="4" w:space="0" w:color="BFBFBF"/>
              <w:right w:val="nil"/>
            </w:tcBorders>
            <w:shd w:val="clear" w:color="auto" w:fill="auto"/>
          </w:tcPr>
          <w:p w:rsidR="0092299C" w:rsidRPr="00D02A2E" w:rsidRDefault="0092299C" w:rsidP="0092299C">
            <w:pPr>
              <w:pStyle w:val="ARtabletextright"/>
            </w:pPr>
            <w:r w:rsidRPr="00D02A2E">
              <w:t>22,889</w:t>
            </w:r>
          </w:p>
        </w:tc>
        <w:tc>
          <w:tcPr>
            <w:tcW w:w="1021" w:type="dxa"/>
            <w:tcBorders>
              <w:top w:val="single" w:sz="4" w:space="0" w:color="BFBFBF"/>
              <w:left w:val="nil"/>
              <w:bottom w:val="single" w:sz="4" w:space="0" w:color="BFBFBF"/>
              <w:right w:val="nil"/>
            </w:tcBorders>
            <w:shd w:val="clear" w:color="auto" w:fill="auto"/>
          </w:tcPr>
          <w:p w:rsidR="0092299C" w:rsidRPr="00D02A2E" w:rsidRDefault="00EC4FD8" w:rsidP="0092299C">
            <w:pPr>
              <w:pStyle w:val="ARtabletextright"/>
            </w:pPr>
            <w:r>
              <w:t>–</w:t>
            </w:r>
            <w:r w:rsidR="0092299C">
              <w:t>0.8</w:t>
            </w:r>
          </w:p>
        </w:tc>
        <w:tc>
          <w:tcPr>
            <w:tcW w:w="794" w:type="dxa"/>
            <w:tcBorders>
              <w:top w:val="single" w:sz="4" w:space="0" w:color="BFBFBF"/>
              <w:left w:val="nil"/>
              <w:bottom w:val="single" w:sz="4" w:space="0" w:color="BFBFBF"/>
              <w:right w:val="nil"/>
            </w:tcBorders>
            <w:shd w:val="clear" w:color="auto" w:fill="auto"/>
          </w:tcPr>
          <w:p w:rsidR="0092299C" w:rsidRPr="00D02A2E" w:rsidRDefault="0092299C" w:rsidP="00B64D71">
            <w:pPr>
              <w:pStyle w:val="ARtabletextright"/>
            </w:pPr>
            <w:r w:rsidRPr="00D02A2E">
              <w:sym w:font="Wingdings 2" w:char="F099"/>
            </w:r>
          </w:p>
        </w:tc>
      </w:tr>
      <w:tr w:rsidR="0092299C" w:rsidRPr="00D02A2E" w:rsidTr="0026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single" w:sz="4" w:space="0" w:color="FFFFFF" w:themeColor="background1"/>
              <w:right w:val="nil"/>
            </w:tcBorders>
            <w:shd w:val="clear" w:color="auto" w:fill="auto"/>
            <w:hideMark/>
          </w:tcPr>
          <w:p w:rsidR="0092299C" w:rsidRPr="00D02A2E" w:rsidRDefault="0092299C" w:rsidP="0092299C">
            <w:pPr>
              <w:pStyle w:val="ARtabletext"/>
            </w:pPr>
            <w:r w:rsidRPr="00D02A2E">
              <w:t>Households receiving pensioner concessions for municipal rates and charges</w:t>
            </w:r>
          </w:p>
        </w:tc>
        <w:tc>
          <w:tcPr>
            <w:tcW w:w="1021" w:type="dxa"/>
            <w:tcBorders>
              <w:top w:val="single" w:sz="4" w:space="0" w:color="BFBFBF"/>
              <w:left w:val="nil"/>
              <w:bottom w:val="single" w:sz="4" w:space="0" w:color="FFFFFF" w:themeColor="background1"/>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single" w:sz="4" w:space="0" w:color="FFFFFF" w:themeColor="background1"/>
              <w:right w:val="nil"/>
            </w:tcBorders>
            <w:shd w:val="clear" w:color="auto" w:fill="auto"/>
            <w:hideMark/>
          </w:tcPr>
          <w:p w:rsidR="0092299C" w:rsidRPr="00D02A2E" w:rsidRDefault="0092299C" w:rsidP="0092299C">
            <w:pPr>
              <w:pStyle w:val="ARtabletextright"/>
            </w:pPr>
            <w:r w:rsidRPr="00D02A2E">
              <w:t xml:space="preserve">441,821 </w:t>
            </w:r>
          </w:p>
        </w:tc>
        <w:tc>
          <w:tcPr>
            <w:tcW w:w="1021" w:type="dxa"/>
            <w:tcBorders>
              <w:top w:val="single" w:sz="4" w:space="0" w:color="BFBFBF"/>
              <w:left w:val="nil"/>
              <w:bottom w:val="single" w:sz="4" w:space="0" w:color="FFFFFF" w:themeColor="background1"/>
              <w:right w:val="nil"/>
            </w:tcBorders>
            <w:shd w:val="clear" w:color="auto" w:fill="auto"/>
          </w:tcPr>
          <w:p w:rsidR="0092299C" w:rsidRPr="00D02A2E" w:rsidRDefault="0092299C" w:rsidP="0092299C">
            <w:pPr>
              <w:pStyle w:val="ARtabletextright"/>
            </w:pPr>
            <w:r w:rsidRPr="00D02A2E">
              <w:t>437,340</w:t>
            </w:r>
          </w:p>
        </w:tc>
        <w:tc>
          <w:tcPr>
            <w:tcW w:w="1021" w:type="dxa"/>
            <w:tcBorders>
              <w:top w:val="single" w:sz="4" w:space="0" w:color="BFBFBF"/>
              <w:left w:val="nil"/>
              <w:bottom w:val="single" w:sz="4" w:space="0" w:color="FFFFFF" w:themeColor="background1"/>
              <w:right w:val="nil"/>
            </w:tcBorders>
            <w:shd w:val="clear" w:color="auto" w:fill="auto"/>
          </w:tcPr>
          <w:p w:rsidR="0092299C" w:rsidRPr="00D02A2E" w:rsidRDefault="00EC4FD8" w:rsidP="0092299C">
            <w:pPr>
              <w:pStyle w:val="ARtabletextright"/>
            </w:pPr>
            <w:r>
              <w:t>–</w:t>
            </w:r>
            <w:r w:rsidR="0092299C">
              <w:t>1.0</w:t>
            </w:r>
          </w:p>
        </w:tc>
        <w:tc>
          <w:tcPr>
            <w:tcW w:w="794" w:type="dxa"/>
            <w:tcBorders>
              <w:top w:val="single" w:sz="4" w:space="0" w:color="BFBFBF"/>
              <w:left w:val="nil"/>
              <w:bottom w:val="single" w:sz="4" w:space="0" w:color="FFFFFF" w:themeColor="background1"/>
              <w:right w:val="nil"/>
            </w:tcBorders>
            <w:shd w:val="clear" w:color="auto" w:fill="auto"/>
          </w:tcPr>
          <w:p w:rsidR="0092299C" w:rsidRPr="00D02A2E" w:rsidRDefault="0092299C" w:rsidP="00B64D71">
            <w:pPr>
              <w:pStyle w:val="ARtabletextright"/>
            </w:pPr>
            <w:r w:rsidRPr="00D02A2E">
              <w:sym w:font="Wingdings 2" w:char="F099"/>
            </w:r>
          </w:p>
        </w:tc>
      </w:tr>
      <w:tr w:rsidR="00D57716" w:rsidRPr="00D02A2E" w:rsidTr="0026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single" w:sz="4" w:space="0" w:color="FFFFFF" w:themeColor="background1"/>
              <w:left w:val="nil"/>
              <w:bottom w:val="nil"/>
              <w:right w:val="nil"/>
            </w:tcBorders>
            <w:shd w:val="clear" w:color="auto" w:fill="auto"/>
          </w:tcPr>
          <w:p w:rsidR="00D57716" w:rsidRPr="00265943" w:rsidRDefault="00D57716" w:rsidP="00DE0B18">
            <w:pPr>
              <w:pStyle w:val="ARtablenoteindent"/>
            </w:pPr>
            <w:r w:rsidRPr="00265943">
              <w:t>Eligibility for this concession has not changed.</w:t>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Default="0092299C" w:rsidP="0092299C">
            <w:pPr>
              <w:pStyle w:val="ARtabletext"/>
            </w:pPr>
            <w:r w:rsidRPr="00D02A2E">
              <w:t>Households receiving water and sewerage concessions</w:t>
            </w:r>
          </w:p>
          <w:p w:rsidR="0092299C" w:rsidRPr="00D02A2E" w:rsidRDefault="0092299C" w:rsidP="0092299C">
            <w:pPr>
              <w:pStyle w:val="ARtablenoteindent"/>
            </w:pPr>
            <w:r>
              <w:t>Eligibility for this concession has not changed.</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688,725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689,136</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0.1</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clients receiving trustee services</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14,600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12,979</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11.1</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w:char="F06E"/>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E70523">
              <w:t xml:space="preserve">The </w:t>
            </w:r>
            <w:r>
              <w:t>result</w:t>
            </w:r>
            <w:r w:rsidRPr="00E70523">
              <w:t xml:space="preserve"> is lower than the target due to continuing decline in the number of people requiring trustee services assistance, driven by decisions on cases at the Victorian Civil and Administrative Tribunal. There have been no changes to the eligibility criteria for these services and all of the people who required these services, received them from State Trustees.</w:t>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Quality</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nil"/>
              <w:right w:val="nil"/>
            </w:tcBorders>
            <w:shd w:val="clear" w:color="auto" w:fill="auto"/>
            <w:hideMark/>
          </w:tcPr>
          <w:p w:rsidR="0092299C" w:rsidRPr="00D02A2E" w:rsidRDefault="0092299C" w:rsidP="0092299C">
            <w:pPr>
              <w:pStyle w:val="ARtabletext"/>
              <w:rPr>
                <w:i/>
                <w:sz w:val="16"/>
                <w:szCs w:val="16"/>
              </w:rPr>
            </w:pPr>
            <w:r w:rsidRPr="00D02A2E">
              <w:t>Percentage of community service agreement performance targets that have been achieved by State Trustees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1F2E2D">
              <w:t>9</w:t>
            </w:r>
            <w:r w:rsidR="008A7604" w:rsidRPr="001F2E2D">
              <w:t>6.9</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7.7</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18"/>
              </w:rPr>
            </w:pPr>
            <w:r w:rsidRPr="00D02A2E">
              <w:t xml:space="preserve">The </w:t>
            </w:r>
            <w:r>
              <w:t>result</w:t>
            </w:r>
            <w:r w:rsidRPr="00D02A2E">
              <w:t xml:space="preserve"> is higher than the target as the State Trustees continue to make significant improvements to client service delivery through its investment in its business and quality assurance processes, and by further strengthening the competence and talent of its staff.</w:t>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text"/>
              <w:rPr>
                <w:i/>
                <w:sz w:val="16"/>
                <w:szCs w:val="16"/>
              </w:rPr>
            </w:pPr>
            <w:r w:rsidRPr="00D02A2E">
              <w:t>Percentage of customers satisfied with State Trustee Limited services</w:t>
            </w:r>
          </w:p>
        </w:tc>
        <w:tc>
          <w:tcPr>
            <w:tcW w:w="1021" w:type="dxa"/>
            <w:tcBorders>
              <w:top w:val="single" w:sz="4" w:space="0" w:color="BFBFBF"/>
              <w:left w:val="nil"/>
              <w:bottom w:val="nil"/>
              <w:right w:val="nil"/>
            </w:tcBorders>
            <w:shd w:val="clear" w:color="auto" w:fill="auto"/>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 xml:space="preserve">75 </w:t>
            </w:r>
          </w:p>
        </w:tc>
        <w:tc>
          <w:tcPr>
            <w:tcW w:w="1021" w:type="dxa"/>
            <w:tcBorders>
              <w:top w:val="single" w:sz="4" w:space="0" w:color="BFBFBF"/>
              <w:left w:val="nil"/>
              <w:bottom w:val="nil"/>
              <w:right w:val="nil"/>
            </w:tcBorders>
            <w:shd w:val="clear" w:color="auto" w:fill="auto"/>
          </w:tcPr>
          <w:p w:rsidR="0092299C" w:rsidRPr="00D02A2E" w:rsidRDefault="008A7604" w:rsidP="0092299C">
            <w:pPr>
              <w:pStyle w:val="ARtabletextright"/>
            </w:pPr>
            <w:r w:rsidRPr="001F2E2D">
              <w:t>79.6</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6.1</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18"/>
              </w:rPr>
            </w:pPr>
            <w:r w:rsidRPr="00D02A2E">
              <w:t xml:space="preserve">The </w:t>
            </w:r>
            <w:r>
              <w:t>result</w:t>
            </w:r>
            <w:r w:rsidRPr="00D02A2E">
              <w:t xml:space="preserve"> is higher than the target as a result of the State Trustees improving its client satisfaction results by providing a consistent, seamless service, delivering on its service promises, and continuing to innovate to improve the client experience.</w:t>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Timeliness</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nil"/>
              <w:right w:val="nil"/>
            </w:tcBorders>
            <w:shd w:val="clear" w:color="auto" w:fill="auto"/>
            <w:hideMark/>
          </w:tcPr>
          <w:p w:rsidR="0092299C" w:rsidRPr="00D02A2E" w:rsidRDefault="0092299C" w:rsidP="0092299C">
            <w:pPr>
              <w:pStyle w:val="ARtabletext"/>
            </w:pPr>
            <w:r w:rsidRPr="00D02A2E">
              <w:t>Percentage of customer requests answered by State Trustees within the timelines set in the Community Service Agreement</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1F2E2D">
              <w:t>92</w:t>
            </w:r>
            <w:r w:rsidR="008A7604" w:rsidRPr="001F2E2D">
              <w:t>.4</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2.7</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D57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Cost</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r>
      <w:tr w:rsidR="0092299C" w:rsidRPr="00D02A2E" w:rsidTr="00D57716">
        <w:trPr>
          <w:cantSplit/>
          <w:trHeight w:val="227"/>
        </w:trPr>
        <w:tc>
          <w:tcPr>
            <w:tcW w:w="4761" w:type="dxa"/>
            <w:tcBorders>
              <w:bottom w:val="single" w:sz="4" w:space="0" w:color="BFBFBF" w:themeColor="background1" w:themeShade="BF"/>
            </w:tcBorders>
            <w:shd w:val="clear" w:color="auto" w:fill="auto"/>
            <w:hideMark/>
          </w:tcPr>
          <w:p w:rsidR="0092299C" w:rsidRPr="00D02A2E" w:rsidRDefault="0092299C" w:rsidP="0092299C">
            <w:pPr>
              <w:pStyle w:val="ARtabletextbold"/>
            </w:pPr>
            <w:r w:rsidRPr="00D02A2E">
              <w:t>Total output cost</w:t>
            </w:r>
          </w:p>
        </w:tc>
        <w:tc>
          <w:tcPr>
            <w:tcW w:w="1021" w:type="dxa"/>
            <w:tcBorders>
              <w:bottom w:val="single" w:sz="4" w:space="0" w:color="BFBFBF" w:themeColor="background1" w:themeShade="BF"/>
            </w:tcBorders>
            <w:shd w:val="clear" w:color="auto" w:fill="auto"/>
            <w:hideMark/>
          </w:tcPr>
          <w:p w:rsidR="0092299C" w:rsidRPr="00D02A2E" w:rsidRDefault="0092299C" w:rsidP="001F2E2D">
            <w:pPr>
              <w:pStyle w:val="ARtabletextbold"/>
              <w:jc w:val="center"/>
            </w:pPr>
            <w:r w:rsidRPr="00D02A2E">
              <w:t>$ million</w:t>
            </w:r>
          </w:p>
        </w:tc>
        <w:tc>
          <w:tcPr>
            <w:tcW w:w="1021" w:type="dxa"/>
            <w:tcBorders>
              <w:bottom w:val="single" w:sz="4" w:space="0" w:color="BFBFBF" w:themeColor="background1" w:themeShade="BF"/>
            </w:tcBorders>
            <w:shd w:val="clear" w:color="auto" w:fill="auto"/>
            <w:hideMark/>
          </w:tcPr>
          <w:p w:rsidR="0092299C" w:rsidRPr="00CA0E9C" w:rsidRDefault="0092299C" w:rsidP="0092299C">
            <w:pPr>
              <w:pStyle w:val="ARtabletextright"/>
              <w:rPr>
                <w:b/>
                <w:bCs/>
              </w:rPr>
            </w:pPr>
            <w:r w:rsidRPr="00CA0E9C">
              <w:rPr>
                <w:b/>
                <w:bCs/>
              </w:rPr>
              <w:t>531.2</w:t>
            </w:r>
          </w:p>
        </w:tc>
        <w:tc>
          <w:tcPr>
            <w:tcW w:w="1021" w:type="dxa"/>
            <w:tcBorders>
              <w:bottom w:val="single" w:sz="4" w:space="0" w:color="BFBFBF" w:themeColor="background1" w:themeShade="BF"/>
            </w:tcBorders>
            <w:shd w:val="clear" w:color="auto" w:fill="auto"/>
          </w:tcPr>
          <w:p w:rsidR="0092299C" w:rsidRPr="00CA0E9C" w:rsidRDefault="0092299C" w:rsidP="0092299C">
            <w:pPr>
              <w:pStyle w:val="ARtabletextright"/>
              <w:rPr>
                <w:b/>
                <w:bCs/>
              </w:rPr>
            </w:pPr>
            <w:r w:rsidRPr="00CA0E9C">
              <w:rPr>
                <w:b/>
                <w:bCs/>
              </w:rPr>
              <w:t>539.5</w:t>
            </w:r>
          </w:p>
        </w:tc>
        <w:tc>
          <w:tcPr>
            <w:tcW w:w="1021" w:type="dxa"/>
            <w:tcBorders>
              <w:bottom w:val="single" w:sz="4" w:space="0" w:color="BFBFBF" w:themeColor="background1" w:themeShade="BF"/>
            </w:tcBorders>
            <w:shd w:val="clear" w:color="auto" w:fill="auto"/>
          </w:tcPr>
          <w:p w:rsidR="0092299C" w:rsidRPr="00CA0E9C" w:rsidRDefault="0092299C" w:rsidP="0092299C">
            <w:pPr>
              <w:pStyle w:val="ARtabletextright"/>
              <w:rPr>
                <w:b/>
                <w:bCs/>
              </w:rPr>
            </w:pPr>
            <w:r>
              <w:rPr>
                <w:b/>
                <w:bCs/>
              </w:rPr>
              <w:t>1.6</w:t>
            </w:r>
          </w:p>
        </w:tc>
        <w:tc>
          <w:tcPr>
            <w:tcW w:w="794" w:type="dxa"/>
            <w:tcBorders>
              <w:bottom w:val="single" w:sz="4" w:space="0" w:color="BFBFBF" w:themeColor="background1" w:themeShade="BF"/>
            </w:tcBorders>
            <w:shd w:val="clear" w:color="auto" w:fill="auto"/>
          </w:tcPr>
          <w:p w:rsidR="0092299C" w:rsidRPr="00CA0E9C" w:rsidRDefault="0092299C" w:rsidP="0092299C">
            <w:pPr>
              <w:pStyle w:val="ARtabletextright"/>
              <w:rPr>
                <w:b/>
                <w:bCs/>
              </w:rPr>
            </w:pPr>
          </w:p>
        </w:tc>
      </w:tr>
    </w:tbl>
    <w:p w:rsidR="0092299C" w:rsidRPr="00D02A2E" w:rsidRDefault="0092299C" w:rsidP="0092299C">
      <w:pPr>
        <w:pStyle w:val="Heading2"/>
      </w:pPr>
      <w:r w:rsidRPr="00D02A2E">
        <w:t>Housing Assistance</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92299C" w:rsidRPr="00D02A2E" w:rsidTr="0092299C">
        <w:trPr>
          <w:cantSplit/>
          <w:trHeight w:val="227"/>
          <w:tblHeader/>
        </w:trPr>
        <w:tc>
          <w:tcPr>
            <w:tcW w:w="4761" w:type="dxa"/>
            <w:tcBorders>
              <w:bottom w:val="single" w:sz="4" w:space="0" w:color="auto"/>
            </w:tcBorders>
            <w:shd w:val="clear" w:color="auto" w:fill="auto"/>
            <w:vAlign w:val="bottom"/>
          </w:tcPr>
          <w:p w:rsidR="0092299C" w:rsidRPr="00D02A2E" w:rsidRDefault="0092299C" w:rsidP="0092299C">
            <w:pPr>
              <w:pStyle w:val="ARtablecolhead"/>
            </w:pPr>
            <w:r w:rsidRPr="00D02A2E">
              <w:t>Performance measures</w:t>
            </w:r>
          </w:p>
        </w:tc>
        <w:tc>
          <w:tcPr>
            <w:tcW w:w="1021" w:type="dxa"/>
            <w:tcBorders>
              <w:bottom w:val="single" w:sz="4" w:space="0" w:color="auto"/>
            </w:tcBorders>
            <w:shd w:val="clear" w:color="auto" w:fill="auto"/>
            <w:vAlign w:val="bottom"/>
          </w:tcPr>
          <w:p w:rsidR="0092299C" w:rsidRPr="00D02A2E" w:rsidRDefault="0092299C" w:rsidP="001F2E2D">
            <w:pPr>
              <w:pStyle w:val="ARtablecolhead"/>
              <w:jc w:val="center"/>
            </w:pPr>
            <w:r w:rsidRPr="00D02A2E">
              <w:t>Unit of measure</w:t>
            </w:r>
          </w:p>
        </w:tc>
        <w:tc>
          <w:tcPr>
            <w:tcW w:w="1021" w:type="dxa"/>
            <w:tcBorders>
              <w:bottom w:val="single" w:sz="4" w:space="0" w:color="auto"/>
            </w:tcBorders>
            <w:shd w:val="clear" w:color="auto" w:fill="auto"/>
            <w:vAlign w:val="bottom"/>
          </w:tcPr>
          <w:p w:rsidR="0092299C" w:rsidRPr="00D02A2E" w:rsidRDefault="0092299C" w:rsidP="001F2E2D">
            <w:pPr>
              <w:pStyle w:val="ARtablecolhead"/>
              <w:jc w:val="right"/>
            </w:pPr>
            <w:r w:rsidRPr="00D02A2E">
              <w:t>2016–17 target</w:t>
            </w:r>
          </w:p>
        </w:tc>
        <w:tc>
          <w:tcPr>
            <w:tcW w:w="1021" w:type="dxa"/>
            <w:tcBorders>
              <w:bottom w:val="single" w:sz="4" w:space="0" w:color="auto"/>
            </w:tcBorders>
            <w:shd w:val="clear" w:color="auto" w:fill="auto"/>
            <w:vAlign w:val="bottom"/>
          </w:tcPr>
          <w:p w:rsidR="0092299C" w:rsidRPr="00D02A2E" w:rsidRDefault="0092299C" w:rsidP="001F2E2D">
            <w:pPr>
              <w:pStyle w:val="ARtablecolhead"/>
              <w:jc w:val="right"/>
            </w:pPr>
            <w:r w:rsidRPr="00D02A2E">
              <w:t>2016–17 actual</w:t>
            </w:r>
          </w:p>
        </w:tc>
        <w:tc>
          <w:tcPr>
            <w:tcW w:w="1021" w:type="dxa"/>
            <w:tcBorders>
              <w:bottom w:val="single" w:sz="4" w:space="0" w:color="auto"/>
            </w:tcBorders>
            <w:shd w:val="clear" w:color="auto" w:fill="auto"/>
            <w:vAlign w:val="bottom"/>
          </w:tcPr>
          <w:p w:rsidR="0092299C" w:rsidRPr="00D02A2E" w:rsidRDefault="0092299C" w:rsidP="001F2E2D">
            <w:pPr>
              <w:pStyle w:val="ARtablecolhead"/>
              <w:jc w:val="right"/>
            </w:pPr>
            <w:r w:rsidRPr="00D02A2E">
              <w:t>Variation (%)</w:t>
            </w:r>
          </w:p>
        </w:tc>
        <w:tc>
          <w:tcPr>
            <w:tcW w:w="794" w:type="dxa"/>
            <w:tcBorders>
              <w:bottom w:val="single" w:sz="4" w:space="0" w:color="auto"/>
            </w:tcBorders>
            <w:shd w:val="clear" w:color="auto" w:fill="auto"/>
            <w:vAlign w:val="bottom"/>
          </w:tcPr>
          <w:p w:rsidR="0092299C" w:rsidRPr="00D02A2E" w:rsidRDefault="0092299C" w:rsidP="00096BE7">
            <w:pPr>
              <w:pStyle w:val="ARtablecolheadright"/>
            </w:pPr>
            <w:r w:rsidRPr="00D02A2E">
              <w:t>Result</w:t>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nil"/>
              <w:right w:val="nil"/>
            </w:tcBorders>
            <w:shd w:val="clear" w:color="auto" w:fill="auto"/>
          </w:tcPr>
          <w:p w:rsidR="0092299C" w:rsidRPr="00D02A2E" w:rsidRDefault="0092299C" w:rsidP="0092299C">
            <w:pPr>
              <w:pStyle w:val="ARtablebluebold"/>
            </w:pPr>
            <w:r w:rsidRPr="00D02A2E">
              <w:t>Quantity</w:t>
            </w:r>
          </w:p>
        </w:tc>
        <w:tc>
          <w:tcPr>
            <w:tcW w:w="1021" w:type="dxa"/>
            <w:tcBorders>
              <w:top w:val="nil"/>
              <w:left w:val="nil"/>
              <w:bottom w:val="nil"/>
              <w:right w:val="nil"/>
            </w:tcBorders>
            <w:shd w:val="clear" w:color="auto" w:fill="auto"/>
            <w:vAlign w:val="center"/>
          </w:tcPr>
          <w:p w:rsidR="0092299C" w:rsidRPr="00D02A2E" w:rsidRDefault="0092299C" w:rsidP="001F2E2D">
            <w:pPr>
              <w:pStyle w:val="ARtablebluebold"/>
              <w:jc w:val="center"/>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nil"/>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nil"/>
              <w:left w:val="nil"/>
              <w:bottom w:val="nil"/>
              <w:right w:val="nil"/>
            </w:tcBorders>
            <w:shd w:val="clear" w:color="auto" w:fill="auto"/>
            <w:vAlign w:val="center"/>
          </w:tcPr>
          <w:p w:rsidR="0092299C" w:rsidRPr="00D02A2E" w:rsidRDefault="0092299C" w:rsidP="0092299C">
            <w:pPr>
              <w:pStyle w:val="ARtablebluebold"/>
            </w:pP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single" w:sz="4" w:space="0" w:color="BFBFBF"/>
              <w:right w:val="nil"/>
            </w:tcBorders>
            <w:shd w:val="clear" w:color="auto" w:fill="auto"/>
            <w:hideMark/>
          </w:tcPr>
          <w:p w:rsidR="0092299C" w:rsidRPr="00D02A2E" w:rsidRDefault="0092299C" w:rsidP="0092299C">
            <w:pPr>
              <w:pStyle w:val="ARtabletext"/>
            </w:pPr>
            <w:r w:rsidRPr="00D02A2E">
              <w:t>Bond loans provided during year</w:t>
            </w:r>
          </w:p>
        </w:tc>
        <w:tc>
          <w:tcPr>
            <w:tcW w:w="1021" w:type="dxa"/>
            <w:tcBorders>
              <w:top w:val="nil"/>
              <w:left w:val="nil"/>
              <w:bottom w:val="single" w:sz="4" w:space="0" w:color="BFBFBF"/>
              <w:right w:val="nil"/>
            </w:tcBorders>
            <w:shd w:val="clear" w:color="auto" w:fill="auto"/>
            <w:hideMark/>
          </w:tcPr>
          <w:p w:rsidR="0092299C" w:rsidRPr="00D02A2E" w:rsidRDefault="0092299C" w:rsidP="001F2E2D">
            <w:pPr>
              <w:pStyle w:val="ARtabletextright"/>
              <w:jc w:val="center"/>
            </w:pPr>
            <w:r w:rsidRPr="00D02A2E">
              <w:t>number</w:t>
            </w:r>
          </w:p>
        </w:tc>
        <w:tc>
          <w:tcPr>
            <w:tcW w:w="1021" w:type="dxa"/>
            <w:tcBorders>
              <w:top w:val="nil"/>
              <w:left w:val="nil"/>
              <w:bottom w:val="single" w:sz="4" w:space="0" w:color="BFBFBF"/>
              <w:right w:val="nil"/>
            </w:tcBorders>
            <w:shd w:val="clear" w:color="auto" w:fill="auto"/>
            <w:hideMark/>
          </w:tcPr>
          <w:p w:rsidR="0092299C" w:rsidRPr="00D02A2E" w:rsidRDefault="0092299C" w:rsidP="0092299C">
            <w:pPr>
              <w:pStyle w:val="ARtabletextright"/>
            </w:pPr>
            <w:r w:rsidRPr="00D02A2E">
              <w:t xml:space="preserve">12,000 </w:t>
            </w:r>
          </w:p>
        </w:tc>
        <w:tc>
          <w:tcPr>
            <w:tcW w:w="1021" w:type="dxa"/>
            <w:tcBorders>
              <w:top w:val="nil"/>
              <w:left w:val="nil"/>
              <w:bottom w:val="single" w:sz="4" w:space="0" w:color="BFBFBF"/>
              <w:right w:val="nil"/>
            </w:tcBorders>
            <w:shd w:val="clear" w:color="auto" w:fill="auto"/>
            <w:vAlign w:val="center"/>
          </w:tcPr>
          <w:p w:rsidR="0092299C" w:rsidRPr="00D02A2E" w:rsidRDefault="0092299C" w:rsidP="0092299C">
            <w:pPr>
              <w:pStyle w:val="ARtabletextright"/>
            </w:pPr>
            <w:r w:rsidRPr="00D02A2E">
              <w:t>11,584</w:t>
            </w:r>
          </w:p>
        </w:tc>
        <w:tc>
          <w:tcPr>
            <w:tcW w:w="1021" w:type="dxa"/>
            <w:tcBorders>
              <w:top w:val="nil"/>
              <w:left w:val="nil"/>
              <w:bottom w:val="single" w:sz="4" w:space="0" w:color="BFBFBF"/>
              <w:right w:val="nil"/>
            </w:tcBorders>
            <w:shd w:val="clear" w:color="auto" w:fill="auto"/>
            <w:vAlign w:val="center"/>
          </w:tcPr>
          <w:p w:rsidR="0092299C" w:rsidRPr="00D02A2E" w:rsidRDefault="00EC4FD8" w:rsidP="0092299C">
            <w:pPr>
              <w:pStyle w:val="ARtabletextright"/>
            </w:pPr>
            <w:r>
              <w:t>–</w:t>
            </w:r>
            <w:r w:rsidR="0092299C">
              <w:t>3.5</w:t>
            </w:r>
          </w:p>
        </w:tc>
        <w:tc>
          <w:tcPr>
            <w:tcW w:w="794" w:type="dxa"/>
            <w:tcBorders>
              <w:top w:val="nil"/>
              <w:left w:val="nil"/>
              <w:bottom w:val="single" w:sz="4" w:space="0" w:color="BFBFBF"/>
              <w:right w:val="nil"/>
            </w:tcBorders>
            <w:shd w:val="clear" w:color="auto" w:fill="auto"/>
            <w:vAlign w:val="center"/>
          </w:tcPr>
          <w:p w:rsidR="0092299C" w:rsidRPr="00D02A2E" w:rsidRDefault="0092299C" w:rsidP="00B64D71">
            <w:pPr>
              <w:pStyle w:val="ARtabletextright"/>
            </w:pPr>
            <w:r w:rsidRPr="00D02A2E">
              <w:sym w:font="Wingdings 2" w:char="F099"/>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Households assisted with housing establishment assistance during year</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righ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36,000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rPr>
                <w:highlight w:val="yellow"/>
              </w:rPr>
            </w:pPr>
            <w:r w:rsidRPr="00D02A2E">
              <w:t>36,000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rPr>
                <w:highlight w:val="yellow"/>
              </w:rPr>
            </w:pPr>
            <w:r w:rsidRPr="00D02A2E">
              <w:t>0.0</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rPr>
                <w:highlight w:val="yellow"/>
              </w:rPr>
            </w:pPr>
            <w:r w:rsidRPr="00D02A2E">
              <w:sym w:font="Wingdings" w:char="F0FC"/>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clients assisted to address and prevent homelessness</w:t>
            </w:r>
          </w:p>
        </w:tc>
        <w:tc>
          <w:tcPr>
            <w:tcW w:w="1021" w:type="dxa"/>
            <w:tcBorders>
              <w:top w:val="single" w:sz="4" w:space="0" w:color="BFBFBF"/>
              <w:left w:val="nil"/>
              <w:bottom w:val="nil"/>
              <w:right w:val="nil"/>
            </w:tcBorders>
            <w:shd w:val="clear" w:color="auto" w:fill="auto"/>
            <w:hideMark/>
          </w:tcPr>
          <w:p w:rsidR="0092299C" w:rsidRPr="00D02A2E" w:rsidRDefault="00CA1C86" w:rsidP="00CA1C86">
            <w:pPr>
              <w:pStyle w:val="ARtabletextright"/>
              <w:jc w:val="center"/>
            </w:pPr>
            <w:r>
              <w:t>n</w:t>
            </w:r>
            <w:r w:rsidR="0092299C" w:rsidRPr="00D02A2E">
              <w:t>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113,500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108,574</w:t>
            </w:r>
          </w:p>
        </w:tc>
        <w:tc>
          <w:tcPr>
            <w:tcW w:w="1021" w:type="dxa"/>
            <w:tcBorders>
              <w:top w:val="single" w:sz="4" w:space="0" w:color="BFBFBF"/>
              <w:left w:val="nil"/>
              <w:bottom w:val="nil"/>
              <w:right w:val="nil"/>
            </w:tcBorders>
            <w:shd w:val="clear" w:color="auto" w:fill="auto"/>
          </w:tcPr>
          <w:p w:rsidR="0092299C" w:rsidRPr="00D02A2E" w:rsidRDefault="00EC4FD8" w:rsidP="0092299C">
            <w:pPr>
              <w:pStyle w:val="ARtabletextright"/>
            </w:pPr>
            <w:r>
              <w:t>–</w:t>
            </w:r>
            <w:r w:rsidR="0092299C">
              <w:t>4.3</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2" w:char="F099"/>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
            </w:pPr>
            <w:r w:rsidRPr="00D02A2E">
              <w:t>Number of households assisted with crisis/transitional accommodation</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CA1C86" w:rsidP="001F2E2D">
            <w:pPr>
              <w:pStyle w:val="ARtabletextright"/>
              <w:jc w:val="center"/>
            </w:pPr>
            <w:r>
              <w:t>n</w:t>
            </w:r>
            <w:r w:rsidR="0092299C" w:rsidRPr="00D02A2E">
              <w:t>umber</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right"/>
            </w:pPr>
            <w:r w:rsidRPr="00D02A2E">
              <w:t xml:space="preserve">9,000 </w:t>
            </w:r>
          </w:p>
        </w:tc>
        <w:tc>
          <w:tcPr>
            <w:tcW w:w="1021" w:type="dxa"/>
            <w:tcBorders>
              <w:top w:val="single" w:sz="4" w:space="0" w:color="BFBFBF"/>
              <w:left w:val="nil"/>
              <w:bottom w:val="single" w:sz="4" w:space="0" w:color="BFBFBF"/>
              <w:right w:val="nil"/>
            </w:tcBorders>
            <w:shd w:val="clear" w:color="auto" w:fill="auto"/>
          </w:tcPr>
          <w:p w:rsidR="0092299C" w:rsidRPr="00D02A2E" w:rsidRDefault="0092299C" w:rsidP="0092299C">
            <w:pPr>
              <w:pStyle w:val="ARtabletextright"/>
            </w:pPr>
            <w:r>
              <w:t>8,939</w:t>
            </w:r>
          </w:p>
        </w:tc>
        <w:tc>
          <w:tcPr>
            <w:tcW w:w="1021" w:type="dxa"/>
            <w:tcBorders>
              <w:top w:val="single" w:sz="4" w:space="0" w:color="BFBFBF"/>
              <w:left w:val="nil"/>
              <w:bottom w:val="single" w:sz="4" w:space="0" w:color="BFBFBF"/>
              <w:right w:val="nil"/>
            </w:tcBorders>
            <w:shd w:val="clear" w:color="auto" w:fill="auto"/>
          </w:tcPr>
          <w:p w:rsidR="0092299C" w:rsidRPr="00D02A2E" w:rsidRDefault="00EC4FD8" w:rsidP="0092299C">
            <w:pPr>
              <w:pStyle w:val="ARtabletextright"/>
            </w:pPr>
            <w:r>
              <w:t>–</w:t>
            </w:r>
            <w:r w:rsidR="0092299C">
              <w:t>0.7</w:t>
            </w:r>
          </w:p>
        </w:tc>
        <w:tc>
          <w:tcPr>
            <w:tcW w:w="794" w:type="dxa"/>
            <w:tcBorders>
              <w:top w:val="single" w:sz="4" w:space="0" w:color="BFBFBF"/>
              <w:left w:val="nil"/>
              <w:bottom w:val="single" w:sz="4" w:space="0" w:color="BFBFBF"/>
              <w:right w:val="nil"/>
            </w:tcBorders>
            <w:shd w:val="clear" w:color="auto" w:fill="auto"/>
          </w:tcPr>
          <w:p w:rsidR="0092299C" w:rsidRPr="00D02A2E" w:rsidRDefault="002670E9" w:rsidP="00B64D71">
            <w:pPr>
              <w:pStyle w:val="ARtabletextright"/>
            </w:pPr>
            <w:r w:rsidRPr="00D02A2E">
              <w:sym w:font="Wingdings 2" w:char="F099"/>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Number of households assisted with long-term social housing (public, Aboriginal and community long-term tenancies at end of year)</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righ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77,343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77,343</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B33E01">
              <w:t>This is a preliminary result. Data collected from annual community housing and indigenous housing survey due to be completed after publication.</w:t>
            </w:r>
            <w:r>
              <w:t xml:space="preserve"> </w:t>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
            </w:pPr>
            <w:r w:rsidRPr="00D02A2E">
              <w:t>Number of public housing dwellings upgraded during year</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CA1C86" w:rsidP="001F2E2D">
            <w:pPr>
              <w:pStyle w:val="ARtabletext"/>
              <w:jc w:val="center"/>
            </w:pPr>
            <w:r>
              <w:t>n</w:t>
            </w:r>
            <w:r w:rsidR="0092299C" w:rsidRPr="00D02A2E">
              <w:t>umber</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right"/>
            </w:pPr>
            <w:r w:rsidRPr="00D02A2E">
              <w:t xml:space="preserve">2,298 </w:t>
            </w:r>
          </w:p>
        </w:tc>
        <w:tc>
          <w:tcPr>
            <w:tcW w:w="1021" w:type="dxa"/>
            <w:tcBorders>
              <w:top w:val="single" w:sz="4" w:space="0" w:color="BFBFBF"/>
              <w:left w:val="nil"/>
              <w:bottom w:val="single" w:sz="4" w:space="0" w:color="BFBFBF"/>
              <w:right w:val="nil"/>
            </w:tcBorders>
            <w:shd w:val="clear" w:color="auto" w:fill="auto"/>
          </w:tcPr>
          <w:p w:rsidR="0092299C" w:rsidRPr="00D02A2E" w:rsidRDefault="0092299C" w:rsidP="0092299C">
            <w:pPr>
              <w:pStyle w:val="ARtabletextright"/>
            </w:pPr>
            <w:r w:rsidRPr="00D02A2E">
              <w:t>2,301</w:t>
            </w:r>
          </w:p>
        </w:tc>
        <w:tc>
          <w:tcPr>
            <w:tcW w:w="1021" w:type="dxa"/>
            <w:tcBorders>
              <w:top w:val="single" w:sz="4" w:space="0" w:color="BFBFBF"/>
              <w:left w:val="nil"/>
              <w:bottom w:val="single" w:sz="4" w:space="0" w:color="BFBFBF"/>
              <w:right w:val="nil"/>
            </w:tcBorders>
            <w:shd w:val="clear" w:color="auto" w:fill="auto"/>
          </w:tcPr>
          <w:p w:rsidR="0092299C" w:rsidRPr="00D02A2E" w:rsidRDefault="0092299C" w:rsidP="0092299C">
            <w:pPr>
              <w:pStyle w:val="ARtabletextright"/>
            </w:pPr>
            <w:r>
              <w:t>0.1</w:t>
            </w:r>
          </w:p>
        </w:tc>
        <w:tc>
          <w:tcPr>
            <w:tcW w:w="794" w:type="dxa"/>
            <w:tcBorders>
              <w:top w:val="single" w:sz="4" w:space="0" w:color="BFBFBF"/>
              <w:left w:val="nil"/>
              <w:bottom w:val="single" w:sz="4" w:space="0" w:color="BFBFBF"/>
              <w:right w:val="nil"/>
            </w:tcBorders>
            <w:shd w:val="clear" w:color="auto" w:fill="auto"/>
          </w:tcPr>
          <w:p w:rsidR="0092299C" w:rsidRPr="00D02A2E" w:rsidRDefault="0092299C" w:rsidP="00B64D71">
            <w:pPr>
              <w:pStyle w:val="ARtabletextright"/>
            </w:pPr>
            <w:r w:rsidRPr="00D02A2E">
              <w:sym w:font="Wingdings" w:char="F0FC"/>
            </w:r>
          </w:p>
        </w:tc>
      </w:tr>
      <w:tr w:rsidR="0092299C" w:rsidRPr="00CB104A"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Pr="00CB104A" w:rsidRDefault="0092299C" w:rsidP="0092299C">
            <w:pPr>
              <w:pStyle w:val="ARtabletext"/>
              <w:rPr>
                <w:i/>
                <w:sz w:val="16"/>
                <w:szCs w:val="16"/>
              </w:rPr>
            </w:pPr>
            <w:r w:rsidRPr="00CB104A">
              <w:t>Total number of social housing dwellings</w:t>
            </w:r>
          </w:p>
        </w:tc>
        <w:tc>
          <w:tcPr>
            <w:tcW w:w="1021" w:type="dxa"/>
            <w:tcBorders>
              <w:top w:val="single" w:sz="4" w:space="0" w:color="BFBFBF"/>
              <w:left w:val="nil"/>
              <w:bottom w:val="nil"/>
              <w:right w:val="nil"/>
            </w:tcBorders>
            <w:shd w:val="clear" w:color="auto" w:fill="auto"/>
            <w:hideMark/>
          </w:tcPr>
          <w:p w:rsidR="0092299C" w:rsidRPr="00CB104A" w:rsidRDefault="00CA1C86" w:rsidP="001F2E2D">
            <w:pPr>
              <w:pStyle w:val="ARtabletext"/>
              <w:jc w:val="center"/>
            </w:pPr>
            <w:r>
              <w:t>n</w:t>
            </w:r>
            <w:r w:rsidR="0092299C" w:rsidRPr="00CB104A">
              <w:t>umber</w:t>
            </w:r>
          </w:p>
        </w:tc>
        <w:tc>
          <w:tcPr>
            <w:tcW w:w="1021" w:type="dxa"/>
            <w:tcBorders>
              <w:top w:val="single" w:sz="4" w:space="0" w:color="BFBFBF"/>
              <w:left w:val="nil"/>
              <w:bottom w:val="nil"/>
              <w:right w:val="nil"/>
            </w:tcBorders>
            <w:shd w:val="clear" w:color="auto" w:fill="auto"/>
            <w:hideMark/>
          </w:tcPr>
          <w:p w:rsidR="0092299C" w:rsidRPr="00CB104A" w:rsidRDefault="0092299C" w:rsidP="0092299C">
            <w:pPr>
              <w:pStyle w:val="ARtabletextright"/>
            </w:pPr>
            <w:r w:rsidRPr="00CB104A">
              <w:t>85,524</w:t>
            </w: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textright"/>
              <w:rPr>
                <w:highlight w:val="yellow"/>
              </w:rPr>
            </w:pPr>
            <w:r w:rsidRPr="00CB104A">
              <w:t>8</w:t>
            </w:r>
            <w:r>
              <w:t>6</w:t>
            </w:r>
            <w:r w:rsidRPr="00CB104A">
              <w:t>,</w:t>
            </w:r>
            <w:r>
              <w:t>418</w:t>
            </w: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textright"/>
              <w:rPr>
                <w:highlight w:val="yellow"/>
              </w:rPr>
            </w:pPr>
            <w:r>
              <w:t>1</w:t>
            </w:r>
            <w:r w:rsidRPr="00CB104A">
              <w:t>.0</w:t>
            </w:r>
          </w:p>
        </w:tc>
        <w:tc>
          <w:tcPr>
            <w:tcW w:w="794" w:type="dxa"/>
            <w:tcBorders>
              <w:top w:val="single" w:sz="4" w:space="0" w:color="BFBFBF"/>
              <w:left w:val="nil"/>
              <w:bottom w:val="nil"/>
              <w:right w:val="nil"/>
            </w:tcBorders>
            <w:shd w:val="clear" w:color="auto" w:fill="auto"/>
          </w:tcPr>
          <w:p w:rsidR="0092299C" w:rsidRPr="00CB104A" w:rsidRDefault="0092299C" w:rsidP="00B64D71">
            <w:pPr>
              <w:pStyle w:val="ARtabletextright"/>
              <w:rPr>
                <w:highlight w:val="yellow"/>
              </w:rPr>
            </w:pPr>
            <w:r w:rsidRPr="00CB104A">
              <w:sym w:font="Wingdings" w:char="F0FC"/>
            </w:r>
          </w:p>
        </w:tc>
      </w:tr>
      <w:tr w:rsidR="0092299C" w:rsidRPr="00B33E01"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Pr="00B33E01" w:rsidRDefault="0092299C" w:rsidP="0092299C">
            <w:pPr>
              <w:pStyle w:val="ARtabletext"/>
            </w:pPr>
            <w:r w:rsidRPr="00B33E01">
              <w:lastRenderedPageBreak/>
              <w:t>Total social housing dwellings acquired during the year</w:t>
            </w:r>
          </w:p>
        </w:tc>
        <w:tc>
          <w:tcPr>
            <w:tcW w:w="1021" w:type="dxa"/>
            <w:tcBorders>
              <w:top w:val="single" w:sz="4" w:space="0" w:color="BFBFBF"/>
              <w:left w:val="nil"/>
              <w:bottom w:val="nil"/>
              <w:right w:val="nil"/>
            </w:tcBorders>
            <w:shd w:val="clear" w:color="auto" w:fill="auto"/>
            <w:hideMark/>
          </w:tcPr>
          <w:p w:rsidR="0092299C" w:rsidRPr="00B33E01" w:rsidRDefault="0092299C" w:rsidP="001F2E2D">
            <w:pPr>
              <w:pStyle w:val="ARtabletext"/>
              <w:jc w:val="center"/>
            </w:pPr>
            <w:r w:rsidRPr="00B33E01">
              <w:t>number</w:t>
            </w:r>
          </w:p>
        </w:tc>
        <w:tc>
          <w:tcPr>
            <w:tcW w:w="1021" w:type="dxa"/>
            <w:tcBorders>
              <w:top w:val="single" w:sz="4" w:space="0" w:color="BFBFBF"/>
              <w:left w:val="nil"/>
              <w:bottom w:val="nil"/>
              <w:right w:val="nil"/>
            </w:tcBorders>
            <w:shd w:val="clear" w:color="auto" w:fill="auto"/>
            <w:hideMark/>
          </w:tcPr>
          <w:p w:rsidR="0092299C" w:rsidRPr="00B33E01" w:rsidRDefault="0092299C" w:rsidP="0092299C">
            <w:pPr>
              <w:pStyle w:val="ARtabletextright"/>
            </w:pPr>
            <w:r w:rsidRPr="00B33E01">
              <w:t>640</w:t>
            </w:r>
          </w:p>
        </w:tc>
        <w:tc>
          <w:tcPr>
            <w:tcW w:w="1021" w:type="dxa"/>
            <w:tcBorders>
              <w:top w:val="single" w:sz="4" w:space="0" w:color="BFBFBF"/>
              <w:left w:val="nil"/>
              <w:bottom w:val="nil"/>
              <w:right w:val="nil"/>
            </w:tcBorders>
            <w:shd w:val="clear" w:color="auto" w:fill="auto"/>
          </w:tcPr>
          <w:p w:rsidR="0092299C" w:rsidRPr="00B33E01" w:rsidRDefault="0092299C" w:rsidP="0092299C">
            <w:pPr>
              <w:pStyle w:val="ARtabletextright"/>
              <w:rPr>
                <w:highlight w:val="yellow"/>
              </w:rPr>
            </w:pPr>
            <w:r w:rsidRPr="00B33E01">
              <w:t>651</w:t>
            </w:r>
          </w:p>
        </w:tc>
        <w:tc>
          <w:tcPr>
            <w:tcW w:w="1021" w:type="dxa"/>
            <w:tcBorders>
              <w:top w:val="single" w:sz="4" w:space="0" w:color="BFBFBF"/>
              <w:left w:val="nil"/>
              <w:bottom w:val="nil"/>
              <w:right w:val="nil"/>
            </w:tcBorders>
            <w:shd w:val="clear" w:color="auto" w:fill="auto"/>
          </w:tcPr>
          <w:p w:rsidR="0092299C" w:rsidRPr="00B33E01" w:rsidRDefault="0092299C" w:rsidP="0092299C">
            <w:pPr>
              <w:pStyle w:val="ARtabletextright"/>
              <w:rPr>
                <w:highlight w:val="yellow"/>
              </w:rPr>
            </w:pPr>
            <w:r>
              <w:t>1.7</w:t>
            </w:r>
          </w:p>
        </w:tc>
        <w:tc>
          <w:tcPr>
            <w:tcW w:w="794" w:type="dxa"/>
            <w:tcBorders>
              <w:top w:val="single" w:sz="4" w:space="0" w:color="BFBFBF"/>
              <w:left w:val="nil"/>
              <w:bottom w:val="nil"/>
              <w:right w:val="nil"/>
            </w:tcBorders>
            <w:shd w:val="clear" w:color="auto" w:fill="auto"/>
          </w:tcPr>
          <w:p w:rsidR="0092299C" w:rsidRPr="00B33E01" w:rsidRDefault="0092299C" w:rsidP="00B64D71">
            <w:pPr>
              <w:pStyle w:val="ARtabletextright"/>
              <w:rPr>
                <w:highlight w:val="yellow"/>
              </w:rPr>
            </w:pPr>
            <w:r w:rsidRPr="00B33E01">
              <w:sym w:font="Wingdings" w:char="F0FC"/>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Quality</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rPr>
                <w:sz w:val="20"/>
                <w:szCs w:val="20"/>
              </w:rPr>
            </w:pP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nil"/>
              <w:right w:val="nil"/>
            </w:tcBorders>
            <w:shd w:val="clear" w:color="auto" w:fill="auto"/>
            <w:hideMark/>
          </w:tcPr>
          <w:p w:rsidR="0092299C" w:rsidRPr="00D02A2E" w:rsidRDefault="0092299C" w:rsidP="0092299C">
            <w:pPr>
              <w:pStyle w:val="ARtabletext"/>
            </w:pPr>
            <w:r w:rsidRPr="00D02A2E">
              <w:t>Percentage of clients with case plans in homelessness support programs with some, most or all of their case plan goals achieved</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nil"/>
              <w:left w:val="nil"/>
              <w:bottom w:val="nil"/>
              <w:right w:val="nil"/>
            </w:tcBorders>
            <w:shd w:val="clear" w:color="auto" w:fill="auto"/>
          </w:tcPr>
          <w:p w:rsidR="0092299C" w:rsidRPr="001F2E2D" w:rsidRDefault="00515D06" w:rsidP="0092299C">
            <w:pPr>
              <w:pStyle w:val="ARtabletextright"/>
            </w:pPr>
            <w:r w:rsidRPr="001F2E2D">
              <w:t>89.9</w:t>
            </w:r>
          </w:p>
        </w:tc>
        <w:tc>
          <w:tcPr>
            <w:tcW w:w="1021" w:type="dxa"/>
            <w:tcBorders>
              <w:top w:val="nil"/>
              <w:left w:val="nil"/>
              <w:bottom w:val="nil"/>
              <w:right w:val="nil"/>
            </w:tcBorders>
            <w:shd w:val="clear" w:color="auto" w:fill="auto"/>
          </w:tcPr>
          <w:p w:rsidR="0092299C" w:rsidRPr="001F2E2D" w:rsidRDefault="00EC4FD8" w:rsidP="0092299C">
            <w:pPr>
              <w:pStyle w:val="ARtabletextright"/>
            </w:pPr>
            <w:r>
              <w:t>–</w:t>
            </w:r>
            <w:r w:rsidR="0092299C" w:rsidRPr="001F2E2D">
              <w:t>0.</w:t>
            </w:r>
            <w:r w:rsidR="00515D06" w:rsidRPr="001F2E2D">
              <w:t>1</w:t>
            </w:r>
          </w:p>
        </w:tc>
        <w:tc>
          <w:tcPr>
            <w:tcW w:w="794" w:type="dxa"/>
            <w:tcBorders>
              <w:top w:val="nil"/>
              <w:left w:val="nil"/>
              <w:bottom w:val="nil"/>
              <w:right w:val="nil"/>
            </w:tcBorders>
            <w:shd w:val="clear" w:color="auto" w:fill="auto"/>
          </w:tcPr>
          <w:p w:rsidR="0092299C" w:rsidRPr="001F2E2D" w:rsidRDefault="00515D06" w:rsidP="00B64D71">
            <w:pPr>
              <w:pStyle w:val="ARtabletextright"/>
            </w:pPr>
            <w:r w:rsidRPr="001F2E2D">
              <w:sym w:font="Wingdings 2" w:char="F099"/>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
            </w:pPr>
            <w:r w:rsidRPr="00D02A2E">
              <w:t>Social housing tenants satisfied with completed urgent maintenance works</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single" w:sz="4" w:space="0" w:color="BFBFBF"/>
              <w:right w:val="nil"/>
            </w:tcBorders>
            <w:shd w:val="clear" w:color="auto" w:fill="auto"/>
            <w:hideMark/>
          </w:tcPr>
          <w:p w:rsidR="0092299C" w:rsidRPr="00D02A2E" w:rsidRDefault="0092299C" w:rsidP="0092299C">
            <w:pPr>
              <w:pStyle w:val="ARtabletextright"/>
            </w:pPr>
            <w:r w:rsidRPr="00D02A2E">
              <w:t>85</w:t>
            </w:r>
          </w:p>
        </w:tc>
        <w:tc>
          <w:tcPr>
            <w:tcW w:w="1021" w:type="dxa"/>
            <w:tcBorders>
              <w:top w:val="single" w:sz="4" w:space="0" w:color="BFBFBF"/>
              <w:left w:val="nil"/>
              <w:bottom w:val="single" w:sz="4" w:space="0" w:color="BFBFBF"/>
              <w:right w:val="nil"/>
            </w:tcBorders>
            <w:shd w:val="clear" w:color="auto" w:fill="auto"/>
          </w:tcPr>
          <w:p w:rsidR="0092299C" w:rsidRPr="00D02A2E" w:rsidRDefault="0092299C" w:rsidP="0092299C">
            <w:pPr>
              <w:pStyle w:val="ARtabletextright"/>
            </w:pPr>
            <w:r w:rsidRPr="001F2E2D">
              <w:t>8</w:t>
            </w:r>
            <w:r w:rsidR="00515D06" w:rsidRPr="001F2E2D">
              <w:t>7.6</w:t>
            </w:r>
          </w:p>
        </w:tc>
        <w:tc>
          <w:tcPr>
            <w:tcW w:w="1021" w:type="dxa"/>
            <w:tcBorders>
              <w:top w:val="single" w:sz="4" w:space="0" w:color="BFBFBF"/>
              <w:left w:val="nil"/>
              <w:bottom w:val="single" w:sz="4" w:space="0" w:color="BFBFBF"/>
              <w:right w:val="nil"/>
            </w:tcBorders>
            <w:shd w:val="clear" w:color="auto" w:fill="auto"/>
          </w:tcPr>
          <w:p w:rsidR="0092299C" w:rsidRPr="00D02A2E" w:rsidRDefault="0092299C" w:rsidP="0092299C">
            <w:pPr>
              <w:pStyle w:val="ARtabletextright"/>
            </w:pPr>
            <w:r>
              <w:t>3.1</w:t>
            </w:r>
          </w:p>
        </w:tc>
        <w:tc>
          <w:tcPr>
            <w:tcW w:w="794" w:type="dxa"/>
            <w:tcBorders>
              <w:top w:val="single" w:sz="4" w:space="0" w:color="BFBFBF"/>
              <w:left w:val="nil"/>
              <w:bottom w:val="single" w:sz="4" w:space="0" w:color="BFBFBF"/>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Timeliness</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textright"/>
            </w:pP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nil"/>
              <w:right w:val="nil"/>
            </w:tcBorders>
            <w:shd w:val="clear" w:color="auto" w:fill="auto"/>
            <w:hideMark/>
          </w:tcPr>
          <w:p w:rsidR="0092299C" w:rsidRPr="00D02A2E" w:rsidRDefault="0092299C" w:rsidP="0092299C">
            <w:pPr>
              <w:pStyle w:val="ARtabletext"/>
            </w:pPr>
            <w:r w:rsidRPr="00D02A2E">
              <w:t>Average waiting time for public rental housing for those clients who have received early housing allocation</w:t>
            </w:r>
          </w:p>
        </w:tc>
        <w:tc>
          <w:tcPr>
            <w:tcW w:w="1021" w:type="dxa"/>
            <w:tcBorders>
              <w:top w:val="nil"/>
              <w:left w:val="nil"/>
              <w:bottom w:val="nil"/>
              <w:right w:val="nil"/>
            </w:tcBorders>
            <w:shd w:val="clear" w:color="auto" w:fill="auto"/>
            <w:hideMark/>
          </w:tcPr>
          <w:p w:rsidR="0092299C" w:rsidRPr="00D02A2E" w:rsidRDefault="00546F4A" w:rsidP="001F2E2D">
            <w:pPr>
              <w:pStyle w:val="ARtabletext"/>
              <w:jc w:val="center"/>
            </w:pPr>
            <w:r>
              <w:t>mo</w:t>
            </w:r>
            <w:r w:rsidR="0092299C" w:rsidRPr="00D02A2E">
              <w:t>nths</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10.5</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10.4</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t>1.0</w:t>
            </w:r>
          </w:p>
        </w:tc>
        <w:tc>
          <w:tcPr>
            <w:tcW w:w="794" w:type="dxa"/>
            <w:tcBorders>
              <w:top w:val="nil"/>
              <w:left w:val="nil"/>
              <w:bottom w:val="nil"/>
              <w:right w:val="nil"/>
            </w:tcBorders>
            <w:shd w:val="clear" w:color="auto" w:fill="auto"/>
          </w:tcPr>
          <w:p w:rsidR="0092299C" w:rsidRPr="00D02A2E" w:rsidRDefault="00DF18E2" w:rsidP="00B64D71">
            <w:pPr>
              <w:pStyle w:val="ARtabletextright"/>
            </w:pPr>
            <w:r w:rsidRPr="00D02A2E">
              <w:sym w:font="Wingdings" w:char="F0FC"/>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Proportion of clients where support to sustain housing tenure was unable to be provided or referred</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18</w:t>
            </w:r>
          </w:p>
        </w:tc>
        <w:tc>
          <w:tcPr>
            <w:tcW w:w="1021" w:type="dxa"/>
            <w:tcBorders>
              <w:top w:val="single" w:sz="4" w:space="0" w:color="BFBFBF"/>
              <w:left w:val="nil"/>
              <w:bottom w:val="nil"/>
              <w:right w:val="nil"/>
            </w:tcBorders>
            <w:shd w:val="clear" w:color="auto" w:fill="auto"/>
          </w:tcPr>
          <w:p w:rsidR="0092299C" w:rsidRPr="001F2E2D" w:rsidRDefault="0092299C" w:rsidP="0092299C">
            <w:pPr>
              <w:pStyle w:val="ARtabletextright"/>
            </w:pPr>
            <w:r w:rsidRPr="001F2E2D">
              <w:t>15</w:t>
            </w:r>
            <w:r w:rsidR="00515D06" w:rsidRPr="001F2E2D">
              <w:t>.2</w:t>
            </w:r>
          </w:p>
        </w:tc>
        <w:tc>
          <w:tcPr>
            <w:tcW w:w="1021" w:type="dxa"/>
            <w:tcBorders>
              <w:top w:val="single" w:sz="4" w:space="0" w:color="BFBFBF"/>
              <w:left w:val="nil"/>
              <w:bottom w:val="nil"/>
              <w:right w:val="nil"/>
            </w:tcBorders>
            <w:shd w:val="clear" w:color="auto" w:fill="auto"/>
          </w:tcPr>
          <w:p w:rsidR="0092299C" w:rsidRPr="001F2E2D" w:rsidRDefault="00EC4FD8" w:rsidP="0092299C">
            <w:pPr>
              <w:pStyle w:val="ARtabletextright"/>
            </w:pPr>
            <w:r>
              <w:t>–</w:t>
            </w:r>
            <w:r w:rsidR="0092299C" w:rsidRPr="001F2E2D">
              <w:t>15.</w:t>
            </w:r>
            <w:r w:rsidR="00515D06" w:rsidRPr="001F2E2D">
              <w:t>6</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 xml:space="preserve">The </w:t>
            </w:r>
            <w:r>
              <w:t>result</w:t>
            </w:r>
            <w:r w:rsidRPr="00D02A2E">
              <w:t xml:space="preserve"> is lower than the target as it reflects fewer people were unable to be provided support/more clients being supported to sustain their housing tenure. This is a positive result.</w:t>
            </w: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Cost</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r>
      <w:tr w:rsidR="0092299C" w:rsidRPr="00CA0E9C"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761" w:type="dxa"/>
            <w:tcBorders>
              <w:top w:val="nil"/>
              <w:left w:val="nil"/>
              <w:bottom w:val="nil"/>
              <w:right w:val="nil"/>
            </w:tcBorders>
            <w:shd w:val="clear" w:color="auto" w:fill="auto"/>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CA0E9C" w:rsidRDefault="0092299C" w:rsidP="0092299C">
            <w:pPr>
              <w:pStyle w:val="ARtabletextright"/>
              <w:rPr>
                <w:b/>
                <w:bCs/>
              </w:rPr>
            </w:pPr>
            <w:r w:rsidRPr="00CA0E9C">
              <w:rPr>
                <w:b/>
                <w:bCs/>
              </w:rPr>
              <w:t>513.1</w:t>
            </w:r>
          </w:p>
        </w:tc>
        <w:tc>
          <w:tcPr>
            <w:tcW w:w="1021" w:type="dxa"/>
            <w:tcBorders>
              <w:top w:val="nil"/>
              <w:left w:val="nil"/>
              <w:bottom w:val="nil"/>
              <w:right w:val="nil"/>
            </w:tcBorders>
            <w:shd w:val="clear" w:color="auto" w:fill="auto"/>
          </w:tcPr>
          <w:p w:rsidR="0092299C" w:rsidRPr="00CA0E9C" w:rsidRDefault="0092299C" w:rsidP="0092299C">
            <w:pPr>
              <w:pStyle w:val="ARtabletextright"/>
              <w:rPr>
                <w:b/>
                <w:bCs/>
              </w:rPr>
            </w:pPr>
            <w:r w:rsidRPr="00CA0E9C">
              <w:rPr>
                <w:b/>
                <w:bCs/>
              </w:rPr>
              <w:t>489.9</w:t>
            </w:r>
          </w:p>
        </w:tc>
        <w:tc>
          <w:tcPr>
            <w:tcW w:w="1021" w:type="dxa"/>
            <w:tcBorders>
              <w:top w:val="nil"/>
              <w:left w:val="nil"/>
              <w:bottom w:val="nil"/>
              <w:right w:val="nil"/>
            </w:tcBorders>
            <w:shd w:val="clear" w:color="auto" w:fill="auto"/>
          </w:tcPr>
          <w:p w:rsidR="0092299C" w:rsidRPr="00CA0E9C" w:rsidRDefault="00EC4FD8" w:rsidP="0092299C">
            <w:pPr>
              <w:pStyle w:val="ARtabletextright"/>
              <w:rPr>
                <w:b/>
                <w:bCs/>
              </w:rPr>
            </w:pPr>
            <w:r>
              <w:rPr>
                <w:b/>
                <w:bCs/>
              </w:rPr>
              <w:t>–</w:t>
            </w:r>
            <w:r w:rsidR="0092299C">
              <w:rPr>
                <w:b/>
                <w:bCs/>
              </w:rPr>
              <w:t>4.5</w:t>
            </w:r>
          </w:p>
        </w:tc>
        <w:tc>
          <w:tcPr>
            <w:tcW w:w="794" w:type="dxa"/>
            <w:tcBorders>
              <w:top w:val="nil"/>
              <w:left w:val="nil"/>
              <w:bottom w:val="nil"/>
              <w:right w:val="nil"/>
            </w:tcBorders>
            <w:shd w:val="clear" w:color="auto" w:fill="auto"/>
          </w:tcPr>
          <w:p w:rsidR="0092299C" w:rsidRPr="00CA0E9C" w:rsidRDefault="0092299C" w:rsidP="0092299C">
            <w:pPr>
              <w:pStyle w:val="ARtabletextright"/>
              <w:rPr>
                <w:b/>
                <w:bCs/>
              </w:rPr>
            </w:pPr>
          </w:p>
        </w:tc>
      </w:tr>
      <w:tr w:rsidR="0092299C" w:rsidRPr="00D02A2E" w:rsidTr="00922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9639" w:type="dxa"/>
            <w:gridSpan w:val="6"/>
            <w:tcBorders>
              <w:top w:val="nil"/>
              <w:left w:val="nil"/>
              <w:bottom w:val="single" w:sz="4" w:space="0" w:color="auto"/>
              <w:right w:val="nil"/>
            </w:tcBorders>
            <w:shd w:val="clear" w:color="auto" w:fill="auto"/>
          </w:tcPr>
          <w:p w:rsidR="0092299C" w:rsidRPr="00D02A2E" w:rsidRDefault="0092299C" w:rsidP="0092299C">
            <w:pPr>
              <w:pStyle w:val="ARtablenoteindent"/>
            </w:pPr>
            <w:r w:rsidRPr="00AF52D5">
              <w:t>The lower 20</w:t>
            </w:r>
            <w:r>
              <w:t>16–17</w:t>
            </w:r>
            <w:r w:rsidRPr="00AF52D5">
              <w:t xml:space="preserve"> outcome primarily reflects the transfer of Safe at Home </w:t>
            </w:r>
            <w:r>
              <w:t>–</w:t>
            </w:r>
            <w:r w:rsidRPr="00AF52D5">
              <w:t xml:space="preserve"> Flexible Support Packages initiative from the Housing Assistance to Child Protection and Family Services output.</w:t>
            </w:r>
          </w:p>
        </w:tc>
      </w:tr>
    </w:tbl>
    <w:p w:rsidR="0092299C" w:rsidRPr="00D02A2E" w:rsidRDefault="0092299C" w:rsidP="0092299C">
      <w:pPr>
        <w:pStyle w:val="Heading2"/>
      </w:pPr>
      <w:bookmarkStart w:id="26" w:name="_Ref492894479"/>
      <w:r w:rsidRPr="00D02A2E">
        <w:t>Empowering Individuals and Communities</w:t>
      </w:r>
      <w:bookmarkEnd w:id="26"/>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66"/>
        <w:gridCol w:w="1021"/>
        <w:gridCol w:w="1021"/>
        <w:gridCol w:w="1021"/>
        <w:gridCol w:w="1021"/>
        <w:gridCol w:w="794"/>
      </w:tblGrid>
      <w:tr w:rsidR="0092299C" w:rsidRPr="00D02A2E" w:rsidTr="00596058">
        <w:trPr>
          <w:cantSplit/>
          <w:trHeight w:val="227"/>
          <w:tblHeader/>
        </w:trPr>
        <w:tc>
          <w:tcPr>
            <w:tcW w:w="4766" w:type="dxa"/>
            <w:tcBorders>
              <w:top w:val="nil"/>
              <w:left w:val="nil"/>
              <w:bottom w:val="single" w:sz="4" w:space="0" w:color="auto"/>
              <w:right w:val="nil"/>
            </w:tcBorders>
            <w:shd w:val="clear" w:color="auto" w:fill="auto"/>
            <w:vAlign w:val="bottom"/>
          </w:tcPr>
          <w:p w:rsidR="0092299C" w:rsidRPr="00D02A2E" w:rsidRDefault="0092299C" w:rsidP="0092299C">
            <w:pPr>
              <w:pStyle w:val="ARtabletextbold"/>
            </w:pPr>
            <w:r w:rsidRPr="00D02A2E">
              <w:t>Performance measures</w:t>
            </w:r>
          </w:p>
        </w:tc>
        <w:tc>
          <w:tcPr>
            <w:tcW w:w="1021" w:type="dxa"/>
            <w:tcBorders>
              <w:top w:val="nil"/>
              <w:left w:val="nil"/>
              <w:bottom w:val="single" w:sz="4" w:space="0" w:color="auto"/>
              <w:right w:val="nil"/>
            </w:tcBorders>
            <w:shd w:val="clear" w:color="auto" w:fill="auto"/>
            <w:vAlign w:val="bottom"/>
          </w:tcPr>
          <w:p w:rsidR="0092299C" w:rsidRPr="00D02A2E" w:rsidRDefault="0092299C" w:rsidP="001F2E2D">
            <w:pPr>
              <w:pStyle w:val="ARtablecolheadright"/>
              <w:jc w:val="center"/>
            </w:pPr>
            <w:r w:rsidRPr="00D02A2E">
              <w:t>Unit of measure</w:t>
            </w:r>
          </w:p>
        </w:tc>
        <w:tc>
          <w:tcPr>
            <w:tcW w:w="1021" w:type="dxa"/>
            <w:tcBorders>
              <w:top w:val="nil"/>
              <w:left w:val="nil"/>
              <w:bottom w:val="single" w:sz="4" w:space="0" w:color="auto"/>
              <w:right w:val="nil"/>
            </w:tcBorders>
            <w:shd w:val="clear" w:color="auto" w:fill="auto"/>
            <w:vAlign w:val="bottom"/>
          </w:tcPr>
          <w:p w:rsidR="0092299C" w:rsidRPr="00D02A2E" w:rsidRDefault="0092299C" w:rsidP="0092299C">
            <w:pPr>
              <w:pStyle w:val="ARtablecolheadright"/>
            </w:pPr>
            <w:r w:rsidRPr="00D02A2E">
              <w:t>2016–17 target</w:t>
            </w:r>
          </w:p>
        </w:tc>
        <w:tc>
          <w:tcPr>
            <w:tcW w:w="1021" w:type="dxa"/>
            <w:tcBorders>
              <w:top w:val="nil"/>
              <w:left w:val="nil"/>
              <w:bottom w:val="single" w:sz="4" w:space="0" w:color="auto"/>
              <w:right w:val="nil"/>
            </w:tcBorders>
            <w:shd w:val="clear" w:color="auto" w:fill="auto"/>
            <w:vAlign w:val="bottom"/>
          </w:tcPr>
          <w:p w:rsidR="0092299C" w:rsidRPr="00D02A2E" w:rsidRDefault="0092299C" w:rsidP="0092299C">
            <w:pPr>
              <w:pStyle w:val="ARtablecolheadright"/>
            </w:pPr>
            <w:r w:rsidRPr="00D02A2E">
              <w:t>2016–17 actual</w:t>
            </w:r>
          </w:p>
        </w:tc>
        <w:tc>
          <w:tcPr>
            <w:tcW w:w="1021" w:type="dxa"/>
            <w:tcBorders>
              <w:top w:val="nil"/>
              <w:left w:val="nil"/>
              <w:bottom w:val="single" w:sz="4" w:space="0" w:color="auto"/>
              <w:right w:val="nil"/>
            </w:tcBorders>
            <w:shd w:val="clear" w:color="auto" w:fill="auto"/>
            <w:vAlign w:val="bottom"/>
          </w:tcPr>
          <w:p w:rsidR="0092299C" w:rsidRPr="00D02A2E" w:rsidRDefault="0092299C" w:rsidP="0092299C">
            <w:pPr>
              <w:pStyle w:val="ARtablecolheadright"/>
            </w:pPr>
            <w:r w:rsidRPr="00D02A2E">
              <w:t>Variation (%)</w:t>
            </w:r>
          </w:p>
        </w:tc>
        <w:tc>
          <w:tcPr>
            <w:tcW w:w="794" w:type="dxa"/>
            <w:tcBorders>
              <w:top w:val="nil"/>
              <w:left w:val="nil"/>
              <w:bottom w:val="single" w:sz="4" w:space="0" w:color="auto"/>
              <w:right w:val="nil"/>
            </w:tcBorders>
            <w:shd w:val="clear" w:color="auto" w:fill="auto"/>
            <w:vAlign w:val="bottom"/>
          </w:tcPr>
          <w:p w:rsidR="0092299C" w:rsidRPr="00D02A2E" w:rsidRDefault="0092299C" w:rsidP="00096BE7">
            <w:pPr>
              <w:pStyle w:val="ARtablecolheadright"/>
            </w:pPr>
            <w:r w:rsidRPr="00D02A2E">
              <w:t>Result</w:t>
            </w:r>
          </w:p>
        </w:tc>
      </w:tr>
      <w:tr w:rsidR="0092299C" w:rsidRPr="00D02A2E" w:rsidTr="00596058">
        <w:trPr>
          <w:cantSplit/>
          <w:trHeight w:val="227"/>
        </w:trPr>
        <w:tc>
          <w:tcPr>
            <w:tcW w:w="4766" w:type="dxa"/>
            <w:tcBorders>
              <w:top w:val="single" w:sz="4" w:space="0" w:color="auto"/>
              <w:left w:val="nil"/>
              <w:bottom w:val="single" w:sz="4" w:space="0" w:color="auto"/>
              <w:right w:val="nil"/>
            </w:tcBorders>
            <w:shd w:val="clear" w:color="auto" w:fill="auto"/>
          </w:tcPr>
          <w:p w:rsidR="0092299C" w:rsidRPr="00D02A2E" w:rsidRDefault="0092299C" w:rsidP="0092299C">
            <w:pPr>
              <w:pStyle w:val="ARtablebluebold"/>
              <w:rPr>
                <w:i/>
                <w:color w:val="000000"/>
              </w:rPr>
            </w:pPr>
            <w:r w:rsidRPr="00D02A2E">
              <w:t>Community Participation</w:t>
            </w: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single" w:sz="4" w:space="0" w:color="auto"/>
              <w:left w:val="nil"/>
              <w:bottom w:val="nil"/>
              <w:right w:val="nil"/>
            </w:tcBorders>
            <w:shd w:val="clear" w:color="auto" w:fill="auto"/>
          </w:tcPr>
          <w:p w:rsidR="0092299C" w:rsidRPr="00D02A2E" w:rsidRDefault="0092299C" w:rsidP="0092299C">
            <w:pPr>
              <w:pStyle w:val="ARtablebluebold"/>
            </w:pPr>
            <w:r w:rsidRPr="00D02A2E">
              <w:t>Quantity</w:t>
            </w: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nil"/>
              <w:left w:val="nil"/>
              <w:bottom w:val="single" w:sz="4" w:space="0" w:color="BFBFBF"/>
              <w:right w:val="nil"/>
            </w:tcBorders>
            <w:shd w:val="clear" w:color="auto" w:fill="auto"/>
            <w:hideMark/>
          </w:tcPr>
          <w:p w:rsidR="0092299C" w:rsidRPr="00D02A2E" w:rsidRDefault="0092299C" w:rsidP="0092299C">
            <w:pPr>
              <w:pStyle w:val="ARtabletext"/>
            </w:pPr>
            <w:r w:rsidRPr="00D02A2E">
              <w:t>Hours of coordination funding provided to Neighbourhood Houses</w:t>
            </w:r>
          </w:p>
        </w:tc>
        <w:tc>
          <w:tcPr>
            <w:tcW w:w="1021" w:type="dxa"/>
            <w:tcBorders>
              <w:top w:val="nil"/>
              <w:left w:val="nil"/>
              <w:bottom w:val="single" w:sz="4" w:space="0" w:color="BFBFBF"/>
              <w:right w:val="nil"/>
            </w:tcBorders>
            <w:shd w:val="clear" w:color="auto" w:fill="auto"/>
            <w:hideMark/>
          </w:tcPr>
          <w:p w:rsidR="0092299C" w:rsidRPr="00D02A2E" w:rsidRDefault="0092299C" w:rsidP="00D56197">
            <w:pPr>
              <w:pStyle w:val="ARtabletext"/>
              <w:jc w:val="center"/>
            </w:pPr>
            <w:r w:rsidRPr="00D02A2E">
              <w:t xml:space="preserve"> </w:t>
            </w:r>
            <w:r w:rsidR="00D56197">
              <w:t>h</w:t>
            </w:r>
            <w:r w:rsidRPr="00D02A2E">
              <w:t>ours</w:t>
            </w:r>
            <w:r w:rsidR="00D56197">
              <w:t xml:space="preserve"> </w:t>
            </w:r>
            <w:r w:rsidR="00D56197" w:rsidRPr="00D02A2E">
              <w:t>(</w:t>
            </w:r>
            <w:r w:rsidR="00D56197">
              <w:t>’</w:t>
            </w:r>
            <w:r w:rsidR="00D56197" w:rsidRPr="00D02A2E">
              <w:t>000</w:t>
            </w:r>
            <w:r w:rsidR="00D56197">
              <w:t>)</w:t>
            </w:r>
          </w:p>
        </w:tc>
        <w:tc>
          <w:tcPr>
            <w:tcW w:w="1021" w:type="dxa"/>
            <w:tcBorders>
              <w:top w:val="nil"/>
              <w:left w:val="nil"/>
              <w:bottom w:val="single" w:sz="4" w:space="0" w:color="BFBFBF"/>
              <w:right w:val="nil"/>
            </w:tcBorders>
            <w:shd w:val="clear" w:color="auto" w:fill="auto"/>
            <w:hideMark/>
          </w:tcPr>
          <w:p w:rsidR="0092299C" w:rsidRPr="00D02A2E" w:rsidRDefault="0092299C" w:rsidP="0092299C">
            <w:pPr>
              <w:pStyle w:val="ARtabletextright"/>
            </w:pPr>
            <w:r w:rsidRPr="00D02A2E">
              <w:t xml:space="preserve">480 </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rsidRPr="00D02A2E">
              <w:t>480</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t>0.0</w:t>
            </w:r>
          </w:p>
        </w:tc>
        <w:tc>
          <w:tcPr>
            <w:tcW w:w="794" w:type="dxa"/>
            <w:tcBorders>
              <w:top w:val="nil"/>
              <w:left w:val="nil"/>
              <w:bottom w:val="single" w:sz="4" w:space="0" w:color="BFBFBF"/>
              <w:right w:val="nil"/>
            </w:tcBorders>
            <w:shd w:val="clear" w:color="auto" w:fill="auto"/>
          </w:tcPr>
          <w:p w:rsidR="0092299C" w:rsidRPr="00D02A2E" w:rsidRDefault="0092299C" w:rsidP="00B64D71">
            <w:pPr>
              <w:pStyle w:val="ARtabletextright"/>
            </w:pPr>
            <w:r w:rsidRPr="00D02A2E">
              <w:sym w:font="Wingdings" w:char="F0FC"/>
            </w:r>
          </w:p>
        </w:tc>
      </w:tr>
      <w:tr w:rsidR="0092299C" w:rsidRPr="00CB104A" w:rsidTr="00596058">
        <w:trPr>
          <w:cantSplit/>
          <w:trHeight w:val="227"/>
        </w:trPr>
        <w:tc>
          <w:tcPr>
            <w:tcW w:w="4766" w:type="dxa"/>
            <w:tcBorders>
              <w:top w:val="single" w:sz="4" w:space="0" w:color="BFBFBF"/>
              <w:left w:val="nil"/>
              <w:bottom w:val="nil"/>
              <w:right w:val="nil"/>
            </w:tcBorders>
            <w:shd w:val="clear" w:color="auto" w:fill="auto"/>
            <w:hideMark/>
          </w:tcPr>
          <w:p w:rsidR="0092299C" w:rsidRPr="00CB104A" w:rsidRDefault="0092299C" w:rsidP="0092299C">
            <w:pPr>
              <w:pStyle w:val="ARtabletext"/>
              <w:rPr>
                <w:i/>
                <w:sz w:val="16"/>
                <w:szCs w:val="16"/>
              </w:rPr>
            </w:pPr>
            <w:r w:rsidRPr="00CB104A">
              <w:t>Strategy implementation actions within agreed performance targets: Community Organisations</w:t>
            </w:r>
          </w:p>
        </w:tc>
        <w:tc>
          <w:tcPr>
            <w:tcW w:w="1021" w:type="dxa"/>
            <w:tcBorders>
              <w:top w:val="single" w:sz="4" w:space="0" w:color="BFBFBF"/>
              <w:left w:val="nil"/>
              <w:bottom w:val="nil"/>
              <w:right w:val="nil"/>
            </w:tcBorders>
            <w:shd w:val="clear" w:color="auto" w:fill="auto"/>
            <w:hideMark/>
          </w:tcPr>
          <w:p w:rsidR="0092299C" w:rsidRPr="00CB104A" w:rsidRDefault="0092299C" w:rsidP="001F2E2D">
            <w:pPr>
              <w:pStyle w:val="ARtabletext"/>
              <w:jc w:val="center"/>
            </w:pPr>
            <w:r w:rsidRPr="00CB104A">
              <w:t>per cent</w:t>
            </w:r>
          </w:p>
        </w:tc>
        <w:tc>
          <w:tcPr>
            <w:tcW w:w="1021" w:type="dxa"/>
            <w:tcBorders>
              <w:top w:val="single" w:sz="4" w:space="0" w:color="BFBFBF"/>
              <w:left w:val="nil"/>
              <w:bottom w:val="nil"/>
              <w:right w:val="nil"/>
            </w:tcBorders>
            <w:shd w:val="clear" w:color="auto" w:fill="auto"/>
            <w:hideMark/>
          </w:tcPr>
          <w:p w:rsidR="0092299C" w:rsidRPr="00CB104A" w:rsidRDefault="0092299C" w:rsidP="0092299C">
            <w:pPr>
              <w:pStyle w:val="ARtabletextright"/>
            </w:pPr>
            <w:r w:rsidRPr="00CB104A">
              <w:t>100</w:t>
            </w: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textright"/>
            </w:pPr>
            <w:r w:rsidRPr="00CB104A">
              <w:t>100</w:t>
            </w: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textright"/>
            </w:pPr>
            <w:r>
              <w:t>0.0</w:t>
            </w:r>
          </w:p>
        </w:tc>
        <w:tc>
          <w:tcPr>
            <w:tcW w:w="794" w:type="dxa"/>
            <w:tcBorders>
              <w:top w:val="single" w:sz="4" w:space="0" w:color="BFBFBF"/>
              <w:left w:val="nil"/>
              <w:bottom w:val="nil"/>
              <w:right w:val="nil"/>
            </w:tcBorders>
            <w:shd w:val="clear" w:color="auto" w:fill="auto"/>
          </w:tcPr>
          <w:p w:rsidR="0092299C" w:rsidRPr="00CB104A" w:rsidRDefault="0092299C" w:rsidP="00B64D71">
            <w:pPr>
              <w:pStyle w:val="ARtabletextright"/>
            </w:pPr>
            <w:r w:rsidRPr="00CB104A">
              <w:sym w:font="Wingdings" w:char="F0FC"/>
            </w:r>
          </w:p>
        </w:tc>
      </w:tr>
      <w:tr w:rsidR="0092299C" w:rsidRPr="00D02A2E" w:rsidTr="00596058">
        <w:trPr>
          <w:cantSplit/>
          <w:trHeight w:val="227"/>
        </w:trPr>
        <w:tc>
          <w:tcPr>
            <w:tcW w:w="964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18"/>
              </w:rPr>
            </w:pPr>
            <w:r w:rsidRPr="00D02A2E">
              <w:t>This measure is proposed</w:t>
            </w:r>
            <w:r>
              <w:t xml:space="preserve"> to be discontinued in 2017–18.</w:t>
            </w:r>
          </w:p>
        </w:tc>
      </w:tr>
      <w:tr w:rsidR="0092299C" w:rsidRPr="00CB104A" w:rsidTr="00596058">
        <w:trPr>
          <w:cantSplit/>
          <w:trHeight w:val="227"/>
        </w:trPr>
        <w:tc>
          <w:tcPr>
            <w:tcW w:w="4766" w:type="dxa"/>
            <w:tcBorders>
              <w:top w:val="single" w:sz="4" w:space="0" w:color="BFBFBF"/>
              <w:left w:val="nil"/>
              <w:bottom w:val="nil"/>
              <w:right w:val="nil"/>
            </w:tcBorders>
            <w:shd w:val="clear" w:color="auto" w:fill="auto"/>
          </w:tcPr>
          <w:p w:rsidR="0092299C" w:rsidRPr="00CB104A" w:rsidRDefault="0092299C" w:rsidP="0092299C">
            <w:pPr>
              <w:pStyle w:val="ARtablebluebold"/>
            </w:pPr>
            <w:r w:rsidRPr="00CB104A">
              <w:t>Quality</w:t>
            </w: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CB104A" w:rsidRDefault="0092299C" w:rsidP="0092299C">
            <w:pPr>
              <w:pStyle w:val="ARtablebluebold"/>
            </w:pPr>
          </w:p>
        </w:tc>
        <w:tc>
          <w:tcPr>
            <w:tcW w:w="794" w:type="dxa"/>
            <w:tcBorders>
              <w:top w:val="single" w:sz="4" w:space="0" w:color="BFBFBF"/>
              <w:left w:val="nil"/>
              <w:bottom w:val="nil"/>
              <w:right w:val="nil"/>
            </w:tcBorders>
            <w:shd w:val="clear" w:color="auto" w:fill="auto"/>
          </w:tcPr>
          <w:p w:rsidR="0092299C" w:rsidRPr="00CB104A" w:rsidRDefault="0092299C" w:rsidP="0092299C">
            <w:pPr>
              <w:pStyle w:val="ARtablebluebold"/>
            </w:pPr>
          </w:p>
        </w:tc>
      </w:tr>
      <w:tr w:rsidR="0092299C" w:rsidRPr="00CB104A" w:rsidTr="00596058">
        <w:trPr>
          <w:cantSplit/>
          <w:trHeight w:val="227"/>
        </w:trPr>
        <w:tc>
          <w:tcPr>
            <w:tcW w:w="4766" w:type="dxa"/>
            <w:tcBorders>
              <w:top w:val="nil"/>
              <w:left w:val="nil"/>
              <w:bottom w:val="nil"/>
              <w:right w:val="nil"/>
            </w:tcBorders>
            <w:shd w:val="clear" w:color="auto" w:fill="auto"/>
            <w:hideMark/>
          </w:tcPr>
          <w:p w:rsidR="0092299C" w:rsidRPr="00CB104A" w:rsidRDefault="0092299C" w:rsidP="0092299C">
            <w:pPr>
              <w:pStyle w:val="ARtabletext"/>
              <w:rPr>
                <w:i/>
                <w:sz w:val="16"/>
                <w:szCs w:val="16"/>
              </w:rPr>
            </w:pPr>
            <w:r w:rsidRPr="00CB104A">
              <w:t>Strategy implementation actions within agreed performance targets: volunteering</w:t>
            </w:r>
          </w:p>
        </w:tc>
        <w:tc>
          <w:tcPr>
            <w:tcW w:w="1021" w:type="dxa"/>
            <w:tcBorders>
              <w:top w:val="nil"/>
              <w:left w:val="nil"/>
              <w:bottom w:val="nil"/>
              <w:right w:val="nil"/>
            </w:tcBorders>
            <w:shd w:val="clear" w:color="auto" w:fill="auto"/>
            <w:hideMark/>
          </w:tcPr>
          <w:p w:rsidR="0092299C" w:rsidRPr="00CB104A" w:rsidRDefault="0092299C" w:rsidP="001F2E2D">
            <w:pPr>
              <w:pStyle w:val="ARtabletext"/>
              <w:jc w:val="center"/>
            </w:pPr>
            <w:r w:rsidRPr="00CB104A">
              <w:t>per cent</w:t>
            </w:r>
          </w:p>
        </w:tc>
        <w:tc>
          <w:tcPr>
            <w:tcW w:w="1021" w:type="dxa"/>
            <w:tcBorders>
              <w:top w:val="nil"/>
              <w:left w:val="nil"/>
              <w:bottom w:val="nil"/>
              <w:right w:val="nil"/>
            </w:tcBorders>
            <w:shd w:val="clear" w:color="auto" w:fill="auto"/>
            <w:hideMark/>
          </w:tcPr>
          <w:p w:rsidR="0092299C" w:rsidRPr="00CB104A" w:rsidRDefault="0092299C" w:rsidP="0092299C">
            <w:pPr>
              <w:pStyle w:val="ARtabletextright"/>
            </w:pPr>
            <w:r w:rsidRPr="00CB104A">
              <w:t>100</w:t>
            </w:r>
          </w:p>
        </w:tc>
        <w:tc>
          <w:tcPr>
            <w:tcW w:w="1021" w:type="dxa"/>
            <w:tcBorders>
              <w:top w:val="nil"/>
              <w:left w:val="nil"/>
              <w:bottom w:val="nil"/>
              <w:right w:val="nil"/>
            </w:tcBorders>
            <w:shd w:val="clear" w:color="auto" w:fill="auto"/>
          </w:tcPr>
          <w:p w:rsidR="0092299C" w:rsidRPr="00CB104A" w:rsidRDefault="0092299C" w:rsidP="0092299C">
            <w:pPr>
              <w:pStyle w:val="ARtabletextright"/>
            </w:pPr>
            <w:r w:rsidRPr="00CB104A">
              <w:t>100</w:t>
            </w:r>
          </w:p>
        </w:tc>
        <w:tc>
          <w:tcPr>
            <w:tcW w:w="1021" w:type="dxa"/>
            <w:tcBorders>
              <w:top w:val="nil"/>
              <w:left w:val="nil"/>
              <w:bottom w:val="nil"/>
              <w:right w:val="nil"/>
            </w:tcBorders>
            <w:shd w:val="clear" w:color="auto" w:fill="auto"/>
          </w:tcPr>
          <w:p w:rsidR="0092299C" w:rsidRPr="00CB104A" w:rsidRDefault="0092299C" w:rsidP="0092299C">
            <w:pPr>
              <w:pStyle w:val="ARtabletextright"/>
            </w:pPr>
            <w:r>
              <w:t>0.0</w:t>
            </w:r>
          </w:p>
        </w:tc>
        <w:tc>
          <w:tcPr>
            <w:tcW w:w="794" w:type="dxa"/>
            <w:tcBorders>
              <w:top w:val="nil"/>
              <w:left w:val="nil"/>
              <w:bottom w:val="nil"/>
              <w:right w:val="nil"/>
            </w:tcBorders>
            <w:shd w:val="clear" w:color="auto" w:fill="auto"/>
          </w:tcPr>
          <w:p w:rsidR="0092299C" w:rsidRPr="00CB104A" w:rsidRDefault="0092299C" w:rsidP="00B64D71">
            <w:pPr>
              <w:pStyle w:val="ARtabletextright"/>
            </w:pPr>
            <w:r w:rsidRPr="00CB104A">
              <w:sym w:font="Wingdings" w:char="F0FC"/>
            </w:r>
          </w:p>
        </w:tc>
      </w:tr>
      <w:tr w:rsidR="0092299C" w:rsidRPr="00D02A2E" w:rsidTr="00596058">
        <w:trPr>
          <w:cantSplit/>
          <w:trHeight w:val="227"/>
        </w:trPr>
        <w:tc>
          <w:tcPr>
            <w:tcW w:w="964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rPr>
                <w:sz w:val="18"/>
              </w:rPr>
            </w:pPr>
            <w:r w:rsidRPr="00D02A2E">
              <w:t>This measure is proposed to be discontinued in 20</w:t>
            </w:r>
            <w:r>
              <w:t>17–18</w:t>
            </w:r>
            <w:r w:rsidRPr="00D02A2E">
              <w:t>.</w:t>
            </w:r>
          </w:p>
        </w:tc>
      </w:tr>
      <w:tr w:rsidR="0092299C" w:rsidRPr="00D02A2E" w:rsidTr="00596058">
        <w:trPr>
          <w:cantSplit/>
          <w:trHeight w:val="227"/>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rPr>
                <w:sz w:val="20"/>
                <w:szCs w:val="20"/>
              </w:rPr>
              <w:br w:type="page"/>
            </w:r>
            <w:r w:rsidRPr="00D02A2E">
              <w:t>Timeliness</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tcPr>
          <w:p w:rsidR="0092299C" w:rsidRPr="00D02A2E" w:rsidRDefault="0092299C" w:rsidP="0092299C">
            <w:pPr>
              <w:pStyle w:val="ARtablebluebold"/>
            </w:pPr>
          </w:p>
        </w:tc>
      </w:tr>
      <w:tr w:rsidR="0092299C" w:rsidRPr="00D02A2E" w:rsidTr="00596058">
        <w:trPr>
          <w:cantSplit/>
          <w:trHeight w:val="227"/>
        </w:trPr>
        <w:tc>
          <w:tcPr>
            <w:tcW w:w="4766" w:type="dxa"/>
            <w:tcBorders>
              <w:top w:val="nil"/>
              <w:left w:val="nil"/>
              <w:bottom w:val="nil"/>
              <w:right w:val="nil"/>
            </w:tcBorders>
            <w:shd w:val="clear" w:color="auto" w:fill="auto"/>
            <w:hideMark/>
          </w:tcPr>
          <w:p w:rsidR="0092299C" w:rsidRPr="00D02A2E" w:rsidRDefault="0092299C" w:rsidP="0092299C">
            <w:pPr>
              <w:pStyle w:val="ARtabletext"/>
            </w:pPr>
            <w:r w:rsidRPr="00D02A2E">
              <w:t>Grants acquitted within the timeframe specified in the terms and conditions of the funding agreement</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90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11.1</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596058">
        <w:trPr>
          <w:cantSplit/>
          <w:trHeight w:val="227"/>
        </w:trPr>
        <w:tc>
          <w:tcPr>
            <w:tcW w:w="9644" w:type="dxa"/>
            <w:gridSpan w:val="6"/>
            <w:tcBorders>
              <w:top w:val="nil"/>
              <w:left w:val="nil"/>
              <w:bottom w:val="single" w:sz="4" w:space="0" w:color="BFBFBF" w:themeColor="background1" w:themeShade="BF"/>
              <w:right w:val="nil"/>
            </w:tcBorders>
            <w:shd w:val="clear" w:color="auto" w:fill="auto"/>
          </w:tcPr>
          <w:p w:rsidR="0092299C" w:rsidRPr="00D02A2E" w:rsidRDefault="0092299C" w:rsidP="0092299C">
            <w:pPr>
              <w:pStyle w:val="ARtablenoteindent"/>
            </w:pPr>
            <w:r w:rsidRPr="00D02A2E">
              <w:t xml:space="preserve">The </w:t>
            </w:r>
            <w:r>
              <w:t>result</w:t>
            </w:r>
            <w:r w:rsidRPr="00D02A2E">
              <w:t xml:space="preserve"> is higher than the target due to 100 per cent of the Men's Sheds grants being acquitted within agreed timeframes.</w:t>
            </w:r>
          </w:p>
        </w:tc>
      </w:tr>
      <w:tr w:rsidR="0092299C" w:rsidRPr="00D02A2E" w:rsidTr="00596058">
        <w:trPr>
          <w:cantSplit/>
          <w:trHeight w:val="227"/>
        </w:trPr>
        <w:tc>
          <w:tcPr>
            <w:tcW w:w="4766"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bluebold"/>
              <w:rPr>
                <w:color w:val="000000"/>
              </w:rPr>
            </w:pPr>
            <w:r w:rsidRPr="00D02A2E">
              <w:t>Cost</w:t>
            </w:r>
          </w:p>
        </w:tc>
        <w:tc>
          <w:tcPr>
            <w:tcW w:w="1021"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bluebold"/>
            </w:pPr>
          </w:p>
        </w:tc>
        <w:tc>
          <w:tcPr>
            <w:tcW w:w="1021"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bluebold"/>
            </w:pPr>
          </w:p>
        </w:tc>
        <w:tc>
          <w:tcPr>
            <w:tcW w:w="794" w:type="dxa"/>
            <w:tcBorders>
              <w:top w:val="single" w:sz="4" w:space="0" w:color="BFBFBF" w:themeColor="background1" w:themeShade="BF"/>
              <w:left w:val="nil"/>
              <w:bottom w:val="nil"/>
              <w:right w:val="nil"/>
            </w:tcBorders>
            <w:shd w:val="clear" w:color="auto" w:fill="auto"/>
          </w:tcPr>
          <w:p w:rsidR="0092299C" w:rsidRPr="00D02A2E" w:rsidRDefault="0092299C" w:rsidP="0092299C">
            <w:pPr>
              <w:pStyle w:val="ARtablebluebold"/>
              <w:rPr>
                <w:sz w:val="20"/>
                <w:szCs w:val="20"/>
              </w:rPr>
            </w:pP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nil"/>
              <w:left w:val="nil"/>
              <w:bottom w:val="nil"/>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hideMark/>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CA0E9C" w:rsidRDefault="0092299C" w:rsidP="0092299C">
            <w:pPr>
              <w:pStyle w:val="ARtabletextright"/>
              <w:rPr>
                <w:b/>
                <w:bCs/>
              </w:rPr>
            </w:pPr>
            <w:r w:rsidRPr="00CA0E9C">
              <w:rPr>
                <w:b/>
                <w:bCs/>
              </w:rPr>
              <w:t>42.0</w:t>
            </w:r>
          </w:p>
        </w:tc>
        <w:tc>
          <w:tcPr>
            <w:tcW w:w="1021" w:type="dxa"/>
            <w:tcBorders>
              <w:top w:val="nil"/>
              <w:left w:val="nil"/>
              <w:bottom w:val="nil"/>
              <w:right w:val="nil"/>
            </w:tcBorders>
            <w:shd w:val="clear" w:color="auto" w:fill="auto"/>
          </w:tcPr>
          <w:p w:rsidR="0092299C" w:rsidRPr="00CA0E9C" w:rsidRDefault="0092299C" w:rsidP="0092299C">
            <w:pPr>
              <w:pStyle w:val="ARtabletextright"/>
              <w:rPr>
                <w:b/>
                <w:bCs/>
              </w:rPr>
            </w:pPr>
            <w:r w:rsidRPr="00CA0E9C">
              <w:rPr>
                <w:b/>
                <w:bCs/>
              </w:rPr>
              <w:t>43.5</w:t>
            </w:r>
          </w:p>
        </w:tc>
        <w:tc>
          <w:tcPr>
            <w:tcW w:w="1021" w:type="dxa"/>
            <w:tcBorders>
              <w:top w:val="nil"/>
              <w:left w:val="nil"/>
              <w:bottom w:val="nil"/>
              <w:right w:val="nil"/>
            </w:tcBorders>
            <w:shd w:val="clear" w:color="auto" w:fill="auto"/>
          </w:tcPr>
          <w:p w:rsidR="0092299C" w:rsidRPr="00CA0E9C" w:rsidRDefault="0092299C" w:rsidP="0092299C">
            <w:pPr>
              <w:pStyle w:val="ARtabletextright"/>
              <w:rPr>
                <w:b/>
                <w:bCs/>
              </w:rPr>
            </w:pPr>
            <w:r>
              <w:rPr>
                <w:b/>
                <w:bCs/>
              </w:rPr>
              <w:t>3.5</w:t>
            </w:r>
          </w:p>
        </w:tc>
        <w:tc>
          <w:tcPr>
            <w:tcW w:w="794" w:type="dxa"/>
            <w:tcBorders>
              <w:top w:val="nil"/>
              <w:left w:val="nil"/>
              <w:bottom w:val="nil"/>
              <w:right w:val="nil"/>
            </w:tcBorders>
            <w:shd w:val="clear" w:color="auto" w:fill="auto"/>
            <w:hideMark/>
          </w:tcPr>
          <w:p w:rsidR="0092299C" w:rsidRPr="00CA0E9C" w:rsidRDefault="0092299C" w:rsidP="0092299C">
            <w:pPr>
              <w:pStyle w:val="ARtabletextright"/>
              <w:rPr>
                <w:b/>
                <w:bCs/>
              </w:rPr>
            </w:pP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right w:val="nil"/>
            </w:tcBorders>
            <w:shd w:val="clear" w:color="auto" w:fill="auto"/>
          </w:tcPr>
          <w:p w:rsidR="0092299C" w:rsidRPr="00D02A2E" w:rsidRDefault="0092299C" w:rsidP="0092299C">
            <w:pPr>
              <w:pStyle w:val="ARtablenoteindent"/>
            </w:pPr>
            <w:r w:rsidRPr="00AF52D5">
              <w:t>The 20</w:t>
            </w:r>
            <w:r>
              <w:t>16–17</w:t>
            </w:r>
            <w:r w:rsidRPr="00AF52D5">
              <w:t xml:space="preserve"> actual outcome primary reflects movements within the output group, additional revenue for the Community Support Fund and Good Money Store Morwell initiative, the difference between 20</w:t>
            </w:r>
            <w:r>
              <w:t xml:space="preserve">15–16 </w:t>
            </w:r>
            <w:r w:rsidRPr="00AF52D5">
              <w:t>estimated and actual carry-over to 20</w:t>
            </w:r>
            <w:r>
              <w:t>16–17</w:t>
            </w:r>
            <w:r w:rsidRPr="00AF52D5">
              <w:t>, which was partially offset by a request for funding to be carried over to 20</w:t>
            </w:r>
            <w:r>
              <w:t>17–18</w:t>
            </w:r>
            <w:r w:rsidRPr="00AF52D5">
              <w:t>.</w:t>
            </w:r>
          </w:p>
        </w:tc>
      </w:tr>
      <w:tr w:rsidR="0092299C" w:rsidRPr="00D02A2E" w:rsidTr="00596058">
        <w:trPr>
          <w:cantSplit/>
          <w:trHeight w:val="227"/>
        </w:trPr>
        <w:tc>
          <w:tcPr>
            <w:tcW w:w="4766" w:type="dxa"/>
            <w:tcBorders>
              <w:top w:val="single" w:sz="4" w:space="0" w:color="auto"/>
              <w:left w:val="nil"/>
              <w:bottom w:val="single" w:sz="4" w:space="0" w:color="auto"/>
              <w:right w:val="nil"/>
            </w:tcBorders>
            <w:shd w:val="clear" w:color="auto" w:fill="auto"/>
          </w:tcPr>
          <w:p w:rsidR="0092299C" w:rsidRPr="00D02A2E" w:rsidRDefault="0092299C" w:rsidP="0092299C">
            <w:pPr>
              <w:pStyle w:val="ARtablebluebold"/>
            </w:pPr>
            <w:r w:rsidRPr="00D02A2E">
              <w:t>Office for Disability</w:t>
            </w: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single" w:sz="4" w:space="0" w:color="auto"/>
              <w:left w:val="nil"/>
              <w:bottom w:val="nil"/>
              <w:right w:val="nil"/>
            </w:tcBorders>
            <w:shd w:val="clear" w:color="auto" w:fill="auto"/>
          </w:tcPr>
          <w:p w:rsidR="0092299C" w:rsidRPr="00D02A2E" w:rsidRDefault="0092299C" w:rsidP="0092299C">
            <w:pPr>
              <w:pStyle w:val="ARtablebluebold"/>
            </w:pPr>
            <w:r w:rsidRPr="00D02A2E">
              <w:t>Quantity</w:t>
            </w: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nil"/>
              <w:left w:val="nil"/>
              <w:bottom w:val="nil"/>
              <w:right w:val="nil"/>
            </w:tcBorders>
            <w:shd w:val="clear" w:color="auto" w:fill="auto"/>
            <w:hideMark/>
          </w:tcPr>
          <w:p w:rsidR="0092299C" w:rsidRPr="00D02A2E" w:rsidRDefault="0092299C" w:rsidP="0092299C">
            <w:pPr>
              <w:pStyle w:val="ARtabletext"/>
              <w:rPr>
                <w:i/>
                <w:sz w:val="16"/>
                <w:szCs w:val="16"/>
              </w:rPr>
            </w:pPr>
            <w:r w:rsidRPr="00D02A2E">
              <w:t>Number of Disability Advocacy clients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 xml:space="preserve">1,700 </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1,837</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8.1</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596058">
        <w:trPr>
          <w:cantSplit/>
          <w:trHeight w:val="227"/>
        </w:trPr>
        <w:tc>
          <w:tcPr>
            <w:tcW w:w="9644" w:type="dxa"/>
            <w:gridSpan w:val="6"/>
            <w:tcBorders>
              <w:top w:val="nil"/>
              <w:left w:val="nil"/>
              <w:bottom w:val="nil"/>
              <w:right w:val="nil"/>
            </w:tcBorders>
            <w:shd w:val="clear" w:color="auto" w:fill="auto"/>
          </w:tcPr>
          <w:p w:rsidR="0092299C" w:rsidRPr="00D02A2E" w:rsidRDefault="0092299C" w:rsidP="0092299C">
            <w:pPr>
              <w:pStyle w:val="ARtablenoteindent"/>
              <w:rPr>
                <w:szCs w:val="16"/>
              </w:rPr>
            </w:pPr>
            <w:r>
              <w:t>T</w:t>
            </w:r>
            <w:r w:rsidRPr="00D02A2E">
              <w:t xml:space="preserve">he </w:t>
            </w:r>
            <w:r>
              <w:t>result</w:t>
            </w:r>
            <w:r w:rsidRPr="00D02A2E">
              <w:t xml:space="preserve"> is higher than the </w:t>
            </w:r>
            <w:r>
              <w:t xml:space="preserve">target, reflecting </w:t>
            </w:r>
            <w:r w:rsidRPr="00D02A2E">
              <w:t>that more people have received support. This is consistent with the findings of the Parliamentary Inquiry into Abuse in Disability Services and Ombudsman's investigation into disability abuse, both of which highlighted increased demand for advocacy, including in the context of the transition to the NDIS.</w:t>
            </w:r>
          </w:p>
        </w:tc>
      </w:tr>
      <w:tr w:rsidR="0092299C" w:rsidRPr="00D02A2E" w:rsidTr="00596058">
        <w:trPr>
          <w:cantSplit/>
          <w:trHeight w:val="227"/>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bluebold"/>
              <w:keepNext/>
              <w:rPr>
                <w:color w:val="000000"/>
              </w:rPr>
            </w:pPr>
            <w:r w:rsidRPr="00D02A2E">
              <w:lastRenderedPageBreak/>
              <w:t>Timeliness</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r>
      <w:tr w:rsidR="0092299C" w:rsidRPr="00D02A2E" w:rsidTr="00596058">
        <w:trPr>
          <w:cantSplit/>
          <w:trHeight w:val="227"/>
        </w:trPr>
        <w:tc>
          <w:tcPr>
            <w:tcW w:w="4766" w:type="dxa"/>
            <w:tcBorders>
              <w:top w:val="nil"/>
              <w:left w:val="nil"/>
              <w:bottom w:val="nil"/>
              <w:right w:val="nil"/>
            </w:tcBorders>
            <w:shd w:val="clear" w:color="auto" w:fill="auto"/>
            <w:hideMark/>
          </w:tcPr>
          <w:p w:rsidR="0092299C" w:rsidRPr="00D02A2E" w:rsidRDefault="0092299C" w:rsidP="0092299C">
            <w:pPr>
              <w:pStyle w:val="ARtabletext"/>
            </w:pPr>
            <w:r w:rsidRPr="00D02A2E">
              <w:t>Office for Disability Projects delivered within agreed timeframes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100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100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AF52D5" w:rsidTr="00596058">
        <w:trPr>
          <w:cantSplit/>
          <w:trHeight w:val="227"/>
        </w:trPr>
        <w:tc>
          <w:tcPr>
            <w:tcW w:w="9644" w:type="dxa"/>
            <w:gridSpan w:val="6"/>
            <w:tcBorders>
              <w:top w:val="nil"/>
              <w:left w:val="nil"/>
              <w:bottom w:val="single" w:sz="4" w:space="0" w:color="BFBFBF"/>
              <w:right w:val="nil"/>
            </w:tcBorders>
            <w:shd w:val="clear" w:color="auto" w:fill="auto"/>
          </w:tcPr>
          <w:p w:rsidR="0092299C" w:rsidRPr="00AF52D5" w:rsidRDefault="0092299C" w:rsidP="0092299C">
            <w:pPr>
              <w:pStyle w:val="ARtablenoteindent"/>
            </w:pPr>
            <w:r w:rsidRPr="00AF52D5">
              <w:t>This measure is proposed to be discontinued in 2017</w:t>
            </w:r>
            <w:r>
              <w:t>–</w:t>
            </w:r>
            <w:r w:rsidRPr="00AF52D5">
              <w:t>18.</w:t>
            </w:r>
          </w:p>
        </w:tc>
      </w:tr>
      <w:tr w:rsidR="0092299C" w:rsidRPr="00D02A2E" w:rsidTr="00596058">
        <w:trPr>
          <w:cantSplit/>
          <w:trHeight w:val="227"/>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Cost</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nil"/>
              <w:left w:val="nil"/>
              <w:bottom w:val="nil"/>
              <w:right w:val="nil"/>
            </w:tcBorders>
            <w:shd w:val="clear" w:color="auto" w:fill="auto"/>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tcPr>
          <w:p w:rsidR="0092299C" w:rsidRPr="00D02A2E" w:rsidRDefault="0092299C" w:rsidP="001F2E2D">
            <w:pPr>
              <w:pStyle w:val="ARtabletextbold"/>
              <w:jc w:val="center"/>
            </w:pPr>
            <w:r w:rsidRPr="00D02A2E">
              <w:t>$ million</w:t>
            </w:r>
          </w:p>
        </w:tc>
        <w:tc>
          <w:tcPr>
            <w:tcW w:w="1021" w:type="dxa"/>
            <w:tcBorders>
              <w:top w:val="nil"/>
              <w:left w:val="nil"/>
              <w:bottom w:val="nil"/>
              <w:right w:val="nil"/>
            </w:tcBorders>
            <w:shd w:val="clear" w:color="auto" w:fill="auto"/>
          </w:tcPr>
          <w:p w:rsidR="0092299C" w:rsidRPr="00CA0E9C" w:rsidRDefault="0092299C" w:rsidP="0092299C">
            <w:pPr>
              <w:pStyle w:val="ARtabletextright"/>
              <w:rPr>
                <w:b/>
                <w:bCs/>
              </w:rPr>
            </w:pPr>
            <w:r w:rsidRPr="00CA0E9C">
              <w:rPr>
                <w:b/>
                <w:bCs/>
              </w:rPr>
              <w:t>8.5</w:t>
            </w:r>
          </w:p>
        </w:tc>
        <w:tc>
          <w:tcPr>
            <w:tcW w:w="1021" w:type="dxa"/>
            <w:tcBorders>
              <w:top w:val="nil"/>
              <w:left w:val="nil"/>
              <w:bottom w:val="nil"/>
              <w:right w:val="nil"/>
            </w:tcBorders>
            <w:shd w:val="clear" w:color="auto" w:fill="auto"/>
          </w:tcPr>
          <w:p w:rsidR="0092299C" w:rsidRPr="00CA0E9C" w:rsidRDefault="0092299C" w:rsidP="0092299C">
            <w:pPr>
              <w:pStyle w:val="ARtabletextright"/>
              <w:rPr>
                <w:b/>
                <w:bCs/>
              </w:rPr>
            </w:pPr>
            <w:r w:rsidRPr="00CA0E9C">
              <w:rPr>
                <w:b/>
                <w:bCs/>
              </w:rPr>
              <w:t>6.1</w:t>
            </w:r>
          </w:p>
        </w:tc>
        <w:tc>
          <w:tcPr>
            <w:tcW w:w="1021" w:type="dxa"/>
            <w:tcBorders>
              <w:top w:val="nil"/>
              <w:left w:val="nil"/>
              <w:bottom w:val="nil"/>
              <w:right w:val="nil"/>
            </w:tcBorders>
            <w:shd w:val="clear" w:color="auto" w:fill="auto"/>
          </w:tcPr>
          <w:p w:rsidR="0092299C" w:rsidRPr="00CA0E9C" w:rsidRDefault="00EC4FD8" w:rsidP="0092299C">
            <w:pPr>
              <w:pStyle w:val="ARtabletextright"/>
              <w:rPr>
                <w:b/>
                <w:bCs/>
              </w:rPr>
            </w:pPr>
            <w:r>
              <w:rPr>
                <w:b/>
                <w:bCs/>
              </w:rPr>
              <w:t>–</w:t>
            </w:r>
            <w:r w:rsidR="0092299C">
              <w:rPr>
                <w:b/>
                <w:bCs/>
              </w:rPr>
              <w:t>28.2</w:t>
            </w:r>
          </w:p>
        </w:tc>
        <w:tc>
          <w:tcPr>
            <w:tcW w:w="794" w:type="dxa"/>
            <w:tcBorders>
              <w:top w:val="nil"/>
              <w:left w:val="nil"/>
              <w:bottom w:val="nil"/>
              <w:right w:val="nil"/>
            </w:tcBorders>
            <w:shd w:val="clear" w:color="auto" w:fill="auto"/>
          </w:tcPr>
          <w:p w:rsidR="0092299C" w:rsidRPr="00CA0E9C" w:rsidRDefault="0092299C" w:rsidP="0092299C">
            <w:pPr>
              <w:pStyle w:val="ARtabletextright"/>
              <w:rPr>
                <w:b/>
                <w:bCs/>
              </w:rPr>
            </w:pPr>
          </w:p>
        </w:tc>
      </w:tr>
      <w:tr w:rsidR="0092299C" w:rsidRPr="00D02A2E" w:rsidTr="00596058">
        <w:trPr>
          <w:cantSplit/>
          <w:trHeight w:val="227"/>
        </w:trPr>
        <w:tc>
          <w:tcPr>
            <w:tcW w:w="9644" w:type="dxa"/>
            <w:gridSpan w:val="6"/>
            <w:tcBorders>
              <w:top w:val="nil"/>
              <w:left w:val="nil"/>
              <w:bottom w:val="single" w:sz="4" w:space="0" w:color="auto"/>
              <w:right w:val="nil"/>
            </w:tcBorders>
            <w:shd w:val="clear" w:color="auto" w:fill="auto"/>
          </w:tcPr>
          <w:p w:rsidR="0092299C" w:rsidRPr="00D02A2E" w:rsidRDefault="0092299C" w:rsidP="0092299C">
            <w:pPr>
              <w:pStyle w:val="ARtablenoteindent"/>
            </w:pPr>
            <w:r w:rsidRPr="00AF52D5">
              <w:t>The 20</w:t>
            </w:r>
            <w:r>
              <w:t>16–17</w:t>
            </w:r>
            <w:r w:rsidRPr="00AF52D5">
              <w:t xml:space="preserve"> actual outcome primary reflects funding requested to be carried over into 20</w:t>
            </w:r>
            <w:r>
              <w:t>17–18</w:t>
            </w:r>
            <w:r w:rsidRPr="00AF52D5">
              <w:t>.</w:t>
            </w:r>
          </w:p>
        </w:tc>
      </w:tr>
      <w:tr w:rsidR="0092299C" w:rsidRPr="00D02A2E" w:rsidTr="00596058">
        <w:trPr>
          <w:cantSplit/>
          <w:trHeight w:val="227"/>
        </w:trPr>
        <w:tc>
          <w:tcPr>
            <w:tcW w:w="4766" w:type="dxa"/>
            <w:tcBorders>
              <w:top w:val="single" w:sz="4" w:space="0" w:color="auto"/>
              <w:left w:val="nil"/>
              <w:bottom w:val="single" w:sz="4" w:space="0" w:color="auto"/>
              <w:right w:val="nil"/>
            </w:tcBorders>
            <w:shd w:val="clear" w:color="auto" w:fill="auto"/>
          </w:tcPr>
          <w:p w:rsidR="0092299C" w:rsidRPr="00D02A2E" w:rsidRDefault="0092299C" w:rsidP="0092299C">
            <w:pPr>
              <w:pStyle w:val="ARtablebluebold"/>
            </w:pPr>
            <w:r w:rsidRPr="00D02A2E">
              <w:t>Youth Affairs</w:t>
            </w: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auto"/>
              <w:left w:val="nil"/>
              <w:bottom w:val="single" w:sz="4" w:space="0" w:color="auto"/>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single" w:sz="4" w:space="0" w:color="auto"/>
              <w:left w:val="nil"/>
              <w:bottom w:val="nil"/>
              <w:right w:val="nil"/>
            </w:tcBorders>
            <w:shd w:val="clear" w:color="auto" w:fill="auto"/>
          </w:tcPr>
          <w:p w:rsidR="0092299C" w:rsidRPr="00D02A2E" w:rsidRDefault="0092299C" w:rsidP="0092299C">
            <w:pPr>
              <w:pStyle w:val="ARtablebluebold"/>
            </w:pPr>
            <w:r w:rsidRPr="00D02A2E">
              <w:t>Quantity</w:t>
            </w: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auto"/>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nil"/>
              <w:left w:val="nil"/>
              <w:bottom w:val="nil"/>
              <w:right w:val="nil"/>
            </w:tcBorders>
            <w:shd w:val="clear" w:color="auto" w:fill="auto"/>
            <w:hideMark/>
          </w:tcPr>
          <w:p w:rsidR="0092299C" w:rsidRPr="00D02A2E" w:rsidRDefault="0092299C" w:rsidP="0092299C">
            <w:pPr>
              <w:pStyle w:val="ARtabletext"/>
            </w:pPr>
            <w:r w:rsidRPr="00D02A2E">
              <w:t>Participation by young people in programs that provide opportunities to be involved in social and economic life in their communities</w:t>
            </w:r>
          </w:p>
        </w:tc>
        <w:tc>
          <w:tcPr>
            <w:tcW w:w="1021" w:type="dxa"/>
            <w:tcBorders>
              <w:top w:val="nil"/>
              <w:left w:val="nil"/>
              <w:bottom w:val="nil"/>
              <w:right w:val="nil"/>
            </w:tcBorders>
            <w:shd w:val="clear" w:color="auto" w:fill="auto"/>
            <w:hideMark/>
          </w:tcPr>
          <w:p w:rsidR="0092299C" w:rsidRPr="00D02A2E" w:rsidRDefault="00546F4A" w:rsidP="001F2E2D">
            <w:pPr>
              <w:pStyle w:val="ARtabletext"/>
              <w:jc w:val="center"/>
            </w:pPr>
            <w:r>
              <w:t>n</w:t>
            </w:r>
            <w:r w:rsidR="0092299C" w:rsidRPr="00D02A2E">
              <w:t>umber</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 xml:space="preserve">200,000 </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200,000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596058">
        <w:tblPrEx>
          <w:tblBorders>
            <w:top w:val="none" w:sz="0" w:space="0" w:color="auto"/>
            <w:left w:val="single" w:sz="4" w:space="0" w:color="FFFFFF"/>
            <w:right w:val="single" w:sz="4" w:space="0" w:color="FFFFFF"/>
            <w:insideV w:val="single" w:sz="4" w:space="0" w:color="FFFFFF"/>
          </w:tblBorders>
          <w:tblLook w:val="01E0" w:firstRow="1" w:lastRow="1" w:firstColumn="1" w:lastColumn="1" w:noHBand="0" w:noVBand="0"/>
        </w:tblPrEx>
        <w:trPr>
          <w:cantSplit/>
          <w:trHeight w:val="20"/>
        </w:trPr>
        <w:tc>
          <w:tcPr>
            <w:tcW w:w="964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596058">
        <w:trPr>
          <w:cantSplit/>
          <w:trHeight w:val="227"/>
        </w:trPr>
        <w:tc>
          <w:tcPr>
            <w:tcW w:w="4766" w:type="dxa"/>
            <w:tcBorders>
              <w:top w:val="single" w:sz="4" w:space="0" w:color="BFBFBF"/>
              <w:left w:val="nil"/>
              <w:bottom w:val="nil"/>
              <w:right w:val="nil"/>
            </w:tcBorders>
            <w:shd w:val="clear" w:color="auto" w:fill="auto"/>
            <w:hideMark/>
          </w:tcPr>
          <w:p w:rsidR="0092299C" w:rsidRPr="00D02A2E" w:rsidRDefault="0092299C" w:rsidP="0092299C">
            <w:pPr>
              <w:pStyle w:val="ARtabletext"/>
            </w:pPr>
            <w:r w:rsidRPr="00D02A2E">
              <w:t>Participation by young people in programs that support young people to be involved in decision making in their community</w:t>
            </w:r>
          </w:p>
        </w:tc>
        <w:tc>
          <w:tcPr>
            <w:tcW w:w="1021" w:type="dxa"/>
            <w:tcBorders>
              <w:top w:val="single" w:sz="4" w:space="0" w:color="BFBFBF"/>
              <w:left w:val="nil"/>
              <w:bottom w:val="nil"/>
              <w:right w:val="nil"/>
            </w:tcBorders>
            <w:shd w:val="clear" w:color="auto" w:fill="auto"/>
            <w:hideMark/>
          </w:tcPr>
          <w:p w:rsidR="0092299C" w:rsidRPr="00D02A2E" w:rsidRDefault="0092299C" w:rsidP="001F2E2D">
            <w:pPr>
              <w:pStyle w:val="ARtabletext"/>
              <w:jc w:val="center"/>
            </w:pPr>
            <w:r w:rsidRPr="00D02A2E">
              <w:t>number</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textright"/>
            </w:pPr>
            <w:r w:rsidRPr="00D02A2E">
              <w:t xml:space="preserve">1,775 </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1,775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single" w:sz="4" w:space="0" w:color="BFBFBF"/>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596058">
        <w:tblPrEx>
          <w:tblBorders>
            <w:top w:val="none" w:sz="0" w:space="0" w:color="auto"/>
            <w:left w:val="single" w:sz="4" w:space="0" w:color="FFFFFF"/>
            <w:right w:val="single" w:sz="4" w:space="0" w:color="FFFFFF"/>
            <w:insideV w:val="single" w:sz="4" w:space="0" w:color="FFFFFF"/>
          </w:tblBorders>
          <w:tblLook w:val="01E0" w:firstRow="1" w:lastRow="1" w:firstColumn="1" w:lastColumn="1" w:noHBand="0" w:noVBand="0"/>
        </w:tblPrEx>
        <w:trPr>
          <w:cantSplit/>
          <w:trHeight w:val="20"/>
        </w:trPr>
        <w:tc>
          <w:tcPr>
            <w:tcW w:w="964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596058">
        <w:trPr>
          <w:cantSplit/>
          <w:trHeight w:val="227"/>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Quality</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nil"/>
              <w:left w:val="nil"/>
              <w:bottom w:val="nil"/>
              <w:right w:val="nil"/>
            </w:tcBorders>
            <w:shd w:val="clear" w:color="auto" w:fill="auto"/>
            <w:hideMark/>
          </w:tcPr>
          <w:p w:rsidR="0092299C" w:rsidRPr="00D02A2E" w:rsidRDefault="0092299C" w:rsidP="0092299C">
            <w:pPr>
              <w:pStyle w:val="ARtabletext"/>
            </w:pPr>
            <w:r w:rsidRPr="00D02A2E">
              <w:t>Participants reporting development of transferrable skills that support education, training and vocational opportunities</w:t>
            </w:r>
          </w:p>
        </w:tc>
        <w:tc>
          <w:tcPr>
            <w:tcW w:w="1021" w:type="dxa"/>
            <w:tcBorders>
              <w:top w:val="nil"/>
              <w:left w:val="nil"/>
              <w:bottom w:val="nil"/>
              <w:right w:val="nil"/>
            </w:tcBorders>
            <w:shd w:val="clear" w:color="auto" w:fill="auto"/>
            <w:hideMark/>
          </w:tcPr>
          <w:p w:rsidR="0092299C" w:rsidRPr="00D02A2E" w:rsidRDefault="0092299C" w:rsidP="001F2E2D">
            <w:pPr>
              <w:pStyle w:val="ARtabletext"/>
              <w:jc w:val="center"/>
            </w:pPr>
            <w:r w:rsidRPr="00D02A2E">
              <w:t>per cent</w:t>
            </w:r>
          </w:p>
        </w:tc>
        <w:tc>
          <w:tcPr>
            <w:tcW w:w="1021" w:type="dxa"/>
            <w:tcBorders>
              <w:top w:val="nil"/>
              <w:left w:val="nil"/>
              <w:bottom w:val="nil"/>
              <w:right w:val="nil"/>
            </w:tcBorders>
            <w:shd w:val="clear" w:color="auto" w:fill="auto"/>
            <w:hideMark/>
          </w:tcPr>
          <w:p w:rsidR="0092299C" w:rsidRPr="00D02A2E" w:rsidRDefault="0092299C" w:rsidP="0092299C">
            <w:pPr>
              <w:pStyle w:val="ARtabletextright"/>
            </w:pPr>
            <w:r w:rsidRPr="00D02A2E">
              <w:t>75</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75</w:t>
            </w:r>
            <w:r w:rsidR="00515D06">
              <w:t>.0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t>0.0</w:t>
            </w:r>
          </w:p>
        </w:tc>
        <w:tc>
          <w:tcPr>
            <w:tcW w:w="794" w:type="dxa"/>
            <w:tcBorders>
              <w:top w:val="nil"/>
              <w:left w:val="nil"/>
              <w:bottom w:val="nil"/>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596058">
        <w:tblPrEx>
          <w:tblBorders>
            <w:top w:val="none" w:sz="0" w:space="0" w:color="auto"/>
            <w:left w:val="single" w:sz="4" w:space="0" w:color="FFFFFF"/>
            <w:right w:val="single" w:sz="4" w:space="0" w:color="FFFFFF"/>
            <w:insideV w:val="single" w:sz="4" w:space="0" w:color="FFFFFF"/>
          </w:tblBorders>
          <w:tblLook w:val="01E0" w:firstRow="1" w:lastRow="1" w:firstColumn="1" w:lastColumn="1" w:noHBand="0" w:noVBand="0"/>
        </w:tblPrEx>
        <w:trPr>
          <w:cantSplit/>
          <w:trHeight w:val="20"/>
        </w:trPr>
        <w:tc>
          <w:tcPr>
            <w:tcW w:w="9644" w:type="dxa"/>
            <w:gridSpan w:val="6"/>
            <w:tcBorders>
              <w:top w:val="nil"/>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596058">
        <w:trPr>
          <w:cantSplit/>
          <w:trHeight w:val="227"/>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Timeliness</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D02A2E" w:rsidTr="00596058">
        <w:trPr>
          <w:cantSplit/>
          <w:trHeight w:val="227"/>
        </w:trPr>
        <w:tc>
          <w:tcPr>
            <w:tcW w:w="4766" w:type="dxa"/>
            <w:tcBorders>
              <w:top w:val="nil"/>
              <w:left w:val="nil"/>
              <w:bottom w:val="single" w:sz="4" w:space="0" w:color="FFFFFF"/>
              <w:right w:val="nil"/>
            </w:tcBorders>
            <w:shd w:val="clear" w:color="auto" w:fill="auto"/>
            <w:hideMark/>
          </w:tcPr>
          <w:p w:rsidR="0092299C" w:rsidRPr="00D02A2E" w:rsidRDefault="0092299C" w:rsidP="0092299C">
            <w:pPr>
              <w:pStyle w:val="ARtabletext"/>
            </w:pPr>
            <w:r w:rsidRPr="00D02A2E">
              <w:t>Percentage of programs delivered within agreed timeframes</w:t>
            </w:r>
          </w:p>
        </w:tc>
        <w:tc>
          <w:tcPr>
            <w:tcW w:w="1021" w:type="dxa"/>
            <w:tcBorders>
              <w:top w:val="nil"/>
              <w:left w:val="nil"/>
              <w:bottom w:val="single" w:sz="4" w:space="0" w:color="FFFFFF"/>
              <w:right w:val="nil"/>
            </w:tcBorders>
            <w:shd w:val="clear" w:color="auto" w:fill="auto"/>
            <w:hideMark/>
          </w:tcPr>
          <w:p w:rsidR="0092299C" w:rsidRPr="00D02A2E" w:rsidRDefault="0092299C" w:rsidP="001B639E">
            <w:pPr>
              <w:pStyle w:val="ARtabletextright"/>
              <w:jc w:val="center"/>
            </w:pPr>
            <w:r w:rsidRPr="00D02A2E">
              <w:t>per cent</w:t>
            </w:r>
          </w:p>
        </w:tc>
        <w:tc>
          <w:tcPr>
            <w:tcW w:w="1021" w:type="dxa"/>
            <w:tcBorders>
              <w:top w:val="nil"/>
              <w:left w:val="nil"/>
              <w:bottom w:val="single" w:sz="4" w:space="0" w:color="FFFFFF"/>
              <w:right w:val="nil"/>
            </w:tcBorders>
            <w:shd w:val="clear" w:color="auto" w:fill="auto"/>
            <w:hideMark/>
          </w:tcPr>
          <w:p w:rsidR="0092299C" w:rsidRPr="00D02A2E" w:rsidRDefault="0092299C" w:rsidP="0092299C">
            <w:pPr>
              <w:pStyle w:val="ARtabletextright"/>
            </w:pPr>
            <w:r w:rsidRPr="00D02A2E">
              <w:t>90</w:t>
            </w:r>
          </w:p>
        </w:tc>
        <w:tc>
          <w:tcPr>
            <w:tcW w:w="1021" w:type="dxa"/>
            <w:tcBorders>
              <w:top w:val="nil"/>
              <w:left w:val="nil"/>
              <w:bottom w:val="single" w:sz="4" w:space="0" w:color="FFFFFF"/>
              <w:right w:val="nil"/>
            </w:tcBorders>
            <w:shd w:val="clear" w:color="auto" w:fill="auto"/>
          </w:tcPr>
          <w:p w:rsidR="0092299C" w:rsidRPr="00D02A2E" w:rsidRDefault="0092299C" w:rsidP="0092299C">
            <w:pPr>
              <w:pStyle w:val="ARtabletextright"/>
            </w:pPr>
            <w:r w:rsidRPr="00D02A2E">
              <w:t>90</w:t>
            </w:r>
            <w:r w:rsidR="00515D06">
              <w:t>.0</w:t>
            </w:r>
          </w:p>
        </w:tc>
        <w:tc>
          <w:tcPr>
            <w:tcW w:w="1021" w:type="dxa"/>
            <w:tcBorders>
              <w:top w:val="nil"/>
              <w:left w:val="nil"/>
              <w:bottom w:val="single" w:sz="4" w:space="0" w:color="FFFFFF"/>
              <w:right w:val="nil"/>
            </w:tcBorders>
            <w:shd w:val="clear" w:color="auto" w:fill="auto"/>
          </w:tcPr>
          <w:p w:rsidR="0092299C" w:rsidRPr="00D02A2E" w:rsidRDefault="0092299C" w:rsidP="0092299C">
            <w:pPr>
              <w:pStyle w:val="ARtabletextright"/>
            </w:pPr>
            <w:r w:rsidRPr="00D02A2E">
              <w:t>0.0</w:t>
            </w:r>
          </w:p>
        </w:tc>
        <w:tc>
          <w:tcPr>
            <w:tcW w:w="794" w:type="dxa"/>
            <w:tcBorders>
              <w:top w:val="nil"/>
              <w:left w:val="nil"/>
              <w:bottom w:val="single" w:sz="4" w:space="0" w:color="FFFFFF"/>
              <w:right w:val="nil"/>
            </w:tcBorders>
            <w:shd w:val="clear" w:color="auto" w:fill="auto"/>
          </w:tcPr>
          <w:p w:rsidR="0092299C" w:rsidRPr="00D02A2E" w:rsidRDefault="0092299C" w:rsidP="00B64D71">
            <w:pPr>
              <w:pStyle w:val="ARtabletextright"/>
            </w:pPr>
            <w:r w:rsidRPr="00D02A2E">
              <w:sym w:font="Wingdings" w:char="F0FC"/>
            </w:r>
          </w:p>
        </w:tc>
      </w:tr>
      <w:tr w:rsidR="0092299C" w:rsidRPr="00D02A2E" w:rsidTr="00596058">
        <w:tblPrEx>
          <w:tblBorders>
            <w:top w:val="none" w:sz="0" w:space="0" w:color="auto"/>
            <w:left w:val="single" w:sz="4" w:space="0" w:color="FFFFFF"/>
            <w:right w:val="single" w:sz="4" w:space="0" w:color="FFFFFF"/>
            <w:insideV w:val="single" w:sz="4" w:space="0" w:color="FFFFFF"/>
          </w:tblBorders>
          <w:tblLook w:val="01E0" w:firstRow="1" w:lastRow="1" w:firstColumn="1" w:lastColumn="1" w:noHBand="0" w:noVBand="0"/>
        </w:tblPrEx>
        <w:trPr>
          <w:cantSplit/>
          <w:trHeight w:val="20"/>
        </w:trPr>
        <w:tc>
          <w:tcPr>
            <w:tcW w:w="9644" w:type="dxa"/>
            <w:gridSpan w:val="6"/>
            <w:tcBorders>
              <w:top w:val="single" w:sz="4" w:space="0" w:color="FFFFFF"/>
              <w:left w:val="nil"/>
              <w:bottom w:val="single" w:sz="4" w:space="0" w:color="BFBFBF"/>
              <w:right w:val="nil"/>
            </w:tcBorders>
            <w:shd w:val="clear" w:color="auto" w:fill="auto"/>
          </w:tcPr>
          <w:p w:rsidR="0092299C" w:rsidRPr="00D02A2E" w:rsidRDefault="0092299C" w:rsidP="0092299C">
            <w:pPr>
              <w:pStyle w:val="ARtablenoteindent"/>
            </w:pPr>
            <w:r w:rsidRPr="00D02A2E">
              <w:t>Preliminary result.</w:t>
            </w:r>
          </w:p>
        </w:tc>
      </w:tr>
      <w:tr w:rsidR="0092299C" w:rsidRPr="00D02A2E" w:rsidTr="00596058">
        <w:trPr>
          <w:cantSplit/>
          <w:trHeight w:val="227"/>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bluebold"/>
              <w:rPr>
                <w:color w:val="000000"/>
              </w:rPr>
            </w:pPr>
            <w:r w:rsidRPr="00D02A2E">
              <w:t>Cost</w:t>
            </w: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pPr>
          </w:p>
        </w:tc>
        <w:tc>
          <w:tcPr>
            <w:tcW w:w="794" w:type="dxa"/>
            <w:tcBorders>
              <w:top w:val="single" w:sz="4" w:space="0" w:color="BFBFBF"/>
              <w:left w:val="nil"/>
              <w:bottom w:val="nil"/>
              <w:right w:val="nil"/>
            </w:tcBorders>
            <w:shd w:val="clear" w:color="auto" w:fill="auto"/>
            <w:vAlign w:val="center"/>
          </w:tcPr>
          <w:p w:rsidR="0092299C" w:rsidRPr="00D02A2E" w:rsidRDefault="0092299C" w:rsidP="0092299C">
            <w:pPr>
              <w:pStyle w:val="ARtablebluebold"/>
              <w:rPr>
                <w:sz w:val="20"/>
                <w:szCs w:val="20"/>
              </w:rPr>
            </w:pPr>
          </w:p>
        </w:tc>
      </w:tr>
      <w:tr w:rsidR="0092299C" w:rsidRPr="00CA0E9C" w:rsidTr="00596058">
        <w:trPr>
          <w:cantSplit/>
          <w:trHeight w:val="227"/>
        </w:trPr>
        <w:tc>
          <w:tcPr>
            <w:tcW w:w="4766" w:type="dxa"/>
            <w:tcBorders>
              <w:top w:val="nil"/>
              <w:left w:val="nil"/>
              <w:bottom w:val="nil"/>
              <w:right w:val="nil"/>
            </w:tcBorders>
            <w:shd w:val="clear" w:color="auto" w:fill="auto"/>
          </w:tcPr>
          <w:p w:rsidR="0092299C" w:rsidRPr="00D02A2E" w:rsidRDefault="0092299C" w:rsidP="0092299C">
            <w:pPr>
              <w:pStyle w:val="ARtabletextbold"/>
            </w:pPr>
            <w:r w:rsidRPr="00D02A2E">
              <w:t>Total output cost</w:t>
            </w:r>
          </w:p>
        </w:tc>
        <w:tc>
          <w:tcPr>
            <w:tcW w:w="1021" w:type="dxa"/>
            <w:tcBorders>
              <w:top w:val="nil"/>
              <w:left w:val="nil"/>
              <w:bottom w:val="nil"/>
              <w:right w:val="nil"/>
            </w:tcBorders>
            <w:shd w:val="clear" w:color="auto" w:fill="auto"/>
          </w:tcPr>
          <w:p w:rsidR="0092299C" w:rsidRPr="004F1B9E" w:rsidRDefault="0092299C" w:rsidP="001B639E">
            <w:pPr>
              <w:pStyle w:val="ARtabletextright"/>
              <w:jc w:val="center"/>
              <w:rPr>
                <w:b/>
                <w:bCs/>
              </w:rPr>
            </w:pPr>
            <w:r w:rsidRPr="004F1B9E">
              <w:rPr>
                <w:b/>
                <w:bCs/>
              </w:rPr>
              <w:t>$ million</w:t>
            </w:r>
          </w:p>
        </w:tc>
        <w:tc>
          <w:tcPr>
            <w:tcW w:w="1021" w:type="dxa"/>
            <w:tcBorders>
              <w:top w:val="nil"/>
              <w:left w:val="nil"/>
              <w:bottom w:val="nil"/>
              <w:right w:val="nil"/>
            </w:tcBorders>
            <w:shd w:val="clear" w:color="auto" w:fill="auto"/>
          </w:tcPr>
          <w:p w:rsidR="0092299C" w:rsidRPr="004F1B9E" w:rsidRDefault="0092299C" w:rsidP="0092299C">
            <w:pPr>
              <w:pStyle w:val="ARtabletextright"/>
              <w:rPr>
                <w:b/>
                <w:bCs/>
              </w:rPr>
            </w:pPr>
            <w:r w:rsidRPr="004F1B9E">
              <w:rPr>
                <w:b/>
                <w:bCs/>
              </w:rPr>
              <w:t>17.5</w:t>
            </w:r>
          </w:p>
        </w:tc>
        <w:tc>
          <w:tcPr>
            <w:tcW w:w="1021" w:type="dxa"/>
            <w:tcBorders>
              <w:top w:val="nil"/>
              <w:left w:val="nil"/>
              <w:bottom w:val="nil"/>
              <w:right w:val="nil"/>
            </w:tcBorders>
            <w:shd w:val="clear" w:color="auto" w:fill="auto"/>
          </w:tcPr>
          <w:p w:rsidR="0092299C" w:rsidRPr="004F1B9E" w:rsidRDefault="0092299C" w:rsidP="0092299C">
            <w:pPr>
              <w:pStyle w:val="ARtabletextright"/>
              <w:rPr>
                <w:b/>
                <w:bCs/>
              </w:rPr>
            </w:pPr>
            <w:r w:rsidRPr="004F1B9E">
              <w:rPr>
                <w:b/>
                <w:bCs/>
              </w:rPr>
              <w:t>17.2</w:t>
            </w:r>
          </w:p>
        </w:tc>
        <w:tc>
          <w:tcPr>
            <w:tcW w:w="1021" w:type="dxa"/>
            <w:tcBorders>
              <w:top w:val="nil"/>
              <w:left w:val="nil"/>
              <w:bottom w:val="nil"/>
              <w:right w:val="nil"/>
            </w:tcBorders>
            <w:shd w:val="clear" w:color="auto" w:fill="auto"/>
          </w:tcPr>
          <w:p w:rsidR="0092299C" w:rsidRPr="004F1B9E" w:rsidRDefault="00EC4FD8" w:rsidP="0092299C">
            <w:pPr>
              <w:pStyle w:val="ARtabletextright"/>
              <w:rPr>
                <w:b/>
                <w:bCs/>
              </w:rPr>
            </w:pPr>
            <w:r>
              <w:rPr>
                <w:b/>
                <w:bCs/>
              </w:rPr>
              <w:t>–</w:t>
            </w:r>
            <w:r w:rsidR="0092299C" w:rsidRPr="004F1B9E">
              <w:rPr>
                <w:b/>
                <w:bCs/>
              </w:rPr>
              <w:t>1.6</w:t>
            </w:r>
          </w:p>
        </w:tc>
        <w:tc>
          <w:tcPr>
            <w:tcW w:w="794" w:type="dxa"/>
            <w:tcBorders>
              <w:top w:val="nil"/>
              <w:left w:val="nil"/>
              <w:bottom w:val="nil"/>
              <w:right w:val="nil"/>
            </w:tcBorders>
            <w:shd w:val="clear" w:color="auto" w:fill="auto"/>
          </w:tcPr>
          <w:p w:rsidR="0092299C" w:rsidRPr="00CA0E9C" w:rsidRDefault="0092299C" w:rsidP="0092299C">
            <w:pPr>
              <w:pStyle w:val="ARtabletextright"/>
              <w:rPr>
                <w:b/>
                <w:bCs/>
              </w:rPr>
            </w:pPr>
          </w:p>
        </w:tc>
      </w:tr>
      <w:tr w:rsidR="0092299C" w:rsidRPr="00D02A2E" w:rsidTr="00596058">
        <w:trPr>
          <w:cantSplit/>
          <w:trHeight w:val="227"/>
        </w:trPr>
        <w:tc>
          <w:tcPr>
            <w:tcW w:w="9644" w:type="dxa"/>
            <w:gridSpan w:val="6"/>
            <w:tcBorders>
              <w:top w:val="nil"/>
              <w:left w:val="nil"/>
              <w:bottom w:val="single" w:sz="4" w:space="0" w:color="auto"/>
              <w:right w:val="nil"/>
            </w:tcBorders>
            <w:shd w:val="clear" w:color="auto" w:fill="auto"/>
          </w:tcPr>
          <w:p w:rsidR="0092299C" w:rsidRPr="00D02A2E" w:rsidRDefault="0092299C" w:rsidP="0092299C">
            <w:pPr>
              <w:pStyle w:val="ARtablenoteindent"/>
            </w:pPr>
            <w:r w:rsidRPr="00AF52D5">
              <w:t>The 20</w:t>
            </w:r>
            <w:r>
              <w:t>16–17</w:t>
            </w:r>
            <w:r w:rsidRPr="00AF52D5">
              <w:t xml:space="preserve"> actual outcome primary reflects funding requested </w:t>
            </w:r>
            <w:r>
              <w:t>to be carried over into 2017–18.</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left w:val="nil"/>
              <w:bottom w:val="single" w:sz="4" w:space="0" w:color="000000"/>
              <w:right w:val="nil"/>
            </w:tcBorders>
            <w:shd w:val="clear" w:color="auto" w:fill="auto"/>
            <w:hideMark/>
          </w:tcPr>
          <w:p w:rsidR="0092299C" w:rsidRPr="00D02A2E" w:rsidRDefault="0092299C" w:rsidP="0092299C">
            <w:pPr>
              <w:pStyle w:val="ARtablebluebold"/>
            </w:pPr>
            <w:r w:rsidRPr="00D02A2E">
              <w:t xml:space="preserve">Sport and Recreation </w:t>
            </w:r>
          </w:p>
        </w:tc>
        <w:tc>
          <w:tcPr>
            <w:tcW w:w="1021" w:type="dxa"/>
            <w:tcBorders>
              <w:left w:val="nil"/>
              <w:bottom w:val="single" w:sz="4" w:space="0" w:color="000000"/>
              <w:right w:val="nil"/>
            </w:tcBorders>
            <w:shd w:val="clear" w:color="auto" w:fill="auto"/>
            <w:hideMark/>
          </w:tcPr>
          <w:p w:rsidR="0092299C" w:rsidRPr="00D02A2E" w:rsidRDefault="0092299C" w:rsidP="0092299C">
            <w:pPr>
              <w:pStyle w:val="ARtablebluebold"/>
            </w:pPr>
          </w:p>
        </w:tc>
        <w:tc>
          <w:tcPr>
            <w:tcW w:w="1021" w:type="dxa"/>
            <w:tcBorders>
              <w:left w:val="nil"/>
              <w:bottom w:val="single" w:sz="4" w:space="0" w:color="000000"/>
              <w:right w:val="nil"/>
            </w:tcBorders>
            <w:shd w:val="clear" w:color="auto" w:fill="auto"/>
            <w:hideMark/>
          </w:tcPr>
          <w:p w:rsidR="0092299C" w:rsidRPr="00D02A2E" w:rsidRDefault="0092299C" w:rsidP="0092299C">
            <w:pPr>
              <w:pStyle w:val="ARtablebluebold"/>
            </w:pPr>
            <w:r w:rsidRPr="00D02A2E">
              <w:t> </w:t>
            </w:r>
          </w:p>
        </w:tc>
        <w:tc>
          <w:tcPr>
            <w:tcW w:w="1021" w:type="dxa"/>
            <w:tcBorders>
              <w:left w:val="nil"/>
              <w:bottom w:val="single" w:sz="4" w:space="0" w:color="000000"/>
              <w:right w:val="nil"/>
            </w:tcBorders>
            <w:shd w:val="clear" w:color="auto" w:fill="auto"/>
            <w:hideMark/>
          </w:tcPr>
          <w:p w:rsidR="0092299C" w:rsidRPr="00D02A2E" w:rsidRDefault="0092299C" w:rsidP="0092299C">
            <w:pPr>
              <w:pStyle w:val="ARtablebluebold"/>
            </w:pPr>
            <w:r w:rsidRPr="00D02A2E">
              <w:t> </w:t>
            </w:r>
          </w:p>
        </w:tc>
        <w:tc>
          <w:tcPr>
            <w:tcW w:w="1021" w:type="dxa"/>
            <w:tcBorders>
              <w:left w:val="nil"/>
              <w:bottom w:val="single" w:sz="4" w:space="0" w:color="000000"/>
              <w:right w:val="nil"/>
            </w:tcBorders>
            <w:shd w:val="clear" w:color="auto" w:fill="auto"/>
            <w:hideMark/>
          </w:tcPr>
          <w:p w:rsidR="0092299C" w:rsidRPr="00D02A2E" w:rsidRDefault="0092299C" w:rsidP="0092299C">
            <w:pPr>
              <w:pStyle w:val="ARtablebluebold"/>
            </w:pPr>
            <w:r w:rsidRPr="00D02A2E">
              <w:t> </w:t>
            </w:r>
          </w:p>
        </w:tc>
        <w:tc>
          <w:tcPr>
            <w:tcW w:w="794" w:type="dxa"/>
            <w:tcBorders>
              <w:left w:val="nil"/>
              <w:bottom w:val="single" w:sz="4" w:space="0" w:color="000000"/>
              <w:right w:val="nil"/>
            </w:tcBorders>
            <w:shd w:val="clear" w:color="auto" w:fill="auto"/>
            <w:hideMark/>
          </w:tcPr>
          <w:p w:rsidR="0092299C" w:rsidRPr="00D02A2E" w:rsidRDefault="0092299C" w:rsidP="0092299C">
            <w:pPr>
              <w:pStyle w:val="ARtablebluebold"/>
            </w:pP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596058">
              <w:t>Quantity</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1021"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r w:rsidRPr="00D02A2E">
              <w:rPr>
                <w:i/>
              </w:rPr>
              <w:t> </w:t>
            </w:r>
          </w:p>
        </w:tc>
        <w:tc>
          <w:tcPr>
            <w:tcW w:w="794" w:type="dxa"/>
            <w:tcBorders>
              <w:top w:val="single" w:sz="4" w:space="0" w:color="000000"/>
              <w:left w:val="nil"/>
              <w:bottom w:val="nil"/>
              <w:right w:val="nil"/>
            </w:tcBorders>
            <w:shd w:val="clear" w:color="auto" w:fill="auto"/>
            <w:hideMark/>
          </w:tcPr>
          <w:p w:rsidR="0092299C" w:rsidRPr="00D02A2E" w:rsidRDefault="0092299C" w:rsidP="0092299C">
            <w:pPr>
              <w:pStyle w:val="ARtablebluebold"/>
              <w:rPr>
                <w:i/>
              </w:rPr>
            </w:pP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nil"/>
              <w:left w:val="nil"/>
              <w:bottom w:val="nil"/>
              <w:right w:val="nil"/>
            </w:tcBorders>
            <w:shd w:val="clear" w:color="auto" w:fill="auto"/>
          </w:tcPr>
          <w:p w:rsidR="0092299C" w:rsidRPr="00D02A2E" w:rsidRDefault="0092299C" w:rsidP="0092299C">
            <w:pPr>
              <w:pStyle w:val="ARtabletext"/>
            </w:pPr>
            <w:r w:rsidRPr="00D02A2E">
              <w:t>Combat sports licences, registrations and permits issued</w:t>
            </w:r>
          </w:p>
        </w:tc>
        <w:tc>
          <w:tcPr>
            <w:tcW w:w="1021" w:type="dxa"/>
            <w:tcBorders>
              <w:top w:val="nil"/>
              <w:left w:val="nil"/>
              <w:bottom w:val="nil"/>
              <w:right w:val="nil"/>
            </w:tcBorders>
            <w:shd w:val="clear" w:color="auto" w:fill="auto"/>
          </w:tcPr>
          <w:p w:rsidR="0092299C" w:rsidRPr="00D02A2E" w:rsidRDefault="00A43AA2" w:rsidP="001B639E">
            <w:pPr>
              <w:pStyle w:val="ARtabletext"/>
              <w:jc w:val="center"/>
            </w:pPr>
            <w:r>
              <w:t>n</w:t>
            </w:r>
            <w:r w:rsidR="0092299C" w:rsidRPr="00D02A2E">
              <w:t>umber</w:t>
            </w:r>
          </w:p>
        </w:tc>
        <w:tc>
          <w:tcPr>
            <w:tcW w:w="1021" w:type="dxa"/>
            <w:tcBorders>
              <w:top w:val="nil"/>
              <w:left w:val="nil"/>
              <w:bottom w:val="nil"/>
              <w:right w:val="nil"/>
            </w:tcBorders>
            <w:shd w:val="clear" w:color="auto" w:fill="auto"/>
          </w:tcPr>
          <w:p w:rsidR="0092299C" w:rsidRPr="00D02A2E" w:rsidRDefault="00DF18E2" w:rsidP="0092299C">
            <w:pPr>
              <w:pStyle w:val="ARtabletextright"/>
            </w:pPr>
            <w:r>
              <w:t>&gt;</w:t>
            </w:r>
            <w:r w:rsidR="0092299C" w:rsidRPr="00D02A2E">
              <w:t>600</w:t>
            </w:r>
          </w:p>
        </w:tc>
        <w:tc>
          <w:tcPr>
            <w:tcW w:w="1021" w:type="dxa"/>
            <w:tcBorders>
              <w:top w:val="nil"/>
              <w:left w:val="nil"/>
              <w:bottom w:val="nil"/>
              <w:right w:val="nil"/>
            </w:tcBorders>
            <w:shd w:val="clear" w:color="auto" w:fill="auto"/>
          </w:tcPr>
          <w:p w:rsidR="0092299C" w:rsidRPr="00D02A2E" w:rsidRDefault="0092299C" w:rsidP="0092299C">
            <w:pPr>
              <w:pStyle w:val="ARtabletextright"/>
            </w:pPr>
            <w:r w:rsidRPr="00D02A2E">
              <w:t>570</w:t>
            </w:r>
          </w:p>
        </w:tc>
        <w:tc>
          <w:tcPr>
            <w:tcW w:w="1021" w:type="dxa"/>
            <w:tcBorders>
              <w:top w:val="nil"/>
              <w:left w:val="nil"/>
              <w:bottom w:val="nil"/>
              <w:right w:val="nil"/>
            </w:tcBorders>
            <w:shd w:val="clear" w:color="auto" w:fill="auto"/>
          </w:tcPr>
          <w:p w:rsidR="0092299C" w:rsidRPr="00D02A2E" w:rsidRDefault="00EC4FD8" w:rsidP="0092299C">
            <w:pPr>
              <w:pStyle w:val="ARtabletextright"/>
            </w:pPr>
            <w:r>
              <w:t>–</w:t>
            </w:r>
            <w:r w:rsidR="0092299C">
              <w:t>5.0</w:t>
            </w:r>
          </w:p>
        </w:tc>
        <w:tc>
          <w:tcPr>
            <w:tcW w:w="794" w:type="dxa"/>
            <w:tcBorders>
              <w:top w:val="nil"/>
              <w:left w:val="nil"/>
              <w:bottom w:val="nil"/>
              <w:right w:val="nil"/>
            </w:tcBorders>
            <w:shd w:val="clear" w:color="auto" w:fill="auto"/>
            <w:hideMark/>
          </w:tcPr>
          <w:p w:rsidR="0092299C" w:rsidRPr="00D02A2E" w:rsidRDefault="0092299C" w:rsidP="008C184A">
            <w:pPr>
              <w:pStyle w:val="ARtabletextright"/>
            </w:pPr>
            <w:r w:rsidRPr="008C184A">
              <w:rPr>
                <w:rFonts w:ascii="Wingdings" w:hAnsi="Wingdings"/>
                <w:lang w:val="x-none" w:eastAsia="x-none"/>
              </w:rPr>
              <w:sym w:font="Wingdings 2" w:char="F099"/>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bottom w:val="single" w:sz="4" w:space="0" w:color="BFBFBF"/>
              <w:right w:val="nil"/>
            </w:tcBorders>
            <w:shd w:val="clear" w:color="auto" w:fill="auto"/>
          </w:tcPr>
          <w:p w:rsidR="0092299C" w:rsidRPr="008360C6" w:rsidRDefault="0092299C" w:rsidP="0092299C">
            <w:pPr>
              <w:pStyle w:val="ARtablenoteindent"/>
            </w:pPr>
            <w:r w:rsidRPr="008360C6">
              <w:t xml:space="preserve">The result is </w:t>
            </w:r>
            <w:r>
              <w:t xml:space="preserve">lower than the target </w:t>
            </w:r>
            <w:r w:rsidRPr="008360C6">
              <w:t>due to fewer applications for permits, licences and registrations. The number of applications is always variable and depends on demand from the industry.</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text"/>
            </w:pPr>
            <w:r w:rsidRPr="00D02A2E">
              <w:t>Community Facility Grants: number approved</w:t>
            </w:r>
          </w:p>
        </w:tc>
        <w:tc>
          <w:tcPr>
            <w:tcW w:w="1021" w:type="dxa"/>
            <w:tcBorders>
              <w:top w:val="single" w:sz="4" w:space="0" w:color="BFBFBF"/>
              <w:left w:val="nil"/>
              <w:bottom w:val="single" w:sz="4" w:space="0" w:color="FFFFFF"/>
              <w:right w:val="nil"/>
            </w:tcBorders>
            <w:shd w:val="clear" w:color="auto" w:fill="auto"/>
          </w:tcPr>
          <w:p w:rsidR="0092299C" w:rsidRPr="00D02A2E" w:rsidRDefault="00A43AA2" w:rsidP="001B639E">
            <w:pPr>
              <w:pStyle w:val="ARtabletext"/>
              <w:jc w:val="center"/>
            </w:pPr>
            <w:r>
              <w:t>n</w:t>
            </w:r>
            <w:r w:rsidR="0092299C" w:rsidRPr="00D02A2E">
              <w:t>umber</w:t>
            </w:r>
          </w:p>
        </w:tc>
        <w:tc>
          <w:tcPr>
            <w:tcW w:w="1021" w:type="dxa"/>
            <w:tcBorders>
              <w:top w:val="single" w:sz="4" w:space="0" w:color="BFBFBF"/>
              <w:left w:val="nil"/>
              <w:bottom w:val="single" w:sz="4" w:space="0" w:color="FFFFFF"/>
              <w:right w:val="nil"/>
            </w:tcBorders>
            <w:shd w:val="clear" w:color="auto" w:fill="auto"/>
          </w:tcPr>
          <w:p w:rsidR="0092299C" w:rsidRPr="00D02A2E" w:rsidRDefault="00DF18E2" w:rsidP="0092299C">
            <w:pPr>
              <w:pStyle w:val="ARtabletextright"/>
            </w:pPr>
            <w:r>
              <w:t>&gt;</w:t>
            </w:r>
            <w:r w:rsidR="0092299C" w:rsidRPr="00D02A2E">
              <w:t>140</w:t>
            </w:r>
          </w:p>
        </w:tc>
        <w:tc>
          <w:tcPr>
            <w:tcW w:w="1021"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textright"/>
            </w:pPr>
            <w:r w:rsidRPr="00D02A2E">
              <w:t>170</w:t>
            </w:r>
          </w:p>
        </w:tc>
        <w:tc>
          <w:tcPr>
            <w:tcW w:w="1021"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textright"/>
            </w:pPr>
            <w:r>
              <w:t>26.4</w:t>
            </w:r>
          </w:p>
        </w:tc>
        <w:tc>
          <w:tcPr>
            <w:tcW w:w="794" w:type="dxa"/>
            <w:tcBorders>
              <w:top w:val="single" w:sz="4" w:space="0" w:color="BFBFBF"/>
              <w:left w:val="nil"/>
              <w:bottom w:val="single" w:sz="4" w:space="0" w:color="FFFFFF"/>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single" w:sz="4" w:space="0" w:color="FFFFFF"/>
              <w:left w:val="nil"/>
              <w:bottom w:val="single" w:sz="4" w:space="0" w:color="BFBFBF"/>
              <w:right w:val="nil"/>
            </w:tcBorders>
            <w:shd w:val="clear" w:color="auto" w:fill="auto"/>
          </w:tcPr>
          <w:p w:rsidR="0092299C" w:rsidRPr="008360C6" w:rsidRDefault="0092299C" w:rsidP="0092299C">
            <w:pPr>
              <w:pStyle w:val="ARtablenoteindent"/>
            </w:pPr>
            <w:r w:rsidRPr="008360C6">
              <w:t xml:space="preserve">The result is </w:t>
            </w:r>
            <w:r>
              <w:t xml:space="preserve">higher than the target </w:t>
            </w:r>
            <w:r w:rsidRPr="008360C6">
              <w:t>due to a larger than expected number of project approvals across the relevant programs.</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text"/>
            </w:pPr>
            <w:r w:rsidRPr="00D02A2E">
              <w:t>Events facilitated: Sport and Recreation</w:t>
            </w:r>
          </w:p>
        </w:tc>
        <w:tc>
          <w:tcPr>
            <w:tcW w:w="1021" w:type="dxa"/>
            <w:tcBorders>
              <w:top w:val="single" w:sz="4" w:space="0" w:color="BFBFBF"/>
              <w:left w:val="nil"/>
              <w:bottom w:val="nil"/>
              <w:right w:val="nil"/>
            </w:tcBorders>
            <w:shd w:val="clear" w:color="auto" w:fill="auto"/>
          </w:tcPr>
          <w:p w:rsidR="0092299C" w:rsidRPr="00D02A2E" w:rsidRDefault="00A43AA2" w:rsidP="001B639E">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auto"/>
          </w:tcPr>
          <w:p w:rsidR="0092299C" w:rsidRPr="00D02A2E" w:rsidRDefault="00DF18E2" w:rsidP="0092299C">
            <w:pPr>
              <w:pStyle w:val="ARtabletextright"/>
            </w:pPr>
            <w:r>
              <w:t>&gt;</w:t>
            </w:r>
            <w:r w:rsidR="0092299C" w:rsidRPr="00D02A2E">
              <w:t>70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80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14.3</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bottom w:val="single" w:sz="4" w:space="0" w:color="BFBFBF"/>
              <w:right w:val="nil"/>
            </w:tcBorders>
            <w:shd w:val="clear" w:color="auto" w:fill="auto"/>
          </w:tcPr>
          <w:p w:rsidR="0092299C" w:rsidRPr="008360C6" w:rsidRDefault="0092299C" w:rsidP="0092299C">
            <w:pPr>
              <w:pStyle w:val="ARtablenoteindent"/>
            </w:pPr>
            <w:r w:rsidRPr="008360C6">
              <w:t xml:space="preserve">The result is </w:t>
            </w:r>
            <w:r>
              <w:t xml:space="preserve">higher than the target </w:t>
            </w:r>
            <w:r w:rsidRPr="008360C6">
              <w:t>due to higher than expected demand for funding from eligible events.</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FFFFFF" w:themeFill="background1"/>
          </w:tcPr>
          <w:p w:rsidR="0092299C" w:rsidRPr="00D02A2E" w:rsidRDefault="00D553A3" w:rsidP="0092299C">
            <w:pPr>
              <w:pStyle w:val="ARtabletext"/>
            </w:pPr>
            <w:r w:rsidRPr="00D553A3">
              <w:t>Number of projects in progress that relate to the planning and development of state level facilities</w:t>
            </w:r>
          </w:p>
        </w:tc>
        <w:tc>
          <w:tcPr>
            <w:tcW w:w="1021" w:type="dxa"/>
            <w:tcBorders>
              <w:top w:val="single" w:sz="4" w:space="0" w:color="BFBFBF"/>
              <w:left w:val="nil"/>
              <w:bottom w:val="nil"/>
              <w:right w:val="nil"/>
            </w:tcBorders>
            <w:shd w:val="clear" w:color="auto" w:fill="FFFFFF" w:themeFill="background1"/>
          </w:tcPr>
          <w:p w:rsidR="0092299C" w:rsidRPr="00D02A2E" w:rsidRDefault="00A43AA2" w:rsidP="001B639E">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FFFFFF" w:themeFill="background1"/>
          </w:tcPr>
          <w:p w:rsidR="0092299C" w:rsidRPr="00D02A2E" w:rsidRDefault="00DF18E2" w:rsidP="0092299C">
            <w:pPr>
              <w:pStyle w:val="ARtabletextright"/>
            </w:pPr>
            <w:r>
              <w:t>&gt;</w:t>
            </w:r>
            <w:r w:rsidR="0092299C" w:rsidRPr="00D02A2E">
              <w:t>9</w:t>
            </w:r>
          </w:p>
        </w:tc>
        <w:tc>
          <w:tcPr>
            <w:tcW w:w="1021" w:type="dxa"/>
            <w:tcBorders>
              <w:top w:val="single" w:sz="4" w:space="0" w:color="BFBFBF"/>
              <w:left w:val="nil"/>
              <w:bottom w:val="nil"/>
              <w:right w:val="nil"/>
            </w:tcBorders>
            <w:shd w:val="clear" w:color="auto" w:fill="FFFFFF" w:themeFill="background1"/>
          </w:tcPr>
          <w:p w:rsidR="0092299C" w:rsidRPr="00D02A2E" w:rsidRDefault="0092299C" w:rsidP="0092299C">
            <w:pPr>
              <w:pStyle w:val="ARtabletextright"/>
            </w:pPr>
            <w:r w:rsidRPr="00D02A2E">
              <w:t>13</w:t>
            </w:r>
          </w:p>
        </w:tc>
        <w:tc>
          <w:tcPr>
            <w:tcW w:w="1021" w:type="dxa"/>
            <w:tcBorders>
              <w:top w:val="single" w:sz="4" w:space="0" w:color="BFBFBF"/>
              <w:left w:val="nil"/>
              <w:bottom w:val="nil"/>
              <w:right w:val="nil"/>
            </w:tcBorders>
            <w:shd w:val="clear" w:color="auto" w:fill="FFFFFF" w:themeFill="background1"/>
          </w:tcPr>
          <w:p w:rsidR="0092299C" w:rsidRPr="00D02A2E" w:rsidRDefault="0092299C" w:rsidP="0092299C">
            <w:pPr>
              <w:pStyle w:val="ARtabletextright"/>
            </w:pPr>
            <w:r>
              <w:t>44.4</w:t>
            </w:r>
          </w:p>
        </w:tc>
        <w:tc>
          <w:tcPr>
            <w:tcW w:w="794" w:type="dxa"/>
            <w:tcBorders>
              <w:top w:val="single" w:sz="4" w:space="0" w:color="BFBFBF"/>
              <w:left w:val="nil"/>
              <w:bottom w:val="nil"/>
              <w:right w:val="nil"/>
            </w:tcBorders>
            <w:shd w:val="clear" w:color="auto" w:fill="FFFFFF" w:themeFill="background1"/>
          </w:tcPr>
          <w:p w:rsidR="0092299C" w:rsidRPr="00D02A2E" w:rsidRDefault="0092299C" w:rsidP="008C184A">
            <w:pPr>
              <w:pStyle w:val="ARtabletextright"/>
            </w:pPr>
            <w:r w:rsidRPr="008C184A">
              <w:rPr>
                <w:rFonts w:ascii="Wingdings" w:hAnsi="Wingdings"/>
              </w:rPr>
              <w:t></w:t>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bottom w:val="single" w:sz="4" w:space="0" w:color="BFBFBF"/>
              <w:right w:val="nil"/>
            </w:tcBorders>
            <w:shd w:val="clear" w:color="auto" w:fill="auto"/>
          </w:tcPr>
          <w:p w:rsidR="0092299C" w:rsidRPr="008360C6" w:rsidRDefault="0092299C" w:rsidP="0092299C">
            <w:pPr>
              <w:pStyle w:val="ARtablenoteindent"/>
            </w:pPr>
            <w:r w:rsidRPr="008360C6">
              <w:t xml:space="preserve">The </w:t>
            </w:r>
            <w:r>
              <w:t xml:space="preserve">result is higher than the target </w:t>
            </w:r>
            <w:r w:rsidRPr="008360C6">
              <w:t>due to government investment in additional projects.</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text"/>
            </w:pPr>
            <w:r w:rsidRPr="00D02A2E">
              <w:t>Number of sports with athletes on Victorian Institute of Sport (VIS) scholarships</w:t>
            </w:r>
          </w:p>
        </w:tc>
        <w:tc>
          <w:tcPr>
            <w:tcW w:w="1021" w:type="dxa"/>
            <w:tcBorders>
              <w:top w:val="single" w:sz="4" w:space="0" w:color="BFBFBF"/>
              <w:left w:val="nil"/>
              <w:bottom w:val="nil"/>
              <w:right w:val="nil"/>
            </w:tcBorders>
            <w:shd w:val="clear" w:color="auto" w:fill="auto"/>
          </w:tcPr>
          <w:p w:rsidR="0092299C" w:rsidRPr="00D02A2E" w:rsidRDefault="00A43AA2" w:rsidP="001B639E">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auto"/>
          </w:tcPr>
          <w:p w:rsidR="0092299C" w:rsidRPr="00D02A2E" w:rsidRDefault="00DF18E2" w:rsidP="0092299C">
            <w:pPr>
              <w:pStyle w:val="ARtabletextright"/>
            </w:pPr>
            <w:r>
              <w:t>&gt;</w:t>
            </w:r>
            <w:r w:rsidR="0092299C" w:rsidRPr="00D02A2E">
              <w:t>20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33</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65.0</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bottom w:val="single" w:sz="4" w:space="0" w:color="BFBFBF"/>
              <w:right w:val="nil"/>
            </w:tcBorders>
            <w:shd w:val="clear" w:color="auto" w:fill="auto"/>
          </w:tcPr>
          <w:p w:rsidR="0092299C" w:rsidRPr="008360C6" w:rsidRDefault="0092299C" w:rsidP="0092299C">
            <w:pPr>
              <w:pStyle w:val="ARtablenoteindent"/>
            </w:pPr>
            <w:r w:rsidRPr="008360C6">
              <w:t xml:space="preserve">The result is </w:t>
            </w:r>
            <w:r>
              <w:t xml:space="preserve">higher than the target </w:t>
            </w:r>
            <w:r w:rsidRPr="008360C6">
              <w:t>due to the large number of sports, which have athletes who are eligible for individual scholarships.</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text"/>
            </w:pPr>
            <w:r w:rsidRPr="00D02A2E">
              <w:t>Sport and recreation organisations undertaking programs or activities to enhance participation</w:t>
            </w:r>
          </w:p>
        </w:tc>
        <w:tc>
          <w:tcPr>
            <w:tcW w:w="1021" w:type="dxa"/>
            <w:tcBorders>
              <w:top w:val="single" w:sz="4" w:space="0" w:color="BFBFBF"/>
              <w:left w:val="nil"/>
              <w:bottom w:val="nil"/>
              <w:right w:val="nil"/>
            </w:tcBorders>
            <w:shd w:val="clear" w:color="auto" w:fill="auto"/>
          </w:tcPr>
          <w:p w:rsidR="0092299C" w:rsidRPr="00D02A2E" w:rsidRDefault="00A43AA2" w:rsidP="001B639E">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auto"/>
          </w:tcPr>
          <w:p w:rsidR="0092299C" w:rsidRPr="00D02A2E" w:rsidRDefault="00DF18E2" w:rsidP="0092299C">
            <w:pPr>
              <w:pStyle w:val="ARtabletextright"/>
            </w:pPr>
            <w:r>
              <w:t>&gt;</w:t>
            </w:r>
            <w:r w:rsidR="0092299C" w:rsidRPr="00D02A2E">
              <w:t>90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102</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13.3</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bottom w:val="single" w:sz="4" w:space="0" w:color="BFBFBF"/>
              <w:right w:val="nil"/>
            </w:tcBorders>
            <w:shd w:val="clear" w:color="auto" w:fill="auto"/>
          </w:tcPr>
          <w:p w:rsidR="0092299C" w:rsidRPr="008360C6" w:rsidRDefault="0092299C" w:rsidP="0092299C">
            <w:pPr>
              <w:pStyle w:val="ARtablenoteindent"/>
            </w:pPr>
            <w:r w:rsidRPr="008360C6">
              <w:t xml:space="preserve">The result is </w:t>
            </w:r>
            <w:r>
              <w:t xml:space="preserve">higher than the target </w:t>
            </w:r>
            <w:r w:rsidRPr="008360C6">
              <w:t>due to the provision of support to additional organisations.</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auto"/>
          </w:tcPr>
          <w:p w:rsidR="0092299C" w:rsidRPr="00D02A2E" w:rsidRDefault="00D553A3" w:rsidP="0092299C">
            <w:pPr>
              <w:pStyle w:val="ARtabletext"/>
            </w:pPr>
            <w:r w:rsidRPr="00D553A3">
              <w:lastRenderedPageBreak/>
              <w:t>Sporting club grants: number approved</w:t>
            </w:r>
          </w:p>
        </w:tc>
        <w:tc>
          <w:tcPr>
            <w:tcW w:w="1021" w:type="dxa"/>
            <w:tcBorders>
              <w:top w:val="single" w:sz="4" w:space="0" w:color="BFBFBF"/>
              <w:left w:val="nil"/>
              <w:bottom w:val="nil"/>
              <w:right w:val="nil"/>
            </w:tcBorders>
            <w:shd w:val="clear" w:color="auto" w:fill="auto"/>
          </w:tcPr>
          <w:p w:rsidR="0092299C" w:rsidRPr="00D02A2E" w:rsidRDefault="00A43AA2" w:rsidP="001F2E2D">
            <w:pPr>
              <w:pStyle w:val="ARtabletext"/>
              <w:jc w:val="center"/>
            </w:pPr>
            <w:r>
              <w:t>n</w:t>
            </w:r>
            <w:r w:rsidR="0092299C" w:rsidRPr="00D02A2E">
              <w:t>umber</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600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739</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23.2</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bottom w:val="single" w:sz="4" w:space="0" w:color="BFBFBF"/>
              <w:right w:val="nil"/>
            </w:tcBorders>
            <w:shd w:val="clear" w:color="auto" w:fill="auto"/>
          </w:tcPr>
          <w:p w:rsidR="0092299C" w:rsidRPr="008360C6" w:rsidRDefault="0092299C" w:rsidP="0092299C">
            <w:pPr>
              <w:pStyle w:val="ARtablenoteindent"/>
            </w:pPr>
            <w:r w:rsidRPr="008360C6">
              <w:t xml:space="preserve">The result is </w:t>
            </w:r>
            <w:r>
              <w:t xml:space="preserve">higher than the target </w:t>
            </w:r>
            <w:r w:rsidRPr="008360C6">
              <w:t>due to more grants with smaller funding amounts being approved. Grant amounts vary across the categories in the Sporting Club Grants Program with a maximum grant of $5,000. The funding pool was $20,000 higher than in 20</w:t>
            </w:r>
            <w:r>
              <w:t>15–16</w:t>
            </w:r>
            <w:r w:rsidRPr="008360C6">
              <w:t xml:space="preserve"> due to indexation.</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auto"/>
          </w:tcPr>
          <w:p w:rsidR="0092299C" w:rsidRPr="00D02A2E" w:rsidRDefault="0092299C" w:rsidP="0092299C">
            <w:pPr>
              <w:pStyle w:val="ARtabletext"/>
            </w:pPr>
            <w:r w:rsidRPr="00D02A2E">
              <w:t>Victorian Institute of Sports scholarship holders on national teams/squads</w:t>
            </w:r>
          </w:p>
        </w:tc>
        <w:tc>
          <w:tcPr>
            <w:tcW w:w="1021" w:type="dxa"/>
            <w:tcBorders>
              <w:top w:val="single" w:sz="4" w:space="0" w:color="BFBFBF"/>
              <w:left w:val="nil"/>
              <w:bottom w:val="nil"/>
              <w:right w:val="nil"/>
            </w:tcBorders>
            <w:shd w:val="clear" w:color="auto" w:fill="auto"/>
          </w:tcPr>
          <w:p w:rsidR="0092299C" w:rsidRPr="00D02A2E" w:rsidRDefault="0092299C" w:rsidP="001F2E2D">
            <w:pPr>
              <w:pStyle w:val="ARtabletext"/>
              <w:jc w:val="center"/>
            </w:pPr>
            <w:r w:rsidRPr="00D02A2E">
              <w:t>per cent</w:t>
            </w:r>
          </w:p>
        </w:tc>
        <w:tc>
          <w:tcPr>
            <w:tcW w:w="1021" w:type="dxa"/>
            <w:tcBorders>
              <w:top w:val="single" w:sz="4" w:space="0" w:color="BFBFBF"/>
              <w:left w:val="nil"/>
              <w:bottom w:val="nil"/>
              <w:right w:val="nil"/>
            </w:tcBorders>
            <w:shd w:val="clear" w:color="auto" w:fill="auto"/>
          </w:tcPr>
          <w:p w:rsidR="0092299C" w:rsidRPr="00D02A2E" w:rsidRDefault="004D034A" w:rsidP="0092299C">
            <w:pPr>
              <w:pStyle w:val="ARtabletextright"/>
            </w:pPr>
            <w:r>
              <w:t>&gt;</w:t>
            </w:r>
            <w:r w:rsidR="00E44182">
              <w:t xml:space="preserve"> </w:t>
            </w:r>
            <w:r w:rsidR="0092299C" w:rsidRPr="00D02A2E">
              <w:t>55</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rsidRPr="00D02A2E">
              <w:t>80</w:t>
            </w:r>
            <w:r w:rsidR="004D034A">
              <w:t>.0</w:t>
            </w:r>
          </w:p>
        </w:tc>
        <w:tc>
          <w:tcPr>
            <w:tcW w:w="1021" w:type="dxa"/>
            <w:tcBorders>
              <w:top w:val="single" w:sz="4" w:space="0" w:color="BFBFBF"/>
              <w:left w:val="nil"/>
              <w:bottom w:val="nil"/>
              <w:right w:val="nil"/>
            </w:tcBorders>
            <w:shd w:val="clear" w:color="auto" w:fill="auto"/>
          </w:tcPr>
          <w:p w:rsidR="0092299C" w:rsidRPr="00D02A2E" w:rsidRDefault="0092299C" w:rsidP="0092299C">
            <w:pPr>
              <w:pStyle w:val="ARtabletextright"/>
            </w:pPr>
            <w:r>
              <w:t>45.5</w:t>
            </w:r>
          </w:p>
        </w:tc>
        <w:tc>
          <w:tcPr>
            <w:tcW w:w="794" w:type="dxa"/>
            <w:tcBorders>
              <w:top w:val="single" w:sz="4" w:space="0" w:color="BFBFBF"/>
              <w:left w:val="nil"/>
              <w:bottom w:val="nil"/>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8360C6"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9644" w:type="dxa"/>
            <w:gridSpan w:val="6"/>
            <w:tcBorders>
              <w:top w:val="nil"/>
              <w:left w:val="nil"/>
              <w:bottom w:val="single" w:sz="4" w:space="0" w:color="BFBFBF"/>
              <w:right w:val="nil"/>
            </w:tcBorders>
            <w:shd w:val="clear" w:color="auto" w:fill="auto"/>
          </w:tcPr>
          <w:p w:rsidR="0092299C" w:rsidRPr="008360C6" w:rsidRDefault="0092299C" w:rsidP="0092299C">
            <w:pPr>
              <w:pStyle w:val="ARtablenoteindent"/>
            </w:pPr>
            <w:r w:rsidRPr="008360C6">
              <w:t>The above target result is due to the strong performance of the Victorian Institute of Sport in developing athletes for selection in national teams or squads.</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Quality</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nil"/>
              <w:left w:val="nil"/>
              <w:bottom w:val="single" w:sz="4" w:space="0" w:color="BFBFBF"/>
              <w:right w:val="nil"/>
            </w:tcBorders>
            <w:shd w:val="clear" w:color="auto" w:fill="auto"/>
          </w:tcPr>
          <w:p w:rsidR="0092299C" w:rsidRPr="00D02A2E" w:rsidRDefault="0092299C" w:rsidP="0092299C">
            <w:pPr>
              <w:pStyle w:val="ARtabletext"/>
            </w:pPr>
            <w:r w:rsidRPr="00D02A2E">
              <w:t>Contract management of outdoor recreation camps meets agreed key performance indicators</w:t>
            </w:r>
          </w:p>
        </w:tc>
        <w:tc>
          <w:tcPr>
            <w:tcW w:w="1021" w:type="dxa"/>
            <w:tcBorders>
              <w:top w:val="nil"/>
              <w:left w:val="nil"/>
              <w:bottom w:val="single" w:sz="4" w:space="0" w:color="BFBFBF"/>
              <w:right w:val="nil"/>
            </w:tcBorders>
            <w:shd w:val="clear" w:color="auto" w:fill="auto"/>
          </w:tcPr>
          <w:p w:rsidR="0092299C" w:rsidRPr="00D02A2E" w:rsidRDefault="0092299C" w:rsidP="001F2E2D">
            <w:pPr>
              <w:pStyle w:val="ARtabletext"/>
              <w:jc w:val="center"/>
            </w:pPr>
            <w:r w:rsidRPr="00D02A2E">
              <w:t>per cent</w:t>
            </w:r>
          </w:p>
        </w:tc>
        <w:tc>
          <w:tcPr>
            <w:tcW w:w="1021" w:type="dxa"/>
            <w:tcBorders>
              <w:top w:val="nil"/>
              <w:left w:val="nil"/>
              <w:bottom w:val="single" w:sz="4" w:space="0" w:color="BFBFBF"/>
              <w:right w:val="nil"/>
            </w:tcBorders>
            <w:shd w:val="clear" w:color="auto" w:fill="auto"/>
          </w:tcPr>
          <w:p w:rsidR="0092299C" w:rsidRPr="00D02A2E" w:rsidRDefault="004D034A" w:rsidP="0092299C">
            <w:pPr>
              <w:pStyle w:val="ARtabletextright"/>
            </w:pPr>
            <w:r>
              <w:t>&gt;</w:t>
            </w:r>
            <w:r w:rsidR="00E44182">
              <w:t xml:space="preserve"> </w:t>
            </w:r>
            <w:r w:rsidR="0092299C" w:rsidRPr="00D02A2E">
              <w:t>90</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rsidRPr="00D02A2E">
              <w:t>93</w:t>
            </w:r>
            <w:r w:rsidR="004D034A">
              <w:t>.3</w:t>
            </w:r>
          </w:p>
        </w:tc>
        <w:tc>
          <w:tcPr>
            <w:tcW w:w="1021" w:type="dxa"/>
            <w:tcBorders>
              <w:top w:val="nil"/>
              <w:left w:val="nil"/>
              <w:bottom w:val="single" w:sz="4" w:space="0" w:color="BFBFBF"/>
              <w:right w:val="nil"/>
            </w:tcBorders>
            <w:shd w:val="clear" w:color="auto" w:fill="auto"/>
          </w:tcPr>
          <w:p w:rsidR="0092299C" w:rsidRPr="00D02A2E" w:rsidRDefault="0092299C" w:rsidP="0092299C">
            <w:pPr>
              <w:pStyle w:val="ARtabletextright"/>
            </w:pPr>
            <w:r>
              <w:t>3.</w:t>
            </w:r>
            <w:r w:rsidR="004D034A">
              <w:t>7</w:t>
            </w:r>
          </w:p>
        </w:tc>
        <w:tc>
          <w:tcPr>
            <w:tcW w:w="794" w:type="dxa"/>
            <w:tcBorders>
              <w:top w:val="nil"/>
              <w:left w:val="nil"/>
              <w:bottom w:val="single" w:sz="4" w:space="0" w:color="BFBFBF"/>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bluebold"/>
            </w:pPr>
            <w:r w:rsidRPr="00D02A2E">
              <w:t>Timeliness</w:t>
            </w:r>
          </w:p>
        </w:tc>
        <w:tc>
          <w:tcPr>
            <w:tcW w:w="1021"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bluebold"/>
            </w:pPr>
          </w:p>
        </w:tc>
        <w:tc>
          <w:tcPr>
            <w:tcW w:w="1021"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bluebold"/>
            </w:pPr>
            <w:r w:rsidRPr="00D02A2E">
              <w:t> </w:t>
            </w:r>
          </w:p>
        </w:tc>
        <w:tc>
          <w:tcPr>
            <w:tcW w:w="1021"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bluebold"/>
            </w:pPr>
            <w:r w:rsidRPr="00D02A2E">
              <w:t> </w:t>
            </w:r>
          </w:p>
        </w:tc>
        <w:tc>
          <w:tcPr>
            <w:tcW w:w="1021" w:type="dxa"/>
            <w:tcBorders>
              <w:top w:val="single" w:sz="4" w:space="0" w:color="BFBFBF"/>
              <w:left w:val="nil"/>
              <w:bottom w:val="single" w:sz="4" w:space="0" w:color="FFFFFF"/>
              <w:right w:val="nil"/>
            </w:tcBorders>
            <w:shd w:val="clear" w:color="auto" w:fill="auto"/>
          </w:tcPr>
          <w:p w:rsidR="0092299C" w:rsidRPr="00D02A2E" w:rsidRDefault="0092299C" w:rsidP="0092299C">
            <w:pPr>
              <w:pStyle w:val="ARtablebluebold"/>
            </w:pPr>
            <w:r w:rsidRPr="00D02A2E">
              <w:t> </w:t>
            </w:r>
          </w:p>
        </w:tc>
        <w:tc>
          <w:tcPr>
            <w:tcW w:w="794" w:type="dxa"/>
            <w:tcBorders>
              <w:top w:val="single" w:sz="4" w:space="0" w:color="BFBFBF"/>
              <w:left w:val="nil"/>
              <w:bottom w:val="single" w:sz="4" w:space="0" w:color="FFFFFF"/>
              <w:right w:val="nil"/>
            </w:tcBorders>
            <w:shd w:val="clear" w:color="auto" w:fill="auto"/>
          </w:tcPr>
          <w:p w:rsidR="0092299C" w:rsidRPr="00D02A2E" w:rsidRDefault="0092299C" w:rsidP="00FE190D">
            <w:pPr>
              <w:pStyle w:val="ARtablebluebold"/>
              <w:jc w:val="center"/>
            </w:pP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FFFFFF"/>
              <w:left w:val="nil"/>
              <w:bottom w:val="single" w:sz="4" w:space="0" w:color="BFBFBF"/>
              <w:right w:val="nil"/>
            </w:tcBorders>
            <w:shd w:val="clear" w:color="auto" w:fill="auto"/>
          </w:tcPr>
          <w:p w:rsidR="0092299C" w:rsidRPr="00D02A2E" w:rsidRDefault="0092299C" w:rsidP="0092299C">
            <w:pPr>
              <w:pStyle w:val="ARtabletext"/>
            </w:pPr>
            <w:r w:rsidRPr="00D02A2E">
              <w:t>Annual Community Sport and Recreation Awards held</w:t>
            </w:r>
          </w:p>
        </w:tc>
        <w:tc>
          <w:tcPr>
            <w:tcW w:w="1021" w:type="dxa"/>
            <w:tcBorders>
              <w:top w:val="single" w:sz="4" w:space="0" w:color="FFFFFF"/>
              <w:left w:val="nil"/>
              <w:bottom w:val="single" w:sz="4" w:space="0" w:color="BFBFBF"/>
              <w:right w:val="nil"/>
            </w:tcBorders>
            <w:shd w:val="clear" w:color="auto" w:fill="auto"/>
          </w:tcPr>
          <w:p w:rsidR="0092299C" w:rsidRPr="00D02A2E" w:rsidRDefault="00A43AA2" w:rsidP="001F2E2D">
            <w:pPr>
              <w:pStyle w:val="ARtabletext"/>
              <w:jc w:val="center"/>
            </w:pPr>
            <w:r>
              <w:t>da</w:t>
            </w:r>
            <w:r w:rsidR="0092299C" w:rsidRPr="00D02A2E">
              <w:t>te</w:t>
            </w:r>
          </w:p>
        </w:tc>
        <w:tc>
          <w:tcPr>
            <w:tcW w:w="1021" w:type="dxa"/>
            <w:tcBorders>
              <w:top w:val="single" w:sz="4" w:space="0" w:color="FFFFFF"/>
              <w:left w:val="nil"/>
              <w:bottom w:val="single" w:sz="4" w:space="0" w:color="BFBFBF"/>
              <w:right w:val="nil"/>
            </w:tcBorders>
            <w:shd w:val="clear" w:color="auto" w:fill="auto"/>
          </w:tcPr>
          <w:p w:rsidR="0092299C" w:rsidRPr="00D02A2E" w:rsidRDefault="0092299C" w:rsidP="00CA1C86">
            <w:pPr>
              <w:pStyle w:val="ARtabletextright"/>
            </w:pPr>
            <w:r w:rsidRPr="00D02A2E">
              <w:t>Jun 2017</w:t>
            </w:r>
          </w:p>
        </w:tc>
        <w:tc>
          <w:tcPr>
            <w:tcW w:w="1021" w:type="dxa"/>
            <w:tcBorders>
              <w:top w:val="single" w:sz="4" w:space="0" w:color="FFFFFF"/>
              <w:left w:val="nil"/>
              <w:bottom w:val="single" w:sz="4" w:space="0" w:color="BFBFBF"/>
              <w:right w:val="nil"/>
            </w:tcBorders>
            <w:shd w:val="clear" w:color="auto" w:fill="auto"/>
          </w:tcPr>
          <w:p w:rsidR="0092299C" w:rsidRPr="00D02A2E" w:rsidRDefault="0092299C" w:rsidP="00752C50">
            <w:pPr>
              <w:pStyle w:val="ARtabletextright"/>
            </w:pPr>
            <w:r w:rsidRPr="00D02A2E">
              <w:t>Mar 2017</w:t>
            </w:r>
          </w:p>
        </w:tc>
        <w:tc>
          <w:tcPr>
            <w:tcW w:w="1021" w:type="dxa"/>
            <w:tcBorders>
              <w:top w:val="single" w:sz="4" w:space="0" w:color="FFFFFF"/>
              <w:left w:val="nil"/>
              <w:bottom w:val="single" w:sz="4" w:space="0" w:color="BFBFBF"/>
              <w:right w:val="nil"/>
            </w:tcBorders>
            <w:shd w:val="clear" w:color="auto" w:fill="auto"/>
          </w:tcPr>
          <w:p w:rsidR="0092299C" w:rsidRPr="00D02A2E" w:rsidRDefault="0092299C" w:rsidP="0092299C">
            <w:pPr>
              <w:pStyle w:val="ARtabletextright"/>
            </w:pPr>
            <w:r w:rsidRPr="00D02A2E">
              <w:t>n/a</w:t>
            </w:r>
          </w:p>
        </w:tc>
        <w:tc>
          <w:tcPr>
            <w:tcW w:w="794" w:type="dxa"/>
            <w:tcBorders>
              <w:top w:val="single" w:sz="4" w:space="0" w:color="FFFFFF"/>
              <w:left w:val="nil"/>
              <w:bottom w:val="single" w:sz="4" w:space="0" w:color="BFBFBF"/>
              <w:right w:val="nil"/>
            </w:tcBorders>
            <w:shd w:val="clear" w:color="auto" w:fill="auto"/>
          </w:tcPr>
          <w:p w:rsidR="0092299C" w:rsidRPr="00D02A2E" w:rsidRDefault="0092299C" w:rsidP="008C184A">
            <w:pPr>
              <w:pStyle w:val="ARtabletextright"/>
            </w:pPr>
            <w:r w:rsidRPr="008C184A">
              <w:rPr>
                <w:rFonts w:ascii="Wingdings" w:hAnsi="Wingdings"/>
              </w:rPr>
              <w:t></w:t>
            </w: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Cost</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1021"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r w:rsidRPr="00D02A2E">
              <w:t> </w:t>
            </w:r>
          </w:p>
        </w:tc>
        <w:tc>
          <w:tcPr>
            <w:tcW w:w="794" w:type="dxa"/>
            <w:tcBorders>
              <w:top w:val="single" w:sz="4" w:space="0" w:color="BFBFBF"/>
              <w:left w:val="nil"/>
              <w:bottom w:val="nil"/>
              <w:right w:val="nil"/>
            </w:tcBorders>
            <w:shd w:val="clear" w:color="auto" w:fill="auto"/>
            <w:hideMark/>
          </w:tcPr>
          <w:p w:rsidR="0092299C" w:rsidRPr="00D02A2E" w:rsidRDefault="0092299C" w:rsidP="0092299C">
            <w:pPr>
              <w:pStyle w:val="ARtablebluebold"/>
            </w:pPr>
          </w:p>
        </w:tc>
      </w:tr>
      <w:tr w:rsidR="0092299C" w:rsidRPr="00D02A2E" w:rsidTr="00596058">
        <w:tblPrEx>
          <w:tblBorders>
            <w:top w:val="none" w:sz="0" w:space="0" w:color="auto"/>
            <w:left w:val="single" w:sz="4" w:space="0" w:color="FFFFFF"/>
            <w:right w:val="single" w:sz="4" w:space="0" w:color="FFFFFF"/>
            <w:insideV w:val="single" w:sz="4" w:space="0" w:color="FFFFFF"/>
          </w:tblBorders>
        </w:tblPrEx>
        <w:trPr>
          <w:cantSplit/>
          <w:trHeight w:val="240"/>
        </w:trPr>
        <w:tc>
          <w:tcPr>
            <w:tcW w:w="4766" w:type="dxa"/>
            <w:tcBorders>
              <w:top w:val="nil"/>
              <w:left w:val="nil"/>
              <w:bottom w:val="single" w:sz="4" w:space="0" w:color="auto"/>
              <w:right w:val="nil"/>
            </w:tcBorders>
            <w:shd w:val="clear" w:color="auto" w:fill="auto"/>
            <w:hideMark/>
          </w:tcPr>
          <w:p w:rsidR="0092299C" w:rsidRPr="00D02A2E" w:rsidRDefault="0092299C" w:rsidP="0092299C">
            <w:pPr>
              <w:pStyle w:val="ARtabletextbold"/>
            </w:pPr>
            <w:r w:rsidRPr="00D02A2E">
              <w:t>Total output cost</w:t>
            </w:r>
          </w:p>
        </w:tc>
        <w:tc>
          <w:tcPr>
            <w:tcW w:w="1021" w:type="dxa"/>
            <w:tcBorders>
              <w:top w:val="nil"/>
              <w:left w:val="nil"/>
              <w:bottom w:val="single" w:sz="4" w:space="0" w:color="auto"/>
              <w:right w:val="nil"/>
            </w:tcBorders>
            <w:shd w:val="clear" w:color="auto" w:fill="auto"/>
            <w:hideMark/>
          </w:tcPr>
          <w:p w:rsidR="0092299C" w:rsidRPr="00D02A2E" w:rsidRDefault="0092299C" w:rsidP="001F2E2D">
            <w:pPr>
              <w:pStyle w:val="ARtabletextbold"/>
              <w:jc w:val="center"/>
            </w:pPr>
            <w:r w:rsidRPr="00D02A2E">
              <w:t>$ million</w:t>
            </w:r>
          </w:p>
        </w:tc>
        <w:tc>
          <w:tcPr>
            <w:tcW w:w="1021" w:type="dxa"/>
            <w:tcBorders>
              <w:top w:val="nil"/>
              <w:left w:val="nil"/>
              <w:bottom w:val="single" w:sz="4" w:space="0" w:color="auto"/>
              <w:right w:val="nil"/>
            </w:tcBorders>
            <w:shd w:val="clear" w:color="auto" w:fill="auto"/>
          </w:tcPr>
          <w:p w:rsidR="0092299C" w:rsidRPr="00CA0E9C" w:rsidRDefault="0092299C" w:rsidP="0092299C">
            <w:pPr>
              <w:pStyle w:val="ARtabletextright"/>
              <w:rPr>
                <w:b/>
                <w:bCs/>
              </w:rPr>
            </w:pPr>
            <w:r w:rsidRPr="00CA0E9C">
              <w:rPr>
                <w:b/>
                <w:bCs/>
              </w:rPr>
              <w:t>108.0</w:t>
            </w:r>
          </w:p>
        </w:tc>
        <w:tc>
          <w:tcPr>
            <w:tcW w:w="1021" w:type="dxa"/>
            <w:tcBorders>
              <w:top w:val="nil"/>
              <w:left w:val="nil"/>
              <w:bottom w:val="single" w:sz="4" w:space="0" w:color="auto"/>
              <w:right w:val="nil"/>
            </w:tcBorders>
            <w:shd w:val="clear" w:color="auto" w:fill="auto"/>
          </w:tcPr>
          <w:p w:rsidR="0092299C" w:rsidRPr="00CA0E9C" w:rsidRDefault="0092299C" w:rsidP="0092299C">
            <w:pPr>
              <w:pStyle w:val="ARtabletextright"/>
              <w:rPr>
                <w:b/>
                <w:bCs/>
              </w:rPr>
            </w:pPr>
            <w:r w:rsidRPr="00CA0E9C">
              <w:rPr>
                <w:b/>
                <w:bCs/>
              </w:rPr>
              <w:t>110.0</w:t>
            </w:r>
          </w:p>
        </w:tc>
        <w:tc>
          <w:tcPr>
            <w:tcW w:w="1021" w:type="dxa"/>
            <w:tcBorders>
              <w:top w:val="nil"/>
              <w:left w:val="nil"/>
              <w:bottom w:val="single" w:sz="4" w:space="0" w:color="auto"/>
              <w:right w:val="nil"/>
            </w:tcBorders>
            <w:shd w:val="clear" w:color="auto" w:fill="auto"/>
          </w:tcPr>
          <w:p w:rsidR="0092299C" w:rsidRPr="00CA0E9C" w:rsidRDefault="0092299C" w:rsidP="0092299C">
            <w:pPr>
              <w:pStyle w:val="ARtabletextright"/>
              <w:rPr>
                <w:b/>
                <w:bCs/>
              </w:rPr>
            </w:pPr>
            <w:r>
              <w:rPr>
                <w:b/>
                <w:bCs/>
              </w:rPr>
              <w:t>1.1</w:t>
            </w:r>
          </w:p>
        </w:tc>
        <w:tc>
          <w:tcPr>
            <w:tcW w:w="794" w:type="dxa"/>
            <w:tcBorders>
              <w:top w:val="nil"/>
              <w:left w:val="nil"/>
              <w:bottom w:val="single" w:sz="4" w:space="0" w:color="auto"/>
              <w:right w:val="nil"/>
            </w:tcBorders>
            <w:shd w:val="clear" w:color="auto" w:fill="auto"/>
            <w:hideMark/>
          </w:tcPr>
          <w:p w:rsidR="0092299C" w:rsidRPr="00CA0E9C" w:rsidRDefault="0092299C" w:rsidP="0092299C">
            <w:pPr>
              <w:pStyle w:val="ARtabletextright"/>
              <w:rPr>
                <w:b/>
                <w:bCs/>
              </w:rPr>
            </w:pPr>
          </w:p>
        </w:tc>
      </w:tr>
    </w:tbl>
    <w:p w:rsidR="0092299C" w:rsidRDefault="0092299C" w:rsidP="0092299C">
      <w:pPr>
        <w:spacing w:after="120" w:line="260" w:lineRule="atLeast"/>
        <w:rPr>
          <w:rFonts w:eastAsia="MS Gothic" w:cs="Arial"/>
          <w:color w:val="404040"/>
          <w:sz w:val="30"/>
          <w:szCs w:val="30"/>
        </w:rPr>
        <w:sectPr w:rsidR="0092299C" w:rsidSect="00434D2D">
          <w:headerReference w:type="even" r:id="rId41"/>
          <w:footerReference w:type="even" r:id="rId42"/>
          <w:footerReference w:type="default" r:id="rId43"/>
          <w:headerReference w:type="first" r:id="rId44"/>
          <w:footerReference w:type="first" r:id="rId45"/>
          <w:endnotePr>
            <w:numFmt w:val="decimal"/>
          </w:endnotePr>
          <w:type w:val="nextColumn"/>
          <w:pgSz w:w="11900" w:h="16840" w:code="9"/>
          <w:pgMar w:top="1531" w:right="851" w:bottom="680" w:left="1418" w:header="510" w:footer="340" w:gutter="0"/>
          <w:cols w:space="454"/>
        </w:sectPr>
      </w:pPr>
    </w:p>
    <w:p w:rsidR="0092299C" w:rsidRPr="004B72B1" w:rsidRDefault="0092299C" w:rsidP="00E54A0E">
      <w:pPr>
        <w:pStyle w:val="Heading1"/>
        <w:pageBreakBefore/>
      </w:pPr>
      <w:bookmarkStart w:id="27" w:name="_Toc463776199"/>
      <w:bookmarkStart w:id="28" w:name="_Ref492894493"/>
      <w:bookmarkStart w:id="29" w:name="_Ref492914850"/>
      <w:bookmarkStart w:id="30" w:name="_Toc493069460"/>
      <w:r w:rsidRPr="00E54A0E">
        <w:lastRenderedPageBreak/>
        <w:t>Finance</w:t>
      </w:r>
      <w:r w:rsidRPr="004B72B1">
        <w:t xml:space="preserve"> and </w:t>
      </w:r>
      <w:r w:rsidRPr="005F7284">
        <w:t>budgetary</w:t>
      </w:r>
      <w:r w:rsidRPr="004B72B1">
        <w:t xml:space="preserve"> performance</w:t>
      </w:r>
      <w:bookmarkEnd w:id="27"/>
      <w:bookmarkEnd w:id="28"/>
      <w:bookmarkEnd w:id="29"/>
      <w:bookmarkEnd w:id="30"/>
    </w:p>
    <w:p w:rsidR="0092299C" w:rsidRDefault="0092299C" w:rsidP="0092299C">
      <w:pPr>
        <w:pStyle w:val="Heading2"/>
        <w:rPr>
          <w:lang w:val="en" w:eastAsia="en-AU"/>
        </w:rPr>
      </w:pPr>
      <w:r>
        <w:rPr>
          <w:lang w:val="en" w:eastAsia="en-AU"/>
        </w:rPr>
        <w:t xml:space="preserve">Departmental five-year </w:t>
      </w:r>
      <w:r w:rsidRPr="005F7284">
        <w:t>financial</w:t>
      </w:r>
      <w:r>
        <w:rPr>
          <w:lang w:val="en" w:eastAsia="en-AU"/>
        </w:rPr>
        <w:t xml:space="preserve"> summary</w:t>
      </w:r>
    </w:p>
    <w:tbl>
      <w:tblPr>
        <w:tblW w:w="9640" w:type="dxa"/>
        <w:tblInd w:w="4" w:type="dxa"/>
        <w:tblLayout w:type="fixed"/>
        <w:tblCellMar>
          <w:left w:w="0" w:type="dxa"/>
          <w:right w:w="0" w:type="dxa"/>
        </w:tblCellMar>
        <w:tblLook w:val="02A0" w:firstRow="1" w:lastRow="0" w:firstColumn="1" w:lastColumn="0" w:noHBand="1" w:noVBand="0"/>
      </w:tblPr>
      <w:tblGrid>
        <w:gridCol w:w="4883"/>
        <w:gridCol w:w="952"/>
        <w:gridCol w:w="952"/>
        <w:gridCol w:w="952"/>
        <w:gridCol w:w="952"/>
        <w:gridCol w:w="949"/>
      </w:tblGrid>
      <w:tr w:rsidR="0092299C" w:rsidTr="005C1ACD">
        <w:trPr>
          <w:cantSplit/>
          <w:trHeight w:val="1"/>
          <w:tblHeader/>
        </w:trPr>
        <w:tc>
          <w:tcPr>
            <w:tcW w:w="4883" w:type="dxa"/>
            <w:tcBorders>
              <w:top w:val="nil"/>
              <w:left w:val="single" w:sz="4" w:space="0" w:color="FFFFFF"/>
              <w:bottom w:val="single" w:sz="4" w:space="0" w:color="auto"/>
            </w:tcBorders>
            <w:vAlign w:val="bottom"/>
          </w:tcPr>
          <w:p w:rsidR="0092299C" w:rsidRDefault="0092299C" w:rsidP="0092299C">
            <w:pPr>
              <w:pStyle w:val="ARtablecolhead"/>
              <w:rPr>
                <w:rFonts w:ascii="Calibri" w:hAnsi="Calibri" w:cs="Calibri"/>
                <w:sz w:val="22"/>
                <w:szCs w:val="22"/>
                <w:lang w:val="en"/>
              </w:rPr>
            </w:pPr>
            <w:r>
              <w:rPr>
                <w:lang w:val="en"/>
              </w:rPr>
              <w:t>Five-year financial summary ($ millions)</w:t>
            </w:r>
          </w:p>
        </w:tc>
        <w:tc>
          <w:tcPr>
            <w:tcW w:w="952" w:type="dxa"/>
            <w:tcBorders>
              <w:top w:val="nil"/>
              <w:bottom w:val="single" w:sz="4" w:space="0" w:color="auto"/>
            </w:tcBorders>
            <w:vAlign w:val="bottom"/>
          </w:tcPr>
          <w:p w:rsidR="0092299C" w:rsidRDefault="0092299C" w:rsidP="0092299C">
            <w:pPr>
              <w:pStyle w:val="ARtablecolheadright"/>
              <w:rPr>
                <w:rFonts w:ascii="Calibri" w:hAnsi="Calibri" w:cs="Calibri"/>
                <w:sz w:val="22"/>
                <w:szCs w:val="22"/>
                <w:lang w:val="en"/>
              </w:rPr>
            </w:pPr>
            <w:r>
              <w:rPr>
                <w:lang w:val="en"/>
              </w:rPr>
              <w:t>2017</w:t>
            </w:r>
          </w:p>
        </w:tc>
        <w:tc>
          <w:tcPr>
            <w:tcW w:w="952" w:type="dxa"/>
            <w:tcBorders>
              <w:top w:val="nil"/>
              <w:bottom w:val="single" w:sz="4" w:space="0" w:color="auto"/>
            </w:tcBorders>
            <w:shd w:val="clear" w:color="000000" w:fill="FFFFFF"/>
            <w:vAlign w:val="bottom"/>
          </w:tcPr>
          <w:p w:rsidR="0092299C" w:rsidRDefault="0092299C" w:rsidP="0092299C">
            <w:pPr>
              <w:pStyle w:val="ARtablecolheadright"/>
              <w:rPr>
                <w:rFonts w:ascii="Calibri" w:hAnsi="Calibri" w:cs="Calibri"/>
                <w:sz w:val="22"/>
                <w:szCs w:val="22"/>
                <w:lang w:val="en"/>
              </w:rPr>
            </w:pPr>
            <w:r>
              <w:rPr>
                <w:lang w:val="en"/>
              </w:rPr>
              <w:t>2016</w:t>
            </w:r>
          </w:p>
        </w:tc>
        <w:tc>
          <w:tcPr>
            <w:tcW w:w="952" w:type="dxa"/>
            <w:tcBorders>
              <w:top w:val="nil"/>
              <w:bottom w:val="single" w:sz="4" w:space="0" w:color="auto"/>
            </w:tcBorders>
            <w:shd w:val="clear" w:color="000000" w:fill="FFFFFF"/>
            <w:vAlign w:val="bottom"/>
          </w:tcPr>
          <w:p w:rsidR="0092299C" w:rsidRDefault="0092299C" w:rsidP="0092299C">
            <w:pPr>
              <w:pStyle w:val="ARtablecolheadright"/>
              <w:rPr>
                <w:rFonts w:ascii="Calibri" w:hAnsi="Calibri" w:cs="Calibri"/>
                <w:sz w:val="22"/>
                <w:szCs w:val="22"/>
                <w:lang w:val="en"/>
              </w:rPr>
            </w:pPr>
            <w:r>
              <w:rPr>
                <w:lang w:val="en"/>
              </w:rPr>
              <w:t>2015</w:t>
            </w:r>
          </w:p>
        </w:tc>
        <w:tc>
          <w:tcPr>
            <w:tcW w:w="952" w:type="dxa"/>
            <w:tcBorders>
              <w:top w:val="nil"/>
              <w:bottom w:val="single" w:sz="4" w:space="0" w:color="auto"/>
            </w:tcBorders>
            <w:shd w:val="clear" w:color="000000" w:fill="FFFFFF"/>
            <w:vAlign w:val="bottom"/>
          </w:tcPr>
          <w:p w:rsidR="0092299C" w:rsidRDefault="0092299C" w:rsidP="0092299C">
            <w:pPr>
              <w:pStyle w:val="ARtablecolheadright"/>
              <w:rPr>
                <w:rFonts w:ascii="Calibri" w:hAnsi="Calibri" w:cs="Calibri"/>
                <w:sz w:val="22"/>
                <w:szCs w:val="22"/>
                <w:lang w:val="en"/>
              </w:rPr>
            </w:pPr>
            <w:r>
              <w:rPr>
                <w:lang w:val="en"/>
              </w:rPr>
              <w:t>2014</w:t>
            </w:r>
          </w:p>
        </w:tc>
        <w:tc>
          <w:tcPr>
            <w:tcW w:w="949" w:type="dxa"/>
            <w:tcBorders>
              <w:top w:val="nil"/>
              <w:bottom w:val="single" w:sz="4" w:space="0" w:color="auto"/>
              <w:right w:val="single" w:sz="4" w:space="0" w:color="FFFFFF"/>
            </w:tcBorders>
            <w:shd w:val="clear" w:color="000000" w:fill="FFFFFF"/>
            <w:vAlign w:val="bottom"/>
          </w:tcPr>
          <w:p w:rsidR="0092299C" w:rsidRDefault="0092299C" w:rsidP="0092299C">
            <w:pPr>
              <w:pStyle w:val="ARtablecolheadright"/>
              <w:rPr>
                <w:rFonts w:ascii="Calibri" w:hAnsi="Calibri" w:cs="Calibri"/>
                <w:sz w:val="22"/>
                <w:szCs w:val="22"/>
                <w:lang w:val="en"/>
              </w:rPr>
            </w:pPr>
            <w:r>
              <w:rPr>
                <w:lang w:val="en"/>
              </w:rPr>
              <w:t>2013</w:t>
            </w:r>
          </w:p>
        </w:tc>
      </w:tr>
      <w:tr w:rsidR="0092299C" w:rsidTr="005C1ACD">
        <w:trPr>
          <w:trHeight w:val="1"/>
        </w:trPr>
        <w:tc>
          <w:tcPr>
            <w:tcW w:w="4883" w:type="dxa"/>
            <w:tcBorders>
              <w:top w:val="single" w:sz="4" w:space="0" w:color="auto"/>
              <w:left w:val="single" w:sz="4" w:space="0" w:color="FFFFFF"/>
              <w:bottom w:val="single" w:sz="4" w:space="0" w:color="auto"/>
            </w:tcBorders>
          </w:tcPr>
          <w:p w:rsidR="0092299C" w:rsidRDefault="0092299C" w:rsidP="0092299C">
            <w:pPr>
              <w:pStyle w:val="ARtabletext"/>
              <w:rPr>
                <w:rFonts w:ascii="Calibri" w:hAnsi="Calibri" w:cs="Calibri"/>
                <w:sz w:val="22"/>
                <w:szCs w:val="22"/>
                <w:lang w:val="en"/>
              </w:rPr>
            </w:pPr>
            <w:r>
              <w:rPr>
                <w:lang w:val="en"/>
              </w:rPr>
              <w:t>Income from government</w:t>
            </w:r>
          </w:p>
        </w:tc>
        <w:tc>
          <w:tcPr>
            <w:tcW w:w="952" w:type="dxa"/>
            <w:tcBorders>
              <w:top w:val="single" w:sz="4" w:space="0" w:color="auto"/>
              <w:bottom w:val="single" w:sz="4" w:space="0" w:color="auto"/>
            </w:tcBorders>
          </w:tcPr>
          <w:p w:rsidR="0092299C" w:rsidRDefault="0092299C" w:rsidP="0092299C">
            <w:pPr>
              <w:pStyle w:val="ARtabletextright"/>
              <w:rPr>
                <w:rFonts w:ascii="Calibri" w:hAnsi="Calibri" w:cs="Calibri"/>
                <w:sz w:val="22"/>
                <w:szCs w:val="22"/>
                <w:lang w:val="en"/>
              </w:rPr>
            </w:pPr>
            <w:r>
              <w:rPr>
                <w:lang w:val="en"/>
              </w:rPr>
              <w:t>15,234.5</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14,370.1</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11,300.5</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9,391.6</w:t>
            </w:r>
          </w:p>
        </w:tc>
        <w:tc>
          <w:tcPr>
            <w:tcW w:w="949" w:type="dxa"/>
            <w:tcBorders>
              <w:top w:val="single" w:sz="4" w:space="0" w:color="auto"/>
              <w:bottom w:val="single" w:sz="4" w:space="0" w:color="auto"/>
              <w:right w:val="single" w:sz="4" w:space="0" w:color="FFFFFF"/>
            </w:tcBorders>
            <w:shd w:val="clear" w:color="000000" w:fill="FFFFFF"/>
          </w:tcPr>
          <w:p w:rsidR="0092299C" w:rsidRDefault="0092299C" w:rsidP="0092299C">
            <w:pPr>
              <w:pStyle w:val="ARtabletextright"/>
              <w:rPr>
                <w:rFonts w:ascii="Calibri" w:hAnsi="Calibri" w:cs="Calibri"/>
                <w:sz w:val="22"/>
                <w:szCs w:val="22"/>
                <w:lang w:val="en"/>
              </w:rPr>
            </w:pPr>
            <w:r>
              <w:rPr>
                <w:lang w:val="en"/>
              </w:rPr>
              <w:t>9,796.1</w:t>
            </w:r>
          </w:p>
        </w:tc>
      </w:tr>
      <w:tr w:rsidR="0092299C" w:rsidTr="005C1ACD">
        <w:trPr>
          <w:trHeight w:val="1"/>
        </w:trPr>
        <w:tc>
          <w:tcPr>
            <w:tcW w:w="4883" w:type="dxa"/>
            <w:tcBorders>
              <w:top w:val="single" w:sz="4" w:space="0" w:color="auto"/>
              <w:left w:val="single" w:sz="4" w:space="0" w:color="FFFFFF"/>
              <w:bottom w:val="single" w:sz="4" w:space="0" w:color="auto"/>
            </w:tcBorders>
          </w:tcPr>
          <w:p w:rsidR="0092299C" w:rsidRDefault="0092299C" w:rsidP="0092299C">
            <w:pPr>
              <w:pStyle w:val="ARtabletext"/>
              <w:rPr>
                <w:rFonts w:ascii="Calibri" w:hAnsi="Calibri" w:cs="Calibri"/>
                <w:sz w:val="22"/>
                <w:szCs w:val="22"/>
                <w:lang w:val="en"/>
              </w:rPr>
            </w:pPr>
            <w:r>
              <w:rPr>
                <w:lang w:val="en"/>
              </w:rPr>
              <w:t>Total income from transactions</w:t>
            </w:r>
          </w:p>
        </w:tc>
        <w:tc>
          <w:tcPr>
            <w:tcW w:w="952" w:type="dxa"/>
            <w:tcBorders>
              <w:top w:val="single" w:sz="4" w:space="0" w:color="auto"/>
              <w:bottom w:val="single" w:sz="4" w:space="0" w:color="auto"/>
            </w:tcBorders>
          </w:tcPr>
          <w:p w:rsidR="0092299C" w:rsidRDefault="0092299C" w:rsidP="0092299C">
            <w:pPr>
              <w:pStyle w:val="ARtabletextright"/>
              <w:rPr>
                <w:rFonts w:ascii="Calibri" w:hAnsi="Calibri" w:cs="Calibri"/>
                <w:sz w:val="22"/>
                <w:szCs w:val="22"/>
                <w:lang w:val="en"/>
              </w:rPr>
            </w:pPr>
            <w:r>
              <w:rPr>
                <w:lang w:val="en"/>
              </w:rPr>
              <w:t>16,678.6</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15,939.8</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12,215.5</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10,045.5</w:t>
            </w:r>
          </w:p>
        </w:tc>
        <w:tc>
          <w:tcPr>
            <w:tcW w:w="949" w:type="dxa"/>
            <w:tcBorders>
              <w:top w:val="single" w:sz="4" w:space="0" w:color="auto"/>
              <w:bottom w:val="single" w:sz="4" w:space="0" w:color="auto"/>
              <w:right w:val="single" w:sz="4" w:space="0" w:color="FFFFFF"/>
            </w:tcBorders>
            <w:shd w:val="clear" w:color="000000" w:fill="FFFFFF"/>
          </w:tcPr>
          <w:p w:rsidR="0092299C" w:rsidRDefault="0092299C" w:rsidP="0092299C">
            <w:pPr>
              <w:pStyle w:val="ARtabletextright"/>
              <w:rPr>
                <w:rFonts w:ascii="Calibri" w:hAnsi="Calibri" w:cs="Calibri"/>
                <w:sz w:val="22"/>
                <w:szCs w:val="22"/>
                <w:lang w:val="en"/>
              </w:rPr>
            </w:pPr>
            <w:r>
              <w:rPr>
                <w:lang w:val="en"/>
              </w:rPr>
              <w:t>10,560.5</w:t>
            </w:r>
          </w:p>
        </w:tc>
      </w:tr>
      <w:tr w:rsidR="0092299C" w:rsidTr="005C1ACD">
        <w:trPr>
          <w:trHeight w:val="1"/>
        </w:trPr>
        <w:tc>
          <w:tcPr>
            <w:tcW w:w="4883" w:type="dxa"/>
            <w:tcBorders>
              <w:top w:val="single" w:sz="4" w:space="0" w:color="auto"/>
              <w:left w:val="single" w:sz="4" w:space="0" w:color="FFFFFF"/>
              <w:bottom w:val="single" w:sz="4" w:space="0" w:color="auto"/>
            </w:tcBorders>
          </w:tcPr>
          <w:p w:rsidR="0092299C" w:rsidRDefault="0092299C" w:rsidP="0092299C">
            <w:pPr>
              <w:pStyle w:val="ARtabletext"/>
              <w:rPr>
                <w:rFonts w:ascii="Calibri" w:hAnsi="Calibri" w:cs="Calibri"/>
                <w:sz w:val="22"/>
                <w:szCs w:val="22"/>
                <w:lang w:val="en"/>
              </w:rPr>
            </w:pPr>
            <w:r>
              <w:rPr>
                <w:lang w:val="en"/>
              </w:rPr>
              <w:t>Total expenses from transactions</w:t>
            </w:r>
          </w:p>
        </w:tc>
        <w:tc>
          <w:tcPr>
            <w:tcW w:w="952" w:type="dxa"/>
            <w:tcBorders>
              <w:top w:val="single" w:sz="4" w:space="0" w:color="auto"/>
              <w:bottom w:val="single" w:sz="4" w:space="0" w:color="auto"/>
            </w:tcBorders>
          </w:tcPr>
          <w:p w:rsidR="0092299C" w:rsidRDefault="0092299C" w:rsidP="0092299C">
            <w:pPr>
              <w:pStyle w:val="ARtabletextright"/>
              <w:rPr>
                <w:rFonts w:ascii="Calibri" w:hAnsi="Calibri" w:cs="Calibri"/>
                <w:sz w:val="22"/>
                <w:szCs w:val="22"/>
                <w:lang w:val="en"/>
              </w:rPr>
            </w:pPr>
            <w:r>
              <w:rPr>
                <w:lang w:val="en"/>
              </w:rPr>
              <w:t>(16,939.7)</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(15,317.8)</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(12,180.5)</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(9,922.5)</w:t>
            </w:r>
          </w:p>
        </w:tc>
        <w:tc>
          <w:tcPr>
            <w:tcW w:w="949" w:type="dxa"/>
            <w:tcBorders>
              <w:top w:val="single" w:sz="4" w:space="0" w:color="auto"/>
              <w:bottom w:val="single" w:sz="4" w:space="0" w:color="auto"/>
              <w:right w:val="single" w:sz="4" w:space="0" w:color="FFFFFF"/>
            </w:tcBorders>
            <w:shd w:val="clear" w:color="000000" w:fill="FFFFFF"/>
          </w:tcPr>
          <w:p w:rsidR="0092299C" w:rsidRDefault="0092299C" w:rsidP="0092299C">
            <w:pPr>
              <w:pStyle w:val="ARtabletextright"/>
              <w:rPr>
                <w:rFonts w:ascii="Calibri" w:hAnsi="Calibri" w:cs="Calibri"/>
                <w:sz w:val="22"/>
                <w:szCs w:val="22"/>
                <w:lang w:val="en"/>
              </w:rPr>
            </w:pPr>
            <w:r>
              <w:rPr>
                <w:lang w:val="en"/>
              </w:rPr>
              <w:t>(10,315.3)</w:t>
            </w:r>
          </w:p>
        </w:tc>
      </w:tr>
      <w:tr w:rsidR="0092299C" w:rsidTr="005C1ACD">
        <w:trPr>
          <w:trHeight w:val="1"/>
        </w:trPr>
        <w:tc>
          <w:tcPr>
            <w:tcW w:w="4883" w:type="dxa"/>
            <w:tcBorders>
              <w:top w:val="single" w:sz="4" w:space="0" w:color="auto"/>
              <w:left w:val="single" w:sz="4" w:space="0" w:color="FFFFFF"/>
              <w:bottom w:val="single" w:sz="4" w:space="0" w:color="auto"/>
            </w:tcBorders>
            <w:shd w:val="clear" w:color="auto" w:fill="E7E6E6"/>
          </w:tcPr>
          <w:p w:rsidR="0092299C" w:rsidRDefault="0092299C" w:rsidP="0092299C">
            <w:pPr>
              <w:pStyle w:val="ARtabletext"/>
              <w:rPr>
                <w:rFonts w:ascii="Calibri" w:hAnsi="Calibri" w:cs="Calibri"/>
                <w:sz w:val="22"/>
                <w:szCs w:val="22"/>
                <w:lang w:val="en"/>
              </w:rPr>
            </w:pPr>
            <w:r>
              <w:rPr>
                <w:lang w:val="en"/>
              </w:rPr>
              <w:t>Net result from transactions</w:t>
            </w:r>
          </w:p>
        </w:tc>
        <w:tc>
          <w:tcPr>
            <w:tcW w:w="952" w:type="dxa"/>
            <w:tcBorders>
              <w:top w:val="single" w:sz="4" w:space="0" w:color="auto"/>
              <w:bottom w:val="single" w:sz="4" w:space="0" w:color="auto"/>
            </w:tcBorders>
            <w:shd w:val="clear" w:color="auto" w:fill="E7E6E6"/>
          </w:tcPr>
          <w:p w:rsidR="0092299C" w:rsidRDefault="0092299C" w:rsidP="0092299C">
            <w:pPr>
              <w:pStyle w:val="ARtabletextright"/>
              <w:rPr>
                <w:rFonts w:ascii="Calibri" w:hAnsi="Calibri" w:cs="Calibri"/>
                <w:sz w:val="22"/>
                <w:szCs w:val="22"/>
                <w:lang w:val="en"/>
              </w:rPr>
            </w:pPr>
            <w:r>
              <w:rPr>
                <w:lang w:val="en"/>
              </w:rPr>
              <w:t>(261.2)</w:t>
            </w:r>
          </w:p>
        </w:tc>
        <w:tc>
          <w:tcPr>
            <w:tcW w:w="952" w:type="dxa"/>
            <w:tcBorders>
              <w:top w:val="single" w:sz="4" w:space="0" w:color="auto"/>
              <w:bottom w:val="single" w:sz="4" w:space="0" w:color="auto"/>
            </w:tcBorders>
            <w:shd w:val="clear" w:color="auto" w:fill="E7E6E6"/>
          </w:tcPr>
          <w:p w:rsidR="0092299C" w:rsidRDefault="0092299C" w:rsidP="0092299C">
            <w:pPr>
              <w:pStyle w:val="ARtabletextright"/>
              <w:rPr>
                <w:rFonts w:ascii="Calibri" w:hAnsi="Calibri" w:cs="Calibri"/>
                <w:sz w:val="22"/>
                <w:szCs w:val="22"/>
                <w:lang w:val="en"/>
              </w:rPr>
            </w:pPr>
            <w:r>
              <w:rPr>
                <w:lang w:val="en"/>
              </w:rPr>
              <w:t>622.1</w:t>
            </w:r>
          </w:p>
        </w:tc>
        <w:tc>
          <w:tcPr>
            <w:tcW w:w="952" w:type="dxa"/>
            <w:tcBorders>
              <w:top w:val="single" w:sz="4" w:space="0" w:color="auto"/>
              <w:bottom w:val="single" w:sz="4" w:space="0" w:color="auto"/>
            </w:tcBorders>
            <w:shd w:val="clear" w:color="auto" w:fill="E7E6E6"/>
          </w:tcPr>
          <w:p w:rsidR="0092299C" w:rsidRDefault="0092299C" w:rsidP="0092299C">
            <w:pPr>
              <w:pStyle w:val="ARtabletextright"/>
              <w:rPr>
                <w:rFonts w:ascii="Calibri" w:hAnsi="Calibri" w:cs="Calibri"/>
                <w:sz w:val="22"/>
                <w:szCs w:val="22"/>
                <w:lang w:val="en"/>
              </w:rPr>
            </w:pPr>
            <w:r>
              <w:rPr>
                <w:lang w:val="en"/>
              </w:rPr>
              <w:t>35.0</w:t>
            </w:r>
          </w:p>
        </w:tc>
        <w:tc>
          <w:tcPr>
            <w:tcW w:w="952" w:type="dxa"/>
            <w:tcBorders>
              <w:top w:val="single" w:sz="4" w:space="0" w:color="auto"/>
              <w:bottom w:val="single" w:sz="4" w:space="0" w:color="auto"/>
            </w:tcBorders>
            <w:shd w:val="clear" w:color="auto" w:fill="E7E6E6"/>
          </w:tcPr>
          <w:p w:rsidR="0092299C" w:rsidRDefault="0092299C" w:rsidP="0092299C">
            <w:pPr>
              <w:pStyle w:val="ARtabletextright"/>
              <w:rPr>
                <w:rFonts w:ascii="Calibri" w:hAnsi="Calibri" w:cs="Calibri"/>
                <w:sz w:val="22"/>
                <w:szCs w:val="22"/>
                <w:lang w:val="en"/>
              </w:rPr>
            </w:pPr>
            <w:r>
              <w:rPr>
                <w:lang w:val="en"/>
              </w:rPr>
              <w:t>123.0</w:t>
            </w:r>
          </w:p>
        </w:tc>
        <w:tc>
          <w:tcPr>
            <w:tcW w:w="949" w:type="dxa"/>
            <w:tcBorders>
              <w:top w:val="single" w:sz="4" w:space="0" w:color="auto"/>
              <w:bottom w:val="single" w:sz="4" w:space="0" w:color="auto"/>
              <w:right w:val="single" w:sz="4" w:space="0" w:color="FFFFFF"/>
            </w:tcBorders>
            <w:shd w:val="clear" w:color="auto" w:fill="E7E6E6"/>
          </w:tcPr>
          <w:p w:rsidR="0092299C" w:rsidRDefault="0092299C" w:rsidP="0092299C">
            <w:pPr>
              <w:pStyle w:val="ARtabletextright"/>
              <w:rPr>
                <w:rFonts w:ascii="Calibri" w:hAnsi="Calibri" w:cs="Calibri"/>
                <w:sz w:val="22"/>
                <w:szCs w:val="22"/>
                <w:lang w:val="en"/>
              </w:rPr>
            </w:pPr>
            <w:r>
              <w:rPr>
                <w:lang w:val="en"/>
              </w:rPr>
              <w:t>245.2</w:t>
            </w:r>
          </w:p>
        </w:tc>
      </w:tr>
      <w:tr w:rsidR="0092299C" w:rsidTr="005C1ACD">
        <w:trPr>
          <w:trHeight w:val="1"/>
        </w:trPr>
        <w:tc>
          <w:tcPr>
            <w:tcW w:w="4883" w:type="dxa"/>
            <w:tcBorders>
              <w:top w:val="single" w:sz="4" w:space="0" w:color="auto"/>
              <w:left w:val="single" w:sz="4" w:space="0" w:color="FFFFFF"/>
              <w:bottom w:val="single" w:sz="4" w:space="0" w:color="auto"/>
            </w:tcBorders>
          </w:tcPr>
          <w:p w:rsidR="0092299C" w:rsidRDefault="0092299C" w:rsidP="0092299C">
            <w:pPr>
              <w:pStyle w:val="ARtabletext"/>
              <w:rPr>
                <w:rFonts w:ascii="Calibri" w:hAnsi="Calibri" w:cs="Calibri"/>
                <w:sz w:val="22"/>
                <w:szCs w:val="22"/>
                <w:lang w:val="en"/>
              </w:rPr>
            </w:pPr>
            <w:r>
              <w:rPr>
                <w:lang w:val="en"/>
              </w:rPr>
              <w:t>Net result for the period</w:t>
            </w:r>
          </w:p>
        </w:tc>
        <w:tc>
          <w:tcPr>
            <w:tcW w:w="952" w:type="dxa"/>
            <w:tcBorders>
              <w:top w:val="single" w:sz="4" w:space="0" w:color="auto"/>
              <w:bottom w:val="single" w:sz="4" w:space="0" w:color="auto"/>
            </w:tcBorders>
          </w:tcPr>
          <w:p w:rsidR="0092299C" w:rsidRDefault="0092299C" w:rsidP="0092299C">
            <w:pPr>
              <w:pStyle w:val="ARtabletextright"/>
              <w:rPr>
                <w:rFonts w:ascii="Calibri" w:hAnsi="Calibri" w:cs="Calibri"/>
                <w:sz w:val="22"/>
                <w:szCs w:val="22"/>
                <w:lang w:val="en"/>
              </w:rPr>
            </w:pPr>
            <w:r>
              <w:rPr>
                <w:lang w:val="en"/>
              </w:rPr>
              <w:t>(266.3)</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601.5</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3.0</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137.</w:t>
            </w:r>
            <w:r w:rsidR="00AB6828">
              <w:rPr>
                <w:lang w:val="en"/>
              </w:rPr>
              <w:t>2</w:t>
            </w:r>
          </w:p>
        </w:tc>
        <w:tc>
          <w:tcPr>
            <w:tcW w:w="949" w:type="dxa"/>
            <w:tcBorders>
              <w:top w:val="single" w:sz="4" w:space="0" w:color="auto"/>
              <w:bottom w:val="single" w:sz="4" w:space="0" w:color="auto"/>
              <w:right w:val="single" w:sz="4" w:space="0" w:color="FFFFFF"/>
            </w:tcBorders>
            <w:shd w:val="clear" w:color="000000" w:fill="FFFFFF"/>
          </w:tcPr>
          <w:p w:rsidR="0092299C" w:rsidRDefault="0092299C" w:rsidP="0092299C">
            <w:pPr>
              <w:pStyle w:val="ARtabletextright"/>
              <w:rPr>
                <w:rFonts w:ascii="Calibri" w:hAnsi="Calibri" w:cs="Calibri"/>
                <w:sz w:val="22"/>
                <w:szCs w:val="22"/>
                <w:lang w:val="en"/>
              </w:rPr>
            </w:pPr>
            <w:r>
              <w:rPr>
                <w:lang w:val="en"/>
              </w:rPr>
              <w:t>261.2</w:t>
            </w:r>
          </w:p>
        </w:tc>
      </w:tr>
      <w:tr w:rsidR="0092299C" w:rsidTr="005C1ACD">
        <w:trPr>
          <w:trHeight w:val="1"/>
        </w:trPr>
        <w:tc>
          <w:tcPr>
            <w:tcW w:w="4883" w:type="dxa"/>
            <w:tcBorders>
              <w:top w:val="single" w:sz="4" w:space="0" w:color="auto"/>
              <w:left w:val="single" w:sz="4" w:space="0" w:color="FFFFFF"/>
              <w:bottom w:val="single" w:sz="4" w:space="0" w:color="auto"/>
            </w:tcBorders>
          </w:tcPr>
          <w:p w:rsidR="0092299C" w:rsidRDefault="0092299C" w:rsidP="0092299C">
            <w:pPr>
              <w:pStyle w:val="ARtabletext"/>
              <w:rPr>
                <w:rFonts w:ascii="Calibri" w:hAnsi="Calibri" w:cs="Calibri"/>
                <w:sz w:val="22"/>
                <w:szCs w:val="22"/>
                <w:lang w:val="en"/>
              </w:rPr>
            </w:pPr>
            <w:r>
              <w:rPr>
                <w:lang w:val="en"/>
              </w:rPr>
              <w:t>Net cash flow from operating activities</w:t>
            </w:r>
          </w:p>
        </w:tc>
        <w:tc>
          <w:tcPr>
            <w:tcW w:w="952" w:type="dxa"/>
            <w:tcBorders>
              <w:top w:val="single" w:sz="4" w:space="0" w:color="auto"/>
              <w:bottom w:val="single" w:sz="4" w:space="0" w:color="auto"/>
            </w:tcBorders>
          </w:tcPr>
          <w:p w:rsidR="0092299C" w:rsidRDefault="0092299C" w:rsidP="0092299C">
            <w:pPr>
              <w:pStyle w:val="ARtabletextright"/>
              <w:rPr>
                <w:rFonts w:ascii="Calibri" w:hAnsi="Calibri" w:cs="Calibri"/>
                <w:sz w:val="22"/>
                <w:szCs w:val="22"/>
                <w:lang w:val="en"/>
              </w:rPr>
            </w:pPr>
            <w:r>
              <w:rPr>
                <w:lang w:val="en"/>
              </w:rPr>
              <w:t>315.1</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255.3</w:t>
            </w:r>
          </w:p>
        </w:tc>
        <w:tc>
          <w:tcPr>
            <w:tcW w:w="952" w:type="dxa"/>
            <w:tcBorders>
              <w:top w:val="single" w:sz="4" w:space="0" w:color="auto"/>
              <w:bottom w:val="single" w:sz="4" w:space="0" w:color="auto"/>
            </w:tcBorders>
            <w:shd w:val="clear" w:color="000000" w:fill="FFFFFF"/>
          </w:tcPr>
          <w:p w:rsidR="0092299C" w:rsidRDefault="0092299C" w:rsidP="00D02C08">
            <w:pPr>
              <w:pStyle w:val="ARtabletextright"/>
              <w:rPr>
                <w:rFonts w:ascii="Calibri" w:hAnsi="Calibri" w:cs="Calibri"/>
                <w:sz w:val="22"/>
                <w:szCs w:val="22"/>
                <w:lang w:val="en"/>
              </w:rPr>
            </w:pPr>
            <w:r>
              <w:rPr>
                <w:lang w:val="en"/>
              </w:rPr>
              <w:t>74.</w:t>
            </w:r>
            <w:r w:rsidR="00AB6828">
              <w:rPr>
                <w:lang w:val="en"/>
              </w:rPr>
              <w:t>4</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120.3</w:t>
            </w:r>
          </w:p>
        </w:tc>
        <w:tc>
          <w:tcPr>
            <w:tcW w:w="949" w:type="dxa"/>
            <w:tcBorders>
              <w:top w:val="single" w:sz="4" w:space="0" w:color="auto"/>
              <w:bottom w:val="single" w:sz="4" w:space="0" w:color="auto"/>
              <w:right w:val="single" w:sz="4" w:space="0" w:color="FFFFFF"/>
            </w:tcBorders>
            <w:shd w:val="clear" w:color="000000" w:fill="FFFFFF"/>
          </w:tcPr>
          <w:p w:rsidR="0092299C" w:rsidRDefault="0092299C" w:rsidP="0092299C">
            <w:pPr>
              <w:pStyle w:val="ARtabletextright"/>
              <w:rPr>
                <w:rFonts w:ascii="Calibri" w:hAnsi="Calibri" w:cs="Calibri"/>
                <w:sz w:val="22"/>
                <w:szCs w:val="22"/>
                <w:lang w:val="en"/>
              </w:rPr>
            </w:pPr>
            <w:r>
              <w:rPr>
                <w:lang w:val="en"/>
              </w:rPr>
              <w:t>25.4</w:t>
            </w:r>
          </w:p>
        </w:tc>
      </w:tr>
      <w:tr w:rsidR="0092299C" w:rsidTr="005C1ACD">
        <w:trPr>
          <w:trHeight w:val="1"/>
        </w:trPr>
        <w:tc>
          <w:tcPr>
            <w:tcW w:w="4883" w:type="dxa"/>
            <w:tcBorders>
              <w:top w:val="single" w:sz="4" w:space="0" w:color="auto"/>
              <w:left w:val="single" w:sz="4" w:space="0" w:color="FFFFFF"/>
              <w:bottom w:val="single" w:sz="4" w:space="0" w:color="auto"/>
            </w:tcBorders>
          </w:tcPr>
          <w:p w:rsidR="0092299C" w:rsidRDefault="0092299C" w:rsidP="0092299C">
            <w:pPr>
              <w:pStyle w:val="ARtabletext"/>
              <w:rPr>
                <w:rFonts w:ascii="Calibri" w:hAnsi="Calibri" w:cs="Calibri"/>
                <w:sz w:val="22"/>
                <w:szCs w:val="22"/>
                <w:lang w:val="en"/>
              </w:rPr>
            </w:pPr>
            <w:r>
              <w:rPr>
                <w:lang w:val="en"/>
              </w:rPr>
              <w:t>Total assets</w:t>
            </w:r>
          </w:p>
        </w:tc>
        <w:tc>
          <w:tcPr>
            <w:tcW w:w="952" w:type="dxa"/>
            <w:tcBorders>
              <w:top w:val="single" w:sz="4" w:space="0" w:color="auto"/>
              <w:bottom w:val="single" w:sz="4" w:space="0" w:color="auto"/>
            </w:tcBorders>
          </w:tcPr>
          <w:p w:rsidR="0092299C" w:rsidRDefault="0092299C" w:rsidP="0092299C">
            <w:pPr>
              <w:pStyle w:val="ARtabletextright"/>
              <w:rPr>
                <w:rFonts w:ascii="Calibri" w:hAnsi="Calibri" w:cs="Calibri"/>
                <w:sz w:val="22"/>
                <w:szCs w:val="22"/>
                <w:lang w:val="en"/>
              </w:rPr>
            </w:pPr>
            <w:r>
              <w:rPr>
                <w:lang w:val="en"/>
              </w:rPr>
              <w:t>29,831.5</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28,163.2</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25,138.2</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2,118.6</w:t>
            </w:r>
          </w:p>
        </w:tc>
        <w:tc>
          <w:tcPr>
            <w:tcW w:w="949" w:type="dxa"/>
            <w:tcBorders>
              <w:top w:val="single" w:sz="4" w:space="0" w:color="auto"/>
              <w:bottom w:val="single" w:sz="4" w:space="0" w:color="auto"/>
              <w:right w:val="single" w:sz="4" w:space="0" w:color="FFFFFF"/>
            </w:tcBorders>
            <w:shd w:val="clear" w:color="000000" w:fill="FFFFFF"/>
          </w:tcPr>
          <w:p w:rsidR="0092299C" w:rsidRDefault="0092299C" w:rsidP="0092299C">
            <w:pPr>
              <w:pStyle w:val="ARtabletextright"/>
              <w:rPr>
                <w:rFonts w:ascii="Calibri" w:hAnsi="Calibri" w:cs="Calibri"/>
                <w:sz w:val="22"/>
                <w:szCs w:val="22"/>
                <w:lang w:val="en"/>
              </w:rPr>
            </w:pPr>
            <w:r>
              <w:rPr>
                <w:lang w:val="en"/>
              </w:rPr>
              <w:t>1,979.8</w:t>
            </w:r>
          </w:p>
        </w:tc>
      </w:tr>
      <w:tr w:rsidR="0092299C" w:rsidTr="005C1ACD">
        <w:trPr>
          <w:trHeight w:val="1"/>
        </w:trPr>
        <w:tc>
          <w:tcPr>
            <w:tcW w:w="4883" w:type="dxa"/>
            <w:tcBorders>
              <w:top w:val="single" w:sz="4" w:space="0" w:color="auto"/>
              <w:left w:val="single" w:sz="4" w:space="0" w:color="FFFFFF"/>
              <w:bottom w:val="single" w:sz="4" w:space="0" w:color="auto"/>
            </w:tcBorders>
          </w:tcPr>
          <w:p w:rsidR="0092299C" w:rsidRDefault="0092299C" w:rsidP="0092299C">
            <w:pPr>
              <w:pStyle w:val="ARtabletext"/>
              <w:rPr>
                <w:rFonts w:ascii="Calibri" w:hAnsi="Calibri" w:cs="Calibri"/>
                <w:sz w:val="22"/>
                <w:szCs w:val="22"/>
                <w:lang w:val="en"/>
              </w:rPr>
            </w:pPr>
            <w:r>
              <w:rPr>
                <w:lang w:val="en"/>
              </w:rPr>
              <w:t>Total liabilities</w:t>
            </w:r>
          </w:p>
        </w:tc>
        <w:tc>
          <w:tcPr>
            <w:tcW w:w="952" w:type="dxa"/>
            <w:tcBorders>
              <w:top w:val="single" w:sz="4" w:space="0" w:color="auto"/>
              <w:bottom w:val="single" w:sz="4" w:space="0" w:color="auto"/>
            </w:tcBorders>
          </w:tcPr>
          <w:p w:rsidR="0092299C" w:rsidRDefault="0092299C" w:rsidP="0092299C">
            <w:pPr>
              <w:pStyle w:val="ARtabletextright"/>
              <w:rPr>
                <w:rFonts w:ascii="Calibri" w:hAnsi="Calibri" w:cs="Calibri"/>
                <w:sz w:val="22"/>
                <w:szCs w:val="22"/>
                <w:lang w:val="en"/>
              </w:rPr>
            </w:pPr>
            <w:r>
              <w:rPr>
                <w:lang w:val="en"/>
              </w:rPr>
              <w:t>1,795.5</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1,542.3</w:t>
            </w:r>
          </w:p>
        </w:tc>
        <w:tc>
          <w:tcPr>
            <w:tcW w:w="952" w:type="dxa"/>
            <w:tcBorders>
              <w:top w:val="single" w:sz="4" w:space="0" w:color="auto"/>
              <w:bottom w:val="single" w:sz="4" w:space="0" w:color="auto"/>
            </w:tcBorders>
            <w:shd w:val="clear" w:color="000000" w:fill="FFFFFF"/>
          </w:tcPr>
          <w:p w:rsidR="0092299C" w:rsidRDefault="0092299C" w:rsidP="00D02C08">
            <w:pPr>
              <w:pStyle w:val="ARtabletextright"/>
              <w:rPr>
                <w:rFonts w:ascii="Calibri" w:hAnsi="Calibri" w:cs="Calibri"/>
                <w:sz w:val="22"/>
                <w:szCs w:val="22"/>
                <w:lang w:val="en"/>
              </w:rPr>
            </w:pPr>
            <w:r>
              <w:rPr>
                <w:lang w:val="en"/>
              </w:rPr>
              <w:t>1,602.</w:t>
            </w:r>
            <w:r w:rsidR="00AB6828">
              <w:rPr>
                <w:lang w:val="en"/>
              </w:rPr>
              <w:t>0</w:t>
            </w:r>
          </w:p>
        </w:tc>
        <w:tc>
          <w:tcPr>
            <w:tcW w:w="952" w:type="dxa"/>
            <w:tcBorders>
              <w:top w:val="single" w:sz="4" w:space="0" w:color="auto"/>
              <w:bottom w:val="single" w:sz="4" w:space="0" w:color="auto"/>
            </w:tcBorders>
            <w:shd w:val="clear" w:color="000000" w:fill="FFFFFF"/>
          </w:tcPr>
          <w:p w:rsidR="0092299C" w:rsidRDefault="0092299C" w:rsidP="0092299C">
            <w:pPr>
              <w:pStyle w:val="ARtabletextright"/>
              <w:rPr>
                <w:rFonts w:ascii="Calibri" w:hAnsi="Calibri" w:cs="Calibri"/>
                <w:sz w:val="22"/>
                <w:szCs w:val="22"/>
                <w:lang w:val="en"/>
              </w:rPr>
            </w:pPr>
            <w:r>
              <w:rPr>
                <w:lang w:val="en"/>
              </w:rPr>
              <w:t>447.0</w:t>
            </w:r>
          </w:p>
        </w:tc>
        <w:tc>
          <w:tcPr>
            <w:tcW w:w="949" w:type="dxa"/>
            <w:tcBorders>
              <w:top w:val="single" w:sz="4" w:space="0" w:color="auto"/>
              <w:bottom w:val="single" w:sz="4" w:space="0" w:color="auto"/>
              <w:right w:val="single" w:sz="4" w:space="0" w:color="FFFFFF"/>
            </w:tcBorders>
            <w:shd w:val="clear" w:color="000000" w:fill="FFFFFF"/>
          </w:tcPr>
          <w:p w:rsidR="0092299C" w:rsidRDefault="0092299C" w:rsidP="0092299C">
            <w:pPr>
              <w:pStyle w:val="ARtabletextright"/>
              <w:rPr>
                <w:rFonts w:ascii="Calibri" w:hAnsi="Calibri" w:cs="Calibri"/>
                <w:sz w:val="22"/>
                <w:szCs w:val="22"/>
                <w:lang w:val="en"/>
              </w:rPr>
            </w:pPr>
            <w:r>
              <w:rPr>
                <w:lang w:val="en"/>
              </w:rPr>
              <w:t>462.3</w:t>
            </w:r>
          </w:p>
        </w:tc>
      </w:tr>
    </w:tbl>
    <w:p w:rsidR="0092299C" w:rsidRDefault="0092299C" w:rsidP="0092299C">
      <w:pPr>
        <w:pStyle w:val="ARbody"/>
        <w:rPr>
          <w:lang w:val="en" w:eastAsia="en-AU"/>
        </w:rPr>
        <w:sectPr w:rsidR="0092299C" w:rsidSect="00AD4DC4">
          <w:headerReference w:type="even" r:id="rId46"/>
          <w:endnotePr>
            <w:numFmt w:val="decimal"/>
          </w:endnotePr>
          <w:type w:val="continuous"/>
          <w:pgSz w:w="11900" w:h="16840" w:code="9"/>
          <w:pgMar w:top="1531" w:right="851" w:bottom="680" w:left="1418" w:header="510" w:footer="340" w:gutter="0"/>
          <w:cols w:space="454"/>
        </w:sectPr>
      </w:pPr>
    </w:p>
    <w:p w:rsidR="0092299C" w:rsidRDefault="0092299C" w:rsidP="0092299C">
      <w:pPr>
        <w:pStyle w:val="ARbody"/>
        <w:rPr>
          <w:lang w:val="en" w:eastAsia="en-AU"/>
        </w:rPr>
        <w:sectPr w:rsidR="0092299C" w:rsidSect="00D67ED3">
          <w:endnotePr>
            <w:numFmt w:val="decimal"/>
          </w:endnotePr>
          <w:type w:val="continuous"/>
          <w:pgSz w:w="11900" w:h="16840" w:code="9"/>
          <w:pgMar w:top="1531" w:right="851" w:bottom="680" w:left="1418" w:header="510" w:footer="340" w:gutter="0"/>
          <w:cols w:space="454"/>
        </w:sectPr>
      </w:pPr>
    </w:p>
    <w:p w:rsidR="0092299C" w:rsidRPr="00B849B2" w:rsidRDefault="0092299C" w:rsidP="0092299C">
      <w:pPr>
        <w:pStyle w:val="ARbody"/>
        <w:rPr>
          <w:color w:val="000000"/>
          <w:lang w:val="en" w:eastAsia="en-AU"/>
        </w:rPr>
      </w:pPr>
      <w:r>
        <w:rPr>
          <w:lang w:val="en" w:eastAsia="en-AU"/>
        </w:rPr>
        <w:lastRenderedPageBreak/>
        <w:t xml:space="preserve">The Victorian Government considers the net result from transactions to be the appropriate measure of financial management that can be directly attributed to government policy. </w:t>
      </w:r>
      <w:r w:rsidRPr="00B849B2">
        <w:rPr>
          <w:lang w:val="en" w:eastAsia="en-AU"/>
        </w:rPr>
        <w:t xml:space="preserve">This measure excludes the effects of revaluations (holding gains or losses) arising from changes in market prices and other changes in the volume of assets shown under ‘other economic flows’ on the </w:t>
      </w:r>
      <w:r w:rsidRPr="00B849B2">
        <w:rPr>
          <w:color w:val="000000"/>
          <w:lang w:val="en" w:eastAsia="en-AU"/>
        </w:rPr>
        <w:t>comprehensive operating statement, which are outside the control of the department.</w:t>
      </w:r>
    </w:p>
    <w:p w:rsidR="0092299C" w:rsidRPr="004B72B1" w:rsidRDefault="0092299C" w:rsidP="0092299C">
      <w:pPr>
        <w:pStyle w:val="Heading3"/>
        <w:rPr>
          <w:lang w:val="en"/>
        </w:rPr>
      </w:pPr>
      <w:r w:rsidRPr="004B72B1">
        <w:rPr>
          <w:lang w:val="en"/>
        </w:rPr>
        <w:t>Departmental financial arrangements</w:t>
      </w:r>
    </w:p>
    <w:p w:rsidR="0092299C" w:rsidRPr="00971ECE" w:rsidRDefault="0092299C" w:rsidP="0092299C">
      <w:pPr>
        <w:pStyle w:val="ARbody"/>
      </w:pPr>
      <w:r w:rsidRPr="00971ECE">
        <w:t>The department’s audited financial statements and the five-year summary exclude bodies within the department’s portfolio that are not controlled by the department and are therefore not consolidated in the department’s accounts.</w:t>
      </w:r>
    </w:p>
    <w:p w:rsidR="0092299C" w:rsidRPr="00971ECE" w:rsidRDefault="0092299C" w:rsidP="0092299C">
      <w:pPr>
        <w:pStyle w:val="ARbody"/>
      </w:pPr>
      <w:r w:rsidRPr="00971ECE">
        <w:t xml:space="preserve">To enable efficient production of financial information for smaller entities related to the department and to recognise the Director of Housing entity operating within the department’s business structure, pursuant to s. 53(1) (b) of the </w:t>
      </w:r>
      <w:r w:rsidRPr="00BD612B">
        <w:rPr>
          <w:i/>
        </w:rPr>
        <w:t>Financial Management Act 1994</w:t>
      </w:r>
      <w:r w:rsidRPr="00971ECE">
        <w:t>, the Minister for Finance has granted approval for the Department of Health and Human Services to prepare financial statements incorporating the following entities which form part of the Department of Health and Human Services reporting entity:</w:t>
      </w:r>
    </w:p>
    <w:p w:rsidR="0092299C" w:rsidRPr="00971ECE" w:rsidRDefault="0092299C" w:rsidP="0092299C">
      <w:pPr>
        <w:pStyle w:val="ARbullet1"/>
      </w:pPr>
      <w:r w:rsidRPr="00971ECE">
        <w:t>Mental Health Complaints Commissioner</w:t>
      </w:r>
    </w:p>
    <w:p w:rsidR="0092299C" w:rsidRPr="00971ECE" w:rsidRDefault="0092299C" w:rsidP="0092299C">
      <w:pPr>
        <w:pStyle w:val="ARbullet1"/>
      </w:pPr>
      <w:r w:rsidRPr="00971ECE">
        <w:t>Mental Health Tribunal</w:t>
      </w:r>
    </w:p>
    <w:p w:rsidR="0092299C" w:rsidRPr="00971ECE" w:rsidRDefault="0092299C" w:rsidP="0092299C">
      <w:pPr>
        <w:pStyle w:val="ARbullet1"/>
      </w:pPr>
      <w:r w:rsidRPr="00971ECE">
        <w:t>Commission for Children and Young People</w:t>
      </w:r>
    </w:p>
    <w:p w:rsidR="0092299C" w:rsidRPr="00971ECE" w:rsidRDefault="0092299C" w:rsidP="00F91CA3">
      <w:pPr>
        <w:pStyle w:val="ARbullet1"/>
      </w:pPr>
      <w:r w:rsidRPr="00971ECE">
        <w:t>the Director of Housing.</w:t>
      </w:r>
    </w:p>
    <w:p w:rsidR="0092299C" w:rsidRDefault="0092299C" w:rsidP="00F91CA3">
      <w:pPr>
        <w:pStyle w:val="ARbodyafterbullets"/>
        <w:rPr>
          <w:lang w:val="en" w:eastAsia="en-AU"/>
        </w:rPr>
      </w:pPr>
      <w:r>
        <w:rPr>
          <w:lang w:val="en" w:eastAsia="en-AU"/>
        </w:rPr>
        <w:t xml:space="preserve">As a public non-financial corporation the majority of income for the Director of Housing entity is derived </w:t>
      </w:r>
      <w:r>
        <w:rPr>
          <w:lang w:val="en" w:eastAsia="en-AU"/>
        </w:rPr>
        <w:lastRenderedPageBreak/>
        <w:t>from business operations, primarily in the form of public housing rental, along with revenue provided by government through annual appropriation processes.</w:t>
      </w:r>
    </w:p>
    <w:p w:rsidR="0092299C" w:rsidRDefault="0092299C" w:rsidP="0092299C">
      <w:pPr>
        <w:pStyle w:val="ARbody"/>
        <w:rPr>
          <w:lang w:val="en" w:eastAsia="en-AU"/>
        </w:rPr>
      </w:pPr>
      <w:r>
        <w:rPr>
          <w:color w:val="000000"/>
          <w:lang w:val="en" w:eastAsia="en-AU"/>
        </w:rPr>
        <w:t>Detailed financial results for the Director of Housing are included in Appendix 1 of the annual report, following the departments audited financial statements.</w:t>
      </w:r>
    </w:p>
    <w:p w:rsidR="0092299C" w:rsidRPr="004B72B1" w:rsidRDefault="0092299C" w:rsidP="0092299C">
      <w:pPr>
        <w:pStyle w:val="Heading3"/>
        <w:rPr>
          <w:lang w:val="en"/>
        </w:rPr>
      </w:pPr>
      <w:r w:rsidRPr="004B72B1">
        <w:rPr>
          <w:lang w:val="en"/>
        </w:rPr>
        <w:t>Financial performance and business review</w:t>
      </w:r>
    </w:p>
    <w:p w:rsidR="0092299C" w:rsidRDefault="0092299C" w:rsidP="0092299C">
      <w:pPr>
        <w:pStyle w:val="ARbody"/>
        <w:rPr>
          <w:lang w:val="en" w:eastAsia="en-AU"/>
        </w:rPr>
      </w:pPr>
      <w:r>
        <w:rPr>
          <w:lang w:val="en" w:eastAsia="en-AU"/>
        </w:rPr>
        <w:t>The details below relate to the department’s consolidated financial statements including the entities outlined above.</w:t>
      </w:r>
    </w:p>
    <w:p w:rsidR="0092299C" w:rsidRPr="003075C7" w:rsidRDefault="0092299C" w:rsidP="0092299C">
      <w:pPr>
        <w:pStyle w:val="ARbody"/>
        <w:rPr>
          <w:lang w:val="en" w:eastAsia="en-AU"/>
        </w:rPr>
      </w:pPr>
      <w:r w:rsidRPr="003075C7">
        <w:rPr>
          <w:lang w:val="en" w:eastAsia="en-AU"/>
        </w:rPr>
        <w:t>In 2016</w:t>
      </w:r>
      <w:r w:rsidRPr="00F63571">
        <w:t>–1</w:t>
      </w:r>
      <w:r w:rsidRPr="003075C7">
        <w:rPr>
          <w:lang w:val="en" w:eastAsia="en-AU"/>
        </w:rPr>
        <w:t xml:space="preserve">7, the department recorded a net </w:t>
      </w:r>
      <w:r>
        <w:rPr>
          <w:lang w:val="en" w:eastAsia="en-AU"/>
        </w:rPr>
        <w:t>loss from transactions of $261.2</w:t>
      </w:r>
      <w:r w:rsidRPr="003075C7">
        <w:rPr>
          <w:lang w:val="en" w:eastAsia="en-AU"/>
        </w:rPr>
        <w:t xml:space="preserve"> million. This loss is primarily related to $354.3 million deficit in the Director of Housing entity, partly offset by a surplus in the department of $93.1 million.</w:t>
      </w:r>
    </w:p>
    <w:p w:rsidR="0092299C" w:rsidRPr="003075C7" w:rsidRDefault="0092299C" w:rsidP="0092299C">
      <w:pPr>
        <w:pStyle w:val="ARbody"/>
        <w:rPr>
          <w:lang w:val="en" w:eastAsia="en-AU"/>
        </w:rPr>
      </w:pPr>
      <w:r w:rsidRPr="003075C7">
        <w:rPr>
          <w:lang w:val="en" w:eastAsia="en-AU"/>
        </w:rPr>
        <w:t>The Director of Housing’s $354.3 million deficit is primarily related to:</w:t>
      </w:r>
    </w:p>
    <w:p w:rsidR="0092299C" w:rsidRPr="003075C7" w:rsidRDefault="0092299C" w:rsidP="0092299C">
      <w:pPr>
        <w:pStyle w:val="ARbullet1"/>
        <w:rPr>
          <w:lang w:val="en" w:eastAsia="en-AU"/>
        </w:rPr>
      </w:pPr>
      <w:r w:rsidRPr="003075C7">
        <w:rPr>
          <w:lang w:val="en" w:eastAsia="en-AU"/>
        </w:rPr>
        <w:t xml:space="preserve">the first tranche of the staged title transfer of </w:t>
      </w:r>
      <w:r>
        <w:rPr>
          <w:lang w:val="en" w:eastAsia="en-AU"/>
        </w:rPr>
        <w:t>d</w:t>
      </w:r>
      <w:r w:rsidRPr="003075C7">
        <w:rPr>
          <w:lang w:val="en" w:eastAsia="en-AU"/>
        </w:rPr>
        <w:t>irector</w:t>
      </w:r>
      <w:r>
        <w:rPr>
          <w:lang w:val="en" w:eastAsia="en-AU"/>
        </w:rPr>
        <w:t>-</w:t>
      </w:r>
      <w:r w:rsidRPr="003075C7">
        <w:rPr>
          <w:lang w:val="en" w:eastAsia="en-AU"/>
        </w:rPr>
        <w:t xml:space="preserve">owned properties to Aboriginal Housing Victoria. Approximately 500 </w:t>
      </w:r>
      <w:r>
        <w:rPr>
          <w:lang w:val="en" w:eastAsia="en-AU"/>
        </w:rPr>
        <w:t>dwellings</w:t>
      </w:r>
      <w:r w:rsidRPr="003075C7">
        <w:rPr>
          <w:lang w:val="en" w:eastAsia="en-AU"/>
        </w:rPr>
        <w:t xml:space="preserve"> l</w:t>
      </w:r>
      <w:r>
        <w:rPr>
          <w:lang w:val="en" w:eastAsia="en-AU"/>
        </w:rPr>
        <w:t xml:space="preserve">ocated </w:t>
      </w:r>
      <w:r w:rsidR="00E44182">
        <w:rPr>
          <w:lang w:val="en" w:eastAsia="en-AU"/>
        </w:rPr>
        <w:br/>
      </w:r>
      <w:r>
        <w:rPr>
          <w:lang w:val="en" w:eastAsia="en-AU"/>
        </w:rPr>
        <w:t>in the metropolitan area</w:t>
      </w:r>
      <w:r w:rsidR="00624C00">
        <w:rPr>
          <w:lang w:val="en" w:eastAsia="en-AU"/>
        </w:rPr>
        <w:t xml:space="preserve"> were</w:t>
      </w:r>
      <w:r w:rsidRPr="003075C7">
        <w:rPr>
          <w:lang w:val="en" w:eastAsia="en-AU"/>
        </w:rPr>
        <w:t xml:space="preserve"> transferred on 28</w:t>
      </w:r>
      <w:r>
        <w:rPr>
          <w:lang w:val="en" w:eastAsia="en-AU"/>
        </w:rPr>
        <w:t> </w:t>
      </w:r>
      <w:r w:rsidRPr="003075C7">
        <w:rPr>
          <w:lang w:val="en" w:eastAsia="en-AU"/>
        </w:rPr>
        <w:t>July 2016. The financial effect is a reduction of the director’s net assets in the balance sheet and an expense in the Comprehensive Operating Statement for the amount of $205.1</w:t>
      </w:r>
      <w:r>
        <w:rPr>
          <w:lang w:val="en" w:eastAsia="en-AU"/>
        </w:rPr>
        <w:t> </w:t>
      </w:r>
      <w:r w:rsidRPr="003075C7">
        <w:rPr>
          <w:lang w:val="en" w:eastAsia="en-AU"/>
        </w:rPr>
        <w:t>million</w:t>
      </w:r>
    </w:p>
    <w:p w:rsidR="00624C00" w:rsidRDefault="0092299C" w:rsidP="00F91CA3">
      <w:pPr>
        <w:pStyle w:val="ARbullet1"/>
        <w:rPr>
          <w:lang w:val="en"/>
        </w:rPr>
      </w:pPr>
      <w:r w:rsidRPr="003075C7">
        <w:rPr>
          <w:lang w:val="en" w:eastAsia="en-AU"/>
        </w:rPr>
        <w:t xml:space="preserve">increased expenditure on </w:t>
      </w:r>
      <w:r>
        <w:rPr>
          <w:lang w:val="en" w:eastAsia="en-AU"/>
        </w:rPr>
        <w:t>g</w:t>
      </w:r>
      <w:r w:rsidRPr="003075C7">
        <w:rPr>
          <w:lang w:val="en" w:eastAsia="en-AU"/>
        </w:rPr>
        <w:t>rants and other payments in relation to number of new initiatives in family violence and homelessness</w:t>
      </w:r>
      <w:r>
        <w:rPr>
          <w:lang w:val="en" w:eastAsia="en-AU"/>
        </w:rPr>
        <w:t xml:space="preserve"> funded in 2015</w:t>
      </w:r>
      <w:r w:rsidRPr="00F63571">
        <w:t>–1</w:t>
      </w:r>
      <w:r>
        <w:rPr>
          <w:lang w:val="en" w:eastAsia="en-AU"/>
        </w:rPr>
        <w:t>6 and expensed in 2016</w:t>
      </w:r>
      <w:r w:rsidRPr="00F63571">
        <w:t>–1</w:t>
      </w:r>
      <w:r>
        <w:rPr>
          <w:lang w:val="en" w:eastAsia="en-AU"/>
        </w:rPr>
        <w:t>7</w:t>
      </w:r>
      <w:r w:rsidRPr="003075C7">
        <w:rPr>
          <w:lang w:val="en" w:eastAsia="en-AU"/>
        </w:rPr>
        <w:t>.</w:t>
      </w:r>
    </w:p>
    <w:p w:rsidR="0092299C" w:rsidRPr="003075C7" w:rsidRDefault="0092299C" w:rsidP="00624C00">
      <w:pPr>
        <w:pStyle w:val="ARbodyafterbullets"/>
        <w:rPr>
          <w:lang w:val="en"/>
        </w:rPr>
      </w:pPr>
      <w:r w:rsidRPr="003075C7">
        <w:rPr>
          <w:lang w:val="en"/>
        </w:rPr>
        <w:lastRenderedPageBreak/>
        <w:t>The department’s $93.1 million surplus is mainly due to the recognition of land and buildings received free of charge in the Compreh</w:t>
      </w:r>
      <w:r>
        <w:rPr>
          <w:lang w:val="en"/>
        </w:rPr>
        <w:t>ensive Operating Statement</w:t>
      </w:r>
      <w:r w:rsidRPr="003075C7">
        <w:rPr>
          <w:lang w:val="en"/>
        </w:rPr>
        <w:t xml:space="preserve"> in respect of the development of Simmonds Stadium. The department subsequently transferred the assets to the Kardinia Park Trust through the balance sheet, creating a surplus in the Comprehensive Operating Statement.</w:t>
      </w:r>
    </w:p>
    <w:p w:rsidR="0092299C" w:rsidRPr="004B72B1" w:rsidRDefault="0092299C" w:rsidP="0092299C">
      <w:pPr>
        <w:pStyle w:val="Heading3"/>
        <w:rPr>
          <w:lang w:val="en"/>
        </w:rPr>
      </w:pPr>
      <w:r w:rsidRPr="004B72B1">
        <w:rPr>
          <w:lang w:val="en"/>
        </w:rPr>
        <w:t>Financial position – balance sheet</w:t>
      </w:r>
    </w:p>
    <w:p w:rsidR="00AA035A" w:rsidRDefault="0092299C" w:rsidP="0092299C">
      <w:pPr>
        <w:pStyle w:val="ARbody"/>
        <w:rPr>
          <w:lang w:val="en" w:eastAsia="en-AU"/>
        </w:rPr>
      </w:pPr>
      <w:r w:rsidRPr="003075C7">
        <w:rPr>
          <w:lang w:val="en" w:eastAsia="en-AU"/>
        </w:rPr>
        <w:t>Total assets have increased by $1.6</w:t>
      </w:r>
      <w:r w:rsidR="00AB6828">
        <w:rPr>
          <w:lang w:val="en" w:eastAsia="en-AU"/>
        </w:rPr>
        <w:t>7</w:t>
      </w:r>
      <w:r w:rsidRPr="003075C7">
        <w:rPr>
          <w:lang w:val="en" w:eastAsia="en-AU"/>
        </w:rPr>
        <w:t xml:space="preserve"> billion in 2016</w:t>
      </w:r>
      <w:r w:rsidRPr="00F63571">
        <w:t>–1</w:t>
      </w:r>
      <w:r w:rsidRPr="003075C7">
        <w:rPr>
          <w:lang w:val="en" w:eastAsia="en-AU"/>
        </w:rPr>
        <w:t xml:space="preserve">7 compared </w:t>
      </w:r>
      <w:r>
        <w:rPr>
          <w:lang w:val="en" w:eastAsia="en-AU"/>
        </w:rPr>
        <w:t>with the previous</w:t>
      </w:r>
      <w:r w:rsidRPr="003075C7">
        <w:rPr>
          <w:lang w:val="en" w:eastAsia="en-AU"/>
        </w:rPr>
        <w:t xml:space="preserve"> year, mostly attributed to a $1.98 billion managerial land revaluation within Property, Plant and Equipment, offset by $</w:t>
      </w:r>
      <w:r>
        <w:rPr>
          <w:lang w:val="en" w:eastAsia="en-AU"/>
        </w:rPr>
        <w:t>200 million</w:t>
      </w:r>
      <w:r w:rsidRPr="003075C7">
        <w:rPr>
          <w:lang w:val="en" w:eastAsia="en-AU"/>
        </w:rPr>
        <w:t xml:space="preserve"> land and buildings transferred to Aboriginal Housing Victoria.</w:t>
      </w:r>
    </w:p>
    <w:p w:rsidR="0092299C" w:rsidRPr="004B72B1" w:rsidRDefault="0092299C" w:rsidP="0092299C">
      <w:pPr>
        <w:pStyle w:val="Heading3"/>
        <w:rPr>
          <w:lang w:val="en"/>
        </w:rPr>
      </w:pPr>
      <w:bookmarkStart w:id="31" w:name="_Ref492894515"/>
      <w:r w:rsidRPr="004B72B1">
        <w:rPr>
          <w:lang w:val="en"/>
        </w:rPr>
        <w:t xml:space="preserve">Cash </w:t>
      </w:r>
      <w:r w:rsidRPr="005F7284">
        <w:t>flows</w:t>
      </w:r>
      <w:bookmarkEnd w:id="31"/>
    </w:p>
    <w:p w:rsidR="00AA035A" w:rsidRDefault="0092299C" w:rsidP="0092299C">
      <w:pPr>
        <w:pStyle w:val="ARbody"/>
        <w:rPr>
          <w:lang w:val="en" w:eastAsia="en-AU"/>
        </w:rPr>
      </w:pPr>
      <w:r w:rsidRPr="003075C7">
        <w:rPr>
          <w:lang w:val="en" w:eastAsia="en-AU"/>
        </w:rPr>
        <w:t>The overall cash position at the end of the 2016</w:t>
      </w:r>
      <w:r w:rsidRPr="00F63571">
        <w:t>–1</w:t>
      </w:r>
      <w:r w:rsidRPr="003075C7">
        <w:rPr>
          <w:lang w:val="en" w:eastAsia="en-AU"/>
        </w:rPr>
        <w:t>7 financial year is $802.2 million surplus, which is an increase of $224.6 million compared to the beginning of the year. The cash increase mainly reflects the increase i</w:t>
      </w:r>
      <w:r>
        <w:rPr>
          <w:lang w:val="en" w:eastAsia="en-AU"/>
        </w:rPr>
        <w:t>n funds held in trust.</w:t>
      </w:r>
    </w:p>
    <w:p w:rsidR="0092299C" w:rsidRPr="004B72B1" w:rsidRDefault="0092299C" w:rsidP="0092299C">
      <w:pPr>
        <w:pStyle w:val="ARbody"/>
        <w:rPr>
          <w:color w:val="004C97"/>
        </w:rPr>
      </w:pPr>
    </w:p>
    <w:p w:rsidR="0092299C" w:rsidRPr="002E0158" w:rsidRDefault="0092299C" w:rsidP="00E560D2">
      <w:pPr>
        <w:pStyle w:val="ARbody"/>
        <w:sectPr w:rsidR="0092299C" w:rsidRPr="002E0158" w:rsidSect="00D67ED3">
          <w:headerReference w:type="even" r:id="rId47"/>
          <w:endnotePr>
            <w:numFmt w:val="decimal"/>
          </w:endnotePr>
          <w:type w:val="continuous"/>
          <w:pgSz w:w="11900" w:h="16840" w:code="9"/>
          <w:pgMar w:top="1531" w:right="851" w:bottom="680" w:left="1418" w:header="510" w:footer="340" w:gutter="0"/>
          <w:cols w:num="2" w:space="454"/>
        </w:sectPr>
      </w:pPr>
    </w:p>
    <w:p w:rsidR="0092299C" w:rsidRDefault="0092299C" w:rsidP="0092299C">
      <w:pPr>
        <w:pStyle w:val="Heading1"/>
      </w:pPr>
      <w:bookmarkStart w:id="32" w:name="_Toc463776200"/>
      <w:bookmarkStart w:id="33" w:name="_Ref492894012"/>
      <w:bookmarkStart w:id="34" w:name="_Toc493069461"/>
      <w:r w:rsidRPr="000B2035">
        <w:lastRenderedPageBreak/>
        <w:t>Governance</w:t>
      </w:r>
      <w:bookmarkEnd w:id="32"/>
      <w:bookmarkEnd w:id="33"/>
      <w:bookmarkEnd w:id="34"/>
    </w:p>
    <w:p w:rsidR="0092299C" w:rsidRDefault="0092299C" w:rsidP="0092299C">
      <w:pPr>
        <w:pStyle w:val="Heading2"/>
        <w:spacing w:after="300"/>
      </w:pPr>
      <w:r>
        <w:t>The department</w:t>
      </w:r>
      <w:r w:rsidRPr="00E671F9">
        <w:t xml:space="preserve">’s </w:t>
      </w:r>
      <w:r>
        <w:t>s</w:t>
      </w:r>
      <w:r w:rsidRPr="00E671F9">
        <w:t xml:space="preserve">enior </w:t>
      </w:r>
      <w:r>
        <w:t>e</w:t>
      </w:r>
      <w:r w:rsidRPr="00E671F9">
        <w:t>xecutives</w:t>
      </w:r>
      <w:r>
        <w:t xml:space="preserve"> at 30 June 201</w:t>
      </w:r>
      <w:r w:rsidR="00C13D64">
        <w:t>7</w:t>
      </w:r>
    </w:p>
    <w:p w:rsidR="0092299C" w:rsidRDefault="0092299C" w:rsidP="0092299C">
      <w:pPr>
        <w:pStyle w:val="Heading2"/>
        <w:sectPr w:rsidR="0092299C" w:rsidSect="00AD4DC4">
          <w:headerReference w:type="even" r:id="rId48"/>
          <w:headerReference w:type="default" r:id="rId49"/>
          <w:endnotePr>
            <w:numFmt w:val="decimal"/>
          </w:endnotePr>
          <w:pgSz w:w="11900" w:h="16840" w:code="9"/>
          <w:pgMar w:top="1531" w:right="851" w:bottom="680" w:left="1418" w:header="510" w:footer="340" w:gutter="0"/>
          <w:cols w:space="720"/>
        </w:sectPr>
      </w:pPr>
    </w:p>
    <w:p w:rsidR="0092299C" w:rsidRDefault="0092299C" w:rsidP="0092299C">
      <w:pPr>
        <w:pStyle w:val="Heading3"/>
        <w:spacing w:before="0"/>
      </w:pPr>
      <w:r>
        <w:lastRenderedPageBreak/>
        <w:t>Kym Peake</w:t>
      </w:r>
    </w:p>
    <w:p w:rsidR="0092299C" w:rsidRPr="007201FF" w:rsidRDefault="0092299C" w:rsidP="0092299C">
      <w:pPr>
        <w:pStyle w:val="ARbody"/>
        <w:rPr>
          <w:b/>
        </w:rPr>
      </w:pPr>
      <w:r w:rsidRPr="007201FF">
        <w:rPr>
          <w:b/>
        </w:rPr>
        <w:t>Secretary</w:t>
      </w:r>
    </w:p>
    <w:p w:rsidR="0092299C" w:rsidRDefault="0092299C" w:rsidP="0092299C">
      <w:pPr>
        <w:pStyle w:val="ARbody"/>
        <w:rPr>
          <w:lang w:eastAsia="en-AU"/>
        </w:rPr>
      </w:pPr>
      <w:r>
        <w:rPr>
          <w:lang w:eastAsia="en-AU"/>
        </w:rPr>
        <w:t>Kym Peake commenced as Secretary of the Victorian Department of Health and Human Services in November 2015. Kym has extensive experience in both state and Commonwealth Government, including as Deputy Secretary, Governance Policy and Coordination at the Victorian Department of Premier and Cabinet, Deputy Secretary, Higher Education and Skills Group at the Victorian Department of Education and Training and Executive Director, Productivity and Inclusion at the Department of Prime Minister and Cabinet.</w:t>
      </w:r>
    </w:p>
    <w:p w:rsidR="0092299C" w:rsidRDefault="0092299C" w:rsidP="0092299C">
      <w:pPr>
        <w:pStyle w:val="ARbody"/>
      </w:pPr>
      <w:r>
        <w:rPr>
          <w:lang w:eastAsia="en-AU"/>
        </w:rPr>
        <w:t>Kym possesses an Executive Master of Public Administration, a Bachelor of Arts (Hons) and a Bachelor of Laws, all from the University of Melbourne.</w:t>
      </w:r>
    </w:p>
    <w:p w:rsidR="0092299C" w:rsidRDefault="0092299C" w:rsidP="0092299C">
      <w:pPr>
        <w:pStyle w:val="Heading3"/>
      </w:pPr>
      <w:r>
        <w:t>Amity Durham</w:t>
      </w:r>
    </w:p>
    <w:p w:rsidR="0092299C" w:rsidRPr="007201FF" w:rsidRDefault="0092299C" w:rsidP="0092299C">
      <w:pPr>
        <w:pStyle w:val="ARbody"/>
        <w:rPr>
          <w:b/>
        </w:rPr>
      </w:pPr>
      <w:r>
        <w:rPr>
          <w:b/>
        </w:rPr>
        <w:t xml:space="preserve">Acting </w:t>
      </w:r>
      <w:r w:rsidRPr="007201FF">
        <w:rPr>
          <w:b/>
        </w:rPr>
        <w:t>Deputy Secretary –</w:t>
      </w:r>
      <w:r>
        <w:rPr>
          <w:b/>
        </w:rPr>
        <w:t xml:space="preserve"> Portfolio, Strategy and Reform</w:t>
      </w:r>
    </w:p>
    <w:p w:rsidR="0092299C" w:rsidRPr="00502F0C" w:rsidRDefault="0092299C" w:rsidP="0092299C">
      <w:pPr>
        <w:pStyle w:val="ARbody"/>
      </w:pPr>
      <w:r w:rsidRPr="00502F0C">
        <w:t>Amity joined the department in October 2016. Prior to this role she was an Executive Director, Family and Community Services and Service Innovation in the NSW Department of Premier and Cabinet, a position she held since October 2014. In that role Amity has had responsibility for leading reforms across the NSW Government's social policy agenda, including in social housing, child protection and out</w:t>
      </w:r>
      <w:r w:rsidRPr="00502F0C">
        <w:rPr>
          <w:rFonts w:ascii="Cambria Math" w:hAnsi="Cambria Math" w:cs="Cambria Math"/>
        </w:rPr>
        <w:t>‐</w:t>
      </w:r>
      <w:r w:rsidRPr="00502F0C">
        <w:t>of</w:t>
      </w:r>
      <w:r w:rsidRPr="00502F0C">
        <w:rPr>
          <w:rFonts w:ascii="Cambria Math" w:hAnsi="Cambria Math" w:cs="Cambria Math"/>
        </w:rPr>
        <w:t>‐</w:t>
      </w:r>
      <w:r w:rsidRPr="00502F0C">
        <w:t>home care. She also had responsibility for the world</w:t>
      </w:r>
      <w:r w:rsidRPr="00502F0C">
        <w:rPr>
          <w:rFonts w:ascii="Cambria Math" w:hAnsi="Cambria Math" w:cs="Cambria Math"/>
        </w:rPr>
        <w:t>‐</w:t>
      </w:r>
      <w:r w:rsidRPr="00502F0C">
        <w:t>leading NSW Behavioural Insights Unit and the Office of Social Impact Investment.</w:t>
      </w:r>
    </w:p>
    <w:p w:rsidR="0092299C" w:rsidRPr="00502F0C" w:rsidRDefault="0092299C" w:rsidP="0092299C">
      <w:pPr>
        <w:pStyle w:val="ARbody"/>
      </w:pPr>
      <w:r w:rsidRPr="00502F0C">
        <w:t xml:space="preserve">Amity has previously held other senior executive roles in the NSW </w:t>
      </w:r>
      <w:r>
        <w:t>G</w:t>
      </w:r>
      <w:r w:rsidRPr="00502F0C">
        <w:t>overnment within central and line agencies. She has also held the role of Director in top</w:t>
      </w:r>
      <w:r w:rsidRPr="00502F0C">
        <w:rPr>
          <w:rFonts w:ascii="Cambria Math" w:hAnsi="Cambria Math" w:cs="Cambria Math"/>
        </w:rPr>
        <w:t>‐</w:t>
      </w:r>
      <w:r w:rsidRPr="00502F0C">
        <w:t>tier management consulting firm, where she advised a range of social sector government agencies across Australia.</w:t>
      </w:r>
    </w:p>
    <w:p w:rsidR="0092299C" w:rsidRPr="00502F0C" w:rsidRDefault="0092299C" w:rsidP="0092299C">
      <w:pPr>
        <w:pStyle w:val="ARbody"/>
        <w:rPr>
          <w:sz w:val="22"/>
          <w:szCs w:val="22"/>
        </w:rPr>
      </w:pPr>
      <w:r w:rsidRPr="00502F0C">
        <w:t>Amity has an academic background in social sciences and law, and holds an Executive Master’s Degree in Public Administration.</w:t>
      </w:r>
    </w:p>
    <w:p w:rsidR="0092299C" w:rsidRDefault="0092299C" w:rsidP="0092299C">
      <w:pPr>
        <w:pStyle w:val="Heading3"/>
        <w:spacing w:before="0"/>
      </w:pPr>
      <w:r>
        <w:br w:type="column"/>
      </w:r>
      <w:r>
        <w:lastRenderedPageBreak/>
        <w:t>Amanda Cattermole</w:t>
      </w:r>
    </w:p>
    <w:p w:rsidR="0092299C" w:rsidRPr="007201FF" w:rsidRDefault="0092299C" w:rsidP="0092299C">
      <w:pPr>
        <w:pStyle w:val="ARbody"/>
        <w:rPr>
          <w:b/>
        </w:rPr>
      </w:pPr>
      <w:r w:rsidRPr="007201FF">
        <w:rPr>
          <w:b/>
        </w:rPr>
        <w:t>Deputy Secretary – Community Services Programs and Design</w:t>
      </w:r>
    </w:p>
    <w:p w:rsidR="0092299C" w:rsidRDefault="0092299C" w:rsidP="0092299C">
      <w:pPr>
        <w:pStyle w:val="ARbody"/>
      </w:pPr>
      <w:r w:rsidRPr="00085054">
        <w:t xml:space="preserve">The </w:t>
      </w:r>
      <w:r>
        <w:t>Community Services Programs and Design d</w:t>
      </w:r>
      <w:r w:rsidRPr="00085054">
        <w:t>ivision is responsible for</w:t>
      </w:r>
      <w:r>
        <w:t xml:space="preserve"> developing operational policy and funding frameworks</w:t>
      </w:r>
      <w:r w:rsidRPr="00085054">
        <w:t xml:space="preserve"> for housing, homelessness, family violence, family support, disability, child protection, out</w:t>
      </w:r>
      <w:r>
        <w:t>-</w:t>
      </w:r>
      <w:r w:rsidRPr="00085054">
        <w:t>of</w:t>
      </w:r>
      <w:r>
        <w:t>-</w:t>
      </w:r>
      <w:r w:rsidRPr="00085054">
        <w:t>home care and youth justice services.</w:t>
      </w:r>
    </w:p>
    <w:p w:rsidR="0092299C" w:rsidRDefault="0092299C" w:rsidP="0092299C">
      <w:pPr>
        <w:pStyle w:val="ARbody"/>
      </w:pPr>
      <w:r>
        <w:t>Amanda Cattermole has more than a decade of</w:t>
      </w:r>
      <w:r w:rsidRPr="001772F1">
        <w:t xml:space="preserve"> social policy </w:t>
      </w:r>
      <w:r>
        <w:t xml:space="preserve">and service delivery </w:t>
      </w:r>
      <w:r w:rsidRPr="001772F1">
        <w:t xml:space="preserve">experience across a </w:t>
      </w:r>
      <w:r>
        <w:t>number of Commonwealth, s</w:t>
      </w:r>
      <w:r w:rsidRPr="001772F1">
        <w:t xml:space="preserve">tate </w:t>
      </w:r>
      <w:r>
        <w:t xml:space="preserve">and territory jurisdictions, including Western Australia and the Northern Territory. Amanda has led significant policy reforms for government, including reforms to problem gambling laws and to Aboriginal housing in remote Australia for which she was awarded the Public Service Medal for outstanding public service. Between 1994 and 2004 Amanda worked as an </w:t>
      </w:r>
      <w:r w:rsidR="00E44182">
        <w:br/>
      </w:r>
      <w:r>
        <w:t>in-house legal counsel at the Northern Land Council in the Northern Territory and at the Department of Indigenous Affairs in Western Australia and as a legal policy advisor in the Commonwealth Government.</w:t>
      </w:r>
    </w:p>
    <w:p w:rsidR="0092299C" w:rsidRDefault="0092299C" w:rsidP="00596058">
      <w:pPr>
        <w:pStyle w:val="Heading3"/>
      </w:pPr>
      <w:r>
        <w:t xml:space="preserve">Chris </w:t>
      </w:r>
      <w:proofErr w:type="spellStart"/>
      <w:r>
        <w:t>Asquini</w:t>
      </w:r>
      <w:proofErr w:type="spellEnd"/>
    </w:p>
    <w:p w:rsidR="0092299C" w:rsidRPr="007201FF" w:rsidRDefault="0092299C" w:rsidP="0092299C">
      <w:pPr>
        <w:pStyle w:val="ARbody"/>
        <w:rPr>
          <w:b/>
        </w:rPr>
      </w:pPr>
      <w:r w:rsidRPr="007201FF">
        <w:rPr>
          <w:b/>
        </w:rPr>
        <w:t>Deputy Secretary – Operations</w:t>
      </w:r>
    </w:p>
    <w:p w:rsidR="0092299C" w:rsidRDefault="0092299C" w:rsidP="0092299C">
      <w:pPr>
        <w:pStyle w:val="ARbody"/>
        <w:rPr>
          <w:lang w:eastAsia="en-AU"/>
        </w:rPr>
      </w:pPr>
      <w:r>
        <w:rPr>
          <w:lang w:eastAsia="en-AU"/>
        </w:rPr>
        <w:t xml:space="preserve">Chris </w:t>
      </w:r>
      <w:proofErr w:type="spellStart"/>
      <w:r>
        <w:rPr>
          <w:lang w:eastAsia="en-AU"/>
        </w:rPr>
        <w:t>Asquini</w:t>
      </w:r>
      <w:proofErr w:type="spellEnd"/>
      <w:r>
        <w:rPr>
          <w:lang w:eastAsia="en-AU"/>
        </w:rPr>
        <w:t xml:space="preserve"> has been the Deputy Secretary, Operations since October 2015.</w:t>
      </w:r>
    </w:p>
    <w:p w:rsidR="0092299C" w:rsidRDefault="0092299C" w:rsidP="0092299C">
      <w:pPr>
        <w:pStyle w:val="ARbody"/>
        <w:rPr>
          <w:lang w:eastAsia="en-AU"/>
        </w:rPr>
      </w:pPr>
      <w:r w:rsidRPr="009500C6">
        <w:rPr>
          <w:lang w:eastAsia="en-AU"/>
        </w:rPr>
        <w:t xml:space="preserve">Operations division is </w:t>
      </w:r>
      <w:r>
        <w:rPr>
          <w:lang w:eastAsia="en-AU"/>
        </w:rPr>
        <w:t>responsible for the delivery of </w:t>
      </w:r>
      <w:r w:rsidRPr="009500C6">
        <w:rPr>
          <w:lang w:eastAsia="en-AU"/>
        </w:rPr>
        <w:t xml:space="preserve">services and improved client outcomes across the </w:t>
      </w:r>
      <w:r>
        <w:rPr>
          <w:lang w:eastAsia="en-AU"/>
        </w:rPr>
        <w:t>four</w:t>
      </w:r>
      <w:r w:rsidRPr="009500C6">
        <w:rPr>
          <w:lang w:eastAsia="en-AU"/>
        </w:rPr>
        <w:t xml:space="preserve"> operational divisions. It oversees the translation of policy in</w:t>
      </w:r>
      <w:r>
        <w:rPr>
          <w:lang w:eastAsia="en-AU"/>
        </w:rPr>
        <w:t>to operational service delivery </w:t>
      </w:r>
      <w:r w:rsidRPr="009500C6">
        <w:rPr>
          <w:lang w:eastAsia="en-AU"/>
        </w:rPr>
        <w:t>to enable healthy, safe and strong communities by add</w:t>
      </w:r>
      <w:r>
        <w:rPr>
          <w:lang w:eastAsia="en-AU"/>
        </w:rPr>
        <w:t>ressing the needs of Victorians </w:t>
      </w:r>
      <w:r w:rsidRPr="009500C6">
        <w:rPr>
          <w:lang w:eastAsia="en-AU"/>
        </w:rPr>
        <w:t xml:space="preserve">across the continuum of health and human services. The division </w:t>
      </w:r>
      <w:r>
        <w:rPr>
          <w:lang w:eastAsia="en-AU"/>
        </w:rPr>
        <w:t xml:space="preserve">plays a key role in supporting the department to transition to the National Disability Insurance Scheme. It </w:t>
      </w:r>
      <w:r w:rsidRPr="009500C6">
        <w:rPr>
          <w:lang w:eastAsia="en-AU"/>
        </w:rPr>
        <w:t xml:space="preserve">also monitors and analyses </w:t>
      </w:r>
      <w:proofErr w:type="spellStart"/>
      <w:r w:rsidRPr="009500C6">
        <w:rPr>
          <w:lang w:eastAsia="en-AU"/>
        </w:rPr>
        <w:t>state</w:t>
      </w:r>
      <w:r>
        <w:rPr>
          <w:lang w:eastAsia="en-AU"/>
        </w:rPr>
        <w:t>wide</w:t>
      </w:r>
      <w:proofErr w:type="spellEnd"/>
      <w:r w:rsidRPr="009500C6">
        <w:rPr>
          <w:lang w:eastAsia="en-AU"/>
        </w:rPr>
        <w:t xml:space="preserve"> service delivery standards and performance.</w:t>
      </w:r>
    </w:p>
    <w:p w:rsidR="0092299C" w:rsidRDefault="0092299C" w:rsidP="0092299C">
      <w:pPr>
        <w:pStyle w:val="ARbody"/>
        <w:rPr>
          <w:lang w:eastAsia="en-AU"/>
        </w:rPr>
      </w:pPr>
      <w:r>
        <w:rPr>
          <w:lang w:eastAsia="en-AU"/>
        </w:rPr>
        <w:t xml:space="preserve">Chris was previously the Deputy Secretary, East division. She has led major social policy and service delivery reform initiatives, including the design and implementation of the Child Protection Operating Model. Chris has held </w:t>
      </w:r>
      <w:r>
        <w:rPr>
          <w:lang w:eastAsia="en-AU"/>
        </w:rPr>
        <w:lastRenderedPageBreak/>
        <w:t xml:space="preserve">executive positions in a number of portfolios, </w:t>
      </w:r>
      <w:r w:rsidRPr="001E5D43">
        <w:rPr>
          <w:lang w:eastAsia="en-AU"/>
        </w:rPr>
        <w:t>including</w:t>
      </w:r>
      <w:r>
        <w:rPr>
          <w:lang w:eastAsia="en-AU"/>
        </w:rPr>
        <w:t xml:space="preserve"> roles as the Executive Director, Children, Youth and Families, and Director, Community and Individual Support in Disability Services.</w:t>
      </w:r>
    </w:p>
    <w:p w:rsidR="0092299C" w:rsidRDefault="0092299C" w:rsidP="00596058">
      <w:pPr>
        <w:pStyle w:val="Heading3"/>
      </w:pPr>
      <w:r>
        <w:t>Terry Symonds</w:t>
      </w:r>
    </w:p>
    <w:p w:rsidR="0092299C" w:rsidRPr="007201FF" w:rsidRDefault="0092299C" w:rsidP="0092299C">
      <w:pPr>
        <w:pStyle w:val="ARbody"/>
        <w:rPr>
          <w:b/>
        </w:rPr>
      </w:pPr>
      <w:r w:rsidRPr="007201FF">
        <w:rPr>
          <w:b/>
        </w:rPr>
        <w:t xml:space="preserve">Deputy Secretary – </w:t>
      </w:r>
      <w:r>
        <w:rPr>
          <w:b/>
        </w:rPr>
        <w:t>Health Service Performance and Programs</w:t>
      </w:r>
    </w:p>
    <w:p w:rsidR="0092299C" w:rsidRPr="00280293" w:rsidRDefault="0092299C" w:rsidP="0092299C">
      <w:pPr>
        <w:pStyle w:val="ARbody"/>
        <w:rPr>
          <w:color w:val="000000"/>
          <w:lang w:eastAsia="en-AU"/>
        </w:rPr>
      </w:pPr>
      <w:r w:rsidRPr="00280293">
        <w:rPr>
          <w:lang w:eastAsia="en-AU"/>
        </w:rPr>
        <w:t xml:space="preserve">Terry Symonds heads the Health Service Performance and Programs division of the Department of Health and Human Services, Victoria, which is responsible for the department‘s stewardship role of the Victorian healthcare system. The division has lead responsibility for the funding, planning, governance and oversight of health services to ensure that they meet the needs of all Victorians. </w:t>
      </w:r>
      <w:r w:rsidRPr="00280293">
        <w:rPr>
          <w:color w:val="000000"/>
          <w:lang w:eastAsia="en-AU"/>
        </w:rPr>
        <w:t>The division oversees policy, planning, funding and performance of the health system in Victoria, including public and private hospitals and day procedure centres, emergency and non-emergency patient transport services, residential aged care services, mental health services, and other non-government health care providers. The division supports best practice approaches to clinical care through the Victorian Cancer Agency, health and medical research, international health enga</w:t>
      </w:r>
      <w:r>
        <w:rPr>
          <w:color w:val="000000"/>
          <w:lang w:eastAsia="en-AU"/>
        </w:rPr>
        <w:t>gement, and policy development.</w:t>
      </w:r>
    </w:p>
    <w:p w:rsidR="0092299C" w:rsidRPr="00D428E7" w:rsidRDefault="0092299C" w:rsidP="0092299C">
      <w:pPr>
        <w:pStyle w:val="ARbody"/>
        <w:rPr>
          <w:lang w:eastAsia="en-AU"/>
        </w:rPr>
      </w:pPr>
      <w:r>
        <w:rPr>
          <w:rFonts w:ascii="Helv" w:hAnsi="Helv" w:cs="Helv"/>
          <w:color w:val="000000"/>
          <w:lang w:eastAsia="en-AU"/>
        </w:rPr>
        <w:t>The division also works with the newly formed Safer Care Victoria and the Victorian Agency for Health Information to ensure safe, quality health care and to disseminate innovation and improvement efforts across the health system.</w:t>
      </w:r>
    </w:p>
    <w:p w:rsidR="0092299C" w:rsidRPr="00280293" w:rsidRDefault="0092299C" w:rsidP="0092299C">
      <w:pPr>
        <w:pStyle w:val="ARbody"/>
        <w:rPr>
          <w:color w:val="000000"/>
          <w:lang w:eastAsia="en-AU"/>
        </w:rPr>
      </w:pPr>
      <w:r w:rsidRPr="00280293">
        <w:rPr>
          <w:color w:val="000000"/>
          <w:lang w:eastAsia="en-AU"/>
        </w:rPr>
        <w:t>Terry has over 20 years of experience in the health and disability sectors in Victoria and Queensland, including in community development, hospital management, research and evaluation, strategy and performance monitoring.</w:t>
      </w:r>
    </w:p>
    <w:p w:rsidR="0092299C" w:rsidRDefault="0092299C" w:rsidP="0092299C">
      <w:pPr>
        <w:pStyle w:val="ARbody"/>
      </w:pPr>
      <w:r w:rsidRPr="00280293">
        <w:rPr>
          <w:lang w:eastAsia="en-AU"/>
        </w:rPr>
        <w:t>He holds a Masters in Health Studies (UQ) and postgraduate qualifications in health promotion and prevention.</w:t>
      </w:r>
    </w:p>
    <w:p w:rsidR="0092299C" w:rsidRDefault="0092299C" w:rsidP="0092299C">
      <w:pPr>
        <w:pStyle w:val="Heading3"/>
      </w:pPr>
      <w:r>
        <w:t>Anne Congleton</w:t>
      </w:r>
    </w:p>
    <w:p w:rsidR="0092299C" w:rsidRPr="007201FF" w:rsidRDefault="0092299C" w:rsidP="0092299C">
      <w:pPr>
        <w:pStyle w:val="ARbody"/>
        <w:keepNext/>
        <w:rPr>
          <w:b/>
        </w:rPr>
      </w:pPr>
      <w:r w:rsidRPr="007201FF">
        <w:rPr>
          <w:b/>
        </w:rPr>
        <w:t>Deputy Secretary – Community Participation, Sport and Recreation, Health and Wellbeing</w:t>
      </w:r>
    </w:p>
    <w:p w:rsidR="0092299C" w:rsidRDefault="0092299C" w:rsidP="0092299C">
      <w:pPr>
        <w:pStyle w:val="ARbody"/>
      </w:pPr>
      <w:r w:rsidRPr="00862B36">
        <w:t xml:space="preserve">The Community Participation, Sport and Recreation, Health and Wellbeing </w:t>
      </w:r>
      <w:r>
        <w:t>division uses primary preventive measures to</w:t>
      </w:r>
      <w:r w:rsidRPr="00E95F25">
        <w:t xml:space="preserve"> </w:t>
      </w:r>
      <w:r>
        <w:t xml:space="preserve">reduce the rate of disease across the Victorian population and </w:t>
      </w:r>
      <w:r w:rsidRPr="00E95F25">
        <w:t xml:space="preserve">reduce inequalities in health </w:t>
      </w:r>
      <w:r>
        <w:t xml:space="preserve">and wellbeing </w:t>
      </w:r>
      <w:r w:rsidRPr="00E95F25">
        <w:t>between population groups.</w:t>
      </w:r>
      <w:r>
        <w:t xml:space="preserve"> Recognising the influential role of social and economic forces, in combination with biological and environmental factors, on health and </w:t>
      </w:r>
      <w:r>
        <w:lastRenderedPageBreak/>
        <w:t>wellbeing, the division applies population and place-based approaches to all of its work.</w:t>
      </w:r>
    </w:p>
    <w:p w:rsidR="0092299C" w:rsidRDefault="0092299C" w:rsidP="0092299C">
      <w:pPr>
        <w:pStyle w:val="ARbody"/>
      </w:pPr>
      <w:r>
        <w:t>Previously, Anne Congleton was the Deputy Secretary, West Division from 2012–15. Anne has worked across many parts of the department, involving roles in policy, program development, corporate resources and service delivery. Prior to joining the department, she held senior roles in the Department of Treasury and Finance.</w:t>
      </w:r>
    </w:p>
    <w:p w:rsidR="0092299C" w:rsidRDefault="0092299C" w:rsidP="00596058">
      <w:pPr>
        <w:pStyle w:val="Heading3"/>
      </w:pPr>
      <w:r>
        <w:t xml:space="preserve">Melissa </w:t>
      </w:r>
      <w:proofErr w:type="spellStart"/>
      <w:r>
        <w:t>Skilbeck</w:t>
      </w:r>
      <w:proofErr w:type="spellEnd"/>
    </w:p>
    <w:p w:rsidR="0092299C" w:rsidRPr="007201FF" w:rsidRDefault="0092299C" w:rsidP="0092299C">
      <w:pPr>
        <w:pStyle w:val="ARbody"/>
        <w:rPr>
          <w:b/>
        </w:rPr>
      </w:pPr>
      <w:r w:rsidRPr="007201FF">
        <w:rPr>
          <w:b/>
        </w:rPr>
        <w:t>Deputy Secretary – Regulation, Health Protection and Emergency Management</w:t>
      </w:r>
    </w:p>
    <w:p w:rsidR="0092299C" w:rsidRDefault="0092299C" w:rsidP="0092299C">
      <w:pPr>
        <w:pStyle w:val="ARbody"/>
      </w:pPr>
      <w:r>
        <w:t xml:space="preserve">Regulation, Health Protection and Emergency Management advances public health through </w:t>
      </w:r>
      <w:r w:rsidR="00E44182">
        <w:br/>
      </w:r>
      <w:r>
        <w:t>the identification of risks and the use of social regulation to influence behaviours. It also develops regulatory frameworks for new services such as access to medicinal cannabis and real-time prescription monitoring. The division leads the department’s responsibilities in emergency management, contributing to whole-of-government actions to build community resilience, and funds and supports social and human recovery in disaster-impacted communities.</w:t>
      </w:r>
    </w:p>
    <w:p w:rsidR="0092299C" w:rsidRDefault="0092299C" w:rsidP="0092299C">
      <w:pPr>
        <w:pStyle w:val="ARbody"/>
      </w:pPr>
      <w:r>
        <w:t xml:space="preserve">Melissa </w:t>
      </w:r>
      <w:proofErr w:type="spellStart"/>
      <w:r>
        <w:t>Skilbeck</w:t>
      </w:r>
      <w:proofErr w:type="spellEnd"/>
      <w:r>
        <w:t xml:space="preserve"> was previously Deputy Secretary, Budget and Finance, at the Victorian Department of Treasury and Finance, and head of the Secretariat for the Independent Review of State Finances.</w:t>
      </w:r>
    </w:p>
    <w:p w:rsidR="0092299C" w:rsidRPr="00FD7F31" w:rsidRDefault="0092299C" w:rsidP="0092299C">
      <w:pPr>
        <w:pStyle w:val="ARbody"/>
      </w:pPr>
      <w:r>
        <w:t>Melissa has consulted to Australian governments, regulators and government businesses on economic and social public policy and public administration as a director of the Allen Consulting Group and a partner in the economics and strategic advisory practice of Deloitte.</w:t>
      </w:r>
    </w:p>
    <w:p w:rsidR="0092299C" w:rsidRDefault="0092299C" w:rsidP="0092299C">
      <w:pPr>
        <w:pStyle w:val="Heading3"/>
      </w:pPr>
      <w:r>
        <w:t xml:space="preserve">Nick </w:t>
      </w:r>
      <w:proofErr w:type="spellStart"/>
      <w:r>
        <w:t>Foa</w:t>
      </w:r>
      <w:proofErr w:type="spellEnd"/>
    </w:p>
    <w:p w:rsidR="0092299C" w:rsidRPr="007201FF" w:rsidRDefault="0092299C" w:rsidP="0092299C">
      <w:pPr>
        <w:pStyle w:val="ARbody"/>
        <w:rPr>
          <w:b/>
        </w:rPr>
      </w:pPr>
      <w:r w:rsidRPr="000655D8">
        <w:rPr>
          <w:b/>
        </w:rPr>
        <w:t>Deputy Secretary – Fina</w:t>
      </w:r>
      <w:r>
        <w:rPr>
          <w:b/>
        </w:rPr>
        <w:t>n</w:t>
      </w:r>
      <w:r w:rsidRPr="000655D8">
        <w:rPr>
          <w:b/>
        </w:rPr>
        <w:t xml:space="preserve">ce and Infrastructure, </w:t>
      </w:r>
      <w:r>
        <w:rPr>
          <w:b/>
        </w:rPr>
        <w:t>and Director of Housing</w:t>
      </w:r>
    </w:p>
    <w:p w:rsidR="0092299C" w:rsidRPr="005E71CE" w:rsidRDefault="0092299C" w:rsidP="0092299C">
      <w:pPr>
        <w:pStyle w:val="ARbody"/>
      </w:pPr>
      <w:r w:rsidRPr="005E71CE">
        <w:t>The Finance and Infrastructure division is responsible for department-wide expertise and management of financial services, industrial relations and infrastructure across health, human services and sport and recreation. The division provides strategic advice and supports the sustainability of the department and portfolio agencies. Infrastructure services provided include asset management, planning, design, procurement and budgeting in order to deliver world-class infrastructure meeting today</w:t>
      </w:r>
      <w:r>
        <w:t>'s</w:t>
      </w:r>
      <w:r w:rsidRPr="005E71CE">
        <w:t xml:space="preserve"> demand and longer term growth.</w:t>
      </w:r>
    </w:p>
    <w:p w:rsidR="0092299C" w:rsidRPr="005E71CE" w:rsidRDefault="0092299C" w:rsidP="0092299C">
      <w:pPr>
        <w:pStyle w:val="ARbody"/>
        <w:rPr>
          <w:lang w:eastAsia="en-AU"/>
        </w:rPr>
      </w:pPr>
      <w:r w:rsidRPr="005E71CE">
        <w:rPr>
          <w:lang w:eastAsia="en-AU"/>
        </w:rPr>
        <w:lastRenderedPageBreak/>
        <w:t xml:space="preserve">The division is responsible for the stewardship </w:t>
      </w:r>
      <w:r w:rsidR="00E44182">
        <w:rPr>
          <w:lang w:eastAsia="en-AU"/>
        </w:rPr>
        <w:br/>
      </w:r>
      <w:r w:rsidRPr="005E71CE">
        <w:rPr>
          <w:lang w:eastAsia="en-AU"/>
        </w:rPr>
        <w:t>of the department’s financial resources and supporting the negotiation of industrial agreements impacting the health and human services workforce. It leads the department's infrastructure agenda, including critical relationships with other agencies, and leveraging major sporting events to strengt</w:t>
      </w:r>
      <w:r>
        <w:rPr>
          <w:lang w:eastAsia="en-AU"/>
        </w:rPr>
        <w:t>hen Victoria's visitor economy.</w:t>
      </w:r>
    </w:p>
    <w:p w:rsidR="0092299C" w:rsidRPr="005E71CE" w:rsidRDefault="0092299C" w:rsidP="0092299C">
      <w:pPr>
        <w:pStyle w:val="ARbody"/>
      </w:pPr>
      <w:r w:rsidRPr="005E71CE">
        <w:t xml:space="preserve">Nick </w:t>
      </w:r>
      <w:proofErr w:type="spellStart"/>
      <w:r w:rsidRPr="005E71CE">
        <w:t>Foa</w:t>
      </w:r>
      <w:proofErr w:type="spellEnd"/>
      <w:r w:rsidRPr="005E71CE">
        <w:t xml:space="preserve"> joined the department in December 2014, before being seconded to the Department of Economic Development, Jobs, Transport and Resources to head the Visitor Economy Review where he led Tourism Victoria through their transition to Visit Victoria. Nick came into</w:t>
      </w:r>
      <w:r w:rsidRPr="005E71CE">
        <w:rPr>
          <w:sz w:val="24"/>
          <w:lang w:eastAsia="en-AU"/>
        </w:rPr>
        <w:t xml:space="preserve"> </w:t>
      </w:r>
      <w:r w:rsidRPr="005E71CE">
        <w:t xml:space="preserve">State Government as the Executive Director, Local Government Victoria, following senior roles in local government as CEO of </w:t>
      </w:r>
      <w:proofErr w:type="spellStart"/>
      <w:r w:rsidRPr="005E71CE">
        <w:t>Brimbank</w:t>
      </w:r>
      <w:proofErr w:type="spellEnd"/>
      <w:r w:rsidRPr="005E71CE">
        <w:t xml:space="preserve"> Council and a Director at Maribyrnong and Maroondah Councils</w:t>
      </w:r>
    </w:p>
    <w:p w:rsidR="0092299C" w:rsidRPr="005E71CE" w:rsidRDefault="0092299C" w:rsidP="0092299C">
      <w:pPr>
        <w:pStyle w:val="ARbody"/>
      </w:pPr>
      <w:r w:rsidRPr="005E71CE">
        <w:t>Nick has extensive experience in infrastructure delivery and asset management, and a strong commitment to community engagement and consensus building. He holds a Master of Business Administration from Swinburne University of Technology.</w:t>
      </w:r>
    </w:p>
    <w:p w:rsidR="0092299C" w:rsidRPr="009D109D" w:rsidRDefault="0092299C" w:rsidP="0092299C">
      <w:pPr>
        <w:pStyle w:val="Heading3"/>
      </w:pPr>
      <w:r w:rsidRPr="009D109D">
        <w:t>Elizabeth Langdon</w:t>
      </w:r>
    </w:p>
    <w:p w:rsidR="0092299C" w:rsidRPr="007201FF" w:rsidRDefault="0092299C" w:rsidP="0092299C">
      <w:pPr>
        <w:pStyle w:val="ARbody"/>
        <w:rPr>
          <w:b/>
        </w:rPr>
      </w:pPr>
      <w:r w:rsidRPr="007201FF">
        <w:rPr>
          <w:b/>
        </w:rPr>
        <w:t>Deputy Secretary</w:t>
      </w:r>
      <w:r>
        <w:rPr>
          <w:b/>
        </w:rPr>
        <w:t xml:space="preserve"> – People, Capability </w:t>
      </w:r>
      <w:r w:rsidRPr="007201FF">
        <w:rPr>
          <w:b/>
        </w:rPr>
        <w:t>and Oversight</w:t>
      </w:r>
    </w:p>
    <w:p w:rsidR="0092299C" w:rsidRPr="008D6C36" w:rsidRDefault="0092299C" w:rsidP="0092299C">
      <w:pPr>
        <w:pStyle w:val="ARbody"/>
        <w:rPr>
          <w:color w:val="595959"/>
          <w:sz w:val="19"/>
          <w:szCs w:val="19"/>
          <w:lang w:val="en" w:eastAsia="en-AU"/>
        </w:rPr>
      </w:pPr>
      <w:r w:rsidRPr="006049E2">
        <w:t>The Pe</w:t>
      </w:r>
      <w:r>
        <w:t>ople, Capability and Oversight d</w:t>
      </w:r>
      <w:r w:rsidRPr="006049E2">
        <w:t>ivision supports portfolio ministers in their cabinet, parliamentary and other respon</w:t>
      </w:r>
      <w:r>
        <w:t>sibilities. It provides </w:t>
      </w:r>
      <w:r w:rsidRPr="006049E2">
        <w:t xml:space="preserve">human resource and talent management and workplace services </w:t>
      </w:r>
      <w:r>
        <w:t xml:space="preserve">for the department </w:t>
      </w:r>
      <w:r w:rsidRPr="006049E2">
        <w:t xml:space="preserve">and leads </w:t>
      </w:r>
      <w:r>
        <w:t>the department’s</w:t>
      </w:r>
      <w:r w:rsidRPr="006049E2">
        <w:t xml:space="preserve"> work on organisational development, values and cultural change. It </w:t>
      </w:r>
      <w:r>
        <w:t xml:space="preserve">promotes integrity, </w:t>
      </w:r>
      <w:r w:rsidRPr="006049E2">
        <w:t>manages fraud and supports internal governance frameworks</w:t>
      </w:r>
      <w:r>
        <w:t>,</w:t>
      </w:r>
      <w:r w:rsidRPr="006049E2">
        <w:t xml:space="preserve"> including internal aud</w:t>
      </w:r>
      <w:r>
        <w:t>it</w:t>
      </w:r>
      <w:r w:rsidRPr="006049E2">
        <w:t xml:space="preserve">. </w:t>
      </w:r>
      <w:r>
        <w:t>The d</w:t>
      </w:r>
      <w:r w:rsidRPr="006049E2">
        <w:t xml:space="preserve">ivision </w:t>
      </w:r>
      <w:r>
        <w:t xml:space="preserve">also </w:t>
      </w:r>
      <w:r w:rsidRPr="006049E2">
        <w:t xml:space="preserve">provides expert support </w:t>
      </w:r>
      <w:r w:rsidR="00E44182">
        <w:br/>
      </w:r>
      <w:r w:rsidRPr="006049E2">
        <w:t xml:space="preserve">and advice, including strategic communications, </w:t>
      </w:r>
      <w:r>
        <w:t xml:space="preserve">freedom of information, </w:t>
      </w:r>
      <w:r w:rsidRPr="006049E2">
        <w:t>legal advice and services and support for policy divisions to deliver legislative programs.</w:t>
      </w:r>
    </w:p>
    <w:p w:rsidR="0092299C" w:rsidRPr="000655D8" w:rsidRDefault="0092299C" w:rsidP="0092299C">
      <w:pPr>
        <w:pStyle w:val="ARbody"/>
      </w:pPr>
      <w:r>
        <w:t xml:space="preserve">Elizabeth </w:t>
      </w:r>
      <w:r w:rsidRPr="009D109D">
        <w:t>has more th</w:t>
      </w:r>
      <w:r>
        <w:t>an 10 years’ experience in the </w:t>
      </w:r>
      <w:r w:rsidRPr="009D109D">
        <w:t xml:space="preserve">Victorian </w:t>
      </w:r>
      <w:r>
        <w:t>p</w:t>
      </w:r>
      <w:r w:rsidRPr="009D109D">
        <w:t xml:space="preserve">ublic </w:t>
      </w:r>
      <w:r>
        <w:t>s</w:t>
      </w:r>
      <w:r w:rsidRPr="009D109D">
        <w:t xml:space="preserve">ervice. Before joining </w:t>
      </w:r>
      <w:r>
        <w:t>the department</w:t>
      </w:r>
      <w:r w:rsidRPr="009D109D">
        <w:t xml:space="preserve"> in 2013, </w:t>
      </w:r>
      <w:r>
        <w:t>she</w:t>
      </w:r>
      <w:r w:rsidRPr="009D109D">
        <w:t xml:space="preserve"> held various executive roles in the Vict</w:t>
      </w:r>
      <w:r>
        <w:t>orian Department of Premier and </w:t>
      </w:r>
      <w:r w:rsidRPr="009D109D">
        <w:t>Cabinet.</w:t>
      </w:r>
      <w:r>
        <w:t xml:space="preserve"> She has also held leadership positions internationally, including at Harvard University School of Public Health and at the United Nations in Geneva and New York. She was also Head of Protocol at the Sydney 2000 Olympic Games.</w:t>
      </w:r>
    </w:p>
    <w:p w:rsidR="0092299C" w:rsidRPr="009D109D" w:rsidRDefault="0092299C" w:rsidP="0092299C">
      <w:pPr>
        <w:pStyle w:val="Heading3"/>
      </w:pPr>
      <w:r>
        <w:lastRenderedPageBreak/>
        <w:t xml:space="preserve">Carolyn De </w:t>
      </w:r>
      <w:proofErr w:type="spellStart"/>
      <w:r>
        <w:t>Gois</w:t>
      </w:r>
      <w:proofErr w:type="spellEnd"/>
    </w:p>
    <w:p w:rsidR="0092299C" w:rsidRPr="007201FF" w:rsidRDefault="0092299C" w:rsidP="0092299C">
      <w:pPr>
        <w:pStyle w:val="ARbody"/>
        <w:rPr>
          <w:b/>
        </w:rPr>
      </w:pPr>
      <w:r w:rsidRPr="007201FF">
        <w:rPr>
          <w:b/>
        </w:rPr>
        <w:t>Deputy Secretary</w:t>
      </w:r>
      <w:r>
        <w:rPr>
          <w:b/>
        </w:rPr>
        <w:t xml:space="preserve"> – Corporate Services</w:t>
      </w:r>
    </w:p>
    <w:p w:rsidR="0092299C" w:rsidRPr="00623303" w:rsidRDefault="0092299C" w:rsidP="0092299C">
      <w:pPr>
        <w:pStyle w:val="ARbody"/>
      </w:pPr>
      <w:r>
        <w:t>T</w:t>
      </w:r>
      <w:r w:rsidRPr="00623303">
        <w:t>he Corporate Services Division provides integrated strategic, specialist advisory and operational services to the department and supports Ministers in their cabinet, parliamentary and other responsibilities. The division works to develop and improve key business systems, services and processes to support the department to deliver its p</w:t>
      </w:r>
      <w:r>
        <w:t>olicies, programs and services.</w:t>
      </w:r>
    </w:p>
    <w:p w:rsidR="0092299C" w:rsidRPr="00623303" w:rsidRDefault="0092299C" w:rsidP="0092299C">
      <w:pPr>
        <w:pStyle w:val="ARbody"/>
      </w:pPr>
      <w:r w:rsidRPr="00623303">
        <w:t xml:space="preserve">Carolyn De </w:t>
      </w:r>
      <w:proofErr w:type="spellStart"/>
      <w:r w:rsidRPr="00623303">
        <w:t>Gois</w:t>
      </w:r>
      <w:proofErr w:type="spellEnd"/>
      <w:r w:rsidRPr="00623303">
        <w:t xml:space="preserve"> is a proven international business and technology executive with a demonstrated track record of transformational leadership and successful organisational change. Prior to joining the department in February 2017, Carolyn held roles across a range of high profile international organisations such as NBN, KPMG, IBM, BHP and ALCOA, both at a local and international level.</w:t>
      </w:r>
    </w:p>
    <w:p w:rsidR="0092299C" w:rsidRPr="00623303" w:rsidRDefault="0092299C" w:rsidP="0092299C">
      <w:pPr>
        <w:pStyle w:val="ARbody"/>
      </w:pPr>
      <w:r w:rsidRPr="00623303">
        <w:t>Carolyn holds a Master of Business Administration and a Bachelor of S</w:t>
      </w:r>
      <w:r>
        <w:t>cience from Deakin University.</w:t>
      </w:r>
    </w:p>
    <w:p w:rsidR="0092299C" w:rsidRPr="008F2C19" w:rsidRDefault="0092299C" w:rsidP="0092299C">
      <w:pPr>
        <w:pStyle w:val="Heading3"/>
      </w:pPr>
      <w:bookmarkStart w:id="35" w:name="_Ref492894042"/>
      <w:r w:rsidRPr="008F2C19">
        <w:t>Diane Watson</w:t>
      </w:r>
      <w:bookmarkEnd w:id="35"/>
    </w:p>
    <w:p w:rsidR="0092299C" w:rsidRPr="008F2C19" w:rsidRDefault="0092299C" w:rsidP="0092299C">
      <w:pPr>
        <w:pStyle w:val="ARbody"/>
        <w:rPr>
          <w:b/>
          <w:bCs/>
        </w:rPr>
      </w:pPr>
      <w:r w:rsidRPr="008F2C19">
        <w:rPr>
          <w:b/>
          <w:bCs/>
        </w:rPr>
        <w:t>Chief Executive Officer – Victorian Agency for Health Information</w:t>
      </w:r>
    </w:p>
    <w:p w:rsidR="0092299C" w:rsidRPr="008F2C19" w:rsidRDefault="0092299C" w:rsidP="0092299C">
      <w:pPr>
        <w:pStyle w:val="ARbody"/>
      </w:pPr>
      <w:r w:rsidRPr="008F2C19">
        <w:t>Dr Diane Watson was appointed as the acting Chief Executive Officer of the newly established Victorian Agency for Health Information (the Agency) in December 2016. The Agency analyses and shares information across the health system to ensure everyone has an accurate picture where the concerns are and where we</w:t>
      </w:r>
      <w:r>
        <w:t xml:space="preserve"> are</w:t>
      </w:r>
      <w:r w:rsidRPr="008F2C19">
        <w:t xml:space="preserve"> getting it right. The Agency's responsibilities flow across measurement of patient care and outcomes for three key purposes: </w:t>
      </w:r>
      <w:r w:rsidRPr="008F2C19">
        <w:rPr>
          <w:i/>
          <w:iCs/>
        </w:rPr>
        <w:t>public reporting</w:t>
      </w:r>
      <w:r w:rsidRPr="008F2C19">
        <w:t xml:space="preserve">, </w:t>
      </w:r>
      <w:r w:rsidRPr="008F2C19">
        <w:rPr>
          <w:i/>
          <w:iCs/>
        </w:rPr>
        <w:t xml:space="preserve">oversight </w:t>
      </w:r>
      <w:r w:rsidRPr="008F2C19">
        <w:t xml:space="preserve">and </w:t>
      </w:r>
      <w:r w:rsidRPr="008F2C19">
        <w:rPr>
          <w:i/>
          <w:iCs/>
        </w:rPr>
        <w:t>clinical improvement</w:t>
      </w:r>
      <w:r w:rsidRPr="008F2C19">
        <w:t>.</w:t>
      </w:r>
    </w:p>
    <w:p w:rsidR="0092299C" w:rsidRPr="008F2C19" w:rsidRDefault="0092299C" w:rsidP="0092299C">
      <w:pPr>
        <w:pStyle w:val="ARbody"/>
      </w:pPr>
      <w:r w:rsidRPr="008F2C19">
        <w:t xml:space="preserve">Previously, Diane was the inaugural Chief Executive Officer of the National Health Performance Authority which was established by </w:t>
      </w:r>
      <w:r w:rsidR="00E44182">
        <w:br/>
      </w:r>
      <w:r w:rsidRPr="008F2C19">
        <w:t>all Australian governments to monitor, and report on, the performance of 1</w:t>
      </w:r>
      <w:r w:rsidR="00E44182">
        <w:t>,</w:t>
      </w:r>
      <w:r w:rsidRPr="008F2C19">
        <w:t>000+ public and private hospitals and 300+ health regions.</w:t>
      </w:r>
    </w:p>
    <w:p w:rsidR="0092299C" w:rsidRPr="008F2C19" w:rsidRDefault="0092299C" w:rsidP="0092299C">
      <w:pPr>
        <w:pStyle w:val="ARbody"/>
      </w:pPr>
      <w:r w:rsidRPr="008F2C19">
        <w:t xml:space="preserve">Diane was also the inaugural Chief Executive Officer of the NSW Bureau of Health Information. She has 20 years of senior management experience in leading organisational change – between 1993 and 2016 as chief executive or second-in-charge responsible for establishing five new organisations and overseeing the merger of </w:t>
      </w:r>
      <w:r w:rsidR="00135248">
        <w:br/>
      </w:r>
      <w:r w:rsidRPr="008F2C19">
        <w:t xml:space="preserve">a further two health information organisations. In these and prior roles, she has set the future direction of high profile, board governed agencies </w:t>
      </w:r>
      <w:r w:rsidRPr="008F2C19">
        <w:lastRenderedPageBreak/>
        <w:t>and inspired a strong sense of purpose among a highly talented and specialised workforce.</w:t>
      </w:r>
    </w:p>
    <w:p w:rsidR="0092299C" w:rsidRPr="008F2C19" w:rsidRDefault="0092299C" w:rsidP="0092299C">
      <w:pPr>
        <w:pStyle w:val="ARbody"/>
      </w:pPr>
      <w:r w:rsidRPr="008F2C19">
        <w:t>She holds a PhD in Health Policy, Management and Evaluation from the University of Toronto, and a Master of Business Administration from the Ivey Business School at the University of Western Ontario and Stockholm School of Economics.</w:t>
      </w:r>
    </w:p>
    <w:p w:rsidR="0092299C" w:rsidRPr="00596058" w:rsidRDefault="0092299C" w:rsidP="00596058">
      <w:pPr>
        <w:pStyle w:val="Heading3"/>
      </w:pPr>
      <w:r w:rsidRPr="00596058">
        <w:t xml:space="preserve">Professor Euan M Wallace AM </w:t>
      </w:r>
      <w:proofErr w:type="spellStart"/>
      <w:r w:rsidRPr="00596058">
        <w:t>MBChB</w:t>
      </w:r>
      <w:proofErr w:type="spellEnd"/>
      <w:r w:rsidRPr="00596058">
        <w:t xml:space="preserve"> MD FRCOG FRANZCOG FAHMS</w:t>
      </w:r>
    </w:p>
    <w:p w:rsidR="0092299C" w:rsidRPr="002C071D" w:rsidRDefault="0092299C" w:rsidP="0092299C">
      <w:pPr>
        <w:pStyle w:val="ARbody"/>
        <w:rPr>
          <w:b/>
        </w:rPr>
      </w:pPr>
      <w:r>
        <w:rPr>
          <w:b/>
        </w:rPr>
        <w:t>Chief Executive Officer – Safer Care Victoria</w:t>
      </w:r>
    </w:p>
    <w:p w:rsidR="0092299C" w:rsidRPr="002C071D" w:rsidRDefault="0092299C" w:rsidP="0092299C">
      <w:pPr>
        <w:pStyle w:val="ARbody"/>
      </w:pPr>
      <w:r w:rsidRPr="002C071D">
        <w:t>Professor Euan Wallace is the inaugural Chief Executive Officer of Safer Care Victoria. Professor Wallace is a senior clinician with an extensive track record in academic medicine and health service delivery. He is a graduate of the Edinburgh Medical School, moving to Monash Health and Monash University in 1996. Prior to his appointment to Safer Care Victoria, Professor Wallace was the Director of Obstetric services at Monash Health, overseeing the growth of these services to become Victoria’s largest maternity service and the home to one of two of Victor</w:t>
      </w:r>
      <w:r>
        <w:t>ia’s public homebirth programs.</w:t>
      </w:r>
    </w:p>
    <w:p w:rsidR="0092299C" w:rsidRDefault="0092299C" w:rsidP="0092299C">
      <w:pPr>
        <w:pStyle w:val="ARbody"/>
      </w:pPr>
      <w:r w:rsidRPr="002C071D">
        <w:t>Professor Wallace is also the Carl Wood Professor and Head of Department of Obstetrics and Gynaecology at Monash University where he leads a perinatal medicine research group. His research interests are in foetal development, maternal health, stem cell biology and patient safety</w:t>
      </w:r>
      <w:r w:rsidRPr="002C071D">
        <w:rPr>
          <w:b/>
        </w:rPr>
        <w:t>.</w:t>
      </w:r>
    </w:p>
    <w:p w:rsidR="0092299C" w:rsidRDefault="0092299C" w:rsidP="0092299C">
      <w:pPr>
        <w:pStyle w:val="ARbody"/>
      </w:pPr>
    </w:p>
    <w:p w:rsidR="0092299C" w:rsidRDefault="0092299C" w:rsidP="0092299C">
      <w:pPr>
        <w:pStyle w:val="ARbody"/>
        <w:sectPr w:rsidR="0092299C" w:rsidSect="006173F7">
          <w:headerReference w:type="even" r:id="rId50"/>
          <w:endnotePr>
            <w:numFmt w:val="decimal"/>
          </w:endnotePr>
          <w:type w:val="continuous"/>
          <w:pgSz w:w="11900" w:h="16840" w:code="9"/>
          <w:pgMar w:top="1531" w:right="851" w:bottom="680" w:left="1418" w:header="510" w:footer="340" w:gutter="0"/>
          <w:cols w:num="2" w:space="454"/>
        </w:sectPr>
      </w:pPr>
    </w:p>
    <w:p w:rsidR="0092299C" w:rsidRPr="001F1F57" w:rsidRDefault="0092299C" w:rsidP="00D91622">
      <w:pPr>
        <w:pStyle w:val="Heading2"/>
        <w:spacing w:before="0"/>
      </w:pPr>
      <w:bookmarkStart w:id="36" w:name="_Ref492894420"/>
      <w:r w:rsidRPr="001F1F57">
        <w:lastRenderedPageBreak/>
        <w:t>Organisation structure</w:t>
      </w:r>
      <w:bookmarkEnd w:id="36"/>
    </w:p>
    <w:p w:rsidR="0092299C" w:rsidRPr="001F1F57" w:rsidRDefault="0092299C" w:rsidP="00E560D2">
      <w:pPr>
        <w:pStyle w:val="ARbody"/>
      </w:pPr>
      <w:r w:rsidRPr="001F1F57">
        <w:t>As at 30 June 2017.</w:t>
      </w:r>
    </w:p>
    <w:p w:rsidR="0092299C" w:rsidRDefault="0092299C" w:rsidP="0092299C">
      <w:pPr>
        <w:pStyle w:val="Heading2"/>
        <w:spacing w:before="0"/>
        <w:sectPr w:rsidR="0092299C" w:rsidSect="001923EF">
          <w:headerReference w:type="even" r:id="rId51"/>
          <w:headerReference w:type="default" r:id="rId52"/>
          <w:endnotePr>
            <w:numFmt w:val="decimal"/>
          </w:endnotePr>
          <w:pgSz w:w="16840" w:h="11900" w:orient="landscape" w:code="9"/>
          <w:pgMar w:top="1418" w:right="1531" w:bottom="567" w:left="851" w:header="510" w:footer="340" w:gutter="0"/>
          <w:cols w:space="720"/>
          <w:docGrid w:linePitch="272"/>
        </w:sectPr>
      </w:pPr>
      <w:r>
        <w:rPr>
          <w:noProof/>
          <w:lang w:eastAsia="en-AU"/>
        </w:rPr>
        <w:drawing>
          <wp:inline distT="0" distB="0" distL="0" distR="0" wp14:anchorId="60B8A58C" wp14:editId="57069119">
            <wp:extent cx="9180000" cy="5411160"/>
            <wp:effectExtent l="0" t="0" r="2540" b="0"/>
            <wp:docPr id="1" name="Picture 1" descr="Organisation chart showing the Secretary, Kym Peake, the Office of the Secretary, the 12 Deputy Secretaries and (with the exception of the Deputy Secretary, Organisational Redesign) the areas and/or officers under each Deputy Secretary. David Clements is the Deputy Secretary, Organisational Redesign. Amity Durham, Deputy Secretary, Portfolio Strategy and Reform, is responsible for Priority Health Projects (including Mental Health 10 Year Plan; and National Health Reform); System Intelligence and Analytics; Priority Strategic Projects; Intergovernmental Relations and Social Policy; Health and Human Services Workforce; Strategic and Budget Planning; and Long Term Strategy. Amanda Cattermole, Deputy Secretary, Community Services Programs and Design, is responsible for Chief Transformation Officer; Statutory and Forensic Services; and Safeguarding and Community Services. Chris Asquini, Deputy Secretary, Operations, is responsible for North Division; South Division; East Division; West Division; Service Implementation and Support; Office of Professional Practice / Chief Practitioner Human Services; Performance and Reporting; and NDIS (including Policy Coordination; Transition Coordination; and Government Services Transition). Terry Symonds, Deputy Secretary, Health Service Policy and Commissioning, is responsible for Targeting Zero Implementation Team; Policy and Planning; Commissioning, Performance and Regulation; Mental Health; and Cancer, Specialty Programs, Medicinal Research and International Health (including Innovation, Industry and International Health). Anne Congleton, Deputy Secretary, Community Participation, Sport and Recreation, Health and Wellbeing, is responsible for Community Based Health Policy and Programs; Chief Preventive Health Officer; Prevention, Population Health and Place; Diversity, Community Participation, Sport and Recreation; and Aboriginal Health and Wellbeing. Melissa Skilbeck, Deputy Secretary, Regulation, Health Protection and Emergency Management, is responsible for Risk, Review and Evaluation; Health and Human Services Regulation; Emergency Management; Emergency Resilience; Chief Health Officer (including Health Protection, Operations and Strategy); Drugs and Poisons Regulation; Real-Time Prescription Monitoring Implementation; and Office of Medicinal Cannabis. Nick Foa, Deputy Secretary, Finance and Infrastructure, and Director of Housing, is responsible for Sport and Recreation and Industry Development; Property and Asset Services; Housing Asset Strategy and Financing; Infrastructure Planning and Delivery; Chief Finance Officer; Industrial Relations; and Strategy and Programs. Annalise Bamford, Acting Deputy Secretary, People, Capability and Oversight (Substantive: Elizabeth Langdon) , is responsible for General Counsel and Chief Legal Officer; Executive Services and Oversight; Chief Communications Officer; and People and Culture. Carolyn De Gois, Deputy Secretary, Corporate Services, is responsible for Digital Health; Chief Information Officer; and Procurement and Contract Management. Diane Watson, CEO, Victorian Agency for Health Information (Administrative Office), is responsible for Clinical Outcomes Research; Clinical Analytics; Management Reporting and Information Systems; Information Management and Standards; and Strategy, Planning and Communications. Euan Wallace, CEO, Safer Care Victoria (Administrative Office), is responsible for Chief Medical Officer; Chief Paramedic Officer; Chief Nurse and Midwifery Officer; Strategy and Implementation; Patient Experience; Clinical Engagement; Safety and Quality Support; Better Care Victoria; an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P\Shared\REPORTING\Annual Report\2016-17\6. Working Documents\Received\DHHS-annual-report-2016-17 org chart_200dpi.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9180000" cy="5411160"/>
                    </a:xfrm>
                    <a:prstGeom prst="rect">
                      <a:avLst/>
                    </a:prstGeom>
                    <a:noFill/>
                    <a:ln>
                      <a:noFill/>
                    </a:ln>
                  </pic:spPr>
                </pic:pic>
              </a:graphicData>
            </a:graphic>
          </wp:inline>
        </w:drawing>
      </w:r>
    </w:p>
    <w:p w:rsidR="0092299C" w:rsidRDefault="0092299C" w:rsidP="0092299C">
      <w:pPr>
        <w:pStyle w:val="Heading1"/>
      </w:pPr>
      <w:bookmarkStart w:id="37" w:name="_Toc463776201"/>
      <w:bookmarkStart w:id="38" w:name="_Ref492915457"/>
      <w:bookmarkStart w:id="39" w:name="_Toc493069462"/>
      <w:r w:rsidRPr="000B2035">
        <w:lastRenderedPageBreak/>
        <w:t>People</w:t>
      </w:r>
      <w:bookmarkEnd w:id="37"/>
      <w:bookmarkEnd w:id="38"/>
      <w:bookmarkEnd w:id="39"/>
    </w:p>
    <w:p w:rsidR="0092299C" w:rsidRDefault="0092299C" w:rsidP="0092299C">
      <w:pPr>
        <w:pStyle w:val="Heading2"/>
        <w:sectPr w:rsidR="0092299C" w:rsidSect="0093192F">
          <w:headerReference w:type="even" r:id="rId54"/>
          <w:headerReference w:type="default" r:id="rId55"/>
          <w:pgSz w:w="11906" w:h="16838" w:code="9"/>
          <w:pgMar w:top="1531" w:right="851" w:bottom="680" w:left="1418" w:header="510" w:footer="340" w:gutter="0"/>
          <w:cols w:space="454"/>
          <w:docGrid w:linePitch="360"/>
        </w:sectPr>
      </w:pPr>
    </w:p>
    <w:p w:rsidR="0092299C" w:rsidRPr="00667232" w:rsidRDefault="0092299C" w:rsidP="001B639E">
      <w:pPr>
        <w:pStyle w:val="Heading2"/>
        <w:spacing w:before="0"/>
      </w:pPr>
      <w:r w:rsidRPr="00667232">
        <w:lastRenderedPageBreak/>
        <w:t>Public administration and employment principles</w:t>
      </w:r>
    </w:p>
    <w:p w:rsidR="0092299C" w:rsidRPr="00667232" w:rsidRDefault="0092299C" w:rsidP="0092299C">
      <w:pPr>
        <w:pStyle w:val="ARbody"/>
      </w:pPr>
      <w:r w:rsidRPr="00667232">
        <w:t xml:space="preserve">The department’s values align with public sector values as detailed in the </w:t>
      </w:r>
      <w:r w:rsidRPr="00667232">
        <w:rPr>
          <w:i/>
        </w:rPr>
        <w:t>Public Administration Act 2004</w:t>
      </w:r>
      <w:r>
        <w:t>,</w:t>
      </w:r>
      <w:r w:rsidRPr="00667232">
        <w:rPr>
          <w:i/>
        </w:rPr>
        <w:t xml:space="preserve"> </w:t>
      </w:r>
      <w:r w:rsidRPr="00667232">
        <w:t xml:space="preserve">and </w:t>
      </w:r>
      <w:r>
        <w:t>it is</w:t>
      </w:r>
      <w:r w:rsidRPr="00667232">
        <w:t xml:space="preserve"> committed to applying merit and equity principles to all employment policies, programs and resources.</w:t>
      </w:r>
    </w:p>
    <w:p w:rsidR="0092299C" w:rsidRPr="00667232" w:rsidRDefault="0092299C" w:rsidP="0092299C">
      <w:pPr>
        <w:pStyle w:val="Heading2"/>
      </w:pPr>
      <w:bookmarkStart w:id="40" w:name="_Ref492894806"/>
      <w:r w:rsidRPr="00667232">
        <w:t>Employment and conduct principles</w:t>
      </w:r>
      <w:bookmarkEnd w:id="40"/>
    </w:p>
    <w:p w:rsidR="0092299C" w:rsidRPr="00667232" w:rsidRDefault="0092299C" w:rsidP="0092299C">
      <w:pPr>
        <w:pStyle w:val="ARbody"/>
      </w:pPr>
      <w:r w:rsidRPr="00667232">
        <w:t xml:space="preserve">The department complies with the employment principles of the </w:t>
      </w:r>
      <w:r w:rsidRPr="00667232">
        <w:rPr>
          <w:i/>
        </w:rPr>
        <w:t>Public Administration Act 2004</w:t>
      </w:r>
      <w:r w:rsidRPr="00667232">
        <w:t xml:space="preserve"> and continually updates policies and procedures to advance these principles.</w:t>
      </w:r>
    </w:p>
    <w:p w:rsidR="0092299C" w:rsidRPr="00667232" w:rsidRDefault="0092299C" w:rsidP="0092299C">
      <w:pPr>
        <w:pStyle w:val="ARbody"/>
      </w:pPr>
      <w:r w:rsidRPr="00667232">
        <w:t xml:space="preserve">The </w:t>
      </w:r>
      <w:r w:rsidRPr="00667232">
        <w:rPr>
          <w:i/>
        </w:rPr>
        <w:t>Public Administration Act 2004</w:t>
      </w:r>
      <w:r w:rsidRPr="00667232">
        <w:t xml:space="preserve"> also details a set of values that apply to the broader public sector – the department’s values are aligned with the public sector values and implemented throughout the department in many ways, including performance planning and employee recognition processes.</w:t>
      </w:r>
    </w:p>
    <w:p w:rsidR="0092299C" w:rsidRPr="00667232" w:rsidRDefault="0092299C" w:rsidP="0092299C">
      <w:pPr>
        <w:pStyle w:val="Heading2"/>
      </w:pPr>
      <w:r w:rsidRPr="00667232">
        <w:t>Our people</w:t>
      </w:r>
    </w:p>
    <w:p w:rsidR="0092299C" w:rsidRPr="00667232" w:rsidRDefault="0092299C" w:rsidP="00D02C08">
      <w:pPr>
        <w:pStyle w:val="ARbody"/>
      </w:pPr>
      <w:r w:rsidRPr="00667232">
        <w:t>The Department of Health and Human Services brings together public servants from across government including health, human services, sport and recreation and medical research functions.</w:t>
      </w:r>
    </w:p>
    <w:p w:rsidR="0092299C" w:rsidRPr="00667232" w:rsidRDefault="0092299C" w:rsidP="0092299C">
      <w:pPr>
        <w:pStyle w:val="ARbody"/>
      </w:pPr>
      <w:r>
        <w:t>The department’s</w:t>
      </w:r>
      <w:r w:rsidRPr="00667232">
        <w:t xml:space="preserve"> people work across a range of fields including aged care, mental health, public health and prevention, sports and recreation, child protection, disability, housing support and youth justice. </w:t>
      </w:r>
      <w:r>
        <w:t xml:space="preserve">The </w:t>
      </w:r>
      <w:r w:rsidRPr="00667232">
        <w:t>corporate and executive support functions play an essential role across human resources, communications, information technology,</w:t>
      </w:r>
      <w:r>
        <w:t xml:space="preserve"> finance and business services.</w:t>
      </w:r>
    </w:p>
    <w:p w:rsidR="0092299C" w:rsidRPr="00667232" w:rsidRDefault="0092299C" w:rsidP="0092299C">
      <w:pPr>
        <w:pStyle w:val="ARbody"/>
      </w:pPr>
      <w:r w:rsidRPr="00667232">
        <w:t>The new Department of Health and Human Services strategic plan launched in June 2017 sets out the directions and priorities for service delivery.</w:t>
      </w:r>
    </w:p>
    <w:p w:rsidR="0092299C" w:rsidRPr="00667232" w:rsidRDefault="0092299C" w:rsidP="0092299C">
      <w:pPr>
        <w:pStyle w:val="Heading3"/>
      </w:pPr>
      <w:r w:rsidRPr="00667232">
        <w:t xml:space="preserve">People </w:t>
      </w:r>
      <w:r>
        <w:t>s</w:t>
      </w:r>
      <w:r w:rsidRPr="00667232">
        <w:t>trategy 2020</w:t>
      </w:r>
    </w:p>
    <w:p w:rsidR="0092299C" w:rsidRPr="00667232" w:rsidRDefault="0092299C" w:rsidP="0092299C">
      <w:pPr>
        <w:pStyle w:val="ARbody"/>
      </w:pPr>
      <w:r w:rsidRPr="00667232">
        <w:t xml:space="preserve">The department is facing a period of change – in the </w:t>
      </w:r>
      <w:r w:rsidRPr="00667232">
        <w:rPr>
          <w:noProof/>
        </w:rPr>
        <w:t>communities</w:t>
      </w:r>
      <w:r w:rsidRPr="00667232">
        <w:t xml:space="preserve"> we serve, as a government entity delivering multilayered reforms, and as a workforce. This is an important time to lay out a clear plan for building and supporting </w:t>
      </w:r>
      <w:r>
        <w:t>the department’s</w:t>
      </w:r>
      <w:r w:rsidRPr="00667232">
        <w:t xml:space="preserve"> vibrant and successful workforce across Victoria.</w:t>
      </w:r>
    </w:p>
    <w:p w:rsidR="0092299C" w:rsidRPr="00667232" w:rsidRDefault="0092299C" w:rsidP="0092299C">
      <w:pPr>
        <w:pStyle w:val="ARbody"/>
      </w:pPr>
      <w:r w:rsidRPr="00667232">
        <w:lastRenderedPageBreak/>
        <w:t xml:space="preserve">During </w:t>
      </w:r>
      <w:r w:rsidRPr="006F0DB4">
        <w:t>2016–17</w:t>
      </w:r>
      <w:r>
        <w:t xml:space="preserve"> we developed the</w:t>
      </w:r>
      <w:r w:rsidRPr="00667232">
        <w:t xml:space="preserve"> comprehensive </w:t>
      </w:r>
      <w:r w:rsidRPr="00667232">
        <w:rPr>
          <w:i/>
        </w:rPr>
        <w:t xml:space="preserve">People </w:t>
      </w:r>
      <w:r>
        <w:rPr>
          <w:i/>
        </w:rPr>
        <w:t>s</w:t>
      </w:r>
      <w:r w:rsidRPr="00667232">
        <w:rPr>
          <w:i/>
        </w:rPr>
        <w:t>trategy 2020</w:t>
      </w:r>
      <w:r w:rsidR="00A43AA2">
        <w:t>,</w:t>
      </w:r>
      <w:r w:rsidRPr="00667232">
        <w:t xml:space="preserve"> </w:t>
      </w:r>
      <w:r>
        <w:t xml:space="preserve">which </w:t>
      </w:r>
      <w:r w:rsidRPr="00667232">
        <w:t xml:space="preserve">outlines </w:t>
      </w:r>
      <w:r>
        <w:t>the department’s</w:t>
      </w:r>
      <w:r w:rsidRPr="00667232">
        <w:t xml:space="preserve"> approach over the next three years </w:t>
      </w:r>
      <w:r w:rsidR="00135248">
        <w:br/>
      </w:r>
      <w:r w:rsidRPr="00667232">
        <w:t xml:space="preserve">to creating and maintaining the conditions that will enable us to deliver excellent client care and services in </w:t>
      </w:r>
      <w:r>
        <w:t>the department’s</w:t>
      </w:r>
      <w:r w:rsidRPr="00667232">
        <w:t xml:space="preserve"> rapidly changing environment</w:t>
      </w:r>
      <w:r>
        <w:t>,</w:t>
      </w:r>
      <w:r w:rsidRPr="00667232">
        <w:t xml:space="preserve"> while providing satisfying work</w:t>
      </w:r>
      <w:r>
        <w:t xml:space="preserve"> experiences and opportunities.</w:t>
      </w:r>
    </w:p>
    <w:p w:rsidR="0092299C" w:rsidRPr="00667232" w:rsidRDefault="0092299C" w:rsidP="0092299C">
      <w:pPr>
        <w:pStyle w:val="ARbullet1"/>
        <w:numPr>
          <w:ilvl w:val="0"/>
          <w:numId w:val="0"/>
        </w:numPr>
        <w:ind w:left="284" w:hanging="284"/>
      </w:pPr>
      <w:r w:rsidRPr="00667232">
        <w:t>The strateg</w:t>
      </w:r>
      <w:r>
        <w:t>y is built around five pillars:</w:t>
      </w:r>
    </w:p>
    <w:p w:rsidR="0092299C" w:rsidRPr="00667232" w:rsidRDefault="0092299C" w:rsidP="0092299C">
      <w:pPr>
        <w:pStyle w:val="ARbullet1"/>
        <w:numPr>
          <w:ilvl w:val="0"/>
          <w:numId w:val="19"/>
        </w:numPr>
        <w:rPr>
          <w:bCs/>
        </w:rPr>
      </w:pPr>
      <w:r>
        <w:rPr>
          <w:bCs/>
        </w:rPr>
        <w:t>a</w:t>
      </w:r>
      <w:r w:rsidRPr="00667232">
        <w:rPr>
          <w:bCs/>
        </w:rPr>
        <w:t>ttract a divers</w:t>
      </w:r>
      <w:r>
        <w:rPr>
          <w:bCs/>
        </w:rPr>
        <w:t>e and high-performing workforce</w:t>
      </w:r>
    </w:p>
    <w:p w:rsidR="0092299C" w:rsidRPr="00667232" w:rsidRDefault="0092299C" w:rsidP="0092299C">
      <w:pPr>
        <w:pStyle w:val="ARbullet1"/>
        <w:numPr>
          <w:ilvl w:val="0"/>
          <w:numId w:val="19"/>
        </w:numPr>
        <w:rPr>
          <w:bCs/>
        </w:rPr>
      </w:pPr>
      <w:r>
        <w:rPr>
          <w:bCs/>
        </w:rPr>
        <w:t>inspire and grow the department’s people</w:t>
      </w:r>
    </w:p>
    <w:p w:rsidR="0092299C" w:rsidRPr="00667232" w:rsidRDefault="0092299C" w:rsidP="0092299C">
      <w:pPr>
        <w:pStyle w:val="ARbullet1"/>
        <w:numPr>
          <w:ilvl w:val="0"/>
          <w:numId w:val="19"/>
        </w:numPr>
        <w:rPr>
          <w:bCs/>
        </w:rPr>
      </w:pPr>
      <w:r>
        <w:rPr>
          <w:bCs/>
        </w:rPr>
        <w:t>engage and retain the department’s people</w:t>
      </w:r>
    </w:p>
    <w:p w:rsidR="0092299C" w:rsidRPr="00667232" w:rsidRDefault="0092299C" w:rsidP="0092299C">
      <w:pPr>
        <w:pStyle w:val="ARbullet1"/>
        <w:numPr>
          <w:ilvl w:val="0"/>
          <w:numId w:val="19"/>
        </w:numPr>
        <w:rPr>
          <w:bCs/>
        </w:rPr>
      </w:pPr>
      <w:r>
        <w:rPr>
          <w:bCs/>
        </w:rPr>
        <w:t>purposeful leadership</w:t>
      </w:r>
    </w:p>
    <w:p w:rsidR="0092299C" w:rsidRPr="00667232" w:rsidRDefault="0092299C" w:rsidP="00F91CA3">
      <w:pPr>
        <w:pStyle w:val="ARbullet1"/>
      </w:pPr>
      <w:r>
        <w:t>create a great people experience.</w:t>
      </w:r>
    </w:p>
    <w:p w:rsidR="0092299C" w:rsidRPr="00667232" w:rsidRDefault="0092299C" w:rsidP="0092299C">
      <w:pPr>
        <w:pStyle w:val="ARbodyafterbullets"/>
      </w:pPr>
      <w:r w:rsidRPr="00667232">
        <w:t xml:space="preserve">The </w:t>
      </w:r>
      <w:r w:rsidRPr="00AD69BB">
        <w:t>strategy</w:t>
      </w:r>
      <w:r w:rsidRPr="00667232">
        <w:t xml:space="preserve"> was developed through extensive consultation </w:t>
      </w:r>
      <w:r>
        <w:t xml:space="preserve">involving interviews and workshops </w:t>
      </w:r>
      <w:r w:rsidRPr="00667232">
        <w:t xml:space="preserve">with </w:t>
      </w:r>
      <w:r w:rsidRPr="00AD69BB">
        <w:t>key</w:t>
      </w:r>
      <w:r w:rsidRPr="00667232">
        <w:t xml:space="preserve"> stakeholders</w:t>
      </w:r>
      <w:r>
        <w:t xml:space="preserve"> and staff</w:t>
      </w:r>
      <w:r w:rsidRPr="00667232">
        <w:t xml:space="preserve"> from across different areas of the department. Workforce planning data established an evidence base to inform the core themes of the strategy. The results of the </w:t>
      </w:r>
      <w:r w:rsidRPr="00667232">
        <w:rPr>
          <w:i/>
        </w:rPr>
        <w:t xml:space="preserve">People </w:t>
      </w:r>
      <w:r>
        <w:rPr>
          <w:i/>
        </w:rPr>
        <w:t>m</w:t>
      </w:r>
      <w:r w:rsidRPr="00667232">
        <w:rPr>
          <w:i/>
        </w:rPr>
        <w:t xml:space="preserve">atter </w:t>
      </w:r>
      <w:r>
        <w:rPr>
          <w:i/>
        </w:rPr>
        <w:t>s</w:t>
      </w:r>
      <w:r w:rsidRPr="00667232">
        <w:rPr>
          <w:i/>
        </w:rPr>
        <w:t>urvey 2016</w:t>
      </w:r>
      <w:r w:rsidRPr="00667232">
        <w:t>, which captured insights about what it is like to work within the departme</w:t>
      </w:r>
      <w:r>
        <w:t>nt, also informed the strategy.</w:t>
      </w:r>
    </w:p>
    <w:p w:rsidR="0092299C" w:rsidRPr="00667232" w:rsidRDefault="0092299C" w:rsidP="0092299C">
      <w:pPr>
        <w:pStyle w:val="ARbody"/>
      </w:pPr>
      <w:r w:rsidRPr="00667232">
        <w:t>The strategy was released in March 2017, with implementation of the key initiatives comme</w:t>
      </w:r>
      <w:r>
        <w:t>ncing from 1 July 2017 onwards.</w:t>
      </w:r>
    </w:p>
    <w:p w:rsidR="0092299C" w:rsidRPr="00667232" w:rsidRDefault="0092299C" w:rsidP="0092299C">
      <w:pPr>
        <w:pStyle w:val="Heading3"/>
      </w:pPr>
      <w:r w:rsidRPr="00667232">
        <w:t>Recognising our employees</w:t>
      </w:r>
    </w:p>
    <w:p w:rsidR="0092299C" w:rsidRPr="00667232" w:rsidRDefault="0092299C" w:rsidP="0092299C">
      <w:pPr>
        <w:pStyle w:val="ARbody"/>
      </w:pPr>
      <w:r w:rsidRPr="00667232">
        <w:t>The department recognised its employees through its annual staff excellence awards, which acknowledged the achievements and significant work undertaken across the department.</w:t>
      </w:r>
    </w:p>
    <w:p w:rsidR="0092299C" w:rsidRPr="00667232" w:rsidRDefault="0092299C" w:rsidP="0092299C">
      <w:pPr>
        <w:pStyle w:val="ARbody"/>
      </w:pPr>
      <w:r w:rsidRPr="00667232">
        <w:t>There were 212 nominations received and 71</w:t>
      </w:r>
      <w:r>
        <w:t> </w:t>
      </w:r>
      <w:r w:rsidRPr="00667232">
        <w:t>finalists shortlisted across seven categories:</w:t>
      </w:r>
    </w:p>
    <w:p w:rsidR="0092299C" w:rsidRPr="007C77EE" w:rsidRDefault="0092299C" w:rsidP="0092299C">
      <w:pPr>
        <w:pStyle w:val="ARbullet1"/>
        <w:numPr>
          <w:ilvl w:val="0"/>
          <w:numId w:val="19"/>
        </w:numPr>
      </w:pPr>
      <w:r>
        <w:t>Collaboration Award</w:t>
      </w:r>
    </w:p>
    <w:p w:rsidR="0092299C" w:rsidRPr="007C77EE" w:rsidRDefault="0092299C" w:rsidP="0092299C">
      <w:pPr>
        <w:pStyle w:val="ARbullet1"/>
        <w:numPr>
          <w:ilvl w:val="0"/>
          <w:numId w:val="19"/>
        </w:numPr>
      </w:pPr>
      <w:r w:rsidRPr="007C77EE">
        <w:t>Diversity and Inclusion Award</w:t>
      </w:r>
    </w:p>
    <w:p w:rsidR="0092299C" w:rsidRPr="007C77EE" w:rsidRDefault="0092299C" w:rsidP="0092299C">
      <w:pPr>
        <w:pStyle w:val="ARbullet1"/>
        <w:numPr>
          <w:ilvl w:val="0"/>
          <w:numId w:val="19"/>
        </w:numPr>
      </w:pPr>
      <w:r w:rsidRPr="007C77EE">
        <w:t>Innovation Award</w:t>
      </w:r>
    </w:p>
    <w:p w:rsidR="0092299C" w:rsidRPr="007C77EE" w:rsidRDefault="0092299C" w:rsidP="0092299C">
      <w:pPr>
        <w:pStyle w:val="ARbullet1"/>
        <w:numPr>
          <w:ilvl w:val="0"/>
          <w:numId w:val="19"/>
        </w:numPr>
      </w:pPr>
      <w:r w:rsidRPr="007C77EE">
        <w:t>People Management Award</w:t>
      </w:r>
    </w:p>
    <w:p w:rsidR="0092299C" w:rsidRPr="007C77EE" w:rsidRDefault="0092299C" w:rsidP="0092299C">
      <w:pPr>
        <w:pStyle w:val="ARbullet1"/>
        <w:numPr>
          <w:ilvl w:val="0"/>
          <w:numId w:val="19"/>
        </w:numPr>
      </w:pPr>
      <w:r w:rsidRPr="007C77EE">
        <w:t>Risk Management Award</w:t>
      </w:r>
    </w:p>
    <w:p w:rsidR="0092299C" w:rsidRPr="007C77EE" w:rsidRDefault="0092299C" w:rsidP="0092299C">
      <w:pPr>
        <w:pStyle w:val="ARbullet1"/>
        <w:numPr>
          <w:ilvl w:val="0"/>
          <w:numId w:val="19"/>
        </w:numPr>
      </w:pPr>
      <w:r w:rsidRPr="007C77EE">
        <w:t>Service Excellence Award</w:t>
      </w:r>
    </w:p>
    <w:p w:rsidR="0092299C" w:rsidRDefault="0092299C" w:rsidP="00F91CA3">
      <w:pPr>
        <w:pStyle w:val="ARbullet1"/>
      </w:pPr>
      <w:r w:rsidRPr="00667232">
        <w:t xml:space="preserve">Young </w:t>
      </w:r>
      <w:r w:rsidRPr="007C77EE">
        <w:t>Achiever</w:t>
      </w:r>
      <w:r w:rsidRPr="00667232">
        <w:t xml:space="preserve"> Award.</w:t>
      </w:r>
    </w:p>
    <w:p w:rsidR="008223AE" w:rsidRPr="008223AE" w:rsidRDefault="008223AE" w:rsidP="008223AE">
      <w:pPr>
        <w:pStyle w:val="ARbody"/>
      </w:pPr>
      <w:r w:rsidRPr="008223AE">
        <w:br w:type="page"/>
      </w:r>
    </w:p>
    <w:p w:rsidR="0092299C" w:rsidRPr="005A193E" w:rsidRDefault="0092299C" w:rsidP="0092299C">
      <w:pPr>
        <w:pStyle w:val="Heading3"/>
      </w:pPr>
      <w:r w:rsidRPr="005A193E">
        <w:lastRenderedPageBreak/>
        <w:t>Building a stronger leadership culture</w:t>
      </w:r>
    </w:p>
    <w:p w:rsidR="0092299C" w:rsidRPr="00667232" w:rsidRDefault="0092299C" w:rsidP="0092299C">
      <w:pPr>
        <w:pStyle w:val="ARbody"/>
      </w:pPr>
      <w:r w:rsidRPr="00667232">
        <w:t>The department has continued to strengthen its leadership pipeline by:</w:t>
      </w:r>
    </w:p>
    <w:p w:rsidR="0092299C" w:rsidRPr="00667232" w:rsidRDefault="0092299C" w:rsidP="0092299C">
      <w:pPr>
        <w:pStyle w:val="ARbullet1"/>
        <w:numPr>
          <w:ilvl w:val="0"/>
          <w:numId w:val="19"/>
        </w:numPr>
      </w:pPr>
      <w:r w:rsidRPr="00667232">
        <w:t xml:space="preserve">embedding </w:t>
      </w:r>
      <w:r>
        <w:t>the department’s</w:t>
      </w:r>
      <w:r w:rsidRPr="00667232">
        <w:t xml:space="preserve"> leadership charter in executive recruitment, orien</w:t>
      </w:r>
      <w:r>
        <w:t>tation and performance planning</w:t>
      </w:r>
    </w:p>
    <w:p w:rsidR="0092299C" w:rsidRPr="00667232" w:rsidRDefault="0092299C" w:rsidP="0092299C">
      <w:pPr>
        <w:pStyle w:val="ARbullet1"/>
        <w:numPr>
          <w:ilvl w:val="0"/>
          <w:numId w:val="19"/>
        </w:numPr>
      </w:pPr>
      <w:r w:rsidRPr="00667232">
        <w:t>collaborating with other government agencies and alliances to build executive capabilities through 360 feedback an</w:t>
      </w:r>
      <w:r>
        <w:t>d targeted development programs</w:t>
      </w:r>
    </w:p>
    <w:p w:rsidR="0092299C" w:rsidRPr="00667232" w:rsidRDefault="0092299C" w:rsidP="0092299C">
      <w:pPr>
        <w:pStyle w:val="ARbullet1"/>
        <w:numPr>
          <w:ilvl w:val="0"/>
          <w:numId w:val="19"/>
        </w:numPr>
      </w:pPr>
      <w:r w:rsidRPr="00667232">
        <w:t>continuing programs that seek to grow senior public service leadership capabilities in high</w:t>
      </w:r>
      <w:r>
        <w:t>-</w:t>
      </w:r>
      <w:r w:rsidR="00135248">
        <w:t>potential VPS-</w:t>
      </w:r>
      <w:r w:rsidRPr="00667232">
        <w:t>6 and equivalent employees</w:t>
      </w:r>
    </w:p>
    <w:p w:rsidR="0092299C" w:rsidRPr="00667232" w:rsidRDefault="0092299C" w:rsidP="0092299C">
      <w:pPr>
        <w:pStyle w:val="ARbullet1"/>
        <w:numPr>
          <w:ilvl w:val="0"/>
          <w:numId w:val="19"/>
        </w:numPr>
      </w:pPr>
      <w:r w:rsidRPr="00667232">
        <w:t>establishing a new secondment program with the private sector to build leadership capability and system knowledge in high</w:t>
      </w:r>
      <w:r>
        <w:t>-</w:t>
      </w:r>
      <w:r w:rsidR="00135248">
        <w:t>potential VPS-</w:t>
      </w:r>
      <w:r w:rsidRPr="00667232">
        <w:t>5 and equivalent employees</w:t>
      </w:r>
    </w:p>
    <w:p w:rsidR="0092299C" w:rsidRPr="00667232" w:rsidRDefault="0092299C" w:rsidP="0092299C">
      <w:pPr>
        <w:pStyle w:val="ARbullet1"/>
        <w:numPr>
          <w:ilvl w:val="0"/>
          <w:numId w:val="19"/>
        </w:numPr>
      </w:pPr>
      <w:r w:rsidRPr="00667232">
        <w:t>provision of 99 customised leadership and management development events to grow people management capabilities and a leadership culture across all levels of the department</w:t>
      </w:r>
    </w:p>
    <w:p w:rsidR="0092299C" w:rsidRDefault="0092299C" w:rsidP="00F91CA3">
      <w:pPr>
        <w:pStyle w:val="ARbullet1"/>
      </w:pPr>
      <w:r w:rsidRPr="00667232">
        <w:t>delivery of around 135 leadership programs for professional staff working in child protection practice, disability, housing and youth justice.</w:t>
      </w:r>
    </w:p>
    <w:p w:rsidR="0092299C" w:rsidRPr="00667232" w:rsidRDefault="0092299C" w:rsidP="0092299C">
      <w:pPr>
        <w:pStyle w:val="ARbodyafterbullets"/>
      </w:pPr>
      <w:r>
        <w:t xml:space="preserve">During </w:t>
      </w:r>
      <w:r w:rsidRPr="006F0DB4">
        <w:t>2016–17</w:t>
      </w:r>
      <w:r>
        <w:t>,</w:t>
      </w:r>
      <w:r w:rsidRPr="00667232">
        <w:t xml:space="preserve"> we introduced a new executive talent management tool to guide better decisions and future-oriented investments in</w:t>
      </w:r>
      <w:r>
        <w:t xml:space="preserve"> senior leadership development.</w:t>
      </w:r>
    </w:p>
    <w:p w:rsidR="0092299C" w:rsidRPr="00667232" w:rsidRDefault="0092299C" w:rsidP="0092299C">
      <w:pPr>
        <w:pStyle w:val="ARbody"/>
      </w:pPr>
      <w:r w:rsidRPr="009D52C2">
        <w:t>Executive Connect</w:t>
      </w:r>
      <w:r w:rsidRPr="00667232">
        <w:t xml:space="preserve"> took </w:t>
      </w:r>
      <w:r>
        <w:t>the department’s</w:t>
      </w:r>
      <w:r w:rsidRPr="00667232">
        <w:t xml:space="preserve"> executive cohorts to a number of new health and human services host organisations for some experiential development. These organisations now include Alzheimer's Australia, </w:t>
      </w:r>
      <w:proofErr w:type="spellStart"/>
      <w:r w:rsidRPr="00667232">
        <w:t>Ardoch</w:t>
      </w:r>
      <w:proofErr w:type="spellEnd"/>
      <w:r w:rsidRPr="00667232">
        <w:t xml:space="preserve"> Youth Foundation, Berry Street, Eastern Domestic Violence Service, Flat Out </w:t>
      </w:r>
      <w:proofErr w:type="spellStart"/>
      <w:r w:rsidRPr="00667232">
        <w:t>Inc</w:t>
      </w:r>
      <w:proofErr w:type="spellEnd"/>
      <w:r w:rsidRPr="00667232">
        <w:t xml:space="preserve">, Melbourne City Mission, Mirabel Foundation, VACCHO, Victorian Aids Council, Victorian Legal </w:t>
      </w:r>
      <w:proofErr w:type="spellStart"/>
      <w:r w:rsidRPr="00667232">
        <w:t>Council</w:t>
      </w:r>
      <w:proofErr w:type="spellEnd"/>
      <w:r w:rsidRPr="00667232">
        <w:t>, Wesley Mission, Barwon Health, Kyneton District Health Service, Monash Health, Peninsula Health, St Vincent’s Hospital and Western Health.</w:t>
      </w:r>
    </w:p>
    <w:p w:rsidR="0092299C" w:rsidRPr="005A193E" w:rsidRDefault="0092299C" w:rsidP="0092299C">
      <w:pPr>
        <w:pStyle w:val="Heading3"/>
      </w:pPr>
      <w:r w:rsidRPr="005A193E">
        <w:t>Capability development</w:t>
      </w:r>
    </w:p>
    <w:p w:rsidR="0092299C" w:rsidRPr="00667232" w:rsidRDefault="0092299C" w:rsidP="0092299C">
      <w:pPr>
        <w:pStyle w:val="ARbody"/>
      </w:pPr>
      <w:r w:rsidRPr="00667232">
        <w:t xml:space="preserve">This year we welcomed 554 new starters to the department, who participated in </w:t>
      </w:r>
      <w:r>
        <w:t>the department’s</w:t>
      </w:r>
      <w:r w:rsidRPr="00667232">
        <w:t xml:space="preserve"> online and face-to-face orientation progra</w:t>
      </w:r>
      <w:r>
        <w:t>ms. This represents about an 82 per cent</w:t>
      </w:r>
      <w:r w:rsidRPr="00667232">
        <w:t xml:space="preserve"> i</w:t>
      </w:r>
      <w:r>
        <w:t>ncrease on the preceding year.</w:t>
      </w:r>
    </w:p>
    <w:p w:rsidR="0092299C" w:rsidRPr="00667232" w:rsidRDefault="008223AE" w:rsidP="0092299C">
      <w:pPr>
        <w:pStyle w:val="ARbody"/>
      </w:pPr>
      <w:r>
        <w:br w:type="column"/>
      </w:r>
      <w:r w:rsidR="0092299C" w:rsidRPr="00667232">
        <w:lastRenderedPageBreak/>
        <w:t xml:space="preserve">Technology continues to shape </w:t>
      </w:r>
      <w:r w:rsidR="0092299C">
        <w:t>the department’s</w:t>
      </w:r>
      <w:r w:rsidR="0092299C" w:rsidRPr="00667232">
        <w:t xml:space="preserve"> learning and development approaches, with </w:t>
      </w:r>
      <w:r w:rsidR="0092299C">
        <w:t>10</w:t>
      </w:r>
      <w:r w:rsidR="0092299C" w:rsidRPr="00667232">
        <w:t xml:space="preserve"> new online programs added to </w:t>
      </w:r>
      <w:r w:rsidR="0092299C">
        <w:t>the</w:t>
      </w:r>
      <w:r w:rsidR="0092299C" w:rsidRPr="00667232">
        <w:t xml:space="preserve"> Learning Management System. All of these new programs were designed to support compliance and/or client service capability development in staff across the state.</w:t>
      </w:r>
    </w:p>
    <w:p w:rsidR="0092299C" w:rsidRPr="00667232" w:rsidRDefault="0092299C" w:rsidP="0092299C">
      <w:pPr>
        <w:pStyle w:val="ARbody"/>
      </w:pPr>
      <w:r w:rsidRPr="00667232">
        <w:t xml:space="preserve">Over 8,880 staff participated in </w:t>
      </w:r>
      <w:r>
        <w:t>the department’s</w:t>
      </w:r>
      <w:r w:rsidRPr="00667232">
        <w:t xml:space="preserve"> extensive range of corporate and practice development programs. </w:t>
      </w:r>
      <w:r>
        <w:t>The department’s</w:t>
      </w:r>
      <w:r w:rsidRPr="00667232">
        <w:t xml:space="preserve"> top development investments aimed to grow capability in:</w:t>
      </w:r>
    </w:p>
    <w:p w:rsidR="0092299C" w:rsidRPr="00667232" w:rsidRDefault="0092299C" w:rsidP="0092299C">
      <w:pPr>
        <w:pStyle w:val="ARbullet1"/>
        <w:numPr>
          <w:ilvl w:val="0"/>
          <w:numId w:val="19"/>
        </w:numPr>
      </w:pPr>
      <w:r w:rsidRPr="00667232">
        <w:t>working with child protection, disability, youth justice and housing clients</w:t>
      </w:r>
    </w:p>
    <w:p w:rsidR="0092299C" w:rsidRPr="00667232" w:rsidRDefault="0092299C" w:rsidP="0092299C">
      <w:pPr>
        <w:pStyle w:val="ARbullet1"/>
        <w:numPr>
          <w:ilvl w:val="0"/>
          <w:numId w:val="19"/>
        </w:numPr>
      </w:pPr>
      <w:r w:rsidRPr="00667232">
        <w:t>business applications</w:t>
      </w:r>
    </w:p>
    <w:p w:rsidR="0092299C" w:rsidRPr="00667232" w:rsidRDefault="0092299C" w:rsidP="0092299C">
      <w:pPr>
        <w:pStyle w:val="ARbullet1"/>
        <w:numPr>
          <w:ilvl w:val="0"/>
          <w:numId w:val="19"/>
        </w:numPr>
      </w:pPr>
      <w:r w:rsidRPr="00667232">
        <w:t>core ‘working in government’ areas</w:t>
      </w:r>
    </w:p>
    <w:p w:rsidR="0092299C" w:rsidRPr="00667232" w:rsidRDefault="0092299C" w:rsidP="0092299C">
      <w:pPr>
        <w:pStyle w:val="ARbullet1"/>
        <w:numPr>
          <w:ilvl w:val="0"/>
          <w:numId w:val="19"/>
        </w:numPr>
      </w:pPr>
      <w:r>
        <w:t>leadership and management</w:t>
      </w:r>
    </w:p>
    <w:p w:rsidR="0092299C" w:rsidRDefault="0092299C" w:rsidP="00F91CA3">
      <w:pPr>
        <w:pStyle w:val="ARbullet1"/>
      </w:pPr>
      <w:r w:rsidRPr="00667232">
        <w:t>diversity, including Aboriginal cultural competence.</w:t>
      </w:r>
    </w:p>
    <w:p w:rsidR="0092299C" w:rsidRPr="00667232" w:rsidRDefault="0092299C" w:rsidP="0092299C">
      <w:pPr>
        <w:pStyle w:val="ARbodyafterbullets"/>
      </w:pPr>
      <w:r w:rsidRPr="00667232">
        <w:t xml:space="preserve">A strong focus of </w:t>
      </w:r>
      <w:r>
        <w:t>the department’s</w:t>
      </w:r>
      <w:r w:rsidRPr="00667232">
        <w:t xml:space="preserve"> practice development programs this year has been to embed the learnings from numerous reviews, parliamentary inquiries, and the Royal Commission into Family Violence. This work has strengthened </w:t>
      </w:r>
      <w:r>
        <w:t>the department’s</w:t>
      </w:r>
      <w:r w:rsidRPr="00667232">
        <w:t xml:space="preserve"> focus on building capabilities to enable better support for children, vulnerable people, Aboriginal children in ou</w:t>
      </w:r>
      <w:r>
        <w:t>t-of-home care and families.</w:t>
      </w:r>
    </w:p>
    <w:p w:rsidR="0092299C" w:rsidRPr="00667232" w:rsidRDefault="0092299C" w:rsidP="0092299C">
      <w:pPr>
        <w:pStyle w:val="ARbody"/>
      </w:pPr>
      <w:r w:rsidRPr="00667232">
        <w:t>This year, human services scholarships were awarded to 76 departmental and sector staff from disability, housing, yout</w:t>
      </w:r>
      <w:r>
        <w:t>h justice and child protection.</w:t>
      </w:r>
    </w:p>
    <w:p w:rsidR="0092299C" w:rsidRPr="00667232" w:rsidRDefault="0092299C" w:rsidP="0092299C">
      <w:pPr>
        <w:pStyle w:val="ARbody"/>
      </w:pPr>
      <w:r w:rsidRPr="00667232">
        <w:t>Capability building efforts helped staff and leaders to deal with change arising from the National Disability Insuranc</w:t>
      </w:r>
      <w:r>
        <w:t>e Scheme (NDIS), youth justice machinery of g</w:t>
      </w:r>
      <w:r w:rsidRPr="00667232">
        <w:t>overnment change</w:t>
      </w:r>
      <w:r>
        <w:t>s</w:t>
      </w:r>
      <w:r w:rsidRPr="00667232">
        <w:t xml:space="preserve"> and th</w:t>
      </w:r>
      <w:r>
        <w:t xml:space="preserve">e establishment of the </w:t>
      </w:r>
      <w:r w:rsidRPr="00667232">
        <w:t>Victorian Agency for Health Information, Safer Care Victo</w:t>
      </w:r>
      <w:r>
        <w:t>ria and Family Safety Victoria.</w:t>
      </w:r>
    </w:p>
    <w:p w:rsidR="0092299C" w:rsidRPr="005A193E" w:rsidRDefault="0092299C" w:rsidP="0092299C">
      <w:pPr>
        <w:pStyle w:val="Heading3"/>
      </w:pPr>
      <w:r w:rsidRPr="005A193E">
        <w:t xml:space="preserve">Workforce </w:t>
      </w:r>
      <w:r>
        <w:t>i</w:t>
      </w:r>
      <w:r w:rsidRPr="005A193E">
        <w:t xml:space="preserve">nclusion </w:t>
      </w:r>
      <w:r>
        <w:t>p</w:t>
      </w:r>
      <w:r w:rsidRPr="005A193E">
        <w:t>olicy</w:t>
      </w:r>
    </w:p>
    <w:p w:rsidR="0092299C" w:rsidRPr="00667232" w:rsidRDefault="0092299C" w:rsidP="0092299C">
      <w:pPr>
        <w:pStyle w:val="ARbody"/>
      </w:pPr>
      <w:r w:rsidRPr="00667232">
        <w:t>The department has a number of initiatives in place to support and continue to grow a diverse and inclusive workplace.</w:t>
      </w:r>
    </w:p>
    <w:p w:rsidR="0092299C" w:rsidRPr="00667232" w:rsidRDefault="0092299C" w:rsidP="0092299C">
      <w:pPr>
        <w:pStyle w:val="ARbody"/>
      </w:pPr>
      <w:r w:rsidRPr="00667232">
        <w:t>Diversity and inclusion encompasses many positive aspects of life. It is about recognising the diverse skills and perspectives that people may bring to the workplace because of their gender, age, language, cultural background, ethnicity, disability, religious belief, sexual orientation, educational level, socioeconomic background and family responsibilities.</w:t>
      </w:r>
    </w:p>
    <w:p w:rsidR="0092299C" w:rsidRPr="00667232" w:rsidRDefault="0092299C" w:rsidP="0092299C">
      <w:pPr>
        <w:pStyle w:val="ARbody"/>
      </w:pPr>
      <w:r w:rsidRPr="00667232">
        <w:lastRenderedPageBreak/>
        <w:t>The department continued to deliver training to support the development of well</w:t>
      </w:r>
      <w:r>
        <w:t>-</w:t>
      </w:r>
      <w:r w:rsidRPr="00667232">
        <w:t>informed and culturally approp</w:t>
      </w:r>
      <w:r>
        <w:t>riate policy and services: the Building Aboriginal Cultural Competency program; unconscious bias training; LGBTI awareness workshops and allies for c</w:t>
      </w:r>
      <w:r w:rsidRPr="00667232">
        <w:t>hange program supporting LGBTI employees.</w:t>
      </w:r>
    </w:p>
    <w:p w:rsidR="0092299C" w:rsidRPr="00667232" w:rsidRDefault="0092299C" w:rsidP="0092299C">
      <w:pPr>
        <w:pStyle w:val="ARbody"/>
      </w:pPr>
      <w:r w:rsidRPr="00667232">
        <w:t xml:space="preserve">The department continued to implement the </w:t>
      </w:r>
      <w:r>
        <w:t>C</w:t>
      </w:r>
      <w:r w:rsidRPr="00667232">
        <w:rPr>
          <w:i/>
        </w:rPr>
        <w:t>ultural diversity action plan 2016–17</w:t>
      </w:r>
      <w:r w:rsidRPr="00667232">
        <w:t>, a commitment within </w:t>
      </w:r>
      <w:r w:rsidRPr="00667232">
        <w:rPr>
          <w:i/>
        </w:rPr>
        <w:t>Delivering for diversity: cultural diversity plan 2016–19</w:t>
      </w:r>
      <w:r>
        <w:t>, as well as</w:t>
      </w:r>
      <w:r w:rsidRPr="00667232">
        <w:t xml:space="preserve"> specific actions to ensure a culturally responsive workforce with a focus on multicultural and ling</w:t>
      </w:r>
      <w:r>
        <w:t>uistically diverse communities.</w:t>
      </w:r>
    </w:p>
    <w:p w:rsidR="0092299C" w:rsidRPr="00667232" w:rsidRDefault="0092299C" w:rsidP="0092299C">
      <w:pPr>
        <w:pStyle w:val="ARbody"/>
      </w:pPr>
      <w:r w:rsidRPr="00667232">
        <w:t xml:space="preserve">The department partnered with </w:t>
      </w:r>
      <w:proofErr w:type="spellStart"/>
      <w:r w:rsidRPr="00667232">
        <w:t>CareerSeekers</w:t>
      </w:r>
      <w:proofErr w:type="spellEnd"/>
      <w:r w:rsidRPr="00667232">
        <w:t xml:space="preserve"> to provide mid-career asylum seekers and refugees with internships. This experience over 12 weeks enables new arrivals to gain valuable Australian workplace experience and directly contributes to improved employment outcomes.</w:t>
      </w:r>
    </w:p>
    <w:p w:rsidR="0092299C" w:rsidRPr="00667232" w:rsidRDefault="0092299C" w:rsidP="0092299C">
      <w:pPr>
        <w:pStyle w:val="ARbody"/>
      </w:pPr>
      <w:r w:rsidRPr="00667232">
        <w:t>Work commenced to develop training in cultural intelligence.</w:t>
      </w:r>
    </w:p>
    <w:p w:rsidR="0092299C" w:rsidRPr="00667232" w:rsidRDefault="0092299C" w:rsidP="0092299C">
      <w:pPr>
        <w:pStyle w:val="ARbody"/>
      </w:pPr>
      <w:r>
        <w:t xml:space="preserve">In December 2016, </w:t>
      </w:r>
      <w:r>
        <w:rPr>
          <w:lang w:eastAsia="en-AU"/>
        </w:rPr>
        <w:t>all-roles f</w:t>
      </w:r>
      <w:r w:rsidRPr="00667232">
        <w:rPr>
          <w:lang w:eastAsia="en-AU"/>
        </w:rPr>
        <w:t xml:space="preserve">lex was launched </w:t>
      </w:r>
      <w:r>
        <w:rPr>
          <w:lang w:eastAsia="en-AU"/>
        </w:rPr>
        <w:t xml:space="preserve">to </w:t>
      </w:r>
      <w:r w:rsidRPr="00667232">
        <w:t>recognis</w:t>
      </w:r>
      <w:r>
        <w:t>e</w:t>
      </w:r>
      <w:r w:rsidRPr="00667232">
        <w:t xml:space="preserve"> the positive relationship between workplace flexibility and employee health, wellbeing, satisfaction and engagement.</w:t>
      </w:r>
    </w:p>
    <w:p w:rsidR="0092299C" w:rsidRPr="00667232" w:rsidRDefault="0092299C" w:rsidP="0092299C">
      <w:pPr>
        <w:pStyle w:val="ARbody"/>
      </w:pPr>
      <w:r w:rsidRPr="00667232">
        <w:t xml:space="preserve">The department promotes a calendar of events </w:t>
      </w:r>
      <w:r w:rsidR="00135248">
        <w:br/>
      </w:r>
      <w:r w:rsidRPr="00667232">
        <w:t>and significant dates to raise awareness, promote inclusion and recognise cultural diversity.</w:t>
      </w:r>
    </w:p>
    <w:p w:rsidR="0092299C" w:rsidRPr="00667232" w:rsidRDefault="0092299C" w:rsidP="0092299C">
      <w:pPr>
        <w:pStyle w:val="Heading3"/>
      </w:pPr>
      <w:r w:rsidRPr="00667232">
        <w:t>Internships for people living with disability</w:t>
      </w:r>
    </w:p>
    <w:p w:rsidR="0092299C" w:rsidRPr="00667232" w:rsidRDefault="0092299C" w:rsidP="0092299C">
      <w:pPr>
        <w:pStyle w:val="ARbody"/>
      </w:pPr>
      <w:r w:rsidRPr="00667232">
        <w:t>The department aims to provide meaningful and satisfying career</w:t>
      </w:r>
      <w:r>
        <w:t>s for people with a disability.</w:t>
      </w:r>
    </w:p>
    <w:p w:rsidR="0092299C" w:rsidRPr="00667232" w:rsidRDefault="0092299C" w:rsidP="0092299C">
      <w:pPr>
        <w:pStyle w:val="ARbody"/>
      </w:pPr>
      <w:r w:rsidRPr="00667232">
        <w:t xml:space="preserve">The </w:t>
      </w:r>
      <w:r w:rsidRPr="00667232">
        <w:rPr>
          <w:i/>
        </w:rPr>
        <w:t xml:space="preserve">People </w:t>
      </w:r>
      <w:r>
        <w:rPr>
          <w:i/>
        </w:rPr>
        <w:t>s</w:t>
      </w:r>
      <w:r w:rsidRPr="00667232">
        <w:rPr>
          <w:i/>
        </w:rPr>
        <w:t>trategy 2020</w:t>
      </w:r>
      <w:r w:rsidRPr="00667232">
        <w:t xml:space="preserve"> sets an objective to increase employment for </w:t>
      </w:r>
      <w:r>
        <w:t xml:space="preserve">people </w:t>
      </w:r>
      <w:r w:rsidRPr="00667232">
        <w:t>with a disability</w:t>
      </w:r>
      <w:r>
        <w:t xml:space="preserve"> from four per cent to five per cent.</w:t>
      </w:r>
    </w:p>
    <w:p w:rsidR="0092299C" w:rsidRPr="00667232" w:rsidRDefault="0092299C" w:rsidP="0092299C">
      <w:pPr>
        <w:pStyle w:val="ARbody"/>
      </w:pPr>
      <w:r w:rsidRPr="00667232">
        <w:t>All advertised positions include a statement that promotes diversity and equal opportunity in employment to encourage attraction. The special measure condition to exempt roles so only people with a disability apply was activated.</w:t>
      </w:r>
    </w:p>
    <w:p w:rsidR="0092299C" w:rsidRPr="00667232" w:rsidRDefault="0092299C" w:rsidP="0092299C">
      <w:pPr>
        <w:pStyle w:val="ARbody"/>
        <w:rPr>
          <w:lang w:val="en"/>
        </w:rPr>
      </w:pPr>
      <w:r w:rsidRPr="00667232">
        <w:rPr>
          <w:lang w:val="en"/>
        </w:rPr>
        <w:t>A pilot program to provide meaningful employmen</w:t>
      </w:r>
      <w:r>
        <w:rPr>
          <w:lang w:val="en"/>
        </w:rPr>
        <w:t>t for individuals on the autism s</w:t>
      </w:r>
      <w:r w:rsidRPr="00667232">
        <w:rPr>
          <w:lang w:val="en"/>
        </w:rPr>
        <w:t>pectrum is under development.</w:t>
      </w:r>
    </w:p>
    <w:p w:rsidR="0092299C" w:rsidRPr="00667232" w:rsidRDefault="0092299C" w:rsidP="0092299C">
      <w:pPr>
        <w:pStyle w:val="ARbody"/>
      </w:pPr>
      <w:r w:rsidRPr="00667232">
        <w:t xml:space="preserve">The department provides support to potential </w:t>
      </w:r>
      <w:r w:rsidR="00135248">
        <w:br/>
      </w:r>
      <w:r w:rsidRPr="00667232">
        <w:t>and existing employees in relation to reasonable adjustments: for the recruitment</w:t>
      </w:r>
      <w:r>
        <w:t xml:space="preserve"> process and in the work place.</w:t>
      </w:r>
    </w:p>
    <w:p w:rsidR="0092299C" w:rsidRPr="00667232" w:rsidRDefault="00497218" w:rsidP="0092299C">
      <w:pPr>
        <w:pStyle w:val="ARbody"/>
      </w:pPr>
      <w:r>
        <w:br w:type="column"/>
      </w:r>
      <w:r w:rsidR="0092299C">
        <w:lastRenderedPageBreak/>
        <w:t xml:space="preserve">The Enablers Network, </w:t>
      </w:r>
      <w:r w:rsidR="0092299C" w:rsidRPr="00873D1D">
        <w:t>for</w:t>
      </w:r>
      <w:r w:rsidR="0092299C" w:rsidRPr="00667232">
        <w:t xml:space="preserve"> people with a disability at work</w:t>
      </w:r>
      <w:r w:rsidR="0092299C">
        <w:t>, was launched in August 2016</w:t>
      </w:r>
      <w:r w:rsidR="0092299C" w:rsidRPr="00667232">
        <w:t>. The network represents the needs, interests, and concerns of employees with a disability to ensure inclusion and fair and equitable treatment.</w:t>
      </w:r>
    </w:p>
    <w:p w:rsidR="0092299C" w:rsidRPr="00667232" w:rsidRDefault="0092299C" w:rsidP="0092299C">
      <w:pPr>
        <w:pStyle w:val="ARbody"/>
      </w:pPr>
      <w:r w:rsidRPr="00667232">
        <w:t xml:space="preserve">The department continued to work with </w:t>
      </w:r>
      <w:r>
        <w:t xml:space="preserve">the </w:t>
      </w:r>
      <w:r w:rsidRPr="00667232">
        <w:t>Australian Network on Disability for disability round table opportunities provided by the network.</w:t>
      </w:r>
    </w:p>
    <w:p w:rsidR="0092299C" w:rsidRPr="00667232" w:rsidRDefault="0092299C" w:rsidP="0092299C">
      <w:pPr>
        <w:pStyle w:val="ARbody"/>
      </w:pPr>
      <w:r>
        <w:t>The department continued its S</w:t>
      </w:r>
      <w:r w:rsidRPr="00667232">
        <w:t xml:space="preserve">upport an </w:t>
      </w:r>
      <w:r>
        <w:t>I</w:t>
      </w:r>
      <w:r w:rsidRPr="00667232">
        <w:t>nternship program for people living with disability</w:t>
      </w:r>
      <w:r>
        <w:t>. This program provides</w:t>
      </w:r>
      <w:r w:rsidRPr="00667232">
        <w:t xml:space="preserve"> university students with valuable work experience, confidence</w:t>
      </w:r>
      <w:r>
        <w:t>,</w:t>
      </w:r>
      <w:r w:rsidRPr="00667232">
        <w:t xml:space="preserve"> and </w:t>
      </w:r>
      <w:r>
        <w:t>a chance to</w:t>
      </w:r>
      <w:r w:rsidRPr="00667232">
        <w:t xml:space="preserve"> bridge the gap between university and graduate opportunities.</w:t>
      </w:r>
    </w:p>
    <w:p w:rsidR="0092299C" w:rsidRPr="00667232" w:rsidRDefault="0092299C" w:rsidP="0092299C">
      <w:pPr>
        <w:pStyle w:val="Heading3"/>
      </w:pPr>
      <w:r w:rsidRPr="00667232">
        <w:t xml:space="preserve">Aboriginal </w:t>
      </w:r>
      <w:r>
        <w:t>e</w:t>
      </w:r>
      <w:r w:rsidRPr="00667232">
        <w:t xml:space="preserve">mployment </w:t>
      </w:r>
      <w:r>
        <w:t>s</w:t>
      </w:r>
      <w:r w:rsidRPr="00667232">
        <w:t>trategy</w:t>
      </w:r>
    </w:p>
    <w:p w:rsidR="0092299C" w:rsidRPr="00667232" w:rsidRDefault="0092299C" w:rsidP="0092299C">
      <w:pPr>
        <w:pStyle w:val="ARbody"/>
      </w:pPr>
      <w:r w:rsidRPr="00667232">
        <w:t xml:space="preserve">The </w:t>
      </w:r>
      <w:r w:rsidRPr="00873D1D">
        <w:t>department continued</w:t>
      </w:r>
      <w:r w:rsidRPr="00667232">
        <w:t xml:space="preserve"> implementing the </w:t>
      </w:r>
      <w:r w:rsidRPr="00486B6B">
        <w:t>Aboriginal employment strategy 2016–21</w:t>
      </w:r>
      <w:r w:rsidRPr="00667232">
        <w:t xml:space="preserve"> towards three critical outcomes by 2021:</w:t>
      </w:r>
    </w:p>
    <w:p w:rsidR="0092299C" w:rsidRPr="00AD69BB" w:rsidRDefault="0092299C" w:rsidP="0092299C">
      <w:pPr>
        <w:pStyle w:val="ARbullet1"/>
        <w:numPr>
          <w:ilvl w:val="0"/>
          <w:numId w:val="19"/>
        </w:numPr>
      </w:pPr>
      <w:r w:rsidRPr="00AD69BB">
        <w:t xml:space="preserve">a </w:t>
      </w:r>
      <w:r>
        <w:t>two</w:t>
      </w:r>
      <w:r w:rsidRPr="00AD69BB">
        <w:t xml:space="preserve"> per cent workforce target</w:t>
      </w:r>
    </w:p>
    <w:p w:rsidR="0092299C" w:rsidRPr="00AD69BB" w:rsidRDefault="0092299C" w:rsidP="0092299C">
      <w:pPr>
        <w:pStyle w:val="ARbullet1"/>
        <w:numPr>
          <w:ilvl w:val="0"/>
          <w:numId w:val="19"/>
        </w:numPr>
      </w:pPr>
      <w:r w:rsidRPr="00AD69BB">
        <w:t>a significant increase in Aboriginal staff in senior roles</w:t>
      </w:r>
    </w:p>
    <w:p w:rsidR="0092299C" w:rsidRDefault="0092299C" w:rsidP="00F91CA3">
      <w:pPr>
        <w:pStyle w:val="ARbullet1"/>
      </w:pPr>
      <w:r w:rsidRPr="00AD69BB">
        <w:t xml:space="preserve">progress </w:t>
      </w:r>
      <w:r>
        <w:t>the department’s</w:t>
      </w:r>
      <w:r w:rsidRPr="00AD69BB">
        <w:t xml:space="preserve"> commitment to be a diverse, inclusive and culturally safe employer </w:t>
      </w:r>
      <w:r w:rsidR="00135248">
        <w:br/>
      </w:r>
      <w:r w:rsidRPr="00AD69BB">
        <w:t>of choice for Aboriginal people.</w:t>
      </w:r>
    </w:p>
    <w:p w:rsidR="0092299C" w:rsidRPr="00AD69BB" w:rsidRDefault="0092299C" w:rsidP="0092299C">
      <w:pPr>
        <w:pStyle w:val="ARbodyafterbullets"/>
      </w:pPr>
      <w:r>
        <w:t>T</w:t>
      </w:r>
      <w:r w:rsidRPr="00AD69BB">
        <w:t>he strategy tracked well</w:t>
      </w:r>
      <w:r>
        <w:t xml:space="preserve"> in its first year,</w:t>
      </w:r>
      <w:r w:rsidRPr="00AD69BB">
        <w:t xml:space="preserve"> with the percentage of Aboriginal employees at 1.3 per cent of the total </w:t>
      </w:r>
      <w:r>
        <w:t>workforce. T</w:t>
      </w:r>
      <w:r w:rsidRPr="00AD69BB">
        <w:t>he number of staff in senior roles tripled</w:t>
      </w:r>
      <w:r>
        <w:t xml:space="preserve">, </w:t>
      </w:r>
      <w:r w:rsidRPr="00AD69BB">
        <w:t>and</w:t>
      </w:r>
      <w:r>
        <w:t xml:space="preserve"> </w:t>
      </w:r>
      <w:r w:rsidRPr="00AD69BB">
        <w:t xml:space="preserve">a range of initiatives </w:t>
      </w:r>
      <w:r>
        <w:t xml:space="preserve">were implemented to </w:t>
      </w:r>
      <w:r w:rsidRPr="00AD69BB">
        <w:t xml:space="preserve">support </w:t>
      </w:r>
      <w:r>
        <w:t xml:space="preserve">the department as </w:t>
      </w:r>
      <w:r w:rsidRPr="00AD69BB">
        <w:t>a culturally safe employer o</w:t>
      </w:r>
      <w:r>
        <w:t>f choice for Aboriginal people.</w:t>
      </w:r>
    </w:p>
    <w:p w:rsidR="0092299C" w:rsidRPr="00667232" w:rsidRDefault="0092299C" w:rsidP="0092299C">
      <w:pPr>
        <w:pStyle w:val="ARbody"/>
      </w:pPr>
      <w:r w:rsidRPr="00667232">
        <w:rPr>
          <w:lang w:eastAsia="en-AU"/>
        </w:rPr>
        <w:t>Initiatives included commencing development of a</w:t>
      </w:r>
      <w:r w:rsidRPr="00667232">
        <w:t xml:space="preserve"> cultural safety framework; allocating scholarships for secondary and tertiary students; </w:t>
      </w:r>
      <w:proofErr w:type="spellStart"/>
      <w:r>
        <w:t>CareerTrackers</w:t>
      </w:r>
      <w:proofErr w:type="spellEnd"/>
      <w:r>
        <w:t xml:space="preserve">’ </w:t>
      </w:r>
      <w:r w:rsidRPr="00667232">
        <w:t>12-week internships for a generalist and child protection candidates; graduate program; mentoring</w:t>
      </w:r>
      <w:r>
        <w:t xml:space="preserve"> and coaching for employees and strengthening the</w:t>
      </w:r>
      <w:r w:rsidRPr="00667232">
        <w:t xml:space="preserve"> Aboriginal St</w:t>
      </w:r>
      <w:r>
        <w:t>aff Support Network (ASSN).</w:t>
      </w:r>
    </w:p>
    <w:p w:rsidR="0092299C" w:rsidRPr="00667232" w:rsidRDefault="0092299C" w:rsidP="0092299C">
      <w:pPr>
        <w:pStyle w:val="ARbody"/>
      </w:pPr>
      <w:r w:rsidRPr="00667232">
        <w:t>Work to boost th</w:t>
      </w:r>
      <w:r>
        <w:t xml:space="preserve">e recruitment and retention of </w:t>
      </w:r>
      <w:r w:rsidRPr="00667232">
        <w:t>Aboriginal child protection practitioners and provid</w:t>
      </w:r>
      <w:r>
        <w:t>e candidate care was initiated.</w:t>
      </w:r>
    </w:p>
    <w:p w:rsidR="0092299C" w:rsidRPr="00667232" w:rsidRDefault="0092299C" w:rsidP="0092299C">
      <w:pPr>
        <w:pStyle w:val="ARbody"/>
      </w:pPr>
      <w:r w:rsidRPr="00667232">
        <w:t xml:space="preserve">An important initiative to mark </w:t>
      </w:r>
      <w:r>
        <w:t>the first year</w:t>
      </w:r>
      <w:r w:rsidRPr="00667232">
        <w:t xml:space="preserve"> was the award of the inaugural Secretary’s discretionary scholarship.</w:t>
      </w:r>
    </w:p>
    <w:p w:rsidR="0092299C" w:rsidRPr="00667232" w:rsidRDefault="0092299C" w:rsidP="0092299C">
      <w:pPr>
        <w:pStyle w:val="ARbody"/>
      </w:pPr>
      <w:r w:rsidRPr="00667232">
        <w:t>The departme</w:t>
      </w:r>
      <w:r>
        <w:t xml:space="preserve">nt’s </w:t>
      </w:r>
      <w:proofErr w:type="spellStart"/>
      <w:r w:rsidRPr="007C77EE">
        <w:rPr>
          <w:i/>
        </w:rPr>
        <w:t>Wirrigirri</w:t>
      </w:r>
      <w:proofErr w:type="spellEnd"/>
      <w:r>
        <w:t xml:space="preserve"> reconciliation p</w:t>
      </w:r>
      <w:r w:rsidRPr="00667232">
        <w:t>rogram was relaunched to boost allies for Aboriginal inclusion and culturally sa</w:t>
      </w:r>
      <w:r>
        <w:t>f</w:t>
      </w:r>
      <w:r w:rsidRPr="00667232">
        <w:t>e work places</w:t>
      </w:r>
      <w:r>
        <w:t>.</w:t>
      </w:r>
    </w:p>
    <w:p w:rsidR="0092299C" w:rsidRPr="00667232" w:rsidRDefault="0092299C" w:rsidP="0092299C">
      <w:pPr>
        <w:pStyle w:val="Heading3"/>
      </w:pPr>
      <w:r w:rsidRPr="00667232">
        <w:lastRenderedPageBreak/>
        <w:t>Aboriginal Staff Support Network</w:t>
      </w:r>
    </w:p>
    <w:p w:rsidR="0092299C" w:rsidRPr="00667232" w:rsidRDefault="0092299C" w:rsidP="0092299C">
      <w:pPr>
        <w:pStyle w:val="ARbody"/>
      </w:pPr>
      <w:r w:rsidRPr="00667232">
        <w:t>The Aboriginal Staff Support Network (ASSN) offers access and support in a culturally safe community of practice. It is a place to share good practice and creative ideas, support each other through issues of concern, access opportunities for personal and professional development and provide input into the department’s work, the policies and the processes so they are inclusive of Aboriginal people.</w:t>
      </w:r>
    </w:p>
    <w:p w:rsidR="0092299C" w:rsidRPr="00667232" w:rsidRDefault="0092299C" w:rsidP="0092299C">
      <w:pPr>
        <w:pStyle w:val="ARbody"/>
        <w:rPr>
          <w:lang w:eastAsia="en-AU"/>
        </w:rPr>
      </w:pPr>
      <w:r w:rsidRPr="00667232">
        <w:t>The ASSN annual conference</w:t>
      </w:r>
      <w:r w:rsidRPr="00667232">
        <w:rPr>
          <w:lang w:eastAsia="en-AU"/>
        </w:rPr>
        <w:t xml:space="preserve"> was held in San Remo with a record </w:t>
      </w:r>
      <w:r>
        <w:rPr>
          <w:lang w:eastAsia="en-AU"/>
        </w:rPr>
        <w:t>numbers of staff in attendance.</w:t>
      </w:r>
    </w:p>
    <w:p w:rsidR="0092299C" w:rsidRPr="00667232" w:rsidRDefault="0092299C" w:rsidP="0092299C">
      <w:pPr>
        <w:pStyle w:val="ARbody"/>
      </w:pPr>
      <w:r w:rsidRPr="00667232">
        <w:t>The department remains committed to self-determination and the ASSN is an important channel for amplifying the Aboriginal and Torres Strait Islander voice.</w:t>
      </w:r>
    </w:p>
    <w:p w:rsidR="0092299C" w:rsidRPr="00667232" w:rsidRDefault="0092299C" w:rsidP="0092299C">
      <w:pPr>
        <w:pStyle w:val="Heading3"/>
      </w:pPr>
      <w:r w:rsidRPr="00667232">
        <w:t>Increased cultural safety awareness</w:t>
      </w:r>
    </w:p>
    <w:p w:rsidR="0092299C" w:rsidRPr="00667232" w:rsidRDefault="0092299C" w:rsidP="0092299C">
      <w:pPr>
        <w:pStyle w:val="ARbody"/>
      </w:pPr>
      <w:r>
        <w:t>The department w</w:t>
      </w:r>
      <w:r w:rsidRPr="00667232">
        <w:t>ork</w:t>
      </w:r>
      <w:r>
        <w:t>s</w:t>
      </w:r>
      <w:r w:rsidRPr="00667232">
        <w:t xml:space="preserve"> with </w:t>
      </w:r>
      <w:r>
        <w:t>its</w:t>
      </w:r>
      <w:r w:rsidRPr="00667232">
        <w:t xml:space="preserve"> Aboriginal and Torres Strait Island employees and program areas such as culturally and linguistically diverse communities, LGBTI, mental h</w:t>
      </w:r>
      <w:r>
        <w:t>ealth, and ageing and aged care t</w:t>
      </w:r>
      <w:r w:rsidRPr="00667232">
        <w:t>o increase and embed diversity and inclusion i</w:t>
      </w:r>
      <w:r>
        <w:t xml:space="preserve">nto all relevant training and </w:t>
      </w:r>
      <w:r w:rsidRPr="00667232">
        <w:t>people and culture policies.</w:t>
      </w:r>
    </w:p>
    <w:p w:rsidR="0092299C" w:rsidRPr="00667232" w:rsidRDefault="0092299C" w:rsidP="0092299C">
      <w:pPr>
        <w:pStyle w:val="Heading3"/>
      </w:pPr>
      <w:r w:rsidRPr="00667232">
        <w:t>Pride Network</w:t>
      </w:r>
    </w:p>
    <w:p w:rsidR="0092299C" w:rsidRPr="00667232" w:rsidRDefault="0092299C" w:rsidP="0092299C">
      <w:pPr>
        <w:pStyle w:val="ARbody"/>
      </w:pPr>
      <w:r w:rsidRPr="00667232">
        <w:t xml:space="preserve">The department commenced work to achieve a Bronze employer award in the Australian Workplace </w:t>
      </w:r>
      <w:r>
        <w:t xml:space="preserve">Equality Index (AWEI) in </w:t>
      </w:r>
      <w:r w:rsidRPr="00667232">
        <w:t xml:space="preserve">recognition </w:t>
      </w:r>
      <w:r w:rsidR="00135248">
        <w:br/>
      </w:r>
      <w:r w:rsidRPr="00667232">
        <w:t>of its LGBTI inclusion initiatives.</w:t>
      </w:r>
    </w:p>
    <w:p w:rsidR="0092299C" w:rsidRPr="00667232" w:rsidRDefault="0092299C" w:rsidP="0092299C">
      <w:pPr>
        <w:pStyle w:val="ARbody"/>
      </w:pPr>
      <w:r w:rsidRPr="00667232">
        <w:t xml:space="preserve">Work to consider labelling bathroom facilities commenced so </w:t>
      </w:r>
      <w:r>
        <w:t>as to</w:t>
      </w:r>
      <w:r w:rsidRPr="00667232">
        <w:t xml:space="preserve"> meet the specific needs </w:t>
      </w:r>
      <w:r w:rsidR="00A43AA2">
        <w:br/>
      </w:r>
      <w:r w:rsidRPr="00667232">
        <w:t>of LGBTI employees</w:t>
      </w:r>
      <w:r>
        <w:t xml:space="preserve"> who are</w:t>
      </w:r>
      <w:r w:rsidRPr="00667232">
        <w:t xml:space="preserve"> non-binary</w:t>
      </w:r>
      <w:r>
        <w:t xml:space="preserve"> or </w:t>
      </w:r>
      <w:r w:rsidR="00A43AA2">
        <w:br/>
      </w:r>
      <w:r>
        <w:t>gender-fluid employees and i</w:t>
      </w:r>
      <w:r w:rsidRPr="00667232">
        <w:t>nter</w:t>
      </w:r>
      <w:r>
        <w:t>sex or transitioning employees.</w:t>
      </w:r>
    </w:p>
    <w:p w:rsidR="0092299C" w:rsidRDefault="0092299C" w:rsidP="0092299C">
      <w:pPr>
        <w:pStyle w:val="ARbody"/>
      </w:pPr>
      <w:r w:rsidRPr="00667232">
        <w:t xml:space="preserve">The Pride Network continued </w:t>
      </w:r>
      <w:r>
        <w:t xml:space="preserve">to provide a forum </w:t>
      </w:r>
      <w:r w:rsidRPr="00667232">
        <w:t>for all departmental staff interested in, and supportive of, creating safe and inclusive workplaces for LGBTI employees. Part of a broader whole-of-Victorian-Government Pride Network, it offers a </w:t>
      </w:r>
      <w:r w:rsidRPr="00AD69BB">
        <w:t>space</w:t>
      </w:r>
      <w:r w:rsidRPr="00667232">
        <w:t xml:space="preserve"> for staff to promote positive LGBTI cultural awareness, sector-wide events, participate in professional development opportunities and contribute to the LGBTI diversity work of the department.</w:t>
      </w:r>
    </w:p>
    <w:p w:rsidR="0092299C" w:rsidRPr="00667232" w:rsidRDefault="00497218" w:rsidP="0092299C">
      <w:pPr>
        <w:pStyle w:val="Heading3"/>
      </w:pPr>
      <w:r>
        <w:br w:type="column"/>
      </w:r>
      <w:r w:rsidR="0092299C" w:rsidRPr="00667232">
        <w:lastRenderedPageBreak/>
        <w:t>Youth Employment Scheme</w:t>
      </w:r>
    </w:p>
    <w:p w:rsidR="0092299C" w:rsidRPr="00667232" w:rsidRDefault="0092299C" w:rsidP="0092299C">
      <w:pPr>
        <w:pStyle w:val="ARbody"/>
        <w:rPr>
          <w:lang w:eastAsia="en-AU"/>
        </w:rPr>
      </w:pPr>
      <w:r>
        <w:rPr>
          <w:lang w:eastAsia="en-AU"/>
        </w:rPr>
        <w:t>The Youth Employment Scheme</w:t>
      </w:r>
      <w:r w:rsidRPr="00667232">
        <w:rPr>
          <w:lang w:eastAsia="en-AU"/>
        </w:rPr>
        <w:t xml:space="preserve"> is a Victorian Government initiative that enables unemployed or otherwise disadvantaged young people aged 15 and 24 years old to enter the workforce and build sustainable careers through traineeships whil</w:t>
      </w:r>
      <w:r>
        <w:rPr>
          <w:lang w:eastAsia="en-AU"/>
        </w:rPr>
        <w:t>e</w:t>
      </w:r>
      <w:r w:rsidRPr="00667232">
        <w:rPr>
          <w:lang w:eastAsia="en-AU"/>
        </w:rPr>
        <w:t xml:space="preserve"> attaining a qualification. The initiative strongly promotes opportunities for disadvantaged groups targeting long-term unemployed, Aboriginal young people and people with a disability, particularly in rural and regional Victoria.</w:t>
      </w:r>
    </w:p>
    <w:p w:rsidR="0092299C" w:rsidRDefault="0092299C" w:rsidP="0092299C">
      <w:pPr>
        <w:pStyle w:val="ARbody"/>
        <w:rPr>
          <w:bCs/>
        </w:rPr>
      </w:pPr>
      <w:r w:rsidRPr="00667232">
        <w:t xml:space="preserve">During </w:t>
      </w:r>
      <w:r w:rsidRPr="006F0DB4">
        <w:t>2016–17</w:t>
      </w:r>
      <w:r>
        <w:t>,</w:t>
      </w:r>
      <w:r w:rsidRPr="00667232">
        <w:t xml:space="preserve"> the department engaged a total of 93 young people through the scheme, which included 22 placements in public hospitals as well as 16 in the Melbourne Sports and Aquatic Centre (S</w:t>
      </w:r>
      <w:r>
        <w:t>port and Recreation portfolio).</w:t>
      </w:r>
    </w:p>
    <w:p w:rsidR="0092299C" w:rsidRPr="00667232" w:rsidRDefault="0092299C" w:rsidP="0092299C">
      <w:pPr>
        <w:pStyle w:val="Heading3"/>
      </w:pPr>
      <w:r w:rsidRPr="00667232">
        <w:t>Graduate recruitment</w:t>
      </w:r>
    </w:p>
    <w:p w:rsidR="0092299C" w:rsidRPr="00667232" w:rsidRDefault="0092299C" w:rsidP="0092299C">
      <w:pPr>
        <w:pStyle w:val="ARbody"/>
        <w:rPr>
          <w:lang w:eastAsia="en-AU"/>
        </w:rPr>
      </w:pPr>
      <w:r w:rsidRPr="00667232">
        <w:rPr>
          <w:lang w:eastAsia="en-AU"/>
        </w:rPr>
        <w:t>In 2016–17 the department engaged a total of 16</w:t>
      </w:r>
      <w:r>
        <w:rPr>
          <w:lang w:eastAsia="en-AU"/>
        </w:rPr>
        <w:t> </w:t>
      </w:r>
      <w:r w:rsidRPr="00667232">
        <w:rPr>
          <w:lang w:eastAsia="en-AU"/>
        </w:rPr>
        <w:t>graduates from diverse academic backgrounds through the Victorian Public Sector (VPS) Graduate Recruitment a</w:t>
      </w:r>
      <w:r>
        <w:rPr>
          <w:lang w:eastAsia="en-AU"/>
        </w:rPr>
        <w:t>nd Development Scheme (GRADS). Four</w:t>
      </w:r>
      <w:r w:rsidRPr="00667232">
        <w:rPr>
          <w:lang w:eastAsia="en-AU"/>
        </w:rPr>
        <w:t xml:space="preserve"> Aboriginal graduates recruited in 2016</w:t>
      </w:r>
      <w:r>
        <w:rPr>
          <w:lang w:eastAsia="en-AU"/>
        </w:rPr>
        <w:t>–</w:t>
      </w:r>
      <w:r w:rsidRPr="00667232">
        <w:rPr>
          <w:lang w:eastAsia="en-AU"/>
        </w:rPr>
        <w:t>17 through internal recruitment processes are also participating as '</w:t>
      </w:r>
      <w:r>
        <w:rPr>
          <w:lang w:eastAsia="en-AU"/>
        </w:rPr>
        <w:t>f</w:t>
      </w:r>
      <w:r w:rsidRPr="00667232">
        <w:rPr>
          <w:lang w:eastAsia="en-AU"/>
        </w:rPr>
        <w:t>ee-for-</w:t>
      </w:r>
      <w:r>
        <w:rPr>
          <w:lang w:eastAsia="en-AU"/>
        </w:rPr>
        <w:t>s</w:t>
      </w:r>
      <w:r w:rsidRPr="00667232">
        <w:rPr>
          <w:lang w:eastAsia="en-AU"/>
        </w:rPr>
        <w:t>ervice' grad</w:t>
      </w:r>
      <w:r>
        <w:rPr>
          <w:lang w:eastAsia="en-AU"/>
        </w:rPr>
        <w:t>uate</w:t>
      </w:r>
      <w:r w:rsidRPr="00667232">
        <w:rPr>
          <w:lang w:eastAsia="en-AU"/>
        </w:rPr>
        <w:t>s in the 2017 VPS Graduate Scheme.</w:t>
      </w:r>
    </w:p>
    <w:p w:rsidR="0092299C" w:rsidRPr="00667232" w:rsidRDefault="0092299C" w:rsidP="0092299C">
      <w:pPr>
        <w:pStyle w:val="ARbody"/>
        <w:rPr>
          <w:lang w:eastAsia="en-AU"/>
        </w:rPr>
      </w:pPr>
      <w:r w:rsidRPr="00667232">
        <w:rPr>
          <w:color w:val="000000"/>
          <w:lang w:eastAsia="en-AU"/>
        </w:rPr>
        <w:t xml:space="preserve">Graduates participating in the </w:t>
      </w:r>
      <w:r>
        <w:rPr>
          <w:color w:val="000000"/>
          <w:lang w:eastAsia="en-AU"/>
        </w:rPr>
        <w:t xml:space="preserve">GRADS </w:t>
      </w:r>
      <w:r w:rsidRPr="00667232">
        <w:rPr>
          <w:color w:val="000000"/>
          <w:lang w:eastAsia="en-AU"/>
        </w:rPr>
        <w:t>scheme complete three placements in the Victorian public service to develop a broad range of experience</w:t>
      </w:r>
      <w:r>
        <w:rPr>
          <w:color w:val="000000"/>
          <w:lang w:eastAsia="en-AU"/>
        </w:rPr>
        <w:t>,</w:t>
      </w:r>
      <w:r w:rsidRPr="00667232">
        <w:rPr>
          <w:color w:val="000000"/>
          <w:lang w:eastAsia="en-AU"/>
        </w:rPr>
        <w:t xml:space="preserve"> and are employed within the department at the conclusion of the program.</w:t>
      </w:r>
    </w:p>
    <w:p w:rsidR="0092299C" w:rsidRPr="00667232" w:rsidRDefault="0092299C" w:rsidP="0092299C">
      <w:pPr>
        <w:pStyle w:val="Heading3"/>
      </w:pPr>
      <w:r w:rsidRPr="00667232">
        <w:t>Student placement program</w:t>
      </w:r>
    </w:p>
    <w:p w:rsidR="0092299C" w:rsidRPr="00667232" w:rsidRDefault="0092299C" w:rsidP="0092299C">
      <w:pPr>
        <w:pStyle w:val="ARbody"/>
        <w:rPr>
          <w:lang w:eastAsia="en-AU"/>
        </w:rPr>
      </w:pPr>
      <w:r w:rsidRPr="00667232">
        <w:rPr>
          <w:lang w:eastAsia="en-AU"/>
        </w:rPr>
        <w:t>The department offers students undertaking a tertiary qualification the opportunity to complete their fieldwork placement in health and human services as part of their course.</w:t>
      </w:r>
    </w:p>
    <w:p w:rsidR="0092299C" w:rsidRPr="00667232" w:rsidRDefault="0092299C" w:rsidP="0092299C">
      <w:pPr>
        <w:pStyle w:val="ARbody"/>
        <w:rPr>
          <w:lang w:eastAsia="en-AU"/>
        </w:rPr>
      </w:pPr>
      <w:r w:rsidRPr="00667232">
        <w:rPr>
          <w:lang w:eastAsia="en-AU"/>
        </w:rPr>
        <w:t xml:space="preserve">In </w:t>
      </w:r>
      <w:r w:rsidRPr="006F0DB4">
        <w:t>2016–17</w:t>
      </w:r>
      <w:r w:rsidRPr="00667232">
        <w:rPr>
          <w:lang w:eastAsia="en-AU"/>
        </w:rPr>
        <w:t xml:space="preserve">, </w:t>
      </w:r>
      <w:r w:rsidRPr="001C3DAF">
        <w:t>401 tertiary</w:t>
      </w:r>
      <w:r w:rsidRPr="00667232">
        <w:rPr>
          <w:lang w:eastAsia="en-AU"/>
        </w:rPr>
        <w:t xml:space="preserve"> student placements were completed across Child Protection, Youth Justice Community, Disability Accommodation Services, Client Outcomes and </w:t>
      </w:r>
      <w:r w:rsidRPr="00AD69BB">
        <w:t>Service</w:t>
      </w:r>
      <w:r w:rsidRPr="00667232">
        <w:rPr>
          <w:lang w:eastAsia="en-AU"/>
        </w:rPr>
        <w:t xml:space="preserve"> Improvement, Disability Client Services, Housing, Corporate Services and Secure Welfare Services. The majority of placements were completed in Child Protection (277 placements).</w:t>
      </w:r>
    </w:p>
    <w:p w:rsidR="00497218" w:rsidRPr="00497218" w:rsidRDefault="00497218" w:rsidP="00497218">
      <w:pPr>
        <w:pStyle w:val="ARbody"/>
      </w:pPr>
      <w:r w:rsidRPr="00497218">
        <w:br w:type="page"/>
      </w:r>
    </w:p>
    <w:p w:rsidR="0092299C" w:rsidRPr="00667232" w:rsidRDefault="0092299C" w:rsidP="0092299C">
      <w:pPr>
        <w:pStyle w:val="Heading3"/>
        <w:rPr>
          <w:rFonts w:cs="Arial"/>
          <w:color w:val="0060A0"/>
        </w:rPr>
      </w:pPr>
      <w:r w:rsidRPr="00F842F0">
        <w:rPr>
          <w:rStyle w:val="Heading3Char"/>
        </w:rPr>
        <w:lastRenderedPageBreak/>
        <w:t>Child Protection Vacation Employment</w:t>
      </w:r>
      <w:r w:rsidRPr="00667232">
        <w:rPr>
          <w:rFonts w:cs="Arial"/>
          <w:color w:val="0060A0"/>
        </w:rPr>
        <w:t xml:space="preserve"> </w:t>
      </w:r>
      <w:r>
        <w:rPr>
          <w:rFonts w:cs="Arial"/>
          <w:color w:val="0060A0"/>
        </w:rPr>
        <w:t>P</w:t>
      </w:r>
      <w:r w:rsidRPr="00667232">
        <w:rPr>
          <w:rFonts w:cs="Arial"/>
          <w:color w:val="0060A0"/>
        </w:rPr>
        <w:t>rogram</w:t>
      </w:r>
    </w:p>
    <w:p w:rsidR="0092299C" w:rsidRPr="00667232" w:rsidRDefault="0092299C" w:rsidP="0092299C">
      <w:pPr>
        <w:pStyle w:val="ARbody"/>
        <w:rPr>
          <w:lang w:eastAsia="en-AU"/>
        </w:rPr>
      </w:pPr>
      <w:r w:rsidRPr="00667232">
        <w:rPr>
          <w:lang w:eastAsia="en-AU"/>
        </w:rPr>
        <w:t>The Vacation Employment Program (VAC) offers fixed</w:t>
      </w:r>
      <w:r>
        <w:rPr>
          <w:lang w:eastAsia="en-AU"/>
        </w:rPr>
        <w:t>-</w:t>
      </w:r>
      <w:r w:rsidRPr="00667232">
        <w:rPr>
          <w:lang w:eastAsia="en-AU"/>
        </w:rPr>
        <w:t xml:space="preserve">term paid employment of </w:t>
      </w:r>
      <w:r>
        <w:rPr>
          <w:lang w:eastAsia="en-AU"/>
        </w:rPr>
        <w:t>12</w:t>
      </w:r>
      <w:r w:rsidRPr="00667232">
        <w:rPr>
          <w:lang w:eastAsia="en-AU"/>
        </w:rPr>
        <w:t xml:space="preserve"> weeks or 450</w:t>
      </w:r>
      <w:r>
        <w:rPr>
          <w:lang w:eastAsia="en-AU"/>
        </w:rPr>
        <w:t> </w:t>
      </w:r>
      <w:r w:rsidRPr="00667232">
        <w:rPr>
          <w:lang w:eastAsia="en-AU"/>
        </w:rPr>
        <w:t xml:space="preserve">hours to eligible students studying a recognised degree. The </w:t>
      </w:r>
      <w:r>
        <w:rPr>
          <w:lang w:eastAsia="en-AU"/>
        </w:rPr>
        <w:t>12-</w:t>
      </w:r>
      <w:r w:rsidR="00135248">
        <w:rPr>
          <w:lang w:eastAsia="en-AU"/>
        </w:rPr>
        <w:t>week rotation-</w:t>
      </w:r>
      <w:r w:rsidRPr="00667232">
        <w:rPr>
          <w:lang w:eastAsia="en-AU"/>
        </w:rPr>
        <w:t>based program enables VAC participants to receive a structured, quality learning experience while gaining hands</w:t>
      </w:r>
      <w:r>
        <w:rPr>
          <w:lang w:eastAsia="en-AU"/>
        </w:rPr>
        <w:t>-</w:t>
      </w:r>
      <w:r w:rsidRPr="00667232">
        <w:rPr>
          <w:lang w:eastAsia="en-AU"/>
        </w:rPr>
        <w:t>on work experience in child protection.</w:t>
      </w:r>
    </w:p>
    <w:p w:rsidR="0092299C" w:rsidRPr="00667232" w:rsidRDefault="0092299C" w:rsidP="0092299C">
      <w:pPr>
        <w:pStyle w:val="ARbody"/>
        <w:rPr>
          <w:lang w:eastAsia="en-AU"/>
        </w:rPr>
      </w:pPr>
      <w:r w:rsidRPr="00667232">
        <w:rPr>
          <w:lang w:eastAsia="en-AU"/>
        </w:rPr>
        <w:t>Participants who demonstrate the essential skills and attributes necessary for entry into a child protection practitioner role (CPP) may receive a conditional offer of employment for a CPP3 position subject to the successful completion of their recognised degree.</w:t>
      </w:r>
    </w:p>
    <w:p w:rsidR="0092299C" w:rsidRDefault="0092299C" w:rsidP="0092299C">
      <w:pPr>
        <w:pStyle w:val="ARbody"/>
      </w:pPr>
      <w:r>
        <w:t xml:space="preserve">In </w:t>
      </w:r>
      <w:r w:rsidRPr="006F0DB4">
        <w:t>2016–17</w:t>
      </w:r>
      <w:r>
        <w:t>,</w:t>
      </w:r>
      <w:r w:rsidRPr="00667232">
        <w:t xml:space="preserve"> the department engaged a total of 40</w:t>
      </w:r>
      <w:r>
        <w:t> </w:t>
      </w:r>
      <w:r w:rsidRPr="00667232">
        <w:t>students to participate in the VAC. To date</w:t>
      </w:r>
      <w:r>
        <w:t>,</w:t>
      </w:r>
      <w:r w:rsidRPr="00667232">
        <w:t xml:space="preserve"> 33 participants have received a conditional offer of </w:t>
      </w:r>
      <w:r>
        <w:t>employment for a CPP3 position.</w:t>
      </w:r>
    </w:p>
    <w:p w:rsidR="0092299C" w:rsidRDefault="0092299C" w:rsidP="0092299C">
      <w:pPr>
        <w:pStyle w:val="ARbody"/>
        <w:sectPr w:rsidR="0092299C" w:rsidSect="0093192F">
          <w:type w:val="continuous"/>
          <w:pgSz w:w="11906" w:h="16838" w:code="9"/>
          <w:pgMar w:top="1531" w:right="851" w:bottom="680" w:left="1418" w:header="510" w:footer="340" w:gutter="0"/>
          <w:cols w:num="2" w:space="454"/>
          <w:docGrid w:linePitch="360"/>
        </w:sectPr>
      </w:pPr>
    </w:p>
    <w:p w:rsidR="00735E5A" w:rsidRPr="00767E90" w:rsidRDefault="00735E5A" w:rsidP="00735E5A">
      <w:pPr>
        <w:pStyle w:val="Heading2"/>
        <w:spacing w:before="0"/>
      </w:pPr>
      <w:bookmarkStart w:id="41" w:name="_Ref492905526"/>
      <w:bookmarkStart w:id="42" w:name="_Toc477967497"/>
      <w:r w:rsidRPr="00767E90">
        <w:lastRenderedPageBreak/>
        <w:t>Comparative workforce data</w:t>
      </w:r>
      <w:bookmarkEnd w:id="41"/>
    </w:p>
    <w:p w:rsidR="00735E5A" w:rsidRPr="00486B6B" w:rsidRDefault="00735E5A" w:rsidP="00735E5A">
      <w:pPr>
        <w:pStyle w:val="Heading3"/>
      </w:pPr>
      <w:r w:rsidRPr="00486B6B">
        <w:t>Full-time equivalent (FTE) staffing trends from 2013 to 2017 (ongoing and fixed term)</w:t>
      </w:r>
    </w:p>
    <w:tbl>
      <w:tblPr>
        <w:tblW w:w="963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1927"/>
        <w:gridCol w:w="1927"/>
        <w:gridCol w:w="1927"/>
        <w:gridCol w:w="1927"/>
        <w:gridCol w:w="1927"/>
      </w:tblGrid>
      <w:tr w:rsidR="00735E5A" w:rsidRPr="00F16F20" w:rsidTr="00735E5A">
        <w:trPr>
          <w:cantSplit/>
        </w:trPr>
        <w:tc>
          <w:tcPr>
            <w:tcW w:w="1927" w:type="dxa"/>
          </w:tcPr>
          <w:p w:rsidR="00735E5A" w:rsidRPr="00F16F20" w:rsidRDefault="00735E5A" w:rsidP="00735E5A">
            <w:pPr>
              <w:pStyle w:val="ARtabletextbold"/>
              <w:jc w:val="right"/>
            </w:pPr>
            <w:r w:rsidRPr="00F16F20">
              <w:t>June 2013</w:t>
            </w:r>
          </w:p>
        </w:tc>
        <w:tc>
          <w:tcPr>
            <w:tcW w:w="1927" w:type="dxa"/>
          </w:tcPr>
          <w:p w:rsidR="00735E5A" w:rsidRPr="00F16F20" w:rsidRDefault="00735E5A" w:rsidP="00735E5A">
            <w:pPr>
              <w:pStyle w:val="ARtabletextbold"/>
              <w:jc w:val="right"/>
            </w:pPr>
            <w:r w:rsidRPr="00F16F20">
              <w:t>June 2014</w:t>
            </w:r>
          </w:p>
        </w:tc>
        <w:tc>
          <w:tcPr>
            <w:tcW w:w="1927" w:type="dxa"/>
          </w:tcPr>
          <w:p w:rsidR="00735E5A" w:rsidRPr="00F16F20" w:rsidRDefault="00735E5A" w:rsidP="00735E5A">
            <w:pPr>
              <w:pStyle w:val="ARtabletextbold"/>
              <w:jc w:val="right"/>
            </w:pPr>
            <w:r w:rsidRPr="00F16F20">
              <w:t>June 2015</w:t>
            </w:r>
          </w:p>
        </w:tc>
        <w:tc>
          <w:tcPr>
            <w:tcW w:w="1927" w:type="dxa"/>
          </w:tcPr>
          <w:p w:rsidR="00735E5A" w:rsidRPr="00F16F20" w:rsidRDefault="00735E5A" w:rsidP="00735E5A">
            <w:pPr>
              <w:pStyle w:val="ARtabletextbold"/>
              <w:jc w:val="right"/>
            </w:pPr>
            <w:r w:rsidRPr="00F16F20">
              <w:t>June 2016</w:t>
            </w:r>
          </w:p>
        </w:tc>
        <w:tc>
          <w:tcPr>
            <w:tcW w:w="1927" w:type="dxa"/>
          </w:tcPr>
          <w:p w:rsidR="00735E5A" w:rsidRPr="00F16F20" w:rsidRDefault="00735E5A" w:rsidP="00735E5A">
            <w:pPr>
              <w:pStyle w:val="ARtabletextbold"/>
              <w:jc w:val="right"/>
            </w:pPr>
            <w:r w:rsidRPr="00F16F20">
              <w:t>June 2017</w:t>
            </w:r>
          </w:p>
        </w:tc>
      </w:tr>
      <w:tr w:rsidR="00735E5A" w:rsidRPr="00F16F20" w:rsidTr="00735E5A">
        <w:trPr>
          <w:cantSplit/>
        </w:trPr>
        <w:tc>
          <w:tcPr>
            <w:tcW w:w="1927" w:type="dxa"/>
          </w:tcPr>
          <w:p w:rsidR="00735E5A" w:rsidRPr="00F16F20" w:rsidRDefault="00735E5A" w:rsidP="00735E5A">
            <w:pPr>
              <w:pStyle w:val="ARtabletextright"/>
            </w:pPr>
            <w:r w:rsidRPr="00F16F20">
              <w:t>10,958</w:t>
            </w:r>
          </w:p>
        </w:tc>
        <w:tc>
          <w:tcPr>
            <w:tcW w:w="1927" w:type="dxa"/>
          </w:tcPr>
          <w:p w:rsidR="00735E5A" w:rsidRPr="00F16F20" w:rsidRDefault="00735E5A" w:rsidP="00735E5A">
            <w:pPr>
              <w:pStyle w:val="ARtabletextright"/>
            </w:pPr>
            <w:r w:rsidRPr="00F16F20">
              <w:t>11,013</w:t>
            </w:r>
          </w:p>
        </w:tc>
        <w:tc>
          <w:tcPr>
            <w:tcW w:w="1927" w:type="dxa"/>
          </w:tcPr>
          <w:p w:rsidR="00735E5A" w:rsidRPr="00F16F20" w:rsidRDefault="00735E5A" w:rsidP="00735E5A">
            <w:pPr>
              <w:pStyle w:val="ARtabletextright"/>
            </w:pPr>
            <w:r w:rsidRPr="00F16F20">
              <w:t>11,185</w:t>
            </w:r>
          </w:p>
        </w:tc>
        <w:tc>
          <w:tcPr>
            <w:tcW w:w="1927" w:type="dxa"/>
          </w:tcPr>
          <w:p w:rsidR="00735E5A" w:rsidRPr="00F16F20" w:rsidRDefault="00735E5A" w:rsidP="00735E5A">
            <w:pPr>
              <w:pStyle w:val="ARtabletextright"/>
            </w:pPr>
            <w:r w:rsidRPr="00F16F20">
              <w:t>11,448</w:t>
            </w:r>
          </w:p>
        </w:tc>
        <w:tc>
          <w:tcPr>
            <w:tcW w:w="1927" w:type="dxa"/>
          </w:tcPr>
          <w:p w:rsidR="00735E5A" w:rsidRPr="00F16F20" w:rsidRDefault="00735E5A" w:rsidP="00735E5A">
            <w:pPr>
              <w:pStyle w:val="ARtabletextright"/>
            </w:pPr>
            <w:r>
              <w:t>11,249</w:t>
            </w:r>
          </w:p>
        </w:tc>
      </w:tr>
    </w:tbl>
    <w:p w:rsidR="00735E5A" w:rsidRPr="00486B6B" w:rsidRDefault="00735E5A" w:rsidP="00735E5A">
      <w:pPr>
        <w:pStyle w:val="Heading3"/>
      </w:pPr>
      <w:r w:rsidRPr="00486B6B">
        <w:t>Summary of employment levels in June of 2016 and 2017</w:t>
      </w:r>
    </w:p>
    <w:tbl>
      <w:tblPr>
        <w:tblW w:w="9634"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06"/>
        <w:gridCol w:w="1609"/>
        <w:gridCol w:w="1610"/>
        <w:gridCol w:w="1610"/>
        <w:gridCol w:w="1610"/>
        <w:gridCol w:w="1589"/>
      </w:tblGrid>
      <w:tr w:rsidR="00735E5A" w:rsidRPr="00767E90" w:rsidTr="00735E5A">
        <w:trPr>
          <w:cantSplit/>
        </w:trPr>
        <w:tc>
          <w:tcPr>
            <w:tcW w:w="1606" w:type="dxa"/>
            <w:vMerge w:val="restart"/>
            <w:vAlign w:val="bottom"/>
          </w:tcPr>
          <w:p w:rsidR="00735E5A" w:rsidRPr="00767E90" w:rsidRDefault="00735E5A" w:rsidP="00735E5A">
            <w:pPr>
              <w:jc w:val="right"/>
              <w:rPr>
                <w:rFonts w:cs="Arial"/>
              </w:rPr>
            </w:pPr>
          </w:p>
        </w:tc>
        <w:tc>
          <w:tcPr>
            <w:tcW w:w="6439" w:type="dxa"/>
            <w:gridSpan w:val="4"/>
            <w:vAlign w:val="bottom"/>
          </w:tcPr>
          <w:p w:rsidR="00735E5A" w:rsidRPr="00767E90" w:rsidRDefault="00735E5A" w:rsidP="00735E5A">
            <w:pPr>
              <w:pStyle w:val="ARtablecolhead"/>
              <w:jc w:val="center"/>
            </w:pPr>
            <w:r w:rsidRPr="00767E90">
              <w:t>Ongoing employees</w:t>
            </w:r>
          </w:p>
        </w:tc>
        <w:tc>
          <w:tcPr>
            <w:tcW w:w="1589" w:type="dxa"/>
            <w:vAlign w:val="bottom"/>
          </w:tcPr>
          <w:p w:rsidR="00735E5A" w:rsidRPr="00767E90" w:rsidRDefault="00735E5A" w:rsidP="00735E5A">
            <w:pPr>
              <w:pStyle w:val="ARtablecolhead"/>
              <w:jc w:val="right"/>
            </w:pPr>
            <w:r w:rsidRPr="00767E90">
              <w:t>Fixed-term and casual employees</w:t>
            </w:r>
          </w:p>
        </w:tc>
      </w:tr>
      <w:tr w:rsidR="00735E5A" w:rsidRPr="00767E90" w:rsidTr="00735E5A">
        <w:trPr>
          <w:cantSplit/>
        </w:trPr>
        <w:tc>
          <w:tcPr>
            <w:tcW w:w="1606" w:type="dxa"/>
            <w:vMerge/>
          </w:tcPr>
          <w:p w:rsidR="00735E5A" w:rsidRPr="00767E90" w:rsidRDefault="00735E5A" w:rsidP="00735E5A">
            <w:pPr>
              <w:jc w:val="right"/>
              <w:rPr>
                <w:rFonts w:cs="Arial"/>
              </w:rPr>
            </w:pPr>
          </w:p>
        </w:tc>
        <w:tc>
          <w:tcPr>
            <w:tcW w:w="1609" w:type="dxa"/>
            <w:vAlign w:val="bottom"/>
          </w:tcPr>
          <w:p w:rsidR="00735E5A" w:rsidRPr="000B5C1F" w:rsidRDefault="00735E5A" w:rsidP="00735E5A">
            <w:pPr>
              <w:pStyle w:val="ARtablegreenbold"/>
              <w:jc w:val="right"/>
              <w:rPr>
                <w:color w:val="004C97"/>
              </w:rPr>
            </w:pPr>
            <w:r w:rsidRPr="000B5C1F">
              <w:rPr>
                <w:color w:val="004C97"/>
              </w:rPr>
              <w:t>Employees (head</w:t>
            </w:r>
            <w:r>
              <w:rPr>
                <w:color w:val="004C97"/>
              </w:rPr>
              <w:t> </w:t>
            </w:r>
            <w:r w:rsidRPr="000B5C1F">
              <w:rPr>
                <w:color w:val="004C97"/>
              </w:rPr>
              <w:t>count)</w:t>
            </w:r>
          </w:p>
        </w:tc>
        <w:tc>
          <w:tcPr>
            <w:tcW w:w="1610" w:type="dxa"/>
            <w:vAlign w:val="bottom"/>
          </w:tcPr>
          <w:p w:rsidR="00735E5A" w:rsidRPr="000B5C1F" w:rsidRDefault="00735E5A" w:rsidP="00735E5A">
            <w:pPr>
              <w:pStyle w:val="ARtablegreenbold"/>
              <w:jc w:val="right"/>
              <w:rPr>
                <w:color w:val="004C97"/>
              </w:rPr>
            </w:pPr>
            <w:r w:rsidRPr="000B5C1F">
              <w:rPr>
                <w:color w:val="004C97"/>
              </w:rPr>
              <w:t>Full-time (head</w:t>
            </w:r>
            <w:r>
              <w:rPr>
                <w:color w:val="004C97"/>
              </w:rPr>
              <w:t> </w:t>
            </w:r>
            <w:r w:rsidRPr="000B5C1F">
              <w:rPr>
                <w:color w:val="004C97"/>
              </w:rPr>
              <w:t>count)</w:t>
            </w:r>
          </w:p>
        </w:tc>
        <w:tc>
          <w:tcPr>
            <w:tcW w:w="1610" w:type="dxa"/>
            <w:vAlign w:val="bottom"/>
          </w:tcPr>
          <w:p w:rsidR="00735E5A" w:rsidRPr="000B5C1F" w:rsidRDefault="00735E5A" w:rsidP="00735E5A">
            <w:pPr>
              <w:pStyle w:val="ARtablegreenbold"/>
              <w:jc w:val="right"/>
              <w:rPr>
                <w:color w:val="004C97"/>
              </w:rPr>
            </w:pPr>
            <w:r w:rsidRPr="000B5C1F">
              <w:rPr>
                <w:color w:val="004C97"/>
              </w:rPr>
              <w:t>Part-time (head</w:t>
            </w:r>
            <w:r>
              <w:rPr>
                <w:color w:val="004C97"/>
              </w:rPr>
              <w:t> </w:t>
            </w:r>
            <w:r w:rsidRPr="000B5C1F">
              <w:rPr>
                <w:color w:val="004C97"/>
              </w:rPr>
              <w:t>count)</w:t>
            </w:r>
          </w:p>
        </w:tc>
        <w:tc>
          <w:tcPr>
            <w:tcW w:w="1610" w:type="dxa"/>
            <w:vAlign w:val="bottom"/>
          </w:tcPr>
          <w:p w:rsidR="00735E5A" w:rsidRPr="000B5C1F" w:rsidRDefault="00735E5A" w:rsidP="00735E5A">
            <w:pPr>
              <w:pStyle w:val="ARtablegreenbold"/>
              <w:jc w:val="right"/>
              <w:rPr>
                <w:color w:val="004C97"/>
              </w:rPr>
            </w:pPr>
            <w:r>
              <w:rPr>
                <w:color w:val="004C97"/>
              </w:rPr>
              <w:t>Ongoing</w:t>
            </w:r>
            <w:r>
              <w:rPr>
                <w:color w:val="004C97"/>
              </w:rPr>
              <w:br/>
            </w:r>
            <w:r w:rsidRPr="000B5C1F">
              <w:rPr>
                <w:color w:val="004C97"/>
              </w:rPr>
              <w:t>FTE</w:t>
            </w:r>
          </w:p>
        </w:tc>
        <w:tc>
          <w:tcPr>
            <w:tcW w:w="1589" w:type="dxa"/>
            <w:vAlign w:val="bottom"/>
          </w:tcPr>
          <w:p w:rsidR="00735E5A" w:rsidRPr="000B5C1F" w:rsidRDefault="00735E5A" w:rsidP="00735E5A">
            <w:pPr>
              <w:pStyle w:val="ARtablegreenbold"/>
              <w:jc w:val="right"/>
              <w:rPr>
                <w:color w:val="004C97"/>
              </w:rPr>
            </w:pPr>
            <w:r w:rsidRPr="000B5C1F">
              <w:rPr>
                <w:color w:val="004C97"/>
              </w:rPr>
              <w:t>FTE</w:t>
            </w:r>
          </w:p>
        </w:tc>
      </w:tr>
      <w:tr w:rsidR="00735E5A" w:rsidRPr="00767E90" w:rsidTr="00735E5A">
        <w:trPr>
          <w:cantSplit/>
        </w:trPr>
        <w:tc>
          <w:tcPr>
            <w:tcW w:w="1606" w:type="dxa"/>
          </w:tcPr>
          <w:p w:rsidR="00735E5A" w:rsidRPr="00F16F20" w:rsidRDefault="00735E5A" w:rsidP="00735E5A">
            <w:pPr>
              <w:pStyle w:val="ARtabletext"/>
            </w:pPr>
            <w:r w:rsidRPr="00F16F20">
              <w:t>June 2016</w:t>
            </w:r>
          </w:p>
        </w:tc>
        <w:tc>
          <w:tcPr>
            <w:tcW w:w="1609" w:type="dxa"/>
          </w:tcPr>
          <w:p w:rsidR="00735E5A" w:rsidRPr="00767E90" w:rsidRDefault="00735E5A" w:rsidP="00735E5A">
            <w:pPr>
              <w:pStyle w:val="ARtabletextright"/>
            </w:pPr>
            <w:r w:rsidRPr="00767E90">
              <w:t>10,633</w:t>
            </w:r>
          </w:p>
        </w:tc>
        <w:tc>
          <w:tcPr>
            <w:tcW w:w="1610" w:type="dxa"/>
          </w:tcPr>
          <w:p w:rsidR="00735E5A" w:rsidRPr="00767E90" w:rsidRDefault="00735E5A" w:rsidP="00735E5A">
            <w:pPr>
              <w:pStyle w:val="ARtabletextright"/>
            </w:pPr>
            <w:r w:rsidRPr="00767E90">
              <w:t>7,030</w:t>
            </w:r>
          </w:p>
        </w:tc>
        <w:tc>
          <w:tcPr>
            <w:tcW w:w="1610" w:type="dxa"/>
          </w:tcPr>
          <w:p w:rsidR="00735E5A" w:rsidRPr="00767E90" w:rsidRDefault="00735E5A" w:rsidP="00735E5A">
            <w:pPr>
              <w:pStyle w:val="ARtabletextright"/>
            </w:pPr>
            <w:r w:rsidRPr="00767E90">
              <w:t>3,603</w:t>
            </w:r>
          </w:p>
        </w:tc>
        <w:tc>
          <w:tcPr>
            <w:tcW w:w="1610" w:type="dxa"/>
          </w:tcPr>
          <w:p w:rsidR="00735E5A" w:rsidRPr="00767E90" w:rsidRDefault="00735E5A" w:rsidP="00735E5A">
            <w:pPr>
              <w:pStyle w:val="ARtabletextright"/>
            </w:pPr>
            <w:r w:rsidRPr="00767E90">
              <w:t>9,730</w:t>
            </w:r>
          </w:p>
        </w:tc>
        <w:tc>
          <w:tcPr>
            <w:tcW w:w="1589" w:type="dxa"/>
          </w:tcPr>
          <w:p w:rsidR="00735E5A" w:rsidRPr="00767E90" w:rsidRDefault="00735E5A" w:rsidP="00735E5A">
            <w:pPr>
              <w:pStyle w:val="ARtabletextright"/>
            </w:pPr>
            <w:r w:rsidRPr="00767E90">
              <w:t>1,718</w:t>
            </w:r>
          </w:p>
        </w:tc>
      </w:tr>
      <w:tr w:rsidR="00735E5A" w:rsidRPr="00767E90" w:rsidTr="00735E5A">
        <w:trPr>
          <w:cantSplit/>
        </w:trPr>
        <w:tc>
          <w:tcPr>
            <w:tcW w:w="1606" w:type="dxa"/>
          </w:tcPr>
          <w:p w:rsidR="00735E5A" w:rsidRPr="00F16F20" w:rsidRDefault="00735E5A" w:rsidP="00735E5A">
            <w:pPr>
              <w:pStyle w:val="ARtabletext"/>
            </w:pPr>
            <w:r w:rsidRPr="00F16F20">
              <w:t>June 2017</w:t>
            </w:r>
          </w:p>
        </w:tc>
        <w:tc>
          <w:tcPr>
            <w:tcW w:w="1609" w:type="dxa"/>
          </w:tcPr>
          <w:p w:rsidR="00735E5A" w:rsidRPr="00767E90" w:rsidRDefault="00735E5A" w:rsidP="00735E5A">
            <w:pPr>
              <w:pStyle w:val="ARtabletextright"/>
            </w:pPr>
            <w:r w:rsidRPr="00113917">
              <w:t>10,190</w:t>
            </w:r>
          </w:p>
        </w:tc>
        <w:tc>
          <w:tcPr>
            <w:tcW w:w="1610" w:type="dxa"/>
          </w:tcPr>
          <w:p w:rsidR="00735E5A" w:rsidRPr="00767E90" w:rsidRDefault="00735E5A" w:rsidP="00735E5A">
            <w:pPr>
              <w:pStyle w:val="ARtabletextright"/>
            </w:pPr>
            <w:r w:rsidRPr="00113917">
              <w:t>6,654</w:t>
            </w:r>
          </w:p>
        </w:tc>
        <w:tc>
          <w:tcPr>
            <w:tcW w:w="1610" w:type="dxa"/>
          </w:tcPr>
          <w:p w:rsidR="00735E5A" w:rsidRPr="00767E90" w:rsidRDefault="00735E5A" w:rsidP="00735E5A">
            <w:pPr>
              <w:pStyle w:val="ARtabletextright"/>
            </w:pPr>
            <w:r w:rsidRPr="00113917">
              <w:t>3,536</w:t>
            </w:r>
          </w:p>
        </w:tc>
        <w:tc>
          <w:tcPr>
            <w:tcW w:w="1610" w:type="dxa"/>
          </w:tcPr>
          <w:p w:rsidR="00735E5A" w:rsidRPr="00767E90" w:rsidRDefault="00735E5A" w:rsidP="00735E5A">
            <w:pPr>
              <w:pStyle w:val="ARtabletextright"/>
            </w:pPr>
            <w:r w:rsidRPr="00113917">
              <w:t>9,301</w:t>
            </w:r>
          </w:p>
        </w:tc>
        <w:tc>
          <w:tcPr>
            <w:tcW w:w="1589" w:type="dxa"/>
          </w:tcPr>
          <w:p w:rsidR="00735E5A" w:rsidRPr="00767E90" w:rsidRDefault="00735E5A" w:rsidP="00735E5A">
            <w:pPr>
              <w:pStyle w:val="ARtabletextright"/>
            </w:pPr>
            <w:r w:rsidRPr="00113917">
              <w:t>1,947</w:t>
            </w:r>
          </w:p>
        </w:tc>
      </w:tr>
    </w:tbl>
    <w:p w:rsidR="00735E5A" w:rsidRPr="00486B6B" w:rsidRDefault="00735E5A" w:rsidP="00735E5A">
      <w:pPr>
        <w:pStyle w:val="Heading3"/>
      </w:pPr>
      <w:bookmarkStart w:id="43" w:name="_Ref492905539"/>
      <w:r w:rsidRPr="00486B6B">
        <w:t>Details of employment levels in June of 2016 and 2017</w:t>
      </w:r>
      <w:bookmarkEnd w:id="43"/>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196"/>
        <w:gridCol w:w="1224"/>
        <w:gridCol w:w="1261"/>
        <w:gridCol w:w="1108"/>
        <w:gridCol w:w="1230"/>
        <w:gridCol w:w="1311"/>
        <w:gridCol w:w="1309"/>
      </w:tblGrid>
      <w:tr w:rsidR="00735E5A" w:rsidRPr="00767E90" w:rsidTr="00735E5A">
        <w:trPr>
          <w:cantSplit/>
          <w:tblHeader/>
        </w:trPr>
        <w:tc>
          <w:tcPr>
            <w:tcW w:w="1139" w:type="pct"/>
            <w:vMerge w:val="restart"/>
          </w:tcPr>
          <w:p w:rsidR="00735E5A" w:rsidRPr="00767E90" w:rsidRDefault="00735E5A" w:rsidP="00735E5A">
            <w:pPr>
              <w:pStyle w:val="ARtabletext"/>
              <w:jc w:val="right"/>
            </w:pPr>
          </w:p>
        </w:tc>
        <w:tc>
          <w:tcPr>
            <w:tcW w:w="1864" w:type="pct"/>
            <w:gridSpan w:val="3"/>
            <w:vAlign w:val="bottom"/>
          </w:tcPr>
          <w:p w:rsidR="00735E5A" w:rsidRPr="00767E90" w:rsidRDefault="00735E5A" w:rsidP="00735E5A">
            <w:pPr>
              <w:pStyle w:val="ARtablecolhead"/>
              <w:jc w:val="center"/>
            </w:pPr>
            <w:r w:rsidRPr="00767E90">
              <w:t>2016</w:t>
            </w:r>
          </w:p>
        </w:tc>
        <w:tc>
          <w:tcPr>
            <w:tcW w:w="1998" w:type="pct"/>
            <w:gridSpan w:val="3"/>
            <w:vAlign w:val="bottom"/>
          </w:tcPr>
          <w:p w:rsidR="00735E5A" w:rsidRPr="00767E90" w:rsidRDefault="00735E5A" w:rsidP="00735E5A">
            <w:pPr>
              <w:pStyle w:val="ARtablecolhead"/>
              <w:jc w:val="center"/>
            </w:pPr>
            <w:r w:rsidRPr="00767E90">
              <w:t>2017</w:t>
            </w:r>
          </w:p>
        </w:tc>
      </w:tr>
      <w:tr w:rsidR="00735E5A" w:rsidRPr="00767E90" w:rsidTr="00735E5A">
        <w:trPr>
          <w:cantSplit/>
          <w:tblHeader/>
        </w:trPr>
        <w:tc>
          <w:tcPr>
            <w:tcW w:w="1139" w:type="pct"/>
            <w:vMerge/>
          </w:tcPr>
          <w:p w:rsidR="00735E5A" w:rsidRPr="00767E90" w:rsidRDefault="00735E5A" w:rsidP="00735E5A">
            <w:pPr>
              <w:pStyle w:val="ARtabletext"/>
              <w:jc w:val="right"/>
            </w:pPr>
          </w:p>
        </w:tc>
        <w:tc>
          <w:tcPr>
            <w:tcW w:w="635" w:type="pct"/>
            <w:tcBorders>
              <w:bottom w:val="single" w:sz="4" w:space="0" w:color="BFBFBF"/>
            </w:tcBorders>
            <w:vAlign w:val="bottom"/>
          </w:tcPr>
          <w:p w:rsidR="00735E5A" w:rsidRPr="000B5C1F" w:rsidRDefault="00735E5A" w:rsidP="00735E5A">
            <w:pPr>
              <w:pStyle w:val="ARtablegreenbold"/>
              <w:jc w:val="right"/>
              <w:rPr>
                <w:color w:val="004C97"/>
              </w:rPr>
            </w:pPr>
            <w:r w:rsidRPr="000B5C1F">
              <w:rPr>
                <w:color w:val="004C97"/>
              </w:rPr>
              <w:t>Ongoing</w:t>
            </w:r>
          </w:p>
        </w:tc>
        <w:tc>
          <w:tcPr>
            <w:tcW w:w="654" w:type="pct"/>
            <w:tcBorders>
              <w:bottom w:val="single" w:sz="4" w:space="0" w:color="BFBFBF"/>
            </w:tcBorders>
            <w:vAlign w:val="bottom"/>
          </w:tcPr>
          <w:p w:rsidR="00735E5A" w:rsidRPr="000B5C1F" w:rsidRDefault="00735E5A" w:rsidP="00735E5A">
            <w:pPr>
              <w:pStyle w:val="ARtablegreenbold"/>
              <w:jc w:val="right"/>
              <w:rPr>
                <w:color w:val="004C97"/>
              </w:rPr>
            </w:pPr>
            <w:r w:rsidRPr="000B5C1F">
              <w:rPr>
                <w:color w:val="004C97"/>
              </w:rPr>
              <w:t>Ongoing</w:t>
            </w:r>
          </w:p>
        </w:tc>
        <w:tc>
          <w:tcPr>
            <w:tcW w:w="575" w:type="pct"/>
            <w:tcBorders>
              <w:bottom w:val="single" w:sz="4" w:space="0" w:color="BFBFBF"/>
            </w:tcBorders>
            <w:vAlign w:val="bottom"/>
          </w:tcPr>
          <w:p w:rsidR="00735E5A" w:rsidRPr="000B5C1F" w:rsidRDefault="00735E5A" w:rsidP="00735E5A">
            <w:pPr>
              <w:pStyle w:val="ARtablegreenbold"/>
              <w:jc w:val="right"/>
              <w:rPr>
                <w:color w:val="004C97"/>
              </w:rPr>
            </w:pPr>
            <w:r w:rsidRPr="000B5C1F">
              <w:rPr>
                <w:color w:val="004C97"/>
              </w:rPr>
              <w:t>Fixed-term and casual employees</w:t>
            </w:r>
          </w:p>
        </w:tc>
        <w:tc>
          <w:tcPr>
            <w:tcW w:w="638" w:type="pct"/>
            <w:tcBorders>
              <w:bottom w:val="single" w:sz="4" w:space="0" w:color="BFBFBF"/>
            </w:tcBorders>
            <w:vAlign w:val="bottom"/>
          </w:tcPr>
          <w:p w:rsidR="00735E5A" w:rsidRPr="000B5C1F" w:rsidRDefault="00735E5A" w:rsidP="00735E5A">
            <w:pPr>
              <w:pStyle w:val="ARtablegreenbold"/>
              <w:jc w:val="right"/>
              <w:rPr>
                <w:color w:val="004C97"/>
              </w:rPr>
            </w:pPr>
            <w:r w:rsidRPr="000B5C1F">
              <w:rPr>
                <w:color w:val="004C97"/>
              </w:rPr>
              <w:t>Ongoing</w:t>
            </w:r>
          </w:p>
        </w:tc>
        <w:tc>
          <w:tcPr>
            <w:tcW w:w="680" w:type="pct"/>
            <w:tcBorders>
              <w:bottom w:val="single" w:sz="4" w:space="0" w:color="BFBFBF"/>
            </w:tcBorders>
            <w:vAlign w:val="bottom"/>
          </w:tcPr>
          <w:p w:rsidR="00735E5A" w:rsidRPr="000B5C1F" w:rsidRDefault="00735E5A" w:rsidP="00735E5A">
            <w:pPr>
              <w:pStyle w:val="ARtablegreenbold"/>
              <w:jc w:val="right"/>
              <w:rPr>
                <w:color w:val="004C97"/>
              </w:rPr>
            </w:pPr>
            <w:r w:rsidRPr="000B5C1F">
              <w:rPr>
                <w:color w:val="004C97"/>
              </w:rPr>
              <w:t>Ongoing</w:t>
            </w:r>
          </w:p>
        </w:tc>
        <w:tc>
          <w:tcPr>
            <w:tcW w:w="680" w:type="pct"/>
            <w:tcBorders>
              <w:bottom w:val="single" w:sz="4" w:space="0" w:color="BFBFBF"/>
            </w:tcBorders>
            <w:vAlign w:val="bottom"/>
          </w:tcPr>
          <w:p w:rsidR="00735E5A" w:rsidRPr="000B5C1F" w:rsidRDefault="00735E5A" w:rsidP="00735E5A">
            <w:pPr>
              <w:pStyle w:val="ARtablegreenbold"/>
              <w:jc w:val="right"/>
              <w:rPr>
                <w:color w:val="004C97"/>
              </w:rPr>
            </w:pPr>
            <w:r w:rsidRPr="000B5C1F">
              <w:rPr>
                <w:color w:val="004C97"/>
              </w:rPr>
              <w:t>Fixed-term</w:t>
            </w:r>
            <w:r w:rsidRPr="000B5C1F">
              <w:rPr>
                <w:color w:val="004C97"/>
              </w:rPr>
              <w:br/>
              <w:t>and casual employees</w:t>
            </w:r>
          </w:p>
        </w:tc>
      </w:tr>
      <w:tr w:rsidR="00735E5A" w:rsidRPr="00767E90" w:rsidTr="00735E5A">
        <w:trPr>
          <w:cantSplit/>
          <w:tblHeader/>
        </w:trPr>
        <w:tc>
          <w:tcPr>
            <w:tcW w:w="1139" w:type="pct"/>
            <w:vMerge/>
          </w:tcPr>
          <w:p w:rsidR="00735E5A" w:rsidRPr="00767E90" w:rsidRDefault="00735E5A" w:rsidP="00735E5A">
            <w:pPr>
              <w:pStyle w:val="ARtabletext"/>
              <w:jc w:val="right"/>
            </w:pPr>
          </w:p>
        </w:tc>
        <w:tc>
          <w:tcPr>
            <w:tcW w:w="635" w:type="pct"/>
            <w:tcBorders>
              <w:top w:val="single" w:sz="4" w:space="0" w:color="BFBFBF"/>
            </w:tcBorders>
            <w:vAlign w:val="bottom"/>
          </w:tcPr>
          <w:p w:rsidR="00735E5A" w:rsidRPr="000B5C1F" w:rsidRDefault="00735E5A" w:rsidP="00735E5A">
            <w:pPr>
              <w:pStyle w:val="ARtablegreenbold"/>
              <w:jc w:val="right"/>
              <w:rPr>
                <w:color w:val="004C97"/>
              </w:rPr>
            </w:pPr>
            <w:r w:rsidRPr="000B5C1F">
              <w:rPr>
                <w:color w:val="004C97"/>
              </w:rPr>
              <w:t>Employees (head count)</w:t>
            </w:r>
          </w:p>
        </w:tc>
        <w:tc>
          <w:tcPr>
            <w:tcW w:w="654" w:type="pct"/>
            <w:tcBorders>
              <w:top w:val="single" w:sz="4" w:space="0" w:color="BFBFBF"/>
            </w:tcBorders>
            <w:vAlign w:val="bottom"/>
          </w:tcPr>
          <w:p w:rsidR="00735E5A" w:rsidRPr="000B5C1F" w:rsidRDefault="00735E5A" w:rsidP="00735E5A">
            <w:pPr>
              <w:pStyle w:val="ARtablegreenbold"/>
              <w:jc w:val="right"/>
              <w:rPr>
                <w:color w:val="004C97"/>
              </w:rPr>
            </w:pPr>
            <w:r w:rsidRPr="000B5C1F">
              <w:rPr>
                <w:color w:val="004C97"/>
              </w:rPr>
              <w:t>FTE</w:t>
            </w:r>
          </w:p>
        </w:tc>
        <w:tc>
          <w:tcPr>
            <w:tcW w:w="575" w:type="pct"/>
            <w:tcBorders>
              <w:top w:val="single" w:sz="4" w:space="0" w:color="BFBFBF"/>
            </w:tcBorders>
            <w:vAlign w:val="bottom"/>
          </w:tcPr>
          <w:p w:rsidR="00735E5A" w:rsidRPr="000B5C1F" w:rsidRDefault="00735E5A" w:rsidP="00735E5A">
            <w:pPr>
              <w:pStyle w:val="ARtablegreenbold"/>
              <w:jc w:val="right"/>
              <w:rPr>
                <w:color w:val="004C97"/>
              </w:rPr>
            </w:pPr>
            <w:r w:rsidRPr="000B5C1F">
              <w:rPr>
                <w:color w:val="004C97"/>
              </w:rPr>
              <w:t>FTE</w:t>
            </w:r>
          </w:p>
        </w:tc>
        <w:tc>
          <w:tcPr>
            <w:tcW w:w="638" w:type="pct"/>
            <w:tcBorders>
              <w:top w:val="single" w:sz="4" w:space="0" w:color="BFBFBF"/>
            </w:tcBorders>
            <w:vAlign w:val="bottom"/>
          </w:tcPr>
          <w:p w:rsidR="00735E5A" w:rsidRPr="000B5C1F" w:rsidRDefault="00735E5A" w:rsidP="00735E5A">
            <w:pPr>
              <w:pStyle w:val="ARtablegreenbold"/>
              <w:jc w:val="right"/>
              <w:rPr>
                <w:color w:val="004C97"/>
              </w:rPr>
            </w:pPr>
            <w:r w:rsidRPr="000B5C1F">
              <w:rPr>
                <w:color w:val="004C97"/>
              </w:rPr>
              <w:t>Employees (head count)</w:t>
            </w:r>
          </w:p>
        </w:tc>
        <w:tc>
          <w:tcPr>
            <w:tcW w:w="680" w:type="pct"/>
            <w:tcBorders>
              <w:top w:val="single" w:sz="4" w:space="0" w:color="BFBFBF"/>
            </w:tcBorders>
            <w:vAlign w:val="bottom"/>
          </w:tcPr>
          <w:p w:rsidR="00735E5A" w:rsidRPr="000B5C1F" w:rsidRDefault="00735E5A" w:rsidP="00735E5A">
            <w:pPr>
              <w:pStyle w:val="ARtablegreenbold"/>
              <w:jc w:val="right"/>
              <w:rPr>
                <w:color w:val="004C97"/>
              </w:rPr>
            </w:pPr>
            <w:r w:rsidRPr="000B5C1F">
              <w:rPr>
                <w:color w:val="004C97"/>
              </w:rPr>
              <w:t>FTE</w:t>
            </w:r>
          </w:p>
        </w:tc>
        <w:tc>
          <w:tcPr>
            <w:tcW w:w="680" w:type="pct"/>
            <w:tcBorders>
              <w:top w:val="single" w:sz="4" w:space="0" w:color="BFBFBF"/>
            </w:tcBorders>
            <w:vAlign w:val="bottom"/>
          </w:tcPr>
          <w:p w:rsidR="00735E5A" w:rsidRPr="000B5C1F" w:rsidRDefault="00735E5A" w:rsidP="00735E5A">
            <w:pPr>
              <w:pStyle w:val="ARtablegreenbold"/>
              <w:jc w:val="right"/>
              <w:rPr>
                <w:color w:val="004C97"/>
              </w:rPr>
            </w:pPr>
            <w:r w:rsidRPr="000B5C1F">
              <w:rPr>
                <w:color w:val="004C97"/>
              </w:rPr>
              <w:t>FTE</w:t>
            </w:r>
          </w:p>
        </w:tc>
      </w:tr>
      <w:tr w:rsidR="00735E5A" w:rsidRPr="00705480" w:rsidTr="00735E5A">
        <w:trPr>
          <w:cantSplit/>
        </w:trPr>
        <w:tc>
          <w:tcPr>
            <w:tcW w:w="5000" w:type="pct"/>
            <w:gridSpan w:val="7"/>
            <w:tcBorders>
              <w:bottom w:val="nil"/>
            </w:tcBorders>
          </w:tcPr>
          <w:p w:rsidR="00735E5A" w:rsidRPr="00705480" w:rsidRDefault="00735E5A" w:rsidP="00735E5A">
            <w:pPr>
              <w:pStyle w:val="ARtablegreenbold"/>
              <w:rPr>
                <w:color w:val="004C97"/>
              </w:rPr>
            </w:pPr>
            <w:r w:rsidRPr="00705480">
              <w:rPr>
                <w:color w:val="004C97"/>
              </w:rPr>
              <w:t>Gender</w:t>
            </w:r>
          </w:p>
        </w:tc>
      </w:tr>
      <w:tr w:rsidR="00735E5A" w:rsidRPr="00767E90" w:rsidTr="00735E5A">
        <w:trPr>
          <w:cantSplit/>
        </w:trPr>
        <w:tc>
          <w:tcPr>
            <w:tcW w:w="1139" w:type="pct"/>
            <w:tcBorders>
              <w:top w:val="nil"/>
              <w:bottom w:val="single" w:sz="4" w:space="0" w:color="BFBFBF"/>
            </w:tcBorders>
          </w:tcPr>
          <w:p w:rsidR="00735E5A" w:rsidRPr="00F16F20" w:rsidRDefault="00735E5A" w:rsidP="00735E5A">
            <w:pPr>
              <w:pStyle w:val="ARtabletext"/>
            </w:pPr>
            <w:r w:rsidRPr="00F16F20">
              <w:t>Female</w:t>
            </w:r>
          </w:p>
        </w:tc>
        <w:tc>
          <w:tcPr>
            <w:tcW w:w="635" w:type="pct"/>
            <w:tcBorders>
              <w:top w:val="nil"/>
              <w:bottom w:val="single" w:sz="4" w:space="0" w:color="BFBFBF"/>
            </w:tcBorders>
            <w:vAlign w:val="bottom"/>
          </w:tcPr>
          <w:p w:rsidR="00735E5A" w:rsidRPr="00767E90" w:rsidRDefault="00735E5A" w:rsidP="00735E5A">
            <w:pPr>
              <w:pStyle w:val="ARtabletextright"/>
            </w:pPr>
            <w:r w:rsidRPr="00767E90">
              <w:t>7</w:t>
            </w:r>
            <w:r>
              <w:t>,</w:t>
            </w:r>
            <w:r w:rsidRPr="00767E90">
              <w:t>343</w:t>
            </w:r>
          </w:p>
        </w:tc>
        <w:tc>
          <w:tcPr>
            <w:tcW w:w="654" w:type="pct"/>
            <w:tcBorders>
              <w:top w:val="nil"/>
              <w:bottom w:val="single" w:sz="4" w:space="0" w:color="BFBFBF"/>
            </w:tcBorders>
            <w:vAlign w:val="bottom"/>
          </w:tcPr>
          <w:p w:rsidR="00735E5A" w:rsidRPr="00767E90" w:rsidRDefault="00735E5A" w:rsidP="00735E5A">
            <w:pPr>
              <w:pStyle w:val="ARtabletextright"/>
            </w:pPr>
            <w:r w:rsidRPr="00767E90">
              <w:t>6</w:t>
            </w:r>
            <w:r>
              <w:t>,</w:t>
            </w:r>
            <w:r w:rsidRPr="00767E90">
              <w:t>573.3</w:t>
            </w:r>
          </w:p>
        </w:tc>
        <w:tc>
          <w:tcPr>
            <w:tcW w:w="575" w:type="pct"/>
            <w:tcBorders>
              <w:top w:val="nil"/>
              <w:bottom w:val="single" w:sz="4" w:space="0" w:color="BFBFBF"/>
            </w:tcBorders>
            <w:vAlign w:val="bottom"/>
          </w:tcPr>
          <w:p w:rsidR="00735E5A" w:rsidRPr="00767E90" w:rsidRDefault="00735E5A" w:rsidP="00735E5A">
            <w:pPr>
              <w:pStyle w:val="ARtabletextright"/>
            </w:pPr>
            <w:r w:rsidRPr="00767E90">
              <w:t>1</w:t>
            </w:r>
            <w:r>
              <w:t>,</w:t>
            </w:r>
            <w:r w:rsidRPr="00767E90">
              <w:t>133.4</w:t>
            </w:r>
          </w:p>
        </w:tc>
        <w:tc>
          <w:tcPr>
            <w:tcW w:w="638" w:type="pct"/>
            <w:tcBorders>
              <w:top w:val="nil"/>
              <w:bottom w:val="single" w:sz="4" w:space="0" w:color="BFBFBF"/>
            </w:tcBorders>
          </w:tcPr>
          <w:p w:rsidR="00735E5A" w:rsidRPr="00767E90" w:rsidRDefault="00735E5A" w:rsidP="00735E5A">
            <w:pPr>
              <w:pStyle w:val="ARtabletextright"/>
            </w:pPr>
            <w:r w:rsidRPr="00D96766">
              <w:t>7</w:t>
            </w:r>
            <w:r>
              <w:t>,</w:t>
            </w:r>
            <w:r w:rsidRPr="00D96766">
              <w:t>087</w:t>
            </w:r>
          </w:p>
        </w:tc>
        <w:tc>
          <w:tcPr>
            <w:tcW w:w="680" w:type="pct"/>
            <w:tcBorders>
              <w:top w:val="nil"/>
              <w:bottom w:val="single" w:sz="4" w:space="0" w:color="BFBFBF"/>
            </w:tcBorders>
          </w:tcPr>
          <w:p w:rsidR="00735E5A" w:rsidRPr="00767E90" w:rsidRDefault="00735E5A" w:rsidP="00735E5A">
            <w:pPr>
              <w:pStyle w:val="ARtabletextright"/>
            </w:pPr>
            <w:r w:rsidRPr="00D96766">
              <w:t>6</w:t>
            </w:r>
            <w:r>
              <w:t>,</w:t>
            </w:r>
            <w:r w:rsidRPr="00D96766">
              <w:t>346.1</w:t>
            </w:r>
          </w:p>
        </w:tc>
        <w:tc>
          <w:tcPr>
            <w:tcW w:w="680" w:type="pct"/>
            <w:tcBorders>
              <w:top w:val="nil"/>
              <w:bottom w:val="single" w:sz="4" w:space="0" w:color="BFBFBF"/>
            </w:tcBorders>
          </w:tcPr>
          <w:p w:rsidR="00735E5A" w:rsidRPr="00767E90" w:rsidRDefault="00735E5A" w:rsidP="00735E5A">
            <w:pPr>
              <w:pStyle w:val="ARtabletextright"/>
            </w:pPr>
            <w:r w:rsidRPr="00D96766">
              <w:t>1</w:t>
            </w:r>
            <w:r>
              <w:t>,</w:t>
            </w:r>
            <w:r w:rsidRPr="00D96766">
              <w:t>333</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Male</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3</w:t>
            </w:r>
            <w:r>
              <w:t>,</w:t>
            </w:r>
            <w:r w:rsidRPr="00767E90">
              <w:t>290</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3</w:t>
            </w:r>
            <w:r>
              <w:t>,</w:t>
            </w:r>
            <w:r w:rsidRPr="00767E90">
              <w:t>156.5</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584.8</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96766">
              <w:t>3</w:t>
            </w:r>
            <w:r>
              <w:t>,</w:t>
            </w:r>
            <w:r w:rsidRPr="00D96766">
              <w:t>103</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96766">
              <w:t>2</w:t>
            </w:r>
            <w:r>
              <w:t>,</w:t>
            </w:r>
            <w:r w:rsidRPr="00D96766">
              <w:t>955.2</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96766">
              <w:t>614.2</w:t>
            </w:r>
          </w:p>
        </w:tc>
      </w:tr>
      <w:tr w:rsidR="00735E5A" w:rsidRPr="00767E90" w:rsidTr="00735E5A">
        <w:trPr>
          <w:cantSplit/>
        </w:trPr>
        <w:tc>
          <w:tcPr>
            <w:tcW w:w="1139" w:type="pct"/>
            <w:tcBorders>
              <w:top w:val="single" w:sz="4" w:space="0" w:color="BFBFBF"/>
            </w:tcBorders>
          </w:tcPr>
          <w:p w:rsidR="00735E5A" w:rsidRPr="00F16F20" w:rsidRDefault="00735E5A" w:rsidP="00735E5A">
            <w:pPr>
              <w:pStyle w:val="ARtabletext"/>
            </w:pPr>
            <w:r w:rsidRPr="00F16F20">
              <w:t>Total</w:t>
            </w:r>
          </w:p>
        </w:tc>
        <w:tc>
          <w:tcPr>
            <w:tcW w:w="635" w:type="pct"/>
            <w:tcBorders>
              <w:top w:val="single" w:sz="4" w:space="0" w:color="BFBFBF"/>
            </w:tcBorders>
            <w:vAlign w:val="bottom"/>
          </w:tcPr>
          <w:p w:rsidR="00735E5A" w:rsidRPr="00767E90" w:rsidRDefault="00735E5A" w:rsidP="00735E5A">
            <w:pPr>
              <w:pStyle w:val="ARtabletextright"/>
              <w:rPr>
                <w:b/>
              </w:rPr>
            </w:pPr>
            <w:r w:rsidRPr="00767E90">
              <w:rPr>
                <w:b/>
              </w:rPr>
              <w:t>10,633</w:t>
            </w:r>
          </w:p>
        </w:tc>
        <w:tc>
          <w:tcPr>
            <w:tcW w:w="654" w:type="pct"/>
            <w:tcBorders>
              <w:top w:val="single" w:sz="4" w:space="0" w:color="BFBFBF"/>
            </w:tcBorders>
            <w:vAlign w:val="bottom"/>
          </w:tcPr>
          <w:p w:rsidR="00735E5A" w:rsidRPr="00767E90" w:rsidRDefault="00735E5A" w:rsidP="00735E5A">
            <w:pPr>
              <w:pStyle w:val="ARtabletextright"/>
              <w:rPr>
                <w:b/>
              </w:rPr>
            </w:pPr>
            <w:r w:rsidRPr="00767E90">
              <w:rPr>
                <w:b/>
              </w:rPr>
              <w:t>9,729.8</w:t>
            </w:r>
          </w:p>
        </w:tc>
        <w:tc>
          <w:tcPr>
            <w:tcW w:w="575" w:type="pct"/>
            <w:tcBorders>
              <w:top w:val="single" w:sz="4" w:space="0" w:color="BFBFBF"/>
            </w:tcBorders>
            <w:vAlign w:val="bottom"/>
          </w:tcPr>
          <w:p w:rsidR="00735E5A" w:rsidRPr="00767E90" w:rsidRDefault="00735E5A" w:rsidP="00735E5A">
            <w:pPr>
              <w:pStyle w:val="ARtabletextright"/>
              <w:rPr>
                <w:b/>
              </w:rPr>
            </w:pPr>
            <w:r w:rsidRPr="00767E90">
              <w:rPr>
                <w:b/>
              </w:rPr>
              <w:t>1,718.2</w:t>
            </w:r>
          </w:p>
        </w:tc>
        <w:tc>
          <w:tcPr>
            <w:tcW w:w="638" w:type="pct"/>
            <w:tcBorders>
              <w:top w:val="single" w:sz="4" w:space="0" w:color="BFBFBF"/>
            </w:tcBorders>
          </w:tcPr>
          <w:p w:rsidR="00735E5A" w:rsidRPr="00767E90" w:rsidRDefault="00735E5A" w:rsidP="00735E5A">
            <w:pPr>
              <w:pStyle w:val="ARtabletextright"/>
              <w:rPr>
                <w:b/>
              </w:rPr>
            </w:pPr>
            <w:r w:rsidRPr="00206BC9">
              <w:rPr>
                <w:b/>
              </w:rPr>
              <w:t>10,190</w:t>
            </w:r>
          </w:p>
        </w:tc>
        <w:tc>
          <w:tcPr>
            <w:tcW w:w="680" w:type="pct"/>
            <w:tcBorders>
              <w:top w:val="single" w:sz="4" w:space="0" w:color="BFBFBF"/>
            </w:tcBorders>
          </w:tcPr>
          <w:p w:rsidR="00735E5A" w:rsidRPr="00767E90" w:rsidRDefault="00735E5A" w:rsidP="00735E5A">
            <w:pPr>
              <w:pStyle w:val="ARtabletextright"/>
              <w:rPr>
                <w:b/>
              </w:rPr>
            </w:pPr>
            <w:r w:rsidRPr="00206BC9">
              <w:rPr>
                <w:b/>
              </w:rPr>
              <w:t>9,301.3</w:t>
            </w:r>
          </w:p>
        </w:tc>
        <w:tc>
          <w:tcPr>
            <w:tcW w:w="680" w:type="pct"/>
            <w:tcBorders>
              <w:top w:val="single" w:sz="4" w:space="0" w:color="BFBFBF"/>
            </w:tcBorders>
          </w:tcPr>
          <w:p w:rsidR="00735E5A" w:rsidRPr="00767E90" w:rsidRDefault="00735E5A" w:rsidP="00735E5A">
            <w:pPr>
              <w:pStyle w:val="ARtabletextright"/>
              <w:rPr>
                <w:b/>
              </w:rPr>
            </w:pPr>
            <w:r w:rsidRPr="00206BC9">
              <w:rPr>
                <w:b/>
              </w:rPr>
              <w:t>1,947.2</w:t>
            </w:r>
          </w:p>
        </w:tc>
      </w:tr>
      <w:tr w:rsidR="00735E5A" w:rsidRPr="00705480" w:rsidTr="00735E5A">
        <w:trPr>
          <w:cantSplit/>
        </w:trPr>
        <w:tc>
          <w:tcPr>
            <w:tcW w:w="5000" w:type="pct"/>
            <w:gridSpan w:val="7"/>
            <w:tcBorders>
              <w:bottom w:val="nil"/>
            </w:tcBorders>
            <w:vAlign w:val="bottom"/>
          </w:tcPr>
          <w:p w:rsidR="00735E5A" w:rsidRPr="00705480" w:rsidRDefault="00735E5A" w:rsidP="00735E5A">
            <w:pPr>
              <w:pStyle w:val="ARtablegreenbold"/>
              <w:rPr>
                <w:color w:val="004C97"/>
              </w:rPr>
            </w:pPr>
            <w:r w:rsidRPr="00705480">
              <w:rPr>
                <w:color w:val="004C97"/>
              </w:rPr>
              <w:t>Age</w:t>
            </w:r>
          </w:p>
        </w:tc>
      </w:tr>
      <w:tr w:rsidR="00735E5A" w:rsidRPr="00767E90" w:rsidTr="00735E5A">
        <w:trPr>
          <w:cantSplit/>
        </w:trPr>
        <w:tc>
          <w:tcPr>
            <w:tcW w:w="1139" w:type="pct"/>
            <w:tcBorders>
              <w:top w:val="nil"/>
              <w:bottom w:val="single" w:sz="4" w:space="0" w:color="BFBFBF"/>
            </w:tcBorders>
          </w:tcPr>
          <w:p w:rsidR="00735E5A" w:rsidRPr="00F16F20" w:rsidRDefault="00735E5A" w:rsidP="00735E5A">
            <w:pPr>
              <w:pStyle w:val="ARtabletext"/>
            </w:pPr>
            <w:r w:rsidRPr="00F16F20">
              <w:t>0–24</w:t>
            </w:r>
          </w:p>
        </w:tc>
        <w:tc>
          <w:tcPr>
            <w:tcW w:w="635" w:type="pct"/>
            <w:tcBorders>
              <w:top w:val="nil"/>
              <w:bottom w:val="single" w:sz="4" w:space="0" w:color="BFBFBF"/>
            </w:tcBorders>
            <w:vAlign w:val="bottom"/>
          </w:tcPr>
          <w:p w:rsidR="00735E5A" w:rsidRPr="00767E90" w:rsidRDefault="00735E5A" w:rsidP="00735E5A">
            <w:pPr>
              <w:pStyle w:val="ARtabletextright"/>
            </w:pPr>
            <w:r w:rsidRPr="00767E90">
              <w:t>185</w:t>
            </w:r>
          </w:p>
        </w:tc>
        <w:tc>
          <w:tcPr>
            <w:tcW w:w="654" w:type="pct"/>
            <w:tcBorders>
              <w:top w:val="nil"/>
              <w:bottom w:val="single" w:sz="4" w:space="0" w:color="BFBFBF"/>
            </w:tcBorders>
            <w:vAlign w:val="bottom"/>
          </w:tcPr>
          <w:p w:rsidR="00735E5A" w:rsidRPr="00767E90" w:rsidRDefault="00735E5A" w:rsidP="00735E5A">
            <w:pPr>
              <w:pStyle w:val="ARtabletextright"/>
            </w:pPr>
            <w:r w:rsidRPr="00767E90">
              <w:t>174.4</w:t>
            </w:r>
          </w:p>
        </w:tc>
        <w:tc>
          <w:tcPr>
            <w:tcW w:w="575" w:type="pct"/>
            <w:tcBorders>
              <w:top w:val="nil"/>
              <w:bottom w:val="single" w:sz="4" w:space="0" w:color="BFBFBF"/>
            </w:tcBorders>
            <w:vAlign w:val="bottom"/>
          </w:tcPr>
          <w:p w:rsidR="00735E5A" w:rsidRPr="00767E90" w:rsidRDefault="00735E5A" w:rsidP="00735E5A">
            <w:pPr>
              <w:pStyle w:val="ARtabletextright"/>
            </w:pPr>
            <w:r w:rsidRPr="00767E90">
              <w:t>150.8</w:t>
            </w:r>
          </w:p>
        </w:tc>
        <w:tc>
          <w:tcPr>
            <w:tcW w:w="638" w:type="pct"/>
            <w:tcBorders>
              <w:top w:val="nil"/>
              <w:bottom w:val="single" w:sz="4" w:space="0" w:color="BFBFBF"/>
            </w:tcBorders>
            <w:vAlign w:val="bottom"/>
          </w:tcPr>
          <w:p w:rsidR="00735E5A" w:rsidRPr="00767E90" w:rsidRDefault="00735E5A" w:rsidP="00735E5A">
            <w:pPr>
              <w:pStyle w:val="ARtabletextright"/>
            </w:pPr>
            <w:r w:rsidRPr="0090656C">
              <w:rPr>
                <w:color w:val="000000"/>
              </w:rPr>
              <w:t>187</w:t>
            </w:r>
          </w:p>
        </w:tc>
        <w:tc>
          <w:tcPr>
            <w:tcW w:w="680" w:type="pct"/>
            <w:tcBorders>
              <w:top w:val="nil"/>
              <w:bottom w:val="single" w:sz="4" w:space="0" w:color="BFBFBF"/>
            </w:tcBorders>
            <w:vAlign w:val="bottom"/>
          </w:tcPr>
          <w:p w:rsidR="00735E5A" w:rsidRPr="00767E90" w:rsidRDefault="00735E5A" w:rsidP="00735E5A">
            <w:pPr>
              <w:pStyle w:val="ARtabletextright"/>
            </w:pPr>
            <w:r w:rsidRPr="00767E90">
              <w:t>176</w:t>
            </w:r>
          </w:p>
        </w:tc>
        <w:tc>
          <w:tcPr>
            <w:tcW w:w="680" w:type="pct"/>
            <w:tcBorders>
              <w:top w:val="nil"/>
              <w:bottom w:val="single" w:sz="4" w:space="0" w:color="BFBFBF"/>
            </w:tcBorders>
            <w:vAlign w:val="bottom"/>
          </w:tcPr>
          <w:p w:rsidR="00735E5A" w:rsidRPr="00767E90" w:rsidRDefault="00735E5A" w:rsidP="00735E5A">
            <w:pPr>
              <w:pStyle w:val="ARtabletextright"/>
            </w:pPr>
            <w:r w:rsidRPr="00767E90">
              <w:t>168.7</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25–34</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1</w:t>
            </w:r>
            <w:r>
              <w:t>,</w:t>
            </w:r>
            <w:r w:rsidRPr="00767E90">
              <w:t>762</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1</w:t>
            </w:r>
            <w:r>
              <w:t>,</w:t>
            </w:r>
            <w:r w:rsidRPr="00767E90">
              <w:t>645.7</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438.8</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003CF1">
              <w:t>1</w:t>
            </w:r>
            <w:r>
              <w:t>,</w:t>
            </w:r>
            <w:r w:rsidRPr="00003CF1">
              <w:t>599</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1</w:t>
            </w:r>
            <w:r>
              <w:t>,</w:t>
            </w:r>
            <w:r w:rsidRPr="00003CF1">
              <w:t>478.8</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532.5</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35–44</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2</w:t>
            </w:r>
            <w:r>
              <w:t>,</w:t>
            </w:r>
            <w:r w:rsidRPr="00767E90">
              <w:t>512</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2</w:t>
            </w:r>
            <w:r>
              <w:t>,</w:t>
            </w:r>
            <w:r w:rsidRPr="00767E90">
              <w:t>220.4</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414.6</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003CF1">
              <w:t>2</w:t>
            </w:r>
            <w:r>
              <w:t>,</w:t>
            </w:r>
            <w:r w:rsidRPr="00003CF1">
              <w:t>353</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2</w:t>
            </w:r>
            <w:r>
              <w:t>,</w:t>
            </w:r>
            <w:r w:rsidRPr="00003CF1">
              <w:t>077.5</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470.5</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45–54</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3</w:t>
            </w:r>
            <w:r>
              <w:t>,</w:t>
            </w:r>
            <w:r w:rsidRPr="00767E90">
              <w:t>217</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2</w:t>
            </w:r>
            <w:r>
              <w:t>,</w:t>
            </w:r>
            <w:r w:rsidRPr="00767E90">
              <w:t>974.8</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411.4</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003CF1">
              <w:t>3</w:t>
            </w:r>
            <w:r>
              <w:t>,</w:t>
            </w:r>
            <w:r w:rsidRPr="00003CF1">
              <w:t>081</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2</w:t>
            </w:r>
            <w:r>
              <w:t>,</w:t>
            </w:r>
            <w:r w:rsidRPr="00003CF1">
              <w:t>841</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426.9</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55–64</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2</w:t>
            </w:r>
            <w:r>
              <w:t>,</w:t>
            </w:r>
            <w:r w:rsidRPr="00767E90">
              <w:t>510</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2</w:t>
            </w:r>
            <w:r>
              <w:t>,</w:t>
            </w:r>
            <w:r w:rsidRPr="00767E90">
              <w:t>320.1</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248</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003CF1">
              <w:t>2</w:t>
            </w:r>
            <w:r>
              <w:t>,</w:t>
            </w:r>
            <w:r w:rsidRPr="00003CF1">
              <w:t>505</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2</w:t>
            </w:r>
            <w:r>
              <w:t>,</w:t>
            </w:r>
            <w:r w:rsidRPr="00003CF1">
              <w:t>312</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003CF1">
              <w:t>291.5</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64+</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447</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398.4</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54.7</w:t>
            </w:r>
          </w:p>
        </w:tc>
        <w:tc>
          <w:tcPr>
            <w:tcW w:w="638" w:type="pct"/>
            <w:tcBorders>
              <w:top w:val="single" w:sz="4" w:space="0" w:color="BFBFBF"/>
              <w:bottom w:val="single" w:sz="4" w:space="0" w:color="BFBFBF"/>
            </w:tcBorders>
            <w:vAlign w:val="bottom"/>
          </w:tcPr>
          <w:p w:rsidR="00735E5A" w:rsidRPr="00767E90" w:rsidRDefault="00735E5A" w:rsidP="00735E5A">
            <w:pPr>
              <w:pStyle w:val="ARtabletextright"/>
            </w:pPr>
            <w:r w:rsidRPr="0090656C">
              <w:rPr>
                <w:color w:val="000000"/>
              </w:rPr>
              <w:t>465</w:t>
            </w:r>
          </w:p>
        </w:tc>
        <w:tc>
          <w:tcPr>
            <w:tcW w:w="680" w:type="pct"/>
            <w:tcBorders>
              <w:top w:val="single" w:sz="4" w:space="0" w:color="BFBFBF"/>
              <w:bottom w:val="single" w:sz="4" w:space="0" w:color="BFBFBF"/>
            </w:tcBorders>
            <w:vAlign w:val="bottom"/>
          </w:tcPr>
          <w:p w:rsidR="00735E5A" w:rsidRPr="00767E90" w:rsidRDefault="00735E5A" w:rsidP="00735E5A">
            <w:pPr>
              <w:pStyle w:val="ARtabletextright"/>
            </w:pPr>
            <w:r w:rsidRPr="0090656C">
              <w:rPr>
                <w:color w:val="000000"/>
              </w:rPr>
              <w:t>416</w:t>
            </w:r>
          </w:p>
        </w:tc>
        <w:tc>
          <w:tcPr>
            <w:tcW w:w="680" w:type="pct"/>
            <w:tcBorders>
              <w:top w:val="single" w:sz="4" w:space="0" w:color="BFBFBF"/>
              <w:bottom w:val="single" w:sz="4" w:space="0" w:color="BFBFBF"/>
            </w:tcBorders>
            <w:vAlign w:val="bottom"/>
          </w:tcPr>
          <w:p w:rsidR="00735E5A" w:rsidRPr="00767E90" w:rsidRDefault="00735E5A" w:rsidP="00735E5A">
            <w:pPr>
              <w:pStyle w:val="ARtabletextright"/>
            </w:pPr>
            <w:r w:rsidRPr="0090656C">
              <w:rPr>
                <w:color w:val="000000"/>
              </w:rPr>
              <w:t>57.1</w:t>
            </w:r>
          </w:p>
        </w:tc>
      </w:tr>
      <w:tr w:rsidR="00735E5A" w:rsidRPr="00767E90" w:rsidTr="00735E5A">
        <w:trPr>
          <w:cantSplit/>
        </w:trPr>
        <w:tc>
          <w:tcPr>
            <w:tcW w:w="1139" w:type="pct"/>
            <w:tcBorders>
              <w:top w:val="single" w:sz="4" w:space="0" w:color="BFBFBF"/>
            </w:tcBorders>
          </w:tcPr>
          <w:p w:rsidR="00735E5A" w:rsidRPr="00767E90" w:rsidRDefault="00735E5A" w:rsidP="00735E5A">
            <w:pPr>
              <w:pStyle w:val="ARtabletext"/>
              <w:rPr>
                <w:b/>
              </w:rPr>
            </w:pPr>
            <w:r w:rsidRPr="00767E90">
              <w:rPr>
                <w:b/>
              </w:rPr>
              <w:t>Total</w:t>
            </w:r>
          </w:p>
        </w:tc>
        <w:tc>
          <w:tcPr>
            <w:tcW w:w="635" w:type="pct"/>
            <w:tcBorders>
              <w:top w:val="single" w:sz="4" w:space="0" w:color="BFBFBF"/>
            </w:tcBorders>
            <w:vAlign w:val="bottom"/>
          </w:tcPr>
          <w:p w:rsidR="00735E5A" w:rsidRPr="00767E90" w:rsidRDefault="00735E5A" w:rsidP="00735E5A">
            <w:pPr>
              <w:pStyle w:val="ARtabletextright"/>
              <w:rPr>
                <w:b/>
              </w:rPr>
            </w:pPr>
            <w:r w:rsidRPr="00767E90">
              <w:rPr>
                <w:b/>
              </w:rPr>
              <w:t>10,633</w:t>
            </w:r>
          </w:p>
        </w:tc>
        <w:tc>
          <w:tcPr>
            <w:tcW w:w="654" w:type="pct"/>
            <w:tcBorders>
              <w:top w:val="single" w:sz="4" w:space="0" w:color="BFBFBF"/>
            </w:tcBorders>
            <w:vAlign w:val="bottom"/>
          </w:tcPr>
          <w:p w:rsidR="00735E5A" w:rsidRPr="00767E90" w:rsidRDefault="00735E5A" w:rsidP="00735E5A">
            <w:pPr>
              <w:pStyle w:val="ARtabletextright"/>
              <w:rPr>
                <w:b/>
              </w:rPr>
            </w:pPr>
            <w:r w:rsidRPr="00767E90">
              <w:rPr>
                <w:b/>
              </w:rPr>
              <w:t>9,729.8</w:t>
            </w:r>
          </w:p>
        </w:tc>
        <w:tc>
          <w:tcPr>
            <w:tcW w:w="575" w:type="pct"/>
            <w:tcBorders>
              <w:top w:val="single" w:sz="4" w:space="0" w:color="BFBFBF"/>
            </w:tcBorders>
            <w:vAlign w:val="bottom"/>
          </w:tcPr>
          <w:p w:rsidR="00735E5A" w:rsidRPr="00767E90" w:rsidRDefault="00735E5A" w:rsidP="00735E5A">
            <w:pPr>
              <w:pStyle w:val="ARtabletextright"/>
              <w:rPr>
                <w:b/>
              </w:rPr>
            </w:pPr>
            <w:r w:rsidRPr="00767E90">
              <w:rPr>
                <w:b/>
              </w:rPr>
              <w:t>1,718.2</w:t>
            </w:r>
          </w:p>
        </w:tc>
        <w:tc>
          <w:tcPr>
            <w:tcW w:w="638" w:type="pct"/>
            <w:tcBorders>
              <w:top w:val="single" w:sz="4" w:space="0" w:color="BFBFBF"/>
            </w:tcBorders>
          </w:tcPr>
          <w:p w:rsidR="00735E5A" w:rsidRPr="00767E90" w:rsidRDefault="00735E5A" w:rsidP="00735E5A">
            <w:pPr>
              <w:pStyle w:val="ARtabletextright"/>
              <w:rPr>
                <w:b/>
              </w:rPr>
            </w:pPr>
            <w:r w:rsidRPr="00206BC9">
              <w:rPr>
                <w:b/>
              </w:rPr>
              <w:t>10,190</w:t>
            </w:r>
          </w:p>
        </w:tc>
        <w:tc>
          <w:tcPr>
            <w:tcW w:w="680" w:type="pct"/>
            <w:tcBorders>
              <w:top w:val="single" w:sz="4" w:space="0" w:color="BFBFBF"/>
            </w:tcBorders>
          </w:tcPr>
          <w:p w:rsidR="00735E5A" w:rsidRPr="00767E90" w:rsidRDefault="00735E5A" w:rsidP="00735E5A">
            <w:pPr>
              <w:pStyle w:val="ARtabletextright"/>
              <w:rPr>
                <w:b/>
              </w:rPr>
            </w:pPr>
            <w:r w:rsidRPr="00206BC9">
              <w:rPr>
                <w:b/>
              </w:rPr>
              <w:t>9,301.3</w:t>
            </w:r>
          </w:p>
        </w:tc>
        <w:tc>
          <w:tcPr>
            <w:tcW w:w="680" w:type="pct"/>
            <w:tcBorders>
              <w:top w:val="single" w:sz="4" w:space="0" w:color="BFBFBF"/>
            </w:tcBorders>
          </w:tcPr>
          <w:p w:rsidR="00735E5A" w:rsidRPr="00767E90" w:rsidRDefault="00735E5A" w:rsidP="00735E5A">
            <w:pPr>
              <w:pStyle w:val="ARtabletextright"/>
              <w:rPr>
                <w:b/>
              </w:rPr>
            </w:pPr>
            <w:r w:rsidRPr="00206BC9">
              <w:rPr>
                <w:b/>
              </w:rPr>
              <w:t>1</w:t>
            </w:r>
            <w:r>
              <w:rPr>
                <w:b/>
              </w:rPr>
              <w:t>,</w:t>
            </w:r>
            <w:r w:rsidRPr="00206BC9">
              <w:rPr>
                <w:b/>
              </w:rPr>
              <w:t>947.2</w:t>
            </w:r>
          </w:p>
        </w:tc>
      </w:tr>
      <w:tr w:rsidR="00735E5A" w:rsidRPr="00705480" w:rsidTr="00735E5A">
        <w:trPr>
          <w:cantSplit/>
        </w:trPr>
        <w:tc>
          <w:tcPr>
            <w:tcW w:w="5000" w:type="pct"/>
            <w:gridSpan w:val="7"/>
            <w:tcBorders>
              <w:bottom w:val="nil"/>
            </w:tcBorders>
          </w:tcPr>
          <w:p w:rsidR="00735E5A" w:rsidRPr="00705480" w:rsidRDefault="00735E5A" w:rsidP="00735E5A">
            <w:pPr>
              <w:pStyle w:val="ARtablegreenbold"/>
              <w:rPr>
                <w:color w:val="004C97"/>
              </w:rPr>
            </w:pPr>
            <w:r w:rsidRPr="00705480">
              <w:rPr>
                <w:color w:val="004C97"/>
              </w:rPr>
              <w:t>Classification</w:t>
            </w:r>
          </w:p>
        </w:tc>
      </w:tr>
      <w:tr w:rsidR="00735E5A" w:rsidRPr="00767E90" w:rsidTr="00735E5A">
        <w:trPr>
          <w:cantSplit/>
        </w:trPr>
        <w:tc>
          <w:tcPr>
            <w:tcW w:w="1139" w:type="pct"/>
            <w:tcBorders>
              <w:top w:val="nil"/>
              <w:bottom w:val="single" w:sz="4" w:space="0" w:color="BFBFBF"/>
            </w:tcBorders>
          </w:tcPr>
          <w:p w:rsidR="00735E5A" w:rsidRPr="00F16F20" w:rsidRDefault="00735E5A" w:rsidP="00735E5A">
            <w:pPr>
              <w:pStyle w:val="ARtabletext"/>
            </w:pPr>
            <w:r w:rsidRPr="00F16F20">
              <w:t>VPS-1</w:t>
            </w:r>
          </w:p>
        </w:tc>
        <w:tc>
          <w:tcPr>
            <w:tcW w:w="635" w:type="pct"/>
            <w:tcBorders>
              <w:top w:val="nil"/>
              <w:bottom w:val="single" w:sz="4" w:space="0" w:color="BFBFBF"/>
            </w:tcBorders>
            <w:vAlign w:val="bottom"/>
          </w:tcPr>
          <w:p w:rsidR="00735E5A" w:rsidRPr="00767E90" w:rsidRDefault="00735E5A" w:rsidP="00735E5A">
            <w:pPr>
              <w:pStyle w:val="ARtabletextright"/>
            </w:pPr>
            <w:r w:rsidRPr="00767E90">
              <w:t>10</w:t>
            </w:r>
          </w:p>
        </w:tc>
        <w:tc>
          <w:tcPr>
            <w:tcW w:w="654" w:type="pct"/>
            <w:tcBorders>
              <w:top w:val="nil"/>
              <w:bottom w:val="single" w:sz="4" w:space="0" w:color="BFBFBF"/>
            </w:tcBorders>
            <w:vAlign w:val="bottom"/>
          </w:tcPr>
          <w:p w:rsidR="00735E5A" w:rsidRPr="00767E90" w:rsidRDefault="00735E5A" w:rsidP="00735E5A">
            <w:pPr>
              <w:pStyle w:val="ARtabletextright"/>
            </w:pPr>
            <w:r w:rsidRPr="00767E90">
              <w:t>7.2</w:t>
            </w:r>
          </w:p>
        </w:tc>
        <w:tc>
          <w:tcPr>
            <w:tcW w:w="575" w:type="pct"/>
            <w:tcBorders>
              <w:top w:val="nil"/>
              <w:bottom w:val="single" w:sz="4" w:space="0" w:color="BFBFBF"/>
            </w:tcBorders>
            <w:vAlign w:val="bottom"/>
          </w:tcPr>
          <w:p w:rsidR="00735E5A" w:rsidRPr="00767E90" w:rsidRDefault="00735E5A" w:rsidP="00735E5A">
            <w:pPr>
              <w:pStyle w:val="ARtabletextright"/>
            </w:pPr>
            <w:r w:rsidRPr="00767E90">
              <w:t>1.5</w:t>
            </w:r>
          </w:p>
        </w:tc>
        <w:tc>
          <w:tcPr>
            <w:tcW w:w="638" w:type="pct"/>
            <w:tcBorders>
              <w:top w:val="nil"/>
              <w:bottom w:val="single" w:sz="4" w:space="0" w:color="BFBFBF"/>
            </w:tcBorders>
            <w:vAlign w:val="bottom"/>
          </w:tcPr>
          <w:p w:rsidR="00735E5A" w:rsidRPr="00767E90" w:rsidRDefault="00735E5A" w:rsidP="00735E5A">
            <w:pPr>
              <w:pStyle w:val="ARtabletextright"/>
            </w:pPr>
            <w:r w:rsidRPr="00767E90">
              <w:t>1</w:t>
            </w:r>
          </w:p>
        </w:tc>
        <w:tc>
          <w:tcPr>
            <w:tcW w:w="680" w:type="pct"/>
            <w:tcBorders>
              <w:top w:val="nil"/>
              <w:bottom w:val="single" w:sz="4" w:space="0" w:color="BFBFBF"/>
            </w:tcBorders>
            <w:vAlign w:val="bottom"/>
          </w:tcPr>
          <w:p w:rsidR="00735E5A" w:rsidRPr="00767E90" w:rsidRDefault="00735E5A" w:rsidP="00735E5A">
            <w:pPr>
              <w:pStyle w:val="ARtabletextright"/>
            </w:pPr>
            <w:r w:rsidRPr="00767E90">
              <w:t>0.2</w:t>
            </w:r>
          </w:p>
        </w:tc>
        <w:tc>
          <w:tcPr>
            <w:tcW w:w="680" w:type="pct"/>
            <w:tcBorders>
              <w:top w:val="nil"/>
              <w:bottom w:val="single" w:sz="4" w:space="0" w:color="BFBFBF"/>
            </w:tcBorders>
            <w:vAlign w:val="bottom"/>
          </w:tcPr>
          <w:p w:rsidR="00735E5A" w:rsidRPr="00767E90" w:rsidRDefault="00735E5A" w:rsidP="00735E5A">
            <w:pPr>
              <w:pStyle w:val="ARtabletextright"/>
            </w:pPr>
            <w:r w:rsidRPr="00767E90">
              <w:t>4.1</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VPS-2</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326</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291</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57.8</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479FD">
              <w:t>304</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262.4</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88.7</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VPS-3</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526</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498.2</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70.1</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479FD">
              <w:t>526</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495.5</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117.9</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VPS-4</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762</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711</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55.8</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479FD">
              <w:t>742</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694.2</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132.5</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VPS-5</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1</w:t>
            </w:r>
            <w:r>
              <w:t>,</w:t>
            </w:r>
            <w:r w:rsidRPr="00767E90">
              <w:t>285</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1</w:t>
            </w:r>
            <w:r>
              <w:t>,</w:t>
            </w:r>
            <w:r w:rsidRPr="00767E90">
              <w:t>193.9</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127.9</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479FD">
              <w:t>1</w:t>
            </w:r>
            <w:r>
              <w:t>,</w:t>
            </w:r>
            <w:r w:rsidRPr="00D479FD">
              <w:t>314</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1</w:t>
            </w:r>
            <w:r>
              <w:t>,</w:t>
            </w:r>
            <w:r w:rsidRPr="00D479FD">
              <w:t>227.7</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218</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VPS-6</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763</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736.9</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90.5</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479FD">
              <w:t>841</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813</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99.8</w:t>
            </w:r>
          </w:p>
        </w:tc>
      </w:tr>
      <w:tr w:rsidR="00735E5A" w:rsidRPr="00767E90" w:rsidTr="00735E5A">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t>SMA</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DA5761">
              <w:t>0</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t>0</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t>0</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479FD">
              <w:t>26</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479FD">
              <w:t>25.6</w:t>
            </w:r>
          </w:p>
        </w:tc>
        <w:tc>
          <w:tcPr>
            <w:tcW w:w="680" w:type="pct"/>
            <w:tcBorders>
              <w:top w:val="single" w:sz="4" w:space="0" w:color="BFBFBF"/>
              <w:bottom w:val="single" w:sz="4" w:space="0" w:color="BFBFBF"/>
            </w:tcBorders>
          </w:tcPr>
          <w:p w:rsidR="00735E5A" w:rsidRDefault="00735E5A" w:rsidP="00735E5A">
            <w:pPr>
              <w:pStyle w:val="ARtabletextright"/>
            </w:pPr>
            <w:r w:rsidRPr="00D479FD">
              <w:t>26.1</w:t>
            </w:r>
          </w:p>
        </w:tc>
      </w:tr>
      <w:tr w:rsidR="00735E5A" w:rsidRPr="00767E90" w:rsidTr="00735E5A">
        <w:tblPrEx>
          <w:tblLook w:val="04A0" w:firstRow="1" w:lastRow="0" w:firstColumn="1" w:lastColumn="0" w:noHBand="0" w:noVBand="1"/>
        </w:tblPrEx>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Senior technical specialist</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15</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14.4</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4</w:t>
            </w:r>
          </w:p>
        </w:tc>
        <w:tc>
          <w:tcPr>
            <w:tcW w:w="638" w:type="pct"/>
            <w:tcBorders>
              <w:top w:val="single" w:sz="4" w:space="0" w:color="BFBFBF"/>
              <w:bottom w:val="single" w:sz="4" w:space="0" w:color="BFBFBF"/>
            </w:tcBorders>
            <w:vAlign w:val="bottom"/>
          </w:tcPr>
          <w:p w:rsidR="00735E5A" w:rsidRPr="00767E90" w:rsidRDefault="00735E5A" w:rsidP="00735E5A">
            <w:pPr>
              <w:pStyle w:val="ARtabletextright"/>
            </w:pPr>
            <w:r w:rsidRPr="00767E90">
              <w:t>16</w:t>
            </w:r>
          </w:p>
        </w:tc>
        <w:tc>
          <w:tcPr>
            <w:tcW w:w="680" w:type="pct"/>
            <w:tcBorders>
              <w:top w:val="single" w:sz="4" w:space="0" w:color="BFBFBF"/>
              <w:bottom w:val="single" w:sz="4" w:space="0" w:color="BFBFBF"/>
            </w:tcBorders>
            <w:vAlign w:val="bottom"/>
          </w:tcPr>
          <w:p w:rsidR="00735E5A" w:rsidRPr="00767E90" w:rsidRDefault="00735E5A" w:rsidP="00735E5A">
            <w:pPr>
              <w:pStyle w:val="ARtabletextright"/>
            </w:pPr>
            <w:r w:rsidRPr="00767E90">
              <w:t>15.6</w:t>
            </w:r>
          </w:p>
        </w:tc>
        <w:tc>
          <w:tcPr>
            <w:tcW w:w="680" w:type="pct"/>
            <w:tcBorders>
              <w:top w:val="single" w:sz="4" w:space="0" w:color="BFBFBF"/>
              <w:bottom w:val="single" w:sz="4" w:space="0" w:color="BFBFBF"/>
            </w:tcBorders>
            <w:vAlign w:val="bottom"/>
          </w:tcPr>
          <w:p w:rsidR="00735E5A" w:rsidRPr="00767E90" w:rsidRDefault="00735E5A" w:rsidP="00735E5A">
            <w:pPr>
              <w:pStyle w:val="ARtabletextright"/>
            </w:pPr>
            <w:r w:rsidRPr="0090656C">
              <w:t>6</w:t>
            </w:r>
          </w:p>
        </w:tc>
      </w:tr>
      <w:tr w:rsidR="00735E5A" w:rsidRPr="00767E90" w:rsidTr="00735E5A">
        <w:tblPrEx>
          <w:tblLook w:val="04A0" w:firstRow="1" w:lastRow="0" w:firstColumn="1" w:lastColumn="0" w:noHBand="0" w:noVBand="1"/>
        </w:tblPrEx>
        <w:trPr>
          <w:cantSplit/>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Allied health</w:t>
            </w:r>
          </w:p>
        </w:tc>
        <w:tc>
          <w:tcPr>
            <w:tcW w:w="635" w:type="pct"/>
            <w:tcBorders>
              <w:top w:val="single" w:sz="4" w:space="0" w:color="BFBFBF"/>
              <w:bottom w:val="single" w:sz="4" w:space="0" w:color="BFBFBF"/>
            </w:tcBorders>
            <w:vAlign w:val="bottom"/>
          </w:tcPr>
          <w:p w:rsidR="00735E5A" w:rsidRPr="00767E90" w:rsidRDefault="00735E5A" w:rsidP="00735E5A">
            <w:pPr>
              <w:pStyle w:val="ARtabletextright"/>
            </w:pPr>
            <w:r w:rsidRPr="00767E90">
              <w:t>231</w:t>
            </w:r>
          </w:p>
        </w:tc>
        <w:tc>
          <w:tcPr>
            <w:tcW w:w="654" w:type="pct"/>
            <w:tcBorders>
              <w:top w:val="single" w:sz="4" w:space="0" w:color="BFBFBF"/>
              <w:bottom w:val="single" w:sz="4" w:space="0" w:color="BFBFBF"/>
            </w:tcBorders>
            <w:vAlign w:val="bottom"/>
          </w:tcPr>
          <w:p w:rsidR="00735E5A" w:rsidRPr="00767E90" w:rsidRDefault="00735E5A" w:rsidP="00735E5A">
            <w:pPr>
              <w:pStyle w:val="ARtabletextright"/>
            </w:pPr>
            <w:r w:rsidRPr="00767E90">
              <w:t>208.7</w:t>
            </w:r>
          </w:p>
        </w:tc>
        <w:tc>
          <w:tcPr>
            <w:tcW w:w="575" w:type="pct"/>
            <w:tcBorders>
              <w:top w:val="single" w:sz="4" w:space="0" w:color="BFBFBF"/>
              <w:bottom w:val="single" w:sz="4" w:space="0" w:color="BFBFBF"/>
            </w:tcBorders>
            <w:vAlign w:val="bottom"/>
          </w:tcPr>
          <w:p w:rsidR="00735E5A" w:rsidRPr="00767E90" w:rsidRDefault="00735E5A" w:rsidP="00735E5A">
            <w:pPr>
              <w:pStyle w:val="ARtabletextright"/>
            </w:pPr>
            <w:r w:rsidRPr="00767E90">
              <w:t>30.3</w:t>
            </w:r>
          </w:p>
        </w:tc>
        <w:tc>
          <w:tcPr>
            <w:tcW w:w="638" w:type="pct"/>
            <w:tcBorders>
              <w:top w:val="single" w:sz="4" w:space="0" w:color="BFBFBF"/>
              <w:bottom w:val="single" w:sz="4" w:space="0" w:color="BFBFBF"/>
            </w:tcBorders>
            <w:vAlign w:val="bottom"/>
          </w:tcPr>
          <w:p w:rsidR="00735E5A" w:rsidRPr="00767E90" w:rsidRDefault="00735E5A" w:rsidP="00735E5A">
            <w:pPr>
              <w:pStyle w:val="ARtabletextright"/>
            </w:pPr>
            <w:r w:rsidRPr="00767E90">
              <w:t>192</w:t>
            </w:r>
          </w:p>
        </w:tc>
        <w:tc>
          <w:tcPr>
            <w:tcW w:w="680" w:type="pct"/>
            <w:tcBorders>
              <w:top w:val="single" w:sz="4" w:space="0" w:color="BFBFBF"/>
              <w:bottom w:val="single" w:sz="4" w:space="0" w:color="BFBFBF"/>
            </w:tcBorders>
            <w:vAlign w:val="bottom"/>
          </w:tcPr>
          <w:p w:rsidR="00735E5A" w:rsidRPr="00767E90" w:rsidRDefault="00735E5A" w:rsidP="00735E5A">
            <w:pPr>
              <w:pStyle w:val="ARtabletextright"/>
            </w:pPr>
            <w:r w:rsidRPr="00767E90">
              <w:t>171.6</w:t>
            </w:r>
          </w:p>
        </w:tc>
        <w:tc>
          <w:tcPr>
            <w:tcW w:w="680" w:type="pct"/>
            <w:tcBorders>
              <w:top w:val="single" w:sz="4" w:space="0" w:color="BFBFBF"/>
              <w:bottom w:val="single" w:sz="4" w:space="0" w:color="BFBFBF"/>
            </w:tcBorders>
            <w:vAlign w:val="bottom"/>
          </w:tcPr>
          <w:p w:rsidR="00735E5A" w:rsidRPr="00767E90" w:rsidRDefault="00735E5A" w:rsidP="00735E5A">
            <w:pPr>
              <w:pStyle w:val="ARtabletextright"/>
            </w:pPr>
            <w:r w:rsidRPr="00AC5220">
              <w:rPr>
                <w:color w:val="000000"/>
              </w:rPr>
              <w:t>29.2</w:t>
            </w:r>
          </w:p>
        </w:tc>
      </w:tr>
      <w:tr w:rsidR="00735E5A" w:rsidRPr="00767E90" w:rsidTr="00735E5A">
        <w:trPr>
          <w:cantSplit/>
          <w:trHeight w:hRule="exact" w:val="510"/>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lastRenderedPageBreak/>
              <w:t>Child protection</w:t>
            </w:r>
            <w:r>
              <w:t xml:space="preserve"> practitioner</w:t>
            </w:r>
          </w:p>
        </w:tc>
        <w:tc>
          <w:tcPr>
            <w:tcW w:w="635"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1</w:t>
            </w:r>
            <w:r>
              <w:rPr>
                <w:color w:val="000000"/>
              </w:rPr>
              <w:t>,</w:t>
            </w:r>
            <w:r w:rsidRPr="00AC5220">
              <w:rPr>
                <w:color w:val="000000"/>
              </w:rPr>
              <w:t>408</w:t>
            </w:r>
          </w:p>
        </w:tc>
        <w:tc>
          <w:tcPr>
            <w:tcW w:w="654" w:type="pct"/>
            <w:tcBorders>
              <w:top w:val="single" w:sz="4" w:space="0" w:color="BFBFBF"/>
              <w:bottom w:val="single" w:sz="4" w:space="0" w:color="BFBFBF"/>
            </w:tcBorders>
          </w:tcPr>
          <w:p w:rsidR="00735E5A" w:rsidRPr="00767E90" w:rsidRDefault="00735E5A" w:rsidP="00735E5A">
            <w:pPr>
              <w:pStyle w:val="ARtabletextright"/>
            </w:pPr>
            <w:r>
              <w:rPr>
                <w:color w:val="000000"/>
              </w:rPr>
              <w:t>1,323.3</w:t>
            </w:r>
          </w:p>
        </w:tc>
        <w:tc>
          <w:tcPr>
            <w:tcW w:w="575" w:type="pct"/>
            <w:tcBorders>
              <w:top w:val="single" w:sz="4" w:space="0" w:color="BFBFBF"/>
              <w:bottom w:val="single" w:sz="4" w:space="0" w:color="BFBFBF"/>
            </w:tcBorders>
          </w:tcPr>
          <w:p w:rsidR="00735E5A" w:rsidRPr="00767E90" w:rsidRDefault="00735E5A" w:rsidP="00735E5A">
            <w:pPr>
              <w:pStyle w:val="ARtabletextright"/>
            </w:pPr>
            <w:r>
              <w:rPr>
                <w:color w:val="000000"/>
              </w:rPr>
              <w:t>186.3</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1</w:t>
            </w:r>
            <w:r>
              <w:rPr>
                <w:color w:val="000000"/>
              </w:rPr>
              <w:t>,</w:t>
            </w:r>
            <w:r w:rsidRPr="00AC5220">
              <w:rPr>
                <w:color w:val="000000"/>
              </w:rPr>
              <w:t>451</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1</w:t>
            </w:r>
            <w:r>
              <w:rPr>
                <w:color w:val="000000"/>
              </w:rPr>
              <w:t>,</w:t>
            </w:r>
            <w:r w:rsidRPr="00AC5220">
              <w:rPr>
                <w:color w:val="000000"/>
              </w:rPr>
              <w:t>359.3</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216.5</w:t>
            </w:r>
          </w:p>
        </w:tc>
      </w:tr>
      <w:tr w:rsidR="00735E5A" w:rsidRPr="00767E90" w:rsidTr="00735E5A">
        <w:trPr>
          <w:cantSplit/>
          <w:trHeight w:hRule="exact" w:val="510"/>
        </w:trPr>
        <w:tc>
          <w:tcPr>
            <w:tcW w:w="1139" w:type="pct"/>
            <w:tcBorders>
              <w:top w:val="single" w:sz="4" w:space="0" w:color="BFBFBF"/>
              <w:bottom w:val="single" w:sz="4" w:space="0" w:color="BFBFBF"/>
            </w:tcBorders>
          </w:tcPr>
          <w:p w:rsidR="00735E5A" w:rsidRPr="00F16F20" w:rsidRDefault="00735E5A" w:rsidP="00735E5A">
            <w:pPr>
              <w:pStyle w:val="ARtabletext"/>
            </w:pPr>
            <w:r>
              <w:t>Children, youth and families</w:t>
            </w:r>
          </w:p>
        </w:tc>
        <w:tc>
          <w:tcPr>
            <w:tcW w:w="635"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336</w:t>
            </w:r>
          </w:p>
        </w:tc>
        <w:tc>
          <w:tcPr>
            <w:tcW w:w="654"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308.5</w:t>
            </w:r>
          </w:p>
        </w:tc>
        <w:tc>
          <w:tcPr>
            <w:tcW w:w="575"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57.1</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177</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AC5220">
              <w:rPr>
                <w:color w:val="000000"/>
              </w:rPr>
              <w:t>159.2</w:t>
            </w:r>
          </w:p>
        </w:tc>
        <w:tc>
          <w:tcPr>
            <w:tcW w:w="680" w:type="pct"/>
            <w:tcBorders>
              <w:top w:val="single" w:sz="4" w:space="0" w:color="BFBFBF"/>
              <w:bottom w:val="single" w:sz="4" w:space="0" w:color="BFBFBF"/>
            </w:tcBorders>
          </w:tcPr>
          <w:p w:rsidR="00735E5A" w:rsidRPr="00767E90" w:rsidRDefault="00735E5A" w:rsidP="00735E5A">
            <w:pPr>
              <w:pStyle w:val="ARtabletextright"/>
            </w:pPr>
            <w:r>
              <w:rPr>
                <w:color w:val="000000"/>
              </w:rPr>
              <w:t>26.4</w:t>
            </w:r>
          </w:p>
        </w:tc>
      </w:tr>
      <w:tr w:rsidR="00735E5A" w:rsidRPr="00767E90" w:rsidTr="00735E5A">
        <w:trPr>
          <w:cantSplit/>
          <w:trHeight w:hRule="exact" w:val="510"/>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Disability development and support</w:t>
            </w:r>
          </w:p>
        </w:tc>
        <w:tc>
          <w:tcPr>
            <w:tcW w:w="635" w:type="pct"/>
            <w:tcBorders>
              <w:top w:val="single" w:sz="4" w:space="0" w:color="BFBFBF"/>
              <w:bottom w:val="single" w:sz="4" w:space="0" w:color="BFBFBF"/>
            </w:tcBorders>
          </w:tcPr>
          <w:p w:rsidR="00735E5A" w:rsidRPr="00767E90" w:rsidRDefault="00735E5A" w:rsidP="00735E5A">
            <w:pPr>
              <w:pStyle w:val="ARtabletextright"/>
            </w:pPr>
            <w:r w:rsidRPr="00767E90">
              <w:t>3</w:t>
            </w:r>
            <w:r>
              <w:t>,</w:t>
            </w:r>
            <w:r w:rsidRPr="00767E90">
              <w:t>960</w:t>
            </w:r>
          </w:p>
        </w:tc>
        <w:tc>
          <w:tcPr>
            <w:tcW w:w="654" w:type="pct"/>
            <w:tcBorders>
              <w:top w:val="single" w:sz="4" w:space="0" w:color="BFBFBF"/>
              <w:bottom w:val="single" w:sz="4" w:space="0" w:color="BFBFBF"/>
            </w:tcBorders>
          </w:tcPr>
          <w:p w:rsidR="00735E5A" w:rsidRPr="00767E90" w:rsidRDefault="00735E5A" w:rsidP="00735E5A">
            <w:pPr>
              <w:pStyle w:val="ARtabletextright"/>
            </w:pPr>
            <w:r w:rsidRPr="00767E90">
              <w:t>3</w:t>
            </w:r>
            <w:r>
              <w:t>,</w:t>
            </w:r>
            <w:r w:rsidRPr="00767E90">
              <w:t>483</w:t>
            </w:r>
          </w:p>
        </w:tc>
        <w:tc>
          <w:tcPr>
            <w:tcW w:w="575" w:type="pct"/>
            <w:tcBorders>
              <w:top w:val="single" w:sz="4" w:space="0" w:color="BFBFBF"/>
              <w:bottom w:val="single" w:sz="4" w:space="0" w:color="BFBFBF"/>
            </w:tcBorders>
          </w:tcPr>
          <w:p w:rsidR="00735E5A" w:rsidRPr="00767E90" w:rsidRDefault="00735E5A" w:rsidP="00735E5A">
            <w:pPr>
              <w:pStyle w:val="ARtabletextright"/>
            </w:pPr>
            <w:r w:rsidRPr="00767E90">
              <w:t>865.4</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767E90">
              <w:t>3</w:t>
            </w:r>
            <w:r>
              <w:t>,</w:t>
            </w:r>
            <w:r w:rsidRPr="00767E90">
              <w:t>887</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767E90">
              <w:t>3</w:t>
            </w:r>
            <w:r>
              <w:t>,</w:t>
            </w:r>
            <w:r w:rsidRPr="00767E90">
              <w:t>417</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767E90">
              <w:t>895.5</w:t>
            </w:r>
          </w:p>
        </w:tc>
      </w:tr>
      <w:tr w:rsidR="00735E5A" w:rsidRPr="00767E90" w:rsidTr="00735E5A">
        <w:trPr>
          <w:cantSplit/>
          <w:trHeight w:hRule="exact" w:val="312"/>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Executives</w:t>
            </w:r>
          </w:p>
        </w:tc>
        <w:tc>
          <w:tcPr>
            <w:tcW w:w="635" w:type="pct"/>
            <w:tcBorders>
              <w:top w:val="single" w:sz="4" w:space="0" w:color="BFBFBF"/>
              <w:bottom w:val="single" w:sz="4" w:space="0" w:color="BFBFBF"/>
            </w:tcBorders>
          </w:tcPr>
          <w:p w:rsidR="00735E5A" w:rsidRPr="00767E90" w:rsidRDefault="00735E5A" w:rsidP="00735E5A">
            <w:pPr>
              <w:pStyle w:val="ARtabletextright"/>
            </w:pPr>
            <w:r w:rsidRPr="00767E90">
              <w:t>120</w:t>
            </w:r>
          </w:p>
        </w:tc>
        <w:tc>
          <w:tcPr>
            <w:tcW w:w="654" w:type="pct"/>
            <w:tcBorders>
              <w:top w:val="single" w:sz="4" w:space="0" w:color="BFBFBF"/>
              <w:bottom w:val="single" w:sz="4" w:space="0" w:color="BFBFBF"/>
            </w:tcBorders>
          </w:tcPr>
          <w:p w:rsidR="00735E5A" w:rsidRPr="00767E90" w:rsidRDefault="00735E5A" w:rsidP="00735E5A">
            <w:pPr>
              <w:pStyle w:val="ARtabletextright"/>
            </w:pPr>
            <w:r w:rsidRPr="00767E90">
              <w:t>119.9</w:t>
            </w:r>
          </w:p>
        </w:tc>
        <w:tc>
          <w:tcPr>
            <w:tcW w:w="575" w:type="pct"/>
            <w:tcBorders>
              <w:top w:val="single" w:sz="4" w:space="0" w:color="BFBFBF"/>
              <w:bottom w:val="single" w:sz="4" w:space="0" w:color="BFBFBF"/>
            </w:tcBorders>
          </w:tcPr>
          <w:p w:rsidR="00735E5A" w:rsidRPr="00767E90" w:rsidRDefault="00735E5A" w:rsidP="00735E5A">
            <w:pPr>
              <w:pStyle w:val="ARtabletextright"/>
            </w:pPr>
            <w:r w:rsidRPr="00767E90">
              <w:t>0</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383A9F">
              <w:t>14</w:t>
            </w:r>
            <w:r>
              <w:t>3</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383A9F">
              <w:t>1</w:t>
            </w:r>
            <w:r>
              <w:t>41.5</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767E90">
              <w:t>0</w:t>
            </w:r>
          </w:p>
        </w:tc>
      </w:tr>
      <w:tr w:rsidR="00735E5A" w:rsidRPr="00767E90" w:rsidTr="00735E5A">
        <w:trPr>
          <w:cantSplit/>
          <w:trHeight w:hRule="exact" w:val="312"/>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Housing services</w:t>
            </w:r>
          </w:p>
        </w:tc>
        <w:tc>
          <w:tcPr>
            <w:tcW w:w="635" w:type="pct"/>
            <w:tcBorders>
              <w:top w:val="single" w:sz="4" w:space="0" w:color="BFBFBF"/>
              <w:bottom w:val="single" w:sz="4" w:space="0" w:color="BFBFBF"/>
            </w:tcBorders>
          </w:tcPr>
          <w:p w:rsidR="00735E5A" w:rsidRPr="00767E90" w:rsidRDefault="00735E5A" w:rsidP="00735E5A">
            <w:pPr>
              <w:pStyle w:val="ARtabletextright"/>
            </w:pPr>
            <w:r w:rsidRPr="00767E90">
              <w:t>458</w:t>
            </w:r>
          </w:p>
        </w:tc>
        <w:tc>
          <w:tcPr>
            <w:tcW w:w="654" w:type="pct"/>
            <w:tcBorders>
              <w:top w:val="single" w:sz="4" w:space="0" w:color="BFBFBF"/>
              <w:bottom w:val="single" w:sz="4" w:space="0" w:color="BFBFBF"/>
            </w:tcBorders>
          </w:tcPr>
          <w:p w:rsidR="00735E5A" w:rsidRPr="00767E90" w:rsidRDefault="00735E5A" w:rsidP="00735E5A">
            <w:pPr>
              <w:pStyle w:val="ARtabletextright"/>
            </w:pPr>
            <w:r w:rsidRPr="00767E90">
              <w:t>417.6</w:t>
            </w:r>
          </w:p>
        </w:tc>
        <w:tc>
          <w:tcPr>
            <w:tcW w:w="575" w:type="pct"/>
            <w:tcBorders>
              <w:top w:val="single" w:sz="4" w:space="0" w:color="BFBFBF"/>
              <w:bottom w:val="single" w:sz="4" w:space="0" w:color="BFBFBF"/>
            </w:tcBorders>
          </w:tcPr>
          <w:p w:rsidR="00735E5A" w:rsidRPr="00767E90" w:rsidRDefault="00735E5A" w:rsidP="00735E5A">
            <w:pPr>
              <w:pStyle w:val="ARtabletextright"/>
            </w:pPr>
            <w:r w:rsidRPr="00767E90">
              <w:t>48.6</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383A9F">
              <w:t>459</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383A9F">
              <w:t>415.9</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767E90">
              <w:t>55.5</w:t>
            </w:r>
          </w:p>
        </w:tc>
      </w:tr>
      <w:tr w:rsidR="00735E5A" w:rsidRPr="00767E90" w:rsidTr="00735E5A">
        <w:trPr>
          <w:cantSplit/>
          <w:trHeight w:hRule="exact" w:val="312"/>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Youth justice</w:t>
            </w:r>
          </w:p>
        </w:tc>
        <w:tc>
          <w:tcPr>
            <w:tcW w:w="635" w:type="pct"/>
            <w:tcBorders>
              <w:top w:val="single" w:sz="4" w:space="0" w:color="BFBFBF"/>
              <w:bottom w:val="single" w:sz="4" w:space="0" w:color="BFBFBF"/>
            </w:tcBorders>
          </w:tcPr>
          <w:p w:rsidR="00735E5A" w:rsidRPr="00767E90" w:rsidRDefault="00735E5A" w:rsidP="00735E5A">
            <w:pPr>
              <w:pStyle w:val="ARtabletextright"/>
            </w:pPr>
            <w:r w:rsidRPr="00767E90">
              <w:t>291</w:t>
            </w:r>
          </w:p>
        </w:tc>
        <w:tc>
          <w:tcPr>
            <w:tcW w:w="654" w:type="pct"/>
            <w:tcBorders>
              <w:top w:val="single" w:sz="4" w:space="0" w:color="BFBFBF"/>
              <w:bottom w:val="single" w:sz="4" w:space="0" w:color="BFBFBF"/>
            </w:tcBorders>
          </w:tcPr>
          <w:p w:rsidR="00735E5A" w:rsidRPr="00767E90" w:rsidRDefault="00735E5A" w:rsidP="00735E5A">
            <w:pPr>
              <w:pStyle w:val="ARtabletextright"/>
            </w:pPr>
            <w:r w:rsidRPr="00767E90">
              <w:t>288.8</w:t>
            </w:r>
          </w:p>
        </w:tc>
        <w:tc>
          <w:tcPr>
            <w:tcW w:w="575" w:type="pct"/>
            <w:tcBorders>
              <w:top w:val="single" w:sz="4" w:space="0" w:color="BFBFBF"/>
              <w:bottom w:val="single" w:sz="4" w:space="0" w:color="BFBFBF"/>
            </w:tcBorders>
          </w:tcPr>
          <w:p w:rsidR="00735E5A" w:rsidRPr="00767E90" w:rsidRDefault="00735E5A" w:rsidP="00735E5A">
            <w:pPr>
              <w:pStyle w:val="ARtabletextright"/>
            </w:pPr>
            <w:r w:rsidRPr="00767E90">
              <w:t>76.3</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767E90">
              <w:t>0</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767E90">
              <w:t>0</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767E90">
              <w:t>0</w:t>
            </w:r>
          </w:p>
        </w:tc>
      </w:tr>
      <w:tr w:rsidR="00735E5A" w:rsidRPr="00767E90" w:rsidTr="00735E5A">
        <w:trPr>
          <w:cantSplit/>
          <w:trHeight w:hRule="exact" w:val="312"/>
        </w:trPr>
        <w:tc>
          <w:tcPr>
            <w:tcW w:w="1139" w:type="pct"/>
            <w:tcBorders>
              <w:top w:val="single" w:sz="4" w:space="0" w:color="BFBFBF"/>
              <w:bottom w:val="single" w:sz="4" w:space="0" w:color="BFBFBF"/>
            </w:tcBorders>
          </w:tcPr>
          <w:p w:rsidR="00735E5A" w:rsidRPr="00F16F20" w:rsidRDefault="00735E5A" w:rsidP="00735E5A">
            <w:pPr>
              <w:pStyle w:val="ARtabletext"/>
            </w:pPr>
            <w:r w:rsidRPr="00F16F20">
              <w:t>Other</w:t>
            </w:r>
          </w:p>
        </w:tc>
        <w:tc>
          <w:tcPr>
            <w:tcW w:w="635" w:type="pct"/>
            <w:tcBorders>
              <w:top w:val="single" w:sz="4" w:space="0" w:color="BFBFBF"/>
              <w:bottom w:val="single" w:sz="4" w:space="0" w:color="BFBFBF"/>
            </w:tcBorders>
          </w:tcPr>
          <w:p w:rsidR="00735E5A" w:rsidRPr="00767E90" w:rsidRDefault="00735E5A" w:rsidP="00735E5A">
            <w:pPr>
              <w:pStyle w:val="ARtabletextright"/>
            </w:pPr>
            <w:r w:rsidRPr="00767E90">
              <w:t>142</w:t>
            </w:r>
          </w:p>
        </w:tc>
        <w:tc>
          <w:tcPr>
            <w:tcW w:w="654" w:type="pct"/>
            <w:tcBorders>
              <w:top w:val="single" w:sz="4" w:space="0" w:color="BFBFBF"/>
              <w:bottom w:val="single" w:sz="4" w:space="0" w:color="BFBFBF"/>
            </w:tcBorders>
          </w:tcPr>
          <w:p w:rsidR="00735E5A" w:rsidRPr="00767E90" w:rsidRDefault="00735E5A" w:rsidP="00735E5A">
            <w:pPr>
              <w:pStyle w:val="ARtabletextright"/>
            </w:pPr>
            <w:r w:rsidRPr="00767E90">
              <w:t>132.9</w:t>
            </w:r>
          </w:p>
        </w:tc>
        <w:tc>
          <w:tcPr>
            <w:tcW w:w="575" w:type="pct"/>
            <w:tcBorders>
              <w:top w:val="single" w:sz="4" w:space="0" w:color="BFBFBF"/>
              <w:bottom w:val="single" w:sz="4" w:space="0" w:color="BFBFBF"/>
            </w:tcBorders>
          </w:tcPr>
          <w:p w:rsidR="00735E5A" w:rsidRPr="00767E90" w:rsidRDefault="00735E5A" w:rsidP="00735E5A">
            <w:pPr>
              <w:pStyle w:val="ARtabletextright"/>
            </w:pPr>
            <w:r w:rsidRPr="00767E90">
              <w:t>45.7</w:t>
            </w:r>
          </w:p>
        </w:tc>
        <w:tc>
          <w:tcPr>
            <w:tcW w:w="638" w:type="pct"/>
            <w:tcBorders>
              <w:top w:val="single" w:sz="4" w:space="0" w:color="BFBFBF"/>
              <w:bottom w:val="single" w:sz="4" w:space="0" w:color="BFBFBF"/>
            </w:tcBorders>
          </w:tcPr>
          <w:p w:rsidR="00735E5A" w:rsidRPr="00767E90" w:rsidRDefault="00735E5A" w:rsidP="00735E5A">
            <w:pPr>
              <w:pStyle w:val="ARtabletextright"/>
            </w:pPr>
            <w:r w:rsidRPr="00DA5761">
              <w:rPr>
                <w:color w:val="000000"/>
                <w:lang w:eastAsia="en-US"/>
              </w:rPr>
              <w:t>111</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A5761">
              <w:rPr>
                <w:color w:val="000000"/>
                <w:lang w:eastAsia="en-US"/>
              </w:rPr>
              <w:t>102.6</w:t>
            </w:r>
          </w:p>
        </w:tc>
        <w:tc>
          <w:tcPr>
            <w:tcW w:w="680" w:type="pct"/>
            <w:tcBorders>
              <w:top w:val="single" w:sz="4" w:space="0" w:color="BFBFBF"/>
              <w:bottom w:val="single" w:sz="4" w:space="0" w:color="BFBFBF"/>
            </w:tcBorders>
          </w:tcPr>
          <w:p w:rsidR="00735E5A" w:rsidRPr="00767E90" w:rsidRDefault="00735E5A" w:rsidP="00735E5A">
            <w:pPr>
              <w:pStyle w:val="ARtabletextright"/>
            </w:pPr>
            <w:r w:rsidRPr="00DA5761">
              <w:rPr>
                <w:color w:val="000000"/>
                <w:lang w:eastAsia="en-US"/>
              </w:rPr>
              <w:t>31</w:t>
            </w:r>
          </w:p>
        </w:tc>
      </w:tr>
      <w:tr w:rsidR="00735E5A" w:rsidRPr="00767E90" w:rsidTr="00735E5A">
        <w:trPr>
          <w:cantSplit/>
        </w:trPr>
        <w:tc>
          <w:tcPr>
            <w:tcW w:w="1139" w:type="pct"/>
            <w:tcBorders>
              <w:top w:val="single" w:sz="4" w:space="0" w:color="BFBFBF"/>
            </w:tcBorders>
          </w:tcPr>
          <w:p w:rsidR="00735E5A" w:rsidRPr="00F16F20" w:rsidRDefault="00735E5A" w:rsidP="00735E5A">
            <w:pPr>
              <w:pStyle w:val="ARtabletext"/>
            </w:pPr>
            <w:r w:rsidRPr="00F16F20">
              <w:t>Total</w:t>
            </w:r>
          </w:p>
        </w:tc>
        <w:tc>
          <w:tcPr>
            <w:tcW w:w="635" w:type="pct"/>
            <w:tcBorders>
              <w:top w:val="single" w:sz="4" w:space="0" w:color="BFBFBF"/>
            </w:tcBorders>
          </w:tcPr>
          <w:p w:rsidR="00735E5A" w:rsidRPr="00767E90" w:rsidRDefault="00735E5A" w:rsidP="00735E5A">
            <w:pPr>
              <w:pStyle w:val="ARtabletextright"/>
              <w:rPr>
                <w:b/>
              </w:rPr>
            </w:pPr>
            <w:r w:rsidRPr="00767E90">
              <w:rPr>
                <w:b/>
              </w:rPr>
              <w:t>10,633</w:t>
            </w:r>
          </w:p>
        </w:tc>
        <w:tc>
          <w:tcPr>
            <w:tcW w:w="654" w:type="pct"/>
            <w:tcBorders>
              <w:top w:val="single" w:sz="4" w:space="0" w:color="BFBFBF"/>
            </w:tcBorders>
          </w:tcPr>
          <w:p w:rsidR="00735E5A" w:rsidRPr="00767E90" w:rsidRDefault="00735E5A" w:rsidP="00735E5A">
            <w:pPr>
              <w:pStyle w:val="ARtabletextright"/>
              <w:rPr>
                <w:b/>
              </w:rPr>
            </w:pPr>
            <w:r w:rsidRPr="00767E90">
              <w:rPr>
                <w:b/>
              </w:rPr>
              <w:t>9,729.8</w:t>
            </w:r>
          </w:p>
        </w:tc>
        <w:tc>
          <w:tcPr>
            <w:tcW w:w="575" w:type="pct"/>
            <w:tcBorders>
              <w:top w:val="single" w:sz="4" w:space="0" w:color="BFBFBF"/>
            </w:tcBorders>
          </w:tcPr>
          <w:p w:rsidR="00735E5A" w:rsidRPr="00767E90" w:rsidRDefault="00735E5A" w:rsidP="00735E5A">
            <w:pPr>
              <w:pStyle w:val="ARtabletextright"/>
              <w:rPr>
                <w:b/>
              </w:rPr>
            </w:pPr>
            <w:r w:rsidRPr="00767E90">
              <w:rPr>
                <w:b/>
              </w:rPr>
              <w:t>1,718.2</w:t>
            </w:r>
          </w:p>
        </w:tc>
        <w:tc>
          <w:tcPr>
            <w:tcW w:w="638" w:type="pct"/>
            <w:tcBorders>
              <w:top w:val="single" w:sz="4" w:space="0" w:color="BFBFBF"/>
            </w:tcBorders>
          </w:tcPr>
          <w:p w:rsidR="00735E5A" w:rsidRPr="00767E90" w:rsidRDefault="00735E5A" w:rsidP="00735E5A">
            <w:pPr>
              <w:pStyle w:val="ARtabletextright"/>
              <w:rPr>
                <w:b/>
              </w:rPr>
            </w:pPr>
            <w:r w:rsidRPr="00206BC9">
              <w:rPr>
                <w:b/>
              </w:rPr>
              <w:t>10,190</w:t>
            </w:r>
          </w:p>
        </w:tc>
        <w:tc>
          <w:tcPr>
            <w:tcW w:w="680" w:type="pct"/>
            <w:tcBorders>
              <w:top w:val="single" w:sz="4" w:space="0" w:color="BFBFBF"/>
            </w:tcBorders>
          </w:tcPr>
          <w:p w:rsidR="00735E5A" w:rsidRPr="00767E90" w:rsidRDefault="00735E5A" w:rsidP="00735E5A">
            <w:pPr>
              <w:pStyle w:val="ARtabletextright"/>
              <w:rPr>
                <w:b/>
              </w:rPr>
            </w:pPr>
            <w:r w:rsidRPr="00206BC9">
              <w:rPr>
                <w:b/>
              </w:rPr>
              <w:t>9</w:t>
            </w:r>
            <w:r>
              <w:rPr>
                <w:b/>
              </w:rPr>
              <w:t>,</w:t>
            </w:r>
            <w:r w:rsidRPr="00206BC9">
              <w:rPr>
                <w:b/>
              </w:rPr>
              <w:t>301.3</w:t>
            </w:r>
          </w:p>
        </w:tc>
        <w:tc>
          <w:tcPr>
            <w:tcW w:w="680" w:type="pct"/>
            <w:tcBorders>
              <w:top w:val="single" w:sz="4" w:space="0" w:color="BFBFBF"/>
            </w:tcBorders>
          </w:tcPr>
          <w:p w:rsidR="00735E5A" w:rsidRPr="00767E90" w:rsidRDefault="00735E5A" w:rsidP="00735E5A">
            <w:pPr>
              <w:pStyle w:val="ARtabletextright"/>
              <w:rPr>
                <w:b/>
              </w:rPr>
            </w:pPr>
            <w:r w:rsidRPr="00206BC9">
              <w:rPr>
                <w:b/>
              </w:rPr>
              <w:t>1</w:t>
            </w:r>
            <w:r>
              <w:rPr>
                <w:b/>
              </w:rPr>
              <w:t>,</w:t>
            </w:r>
            <w:r w:rsidRPr="00206BC9">
              <w:rPr>
                <w:b/>
              </w:rPr>
              <w:t>947.2</w:t>
            </w:r>
          </w:p>
        </w:tc>
      </w:tr>
    </w:tbl>
    <w:p w:rsidR="00735E5A" w:rsidRPr="00767E90" w:rsidRDefault="00735E5A" w:rsidP="00735E5A">
      <w:pPr>
        <w:pStyle w:val="ARtablefootnote"/>
        <w:rPr>
          <w:b/>
        </w:rPr>
      </w:pPr>
      <w:r w:rsidRPr="00767E90">
        <w:rPr>
          <w:b/>
        </w:rPr>
        <w:t>June 2016</w:t>
      </w:r>
    </w:p>
    <w:p w:rsidR="00735E5A" w:rsidRPr="00767E90" w:rsidRDefault="00735E5A" w:rsidP="00735E5A">
      <w:pPr>
        <w:pStyle w:val="ARtablefootnote"/>
      </w:pPr>
      <w:r w:rsidRPr="00767E90">
        <w:t>Includes FTE staff from the Commission for Children and Young People.</w:t>
      </w:r>
    </w:p>
    <w:p w:rsidR="00735E5A" w:rsidRPr="00767E90" w:rsidRDefault="00735E5A" w:rsidP="00735E5A">
      <w:pPr>
        <w:pStyle w:val="ARtablefootnote"/>
      </w:pPr>
      <w:r>
        <w:t>Total</w:t>
      </w:r>
      <w:r w:rsidRPr="00767E90">
        <w:t xml:space="preserve"> ‘child protection</w:t>
      </w:r>
      <w:r>
        <w:t xml:space="preserve"> practitioner</w:t>
      </w:r>
      <w:r w:rsidRPr="00767E90">
        <w:t>’</w:t>
      </w:r>
      <w:r>
        <w:t xml:space="preserve"> FTE at</w:t>
      </w:r>
      <w:r w:rsidRPr="00767E90">
        <w:t xml:space="preserve"> June 2016</w:t>
      </w:r>
      <w:r>
        <w:t xml:space="preserve"> was</w:t>
      </w:r>
      <w:r w:rsidRPr="00767E90">
        <w:t xml:space="preserve"> </w:t>
      </w:r>
      <w:r>
        <w:t>1,509.6, including ongoing, fixed-term and casual employees.</w:t>
      </w:r>
    </w:p>
    <w:p w:rsidR="00735E5A" w:rsidRPr="00767E90" w:rsidRDefault="00735E5A" w:rsidP="00735E5A">
      <w:pPr>
        <w:pStyle w:val="ARtablefootnote"/>
        <w:rPr>
          <w:b/>
        </w:rPr>
      </w:pPr>
      <w:r w:rsidRPr="00767E90">
        <w:rPr>
          <w:b/>
        </w:rPr>
        <w:t>June 2017</w:t>
      </w:r>
    </w:p>
    <w:p w:rsidR="00735E5A" w:rsidRPr="00767E90" w:rsidRDefault="00735E5A" w:rsidP="00735E5A">
      <w:pPr>
        <w:pStyle w:val="ARtablefootnote"/>
      </w:pPr>
      <w:r w:rsidRPr="00767E90">
        <w:t>Includes FTE staff from the Commission for Children.</w:t>
      </w:r>
    </w:p>
    <w:p w:rsidR="00735E5A" w:rsidRDefault="00735E5A" w:rsidP="00735E5A">
      <w:pPr>
        <w:pStyle w:val="ARtablefootnote"/>
      </w:pPr>
      <w:r>
        <w:t>Total</w:t>
      </w:r>
      <w:r w:rsidRPr="00767E90">
        <w:t xml:space="preserve"> ‘child protection</w:t>
      </w:r>
      <w:r>
        <w:t xml:space="preserve"> practitioner</w:t>
      </w:r>
      <w:r w:rsidRPr="00767E90">
        <w:t>’</w:t>
      </w:r>
      <w:r>
        <w:t xml:space="preserve"> FTE at</w:t>
      </w:r>
      <w:r w:rsidRPr="00767E90">
        <w:t xml:space="preserve"> June 2017</w:t>
      </w:r>
      <w:r>
        <w:t xml:space="preserve"> </w:t>
      </w:r>
      <w:r w:rsidRPr="00767E90">
        <w:t>was 1</w:t>
      </w:r>
      <w:r>
        <w:t>,</w:t>
      </w:r>
      <w:r w:rsidRPr="00767E90">
        <w:t>57</w:t>
      </w:r>
      <w:r>
        <w:t>5.8, including ongoing, fixed-term and casual employees.</w:t>
      </w:r>
    </w:p>
    <w:p w:rsidR="00735E5A" w:rsidRDefault="00735E5A" w:rsidP="00735E5A">
      <w:pPr>
        <w:pStyle w:val="ARtablefootnote"/>
      </w:pPr>
      <w:r>
        <w:t>222 FTE CYF classified employees transferred to the Department of Justice and Regulation as a part of the Youth Justice Machinery of Government changes in 2017.</w:t>
      </w:r>
    </w:p>
    <w:p w:rsidR="00735E5A" w:rsidRPr="00767E90" w:rsidRDefault="00735E5A" w:rsidP="00735E5A">
      <w:pPr>
        <w:pStyle w:val="ARtablefootnote"/>
      </w:pPr>
      <w:r w:rsidRPr="008239F2">
        <w:t>143 FTE for executives includes 1 FTE for Safer Care Victori</w:t>
      </w:r>
      <w:r>
        <w:t>a.</w:t>
      </w:r>
    </w:p>
    <w:p w:rsidR="00735E5A" w:rsidRPr="0096010C" w:rsidRDefault="00735E5A" w:rsidP="00735E5A">
      <w:pPr>
        <w:pStyle w:val="Heading3"/>
      </w:pPr>
      <w:bookmarkStart w:id="44" w:name="_Ref492894739"/>
      <w:r w:rsidRPr="0096010C">
        <w:t>Executive officer data</w:t>
      </w:r>
      <w:bookmarkEnd w:id="42"/>
      <w:bookmarkEnd w:id="44"/>
    </w:p>
    <w:p w:rsidR="00735E5A" w:rsidRPr="00FF7C1C" w:rsidRDefault="00735E5A" w:rsidP="00735E5A">
      <w:pPr>
        <w:pStyle w:val="ARbody"/>
      </w:pPr>
      <w:r>
        <w:t>For a department, an executive o</w:t>
      </w:r>
      <w:r w:rsidRPr="00FF7C1C">
        <w:t xml:space="preserve">fficer (EO) is defined as a person employed as an executive under Part 3 of the </w:t>
      </w:r>
      <w:r w:rsidRPr="00FF7C1C">
        <w:rPr>
          <w:i/>
        </w:rPr>
        <w:t xml:space="preserve">Public Administration Act 2004 </w:t>
      </w:r>
      <w:r w:rsidRPr="00FF7C1C">
        <w:t xml:space="preserve">(PAA). For a public body, an EO is defined as an executive under Part 3 of the PAA or a person to whom the Victorian Government’s </w:t>
      </w:r>
      <w:r w:rsidRPr="005D353C">
        <w:rPr>
          <w:i/>
        </w:rPr>
        <w:t>Policy on executive remuneration in public</w:t>
      </w:r>
      <w:r w:rsidRPr="00FF7C1C">
        <w:t xml:space="preserve"> entities applies. All figures reflect employment levels at the last full pay period in June of the current and corresponding previous reporting year.</w:t>
      </w:r>
    </w:p>
    <w:p w:rsidR="00735E5A" w:rsidRPr="00FF7C1C" w:rsidRDefault="00735E5A" w:rsidP="00735E5A">
      <w:pPr>
        <w:pStyle w:val="ARbody"/>
      </w:pPr>
      <w:r w:rsidRPr="00FF7C1C">
        <w:t xml:space="preserve">The definition of an EO does not include a statutory office holder or </w:t>
      </w:r>
      <w:r>
        <w:t>a responsible body</w:t>
      </w:r>
      <w:r w:rsidRPr="00FF7C1C">
        <w:t>.</w:t>
      </w:r>
    </w:p>
    <w:p w:rsidR="00735E5A" w:rsidRPr="00FF7C1C" w:rsidRDefault="00735E5A" w:rsidP="00735E5A">
      <w:pPr>
        <w:pStyle w:val="ARbody"/>
      </w:pPr>
      <w:r w:rsidRPr="00FF7C1C">
        <w:t>The following tables disclose</w:t>
      </w:r>
      <w:r>
        <w:t xml:space="preserve"> the EOs of the d</w:t>
      </w:r>
      <w:r w:rsidRPr="00FF7C1C">
        <w:t>epartment and its portfolio agencies for 30 June 2017:</w:t>
      </w:r>
    </w:p>
    <w:p w:rsidR="00735E5A" w:rsidRPr="00FF7C1C" w:rsidRDefault="00735E5A" w:rsidP="00735E5A">
      <w:pPr>
        <w:pStyle w:val="ARbullet1"/>
        <w:numPr>
          <w:ilvl w:val="0"/>
          <w:numId w:val="74"/>
        </w:numPr>
      </w:pPr>
      <w:r w:rsidRPr="00FF7C1C">
        <w:t>Table 1 discloses th</w:t>
      </w:r>
      <w:r>
        <w:t>e total numbers of EOs for the d</w:t>
      </w:r>
      <w:r w:rsidRPr="00FF7C1C">
        <w:t>epartment, broken down by gender</w:t>
      </w:r>
    </w:p>
    <w:p w:rsidR="00735E5A" w:rsidRDefault="00735E5A" w:rsidP="00735E5A">
      <w:pPr>
        <w:pStyle w:val="ARbullet1"/>
      </w:pPr>
      <w:r w:rsidRPr="00FF7C1C">
        <w:t xml:space="preserve">Table 2 </w:t>
      </w:r>
      <w:r w:rsidRPr="008239F2">
        <w:t>discloses the total numbers of EOs for Safer Care Victoria, broken down by gender</w:t>
      </w:r>
    </w:p>
    <w:p w:rsidR="00735E5A" w:rsidRPr="00FF7C1C" w:rsidRDefault="00735E5A" w:rsidP="00735E5A">
      <w:pPr>
        <w:pStyle w:val="ARbullet1"/>
        <w:numPr>
          <w:ilvl w:val="0"/>
          <w:numId w:val="74"/>
        </w:numPr>
      </w:pPr>
      <w:r>
        <w:t xml:space="preserve">Table 3 </w:t>
      </w:r>
      <w:r w:rsidRPr="00FF7C1C">
        <w:t xml:space="preserve">provides a reconciliation of executive numbers presented between the report of operations and Note </w:t>
      </w:r>
      <w:r>
        <w:t>9.7</w:t>
      </w:r>
      <w:r w:rsidRPr="00FF7C1C">
        <w:t xml:space="preserve"> ‘Remuneration of executives’ in the financial statements</w:t>
      </w:r>
    </w:p>
    <w:p w:rsidR="00735E5A" w:rsidRPr="00FF7C1C" w:rsidRDefault="00735E5A" w:rsidP="00735E5A">
      <w:pPr>
        <w:pStyle w:val="ARbullet1"/>
        <w:numPr>
          <w:ilvl w:val="0"/>
          <w:numId w:val="74"/>
        </w:numPr>
      </w:pPr>
      <w:r w:rsidRPr="00FF7C1C">
        <w:t xml:space="preserve">Table </w:t>
      </w:r>
      <w:r>
        <w:t>4</w:t>
      </w:r>
      <w:r w:rsidRPr="00FF7C1C">
        <w:t xml:space="preserve"> provides the total ex</w:t>
      </w:r>
      <w:r>
        <w:t>ecutive numbers for all of the d</w:t>
      </w:r>
      <w:r w:rsidRPr="00FF7C1C">
        <w:t>epartment’s portfolio agencies</w:t>
      </w:r>
      <w:r>
        <w:t>.</w:t>
      </w:r>
    </w:p>
    <w:p w:rsidR="00735E5A" w:rsidRPr="008616BB" w:rsidRDefault="00735E5A" w:rsidP="00735E5A">
      <w:pPr>
        <w:pStyle w:val="ARtablecaption"/>
      </w:pPr>
      <w:r w:rsidRPr="008616BB">
        <w:t xml:space="preserve">Table 1: Total number of EOs for the </w:t>
      </w:r>
      <w:r>
        <w:t>de</w:t>
      </w:r>
      <w:r w:rsidRPr="008616BB">
        <w:t>partment, broken down into gender</w:t>
      </w:r>
    </w:p>
    <w:p w:rsidR="00735E5A" w:rsidRPr="00FF7C1C" w:rsidRDefault="00735E5A" w:rsidP="00735E5A">
      <w:pPr>
        <w:pStyle w:val="ARtablecolhead"/>
      </w:pPr>
      <w:r w:rsidRPr="00FF7C1C">
        <w:t>Department of Health and Human Services</w:t>
      </w:r>
    </w:p>
    <w:tbl>
      <w:tblPr>
        <w:tblStyle w:val="TableGrid"/>
        <w:tblW w:w="9639" w:type="dxa"/>
        <w:tblLayout w:type="fixed"/>
        <w:tblLook w:val="06A0" w:firstRow="1" w:lastRow="0" w:firstColumn="1" w:lastColumn="0" w:noHBand="1" w:noVBand="1"/>
      </w:tblPr>
      <w:tblGrid>
        <w:gridCol w:w="3211"/>
        <w:gridCol w:w="1057"/>
        <w:gridCol w:w="1057"/>
        <w:gridCol w:w="1057"/>
        <w:gridCol w:w="893"/>
        <w:gridCol w:w="1205"/>
        <w:gridCol w:w="1159"/>
      </w:tblGrid>
      <w:tr w:rsidR="00735E5A" w:rsidRPr="00FF7C1C" w:rsidTr="00735E5A">
        <w:trPr>
          <w:cnfStyle w:val="100000000000" w:firstRow="1" w:lastRow="0" w:firstColumn="0" w:lastColumn="0" w:oddVBand="0" w:evenVBand="0" w:oddHBand="0" w:evenHBand="0" w:firstRowFirstColumn="0" w:firstRowLastColumn="0" w:lastRowFirstColumn="0" w:lastRowLastColumn="0"/>
          <w:tblHeader/>
        </w:trPr>
        <w:tc>
          <w:tcPr>
            <w:tcW w:w="3211" w:type="dxa"/>
          </w:tcPr>
          <w:p w:rsidR="00735E5A" w:rsidRPr="00BA2C77" w:rsidRDefault="00735E5A" w:rsidP="00735E5A">
            <w:pPr>
              <w:pStyle w:val="ARfintablecolheadcentre"/>
            </w:pPr>
          </w:p>
        </w:tc>
        <w:tc>
          <w:tcPr>
            <w:tcW w:w="2114" w:type="dxa"/>
            <w:gridSpan w:val="2"/>
          </w:tcPr>
          <w:p w:rsidR="00735E5A" w:rsidRPr="001E48D2" w:rsidRDefault="00735E5A" w:rsidP="00735E5A">
            <w:pPr>
              <w:pStyle w:val="ARtablecolhead"/>
              <w:ind w:left="567"/>
              <w:jc w:val="center"/>
              <w:cnfStyle w:val="000000000000" w:firstRow="0" w:lastRow="0" w:firstColumn="0" w:lastColumn="0" w:oddVBand="0" w:evenVBand="0" w:oddHBand="0" w:evenHBand="0" w:firstRowFirstColumn="0" w:firstRowLastColumn="0" w:lastRowFirstColumn="0" w:lastRowLastColumn="0"/>
            </w:pPr>
            <w:r w:rsidRPr="001E48D2">
              <w:t>All</w:t>
            </w:r>
          </w:p>
        </w:tc>
        <w:tc>
          <w:tcPr>
            <w:tcW w:w="1950" w:type="dxa"/>
            <w:gridSpan w:val="2"/>
          </w:tcPr>
          <w:p w:rsidR="00735E5A" w:rsidRPr="001E48D2" w:rsidRDefault="00735E5A" w:rsidP="00735E5A">
            <w:pPr>
              <w:pStyle w:val="ARtablecolhead"/>
              <w:ind w:left="567"/>
              <w:jc w:val="center"/>
              <w:cnfStyle w:val="000000000000" w:firstRow="0" w:lastRow="0" w:firstColumn="0" w:lastColumn="0" w:oddVBand="0" w:evenVBand="0" w:oddHBand="0" w:evenHBand="0" w:firstRowFirstColumn="0" w:firstRowLastColumn="0" w:lastRowFirstColumn="0" w:lastRowLastColumn="0"/>
            </w:pPr>
            <w:r w:rsidRPr="001E48D2">
              <w:t>Male</w:t>
            </w:r>
          </w:p>
        </w:tc>
        <w:tc>
          <w:tcPr>
            <w:tcW w:w="2364" w:type="dxa"/>
            <w:gridSpan w:val="2"/>
          </w:tcPr>
          <w:p w:rsidR="00735E5A" w:rsidRPr="001E48D2" w:rsidRDefault="00735E5A" w:rsidP="00735E5A">
            <w:pPr>
              <w:pStyle w:val="ARtablecolhead"/>
              <w:ind w:left="567"/>
              <w:jc w:val="center"/>
              <w:cnfStyle w:val="000000000000" w:firstRow="0" w:lastRow="0" w:firstColumn="0" w:lastColumn="0" w:oddVBand="0" w:evenVBand="0" w:oddHBand="0" w:evenHBand="0" w:firstRowFirstColumn="0" w:firstRowLastColumn="0" w:lastRowFirstColumn="0" w:lastRowLastColumn="0"/>
            </w:pPr>
            <w:r w:rsidRPr="001E48D2">
              <w:t>Female</w:t>
            </w:r>
          </w:p>
        </w:tc>
      </w:tr>
      <w:tr w:rsidR="00735E5A" w:rsidRPr="00FF7C1C" w:rsidTr="00735E5A">
        <w:trPr>
          <w:cnfStyle w:val="100000000000" w:firstRow="1" w:lastRow="0" w:firstColumn="0" w:lastColumn="0" w:oddVBand="0" w:evenVBand="0" w:oddHBand="0" w:evenHBand="0" w:firstRowFirstColumn="0" w:firstRowLastColumn="0" w:lastRowFirstColumn="0" w:lastRowLastColumn="0"/>
          <w:tblHeader/>
        </w:trPr>
        <w:tc>
          <w:tcPr>
            <w:tcW w:w="3211" w:type="dxa"/>
          </w:tcPr>
          <w:p w:rsidR="00735E5A" w:rsidRPr="00FF7C1C" w:rsidRDefault="00735E5A" w:rsidP="00735E5A">
            <w:pPr>
              <w:pStyle w:val="ARtablecolhead"/>
            </w:pPr>
            <w:r w:rsidRPr="00FF7C1C">
              <w:t>Class</w:t>
            </w:r>
          </w:p>
        </w:tc>
        <w:tc>
          <w:tcPr>
            <w:tcW w:w="1057" w:type="dxa"/>
          </w:tcPr>
          <w:p w:rsidR="00735E5A" w:rsidRPr="00FF7C1C"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FF7C1C">
              <w:t>No.</w:t>
            </w:r>
          </w:p>
        </w:tc>
        <w:tc>
          <w:tcPr>
            <w:tcW w:w="1057" w:type="dxa"/>
          </w:tcPr>
          <w:p w:rsidR="00735E5A" w:rsidRPr="00FF7C1C"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FF7C1C">
              <w:t>Var.</w:t>
            </w:r>
          </w:p>
        </w:tc>
        <w:tc>
          <w:tcPr>
            <w:tcW w:w="1057" w:type="dxa"/>
          </w:tcPr>
          <w:p w:rsidR="00735E5A" w:rsidRPr="00FF7C1C"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FF7C1C">
              <w:t>No.</w:t>
            </w:r>
          </w:p>
        </w:tc>
        <w:tc>
          <w:tcPr>
            <w:tcW w:w="893" w:type="dxa"/>
          </w:tcPr>
          <w:p w:rsidR="00735E5A" w:rsidRPr="00FF7C1C"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FF7C1C">
              <w:t>Var.</w:t>
            </w:r>
          </w:p>
        </w:tc>
        <w:tc>
          <w:tcPr>
            <w:tcW w:w="1205" w:type="dxa"/>
          </w:tcPr>
          <w:p w:rsidR="00735E5A" w:rsidRPr="00FF7C1C"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FF7C1C">
              <w:t>No.</w:t>
            </w:r>
          </w:p>
        </w:tc>
        <w:tc>
          <w:tcPr>
            <w:tcW w:w="1159" w:type="dxa"/>
          </w:tcPr>
          <w:p w:rsidR="00735E5A" w:rsidRPr="00FF7C1C"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FF7C1C">
              <w:t>Var.</w:t>
            </w:r>
          </w:p>
        </w:tc>
      </w:tr>
      <w:tr w:rsidR="00735E5A" w:rsidRPr="00FF7C1C" w:rsidTr="00735E5A">
        <w:trPr>
          <w:trHeight w:hRule="exact" w:val="340"/>
        </w:trPr>
        <w:tc>
          <w:tcPr>
            <w:tcW w:w="0" w:type="dxa"/>
          </w:tcPr>
          <w:p w:rsidR="00735E5A" w:rsidRPr="00FF7C1C" w:rsidRDefault="00735E5A" w:rsidP="00735E5A">
            <w:pPr>
              <w:pStyle w:val="ARtabletext"/>
            </w:pPr>
            <w:r>
              <w:t>Secretary</w:t>
            </w:r>
          </w:p>
        </w:tc>
        <w:tc>
          <w:tcPr>
            <w:tcW w:w="0" w:type="dxa"/>
          </w:tcPr>
          <w:p w:rsidR="00735E5A" w:rsidRPr="00FF7C1C" w:rsidRDefault="00735E5A" w:rsidP="00735E5A">
            <w:pPr>
              <w:pStyle w:val="ARtabletextright"/>
            </w:pPr>
            <w:r w:rsidRPr="001743C3">
              <w:t>1</w:t>
            </w:r>
          </w:p>
        </w:tc>
        <w:tc>
          <w:tcPr>
            <w:tcW w:w="0" w:type="dxa"/>
          </w:tcPr>
          <w:p w:rsidR="00735E5A" w:rsidRPr="00FF7C1C" w:rsidRDefault="00735E5A" w:rsidP="00735E5A">
            <w:pPr>
              <w:pStyle w:val="ARtabletextright"/>
            </w:pPr>
            <w:r w:rsidRPr="001743C3">
              <w:t>0</w:t>
            </w:r>
          </w:p>
        </w:tc>
        <w:tc>
          <w:tcPr>
            <w:tcW w:w="0" w:type="dxa"/>
          </w:tcPr>
          <w:p w:rsidR="00735E5A" w:rsidRPr="00FF7C1C" w:rsidRDefault="00735E5A" w:rsidP="00735E5A">
            <w:pPr>
              <w:pStyle w:val="ARtabletextright"/>
            </w:pPr>
            <w:r w:rsidRPr="001743C3">
              <w:t>0</w:t>
            </w:r>
          </w:p>
        </w:tc>
        <w:tc>
          <w:tcPr>
            <w:tcW w:w="0" w:type="dxa"/>
          </w:tcPr>
          <w:p w:rsidR="00735E5A" w:rsidRPr="00FF7C1C" w:rsidRDefault="00735E5A" w:rsidP="00735E5A">
            <w:pPr>
              <w:pStyle w:val="ARtabletextright"/>
            </w:pPr>
            <w:r w:rsidRPr="001743C3">
              <w:t>0</w:t>
            </w:r>
          </w:p>
        </w:tc>
        <w:tc>
          <w:tcPr>
            <w:tcW w:w="0" w:type="dxa"/>
          </w:tcPr>
          <w:p w:rsidR="00735E5A" w:rsidRPr="00FF7C1C" w:rsidRDefault="00735E5A" w:rsidP="00735E5A">
            <w:pPr>
              <w:pStyle w:val="ARtabletextright"/>
            </w:pPr>
            <w:r w:rsidRPr="001743C3">
              <w:t>1</w:t>
            </w:r>
          </w:p>
        </w:tc>
        <w:tc>
          <w:tcPr>
            <w:tcW w:w="0" w:type="dxa"/>
          </w:tcPr>
          <w:p w:rsidR="00735E5A" w:rsidRPr="00FF7C1C" w:rsidRDefault="00735E5A" w:rsidP="00735E5A">
            <w:pPr>
              <w:pStyle w:val="ARtabletextright"/>
            </w:pPr>
            <w:r w:rsidRPr="001743C3">
              <w:t>0</w:t>
            </w:r>
          </w:p>
        </w:tc>
      </w:tr>
      <w:tr w:rsidR="00735E5A" w:rsidRPr="00FF7C1C" w:rsidTr="00735E5A">
        <w:trPr>
          <w:trHeight w:hRule="exact" w:val="340"/>
        </w:trPr>
        <w:tc>
          <w:tcPr>
            <w:tcW w:w="0" w:type="dxa"/>
          </w:tcPr>
          <w:p w:rsidR="00735E5A" w:rsidRPr="00EC568C" w:rsidRDefault="00735E5A" w:rsidP="00735E5A">
            <w:pPr>
              <w:pStyle w:val="ARtabletext"/>
            </w:pPr>
            <w:r>
              <w:t>EO-</w:t>
            </w:r>
            <w:r w:rsidRPr="00EC568C">
              <w:t>1</w:t>
            </w:r>
          </w:p>
        </w:tc>
        <w:tc>
          <w:tcPr>
            <w:tcW w:w="0" w:type="dxa"/>
          </w:tcPr>
          <w:p w:rsidR="00735E5A" w:rsidRPr="00FF7C1C" w:rsidRDefault="00735E5A" w:rsidP="00735E5A">
            <w:pPr>
              <w:pStyle w:val="ARtabletextright"/>
            </w:pPr>
            <w:r w:rsidRPr="001743C3">
              <w:t>5</w:t>
            </w:r>
          </w:p>
        </w:tc>
        <w:tc>
          <w:tcPr>
            <w:tcW w:w="0" w:type="dxa"/>
          </w:tcPr>
          <w:p w:rsidR="00735E5A" w:rsidRPr="00FF7C1C" w:rsidRDefault="00735E5A" w:rsidP="00735E5A">
            <w:pPr>
              <w:pStyle w:val="ARtabletextright"/>
            </w:pPr>
            <w:r w:rsidRPr="001743C3">
              <w:t>1</w:t>
            </w:r>
          </w:p>
        </w:tc>
        <w:tc>
          <w:tcPr>
            <w:tcW w:w="0" w:type="dxa"/>
          </w:tcPr>
          <w:p w:rsidR="00735E5A" w:rsidRPr="00FF7C1C" w:rsidRDefault="00735E5A" w:rsidP="00735E5A">
            <w:pPr>
              <w:pStyle w:val="ARtabletextright"/>
            </w:pPr>
            <w:r>
              <w:t>2</w:t>
            </w:r>
          </w:p>
        </w:tc>
        <w:tc>
          <w:tcPr>
            <w:tcW w:w="0" w:type="dxa"/>
          </w:tcPr>
          <w:p w:rsidR="00735E5A" w:rsidRPr="00FF7C1C" w:rsidRDefault="00735E5A" w:rsidP="00735E5A">
            <w:pPr>
              <w:pStyle w:val="ARtabletextright"/>
            </w:pPr>
            <w:r>
              <w:t>0</w:t>
            </w:r>
          </w:p>
        </w:tc>
        <w:tc>
          <w:tcPr>
            <w:tcW w:w="0" w:type="dxa"/>
          </w:tcPr>
          <w:p w:rsidR="00735E5A" w:rsidRPr="00FF7C1C" w:rsidRDefault="00735E5A" w:rsidP="00735E5A">
            <w:pPr>
              <w:pStyle w:val="ARtabletextright"/>
            </w:pPr>
            <w:r w:rsidRPr="001743C3">
              <w:t>3</w:t>
            </w:r>
          </w:p>
        </w:tc>
        <w:tc>
          <w:tcPr>
            <w:tcW w:w="0" w:type="dxa"/>
          </w:tcPr>
          <w:p w:rsidR="00735E5A" w:rsidRPr="00FF7C1C" w:rsidRDefault="00735E5A" w:rsidP="00735E5A">
            <w:pPr>
              <w:pStyle w:val="ARtabletextright"/>
            </w:pPr>
            <w:r w:rsidRPr="001743C3">
              <w:t>1</w:t>
            </w:r>
          </w:p>
        </w:tc>
      </w:tr>
      <w:tr w:rsidR="00735E5A" w:rsidRPr="00FF7C1C" w:rsidTr="00735E5A">
        <w:trPr>
          <w:trHeight w:hRule="exact" w:val="340"/>
        </w:trPr>
        <w:tc>
          <w:tcPr>
            <w:tcW w:w="0" w:type="dxa"/>
          </w:tcPr>
          <w:p w:rsidR="00735E5A" w:rsidRPr="00FF7C1C" w:rsidRDefault="00735E5A" w:rsidP="00735E5A">
            <w:pPr>
              <w:pStyle w:val="ARtabletext"/>
            </w:pPr>
            <w:r>
              <w:t>EO-</w:t>
            </w:r>
            <w:r w:rsidRPr="00FF7C1C">
              <w:t>2</w:t>
            </w:r>
          </w:p>
        </w:tc>
        <w:tc>
          <w:tcPr>
            <w:tcW w:w="0" w:type="dxa"/>
          </w:tcPr>
          <w:p w:rsidR="00735E5A" w:rsidRPr="00FF7C1C" w:rsidRDefault="00735E5A" w:rsidP="00735E5A">
            <w:pPr>
              <w:pStyle w:val="ARtabletextright"/>
            </w:pPr>
            <w:r w:rsidRPr="001743C3">
              <w:t>59</w:t>
            </w:r>
          </w:p>
        </w:tc>
        <w:tc>
          <w:tcPr>
            <w:tcW w:w="0" w:type="dxa"/>
          </w:tcPr>
          <w:p w:rsidR="00735E5A" w:rsidRPr="00FF7C1C" w:rsidRDefault="00735E5A" w:rsidP="00735E5A">
            <w:pPr>
              <w:pStyle w:val="ARtabletextright"/>
            </w:pPr>
            <w:r w:rsidRPr="001743C3">
              <w:t>6</w:t>
            </w:r>
          </w:p>
        </w:tc>
        <w:tc>
          <w:tcPr>
            <w:tcW w:w="0" w:type="dxa"/>
          </w:tcPr>
          <w:p w:rsidR="00735E5A" w:rsidRPr="00FF7C1C" w:rsidRDefault="00735E5A" w:rsidP="00735E5A">
            <w:pPr>
              <w:pStyle w:val="ARtabletextright"/>
            </w:pPr>
            <w:r w:rsidRPr="001743C3">
              <w:t>23</w:t>
            </w:r>
          </w:p>
        </w:tc>
        <w:tc>
          <w:tcPr>
            <w:tcW w:w="0" w:type="dxa"/>
          </w:tcPr>
          <w:p w:rsidR="00735E5A" w:rsidRPr="00FF7C1C" w:rsidRDefault="00735E5A" w:rsidP="00735E5A">
            <w:pPr>
              <w:pStyle w:val="ARtabletextright"/>
            </w:pPr>
            <w:r w:rsidRPr="001743C3">
              <w:t>(5)</w:t>
            </w:r>
          </w:p>
        </w:tc>
        <w:tc>
          <w:tcPr>
            <w:tcW w:w="0" w:type="dxa"/>
          </w:tcPr>
          <w:p w:rsidR="00735E5A" w:rsidRPr="00FF7C1C" w:rsidRDefault="00735E5A" w:rsidP="00735E5A">
            <w:pPr>
              <w:pStyle w:val="ARtabletextright"/>
            </w:pPr>
            <w:r w:rsidRPr="001743C3">
              <w:t>36</w:t>
            </w:r>
          </w:p>
        </w:tc>
        <w:tc>
          <w:tcPr>
            <w:tcW w:w="0" w:type="dxa"/>
          </w:tcPr>
          <w:p w:rsidR="00735E5A" w:rsidRPr="00FF7C1C" w:rsidRDefault="00735E5A" w:rsidP="00735E5A">
            <w:pPr>
              <w:pStyle w:val="ARtabletextright"/>
            </w:pPr>
            <w:r w:rsidRPr="001743C3">
              <w:t>11</w:t>
            </w:r>
          </w:p>
        </w:tc>
      </w:tr>
      <w:tr w:rsidR="00735E5A" w:rsidRPr="00FF7C1C" w:rsidTr="00735E5A">
        <w:trPr>
          <w:trHeight w:hRule="exact" w:val="340"/>
        </w:trPr>
        <w:tc>
          <w:tcPr>
            <w:tcW w:w="0" w:type="dxa"/>
          </w:tcPr>
          <w:p w:rsidR="00735E5A" w:rsidRPr="00FF7C1C" w:rsidRDefault="00735E5A" w:rsidP="00735E5A">
            <w:pPr>
              <w:pStyle w:val="ARtabletext"/>
            </w:pPr>
            <w:r>
              <w:t>EO-</w:t>
            </w:r>
            <w:r w:rsidRPr="00FF7C1C">
              <w:t>3</w:t>
            </w:r>
          </w:p>
        </w:tc>
        <w:tc>
          <w:tcPr>
            <w:tcW w:w="0" w:type="dxa"/>
          </w:tcPr>
          <w:p w:rsidR="00735E5A" w:rsidRPr="00FF7C1C" w:rsidRDefault="00735E5A" w:rsidP="00735E5A">
            <w:pPr>
              <w:pStyle w:val="ARtabletextright"/>
            </w:pPr>
            <w:r w:rsidRPr="001743C3">
              <w:t>77</w:t>
            </w:r>
          </w:p>
        </w:tc>
        <w:tc>
          <w:tcPr>
            <w:tcW w:w="0" w:type="dxa"/>
          </w:tcPr>
          <w:p w:rsidR="00735E5A" w:rsidRPr="00FF7C1C" w:rsidRDefault="00735E5A" w:rsidP="00735E5A">
            <w:pPr>
              <w:pStyle w:val="ARtabletextright"/>
            </w:pPr>
            <w:r w:rsidRPr="001743C3">
              <w:t>10</w:t>
            </w:r>
          </w:p>
        </w:tc>
        <w:tc>
          <w:tcPr>
            <w:tcW w:w="0" w:type="dxa"/>
          </w:tcPr>
          <w:p w:rsidR="00735E5A" w:rsidRPr="00FF7C1C" w:rsidRDefault="00735E5A" w:rsidP="00735E5A">
            <w:pPr>
              <w:pStyle w:val="ARtabletextright"/>
            </w:pPr>
            <w:r w:rsidRPr="001743C3">
              <w:t>22</w:t>
            </w:r>
          </w:p>
        </w:tc>
        <w:tc>
          <w:tcPr>
            <w:tcW w:w="0" w:type="dxa"/>
          </w:tcPr>
          <w:p w:rsidR="00735E5A" w:rsidRPr="00FF7C1C" w:rsidRDefault="00735E5A" w:rsidP="00735E5A">
            <w:pPr>
              <w:pStyle w:val="ARtabletextright"/>
            </w:pPr>
            <w:r w:rsidRPr="001743C3">
              <w:t>0</w:t>
            </w:r>
          </w:p>
        </w:tc>
        <w:tc>
          <w:tcPr>
            <w:tcW w:w="0" w:type="dxa"/>
          </w:tcPr>
          <w:p w:rsidR="00735E5A" w:rsidRPr="00FF7C1C" w:rsidRDefault="00735E5A" w:rsidP="00735E5A">
            <w:pPr>
              <w:pStyle w:val="ARtabletextright"/>
            </w:pPr>
            <w:r w:rsidRPr="001743C3">
              <w:t>55</w:t>
            </w:r>
          </w:p>
        </w:tc>
        <w:tc>
          <w:tcPr>
            <w:tcW w:w="0" w:type="dxa"/>
          </w:tcPr>
          <w:p w:rsidR="00735E5A" w:rsidRPr="00FF7C1C" w:rsidRDefault="00735E5A" w:rsidP="00735E5A">
            <w:pPr>
              <w:pStyle w:val="ARtabletextright"/>
            </w:pPr>
            <w:r w:rsidRPr="001743C3">
              <w:t>10</w:t>
            </w:r>
          </w:p>
        </w:tc>
      </w:tr>
      <w:tr w:rsidR="00735E5A" w:rsidRPr="00FF7C1C" w:rsidTr="00735E5A">
        <w:trPr>
          <w:trHeight w:hRule="exact" w:val="340"/>
        </w:trPr>
        <w:tc>
          <w:tcPr>
            <w:tcW w:w="0" w:type="dxa"/>
          </w:tcPr>
          <w:p w:rsidR="00735E5A" w:rsidRPr="00FF7C1C" w:rsidRDefault="00735E5A" w:rsidP="00735E5A">
            <w:pPr>
              <w:pStyle w:val="ARtabletext"/>
            </w:pPr>
            <w:r w:rsidRPr="00FF7C1C">
              <w:t>Total</w:t>
            </w:r>
          </w:p>
        </w:tc>
        <w:tc>
          <w:tcPr>
            <w:tcW w:w="0" w:type="dxa"/>
          </w:tcPr>
          <w:p w:rsidR="00735E5A" w:rsidRPr="00FF7C1C" w:rsidRDefault="00735E5A" w:rsidP="00735E5A">
            <w:pPr>
              <w:pStyle w:val="ARtabletextright"/>
            </w:pPr>
            <w:r w:rsidRPr="001743C3">
              <w:t>142</w:t>
            </w:r>
          </w:p>
        </w:tc>
        <w:tc>
          <w:tcPr>
            <w:tcW w:w="0" w:type="dxa"/>
          </w:tcPr>
          <w:p w:rsidR="00735E5A" w:rsidRPr="00FF7C1C" w:rsidRDefault="00735E5A" w:rsidP="00735E5A">
            <w:pPr>
              <w:pStyle w:val="ARtabletextright"/>
            </w:pPr>
            <w:r w:rsidRPr="001743C3">
              <w:t>17</w:t>
            </w:r>
          </w:p>
        </w:tc>
        <w:tc>
          <w:tcPr>
            <w:tcW w:w="0" w:type="dxa"/>
          </w:tcPr>
          <w:p w:rsidR="00735E5A" w:rsidRPr="00FF7C1C" w:rsidRDefault="00735E5A" w:rsidP="00735E5A">
            <w:pPr>
              <w:pStyle w:val="ARtabletextright"/>
            </w:pPr>
            <w:r w:rsidRPr="001743C3">
              <w:t>4</w:t>
            </w:r>
            <w:r>
              <w:t>7</w:t>
            </w:r>
          </w:p>
        </w:tc>
        <w:tc>
          <w:tcPr>
            <w:tcW w:w="0" w:type="dxa"/>
          </w:tcPr>
          <w:p w:rsidR="00735E5A" w:rsidRPr="00FF7C1C" w:rsidRDefault="00735E5A" w:rsidP="00735E5A">
            <w:pPr>
              <w:pStyle w:val="ARtabletextright"/>
            </w:pPr>
            <w:r w:rsidRPr="001743C3">
              <w:t>(</w:t>
            </w:r>
            <w:r>
              <w:t>5</w:t>
            </w:r>
            <w:r w:rsidRPr="001743C3">
              <w:t>)</w:t>
            </w:r>
          </w:p>
        </w:tc>
        <w:tc>
          <w:tcPr>
            <w:tcW w:w="0" w:type="dxa"/>
          </w:tcPr>
          <w:p w:rsidR="00735E5A" w:rsidRPr="00FF7C1C" w:rsidRDefault="00735E5A" w:rsidP="00735E5A">
            <w:pPr>
              <w:pStyle w:val="ARtabletextright"/>
            </w:pPr>
            <w:r w:rsidRPr="001743C3">
              <w:t>95</w:t>
            </w:r>
          </w:p>
        </w:tc>
        <w:tc>
          <w:tcPr>
            <w:tcW w:w="0" w:type="dxa"/>
          </w:tcPr>
          <w:p w:rsidR="00735E5A" w:rsidRPr="00FF7C1C" w:rsidRDefault="00735E5A" w:rsidP="00735E5A">
            <w:pPr>
              <w:pStyle w:val="ARtabletextright"/>
            </w:pPr>
            <w:r w:rsidRPr="001743C3">
              <w:t>22</w:t>
            </w:r>
          </w:p>
        </w:tc>
      </w:tr>
    </w:tbl>
    <w:p w:rsidR="00735E5A" w:rsidRPr="00AF3CA5" w:rsidRDefault="00735E5A" w:rsidP="00735E5A">
      <w:pPr>
        <w:pStyle w:val="ARtablecolhead"/>
        <w:rPr>
          <w:rFonts w:cs="Times New Roman"/>
          <w:color w:val="004C97"/>
          <w:sz w:val="20"/>
          <w:szCs w:val="24"/>
        </w:rPr>
      </w:pPr>
      <w:r w:rsidRPr="00AF3CA5">
        <w:rPr>
          <w:rFonts w:cs="Times New Roman"/>
          <w:color w:val="004C97"/>
          <w:sz w:val="20"/>
          <w:szCs w:val="24"/>
        </w:rPr>
        <w:lastRenderedPageBreak/>
        <w:t>Table 2: Total number of EOs for Safer Care Victoria, broken down into gender</w:t>
      </w:r>
    </w:p>
    <w:tbl>
      <w:tblPr>
        <w:tblStyle w:val="TableGrid"/>
        <w:tblW w:w="9639" w:type="dxa"/>
        <w:tblLook w:val="06A0" w:firstRow="1" w:lastRow="0" w:firstColumn="1" w:lastColumn="0" w:noHBand="1" w:noVBand="1"/>
      </w:tblPr>
      <w:tblGrid>
        <w:gridCol w:w="3272"/>
        <w:gridCol w:w="1056"/>
        <w:gridCol w:w="1056"/>
        <w:gridCol w:w="1056"/>
        <w:gridCol w:w="893"/>
        <w:gridCol w:w="1205"/>
        <w:gridCol w:w="1101"/>
      </w:tblGrid>
      <w:tr w:rsidR="00735E5A" w:rsidRPr="00FF162C" w:rsidTr="00735E5A">
        <w:trPr>
          <w:cnfStyle w:val="100000000000" w:firstRow="1" w:lastRow="0" w:firstColumn="0" w:lastColumn="0" w:oddVBand="0" w:evenVBand="0" w:oddHBand="0" w:evenHBand="0" w:firstRowFirstColumn="0" w:firstRowLastColumn="0" w:lastRowFirstColumn="0" w:lastRowLastColumn="0"/>
          <w:tblHeader/>
        </w:trPr>
        <w:tc>
          <w:tcPr>
            <w:tcW w:w="1697" w:type="pct"/>
          </w:tcPr>
          <w:p w:rsidR="00735E5A" w:rsidRPr="00AF3CA5" w:rsidRDefault="00735E5A" w:rsidP="00735E5A">
            <w:pPr>
              <w:pStyle w:val="ARtablecolhead"/>
            </w:pPr>
          </w:p>
        </w:tc>
        <w:tc>
          <w:tcPr>
            <w:tcW w:w="1096" w:type="pct"/>
            <w:gridSpan w:val="2"/>
          </w:tcPr>
          <w:p w:rsidR="00735E5A" w:rsidRPr="00AF3CA5" w:rsidRDefault="00735E5A" w:rsidP="00735E5A">
            <w:pPr>
              <w:pStyle w:val="ARtablecolheadright"/>
              <w:ind w:left="567"/>
              <w:jc w:val="center"/>
              <w:cnfStyle w:val="000000000000" w:firstRow="0" w:lastRow="0" w:firstColumn="0" w:lastColumn="0" w:oddVBand="0" w:evenVBand="0" w:oddHBand="0" w:evenHBand="0" w:firstRowFirstColumn="0" w:firstRowLastColumn="0" w:lastRowFirstColumn="0" w:lastRowLastColumn="0"/>
            </w:pPr>
            <w:r w:rsidRPr="00AF3CA5">
              <w:t>All</w:t>
            </w:r>
          </w:p>
        </w:tc>
        <w:tc>
          <w:tcPr>
            <w:tcW w:w="1011" w:type="pct"/>
            <w:gridSpan w:val="2"/>
          </w:tcPr>
          <w:p w:rsidR="00735E5A" w:rsidRPr="00AF3CA5" w:rsidRDefault="00735E5A" w:rsidP="00735E5A">
            <w:pPr>
              <w:pStyle w:val="ARtablecolheadright"/>
              <w:ind w:left="567"/>
              <w:jc w:val="center"/>
              <w:cnfStyle w:val="000000000000" w:firstRow="0" w:lastRow="0" w:firstColumn="0" w:lastColumn="0" w:oddVBand="0" w:evenVBand="0" w:oddHBand="0" w:evenHBand="0" w:firstRowFirstColumn="0" w:firstRowLastColumn="0" w:lastRowFirstColumn="0" w:lastRowLastColumn="0"/>
            </w:pPr>
            <w:r w:rsidRPr="00AF3CA5">
              <w:t>Male</w:t>
            </w:r>
          </w:p>
        </w:tc>
        <w:tc>
          <w:tcPr>
            <w:tcW w:w="1196" w:type="pct"/>
            <w:gridSpan w:val="2"/>
          </w:tcPr>
          <w:p w:rsidR="00735E5A" w:rsidRPr="00AF3CA5" w:rsidRDefault="00735E5A" w:rsidP="00735E5A">
            <w:pPr>
              <w:pStyle w:val="ARtablecolheadright"/>
              <w:ind w:left="567"/>
              <w:jc w:val="center"/>
              <w:cnfStyle w:val="000000000000" w:firstRow="0" w:lastRow="0" w:firstColumn="0" w:lastColumn="0" w:oddVBand="0" w:evenVBand="0" w:oddHBand="0" w:evenHBand="0" w:firstRowFirstColumn="0" w:firstRowLastColumn="0" w:lastRowFirstColumn="0" w:lastRowLastColumn="0"/>
            </w:pPr>
            <w:r w:rsidRPr="00AF3CA5">
              <w:t>Female</w:t>
            </w:r>
          </w:p>
        </w:tc>
      </w:tr>
      <w:tr w:rsidR="00735E5A" w:rsidRPr="00FF162C" w:rsidTr="00735E5A">
        <w:trPr>
          <w:cnfStyle w:val="100000000000" w:firstRow="1" w:lastRow="0" w:firstColumn="0" w:lastColumn="0" w:oddVBand="0" w:evenVBand="0" w:oddHBand="0" w:evenHBand="0" w:firstRowFirstColumn="0" w:firstRowLastColumn="0" w:lastRowFirstColumn="0" w:lastRowLastColumn="0"/>
          <w:tblHeader/>
        </w:trPr>
        <w:tc>
          <w:tcPr>
            <w:tcW w:w="1697" w:type="pct"/>
          </w:tcPr>
          <w:p w:rsidR="00735E5A" w:rsidRPr="00AF3CA5" w:rsidRDefault="00735E5A" w:rsidP="00735E5A">
            <w:pPr>
              <w:pStyle w:val="ARtablecolhead"/>
            </w:pPr>
            <w:r w:rsidRPr="00AF3CA5">
              <w:t>Class</w:t>
            </w:r>
          </w:p>
        </w:tc>
        <w:tc>
          <w:tcPr>
            <w:tcW w:w="548" w:type="pct"/>
          </w:tcPr>
          <w:p w:rsidR="00735E5A" w:rsidRPr="00AF3CA5"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AF3CA5">
              <w:t>No.</w:t>
            </w:r>
          </w:p>
        </w:tc>
        <w:tc>
          <w:tcPr>
            <w:tcW w:w="548" w:type="pct"/>
          </w:tcPr>
          <w:p w:rsidR="00735E5A" w:rsidRPr="00AF3CA5"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AF3CA5">
              <w:t>Var.</w:t>
            </w:r>
          </w:p>
        </w:tc>
        <w:tc>
          <w:tcPr>
            <w:tcW w:w="548" w:type="pct"/>
          </w:tcPr>
          <w:p w:rsidR="00735E5A" w:rsidRPr="00AF3CA5"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AF3CA5">
              <w:t>No.</w:t>
            </w:r>
          </w:p>
        </w:tc>
        <w:tc>
          <w:tcPr>
            <w:tcW w:w="463" w:type="pct"/>
          </w:tcPr>
          <w:p w:rsidR="00735E5A" w:rsidRPr="00AF3CA5"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AF3CA5">
              <w:t>Var.</w:t>
            </w:r>
          </w:p>
        </w:tc>
        <w:tc>
          <w:tcPr>
            <w:tcW w:w="625" w:type="pct"/>
          </w:tcPr>
          <w:p w:rsidR="00735E5A" w:rsidRPr="00AF3CA5"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AF3CA5">
              <w:t>No.</w:t>
            </w:r>
          </w:p>
        </w:tc>
        <w:tc>
          <w:tcPr>
            <w:tcW w:w="571" w:type="pct"/>
          </w:tcPr>
          <w:p w:rsidR="00735E5A" w:rsidRPr="00AF3CA5" w:rsidRDefault="00735E5A" w:rsidP="00735E5A">
            <w:pPr>
              <w:pStyle w:val="ARtablecolheadright"/>
              <w:cnfStyle w:val="000000000000" w:firstRow="0" w:lastRow="0" w:firstColumn="0" w:lastColumn="0" w:oddVBand="0" w:evenVBand="0" w:oddHBand="0" w:evenHBand="0" w:firstRowFirstColumn="0" w:firstRowLastColumn="0" w:lastRowFirstColumn="0" w:lastRowLastColumn="0"/>
            </w:pPr>
            <w:r w:rsidRPr="00AF3CA5">
              <w:t>Var.</w:t>
            </w:r>
          </w:p>
        </w:tc>
      </w:tr>
      <w:tr w:rsidR="00735E5A" w:rsidRPr="00FF162C" w:rsidTr="00735E5A">
        <w:tc>
          <w:tcPr>
            <w:tcW w:w="1697" w:type="pct"/>
          </w:tcPr>
          <w:p w:rsidR="00735E5A" w:rsidRPr="00AF3CA5" w:rsidRDefault="00735E5A" w:rsidP="00735E5A">
            <w:pPr>
              <w:pStyle w:val="ARtabletext"/>
            </w:pPr>
            <w:r w:rsidRPr="00AF3CA5">
              <w:t>EO-1</w:t>
            </w:r>
          </w:p>
        </w:tc>
        <w:tc>
          <w:tcPr>
            <w:tcW w:w="548" w:type="pct"/>
          </w:tcPr>
          <w:p w:rsidR="00735E5A" w:rsidRPr="00AF3CA5" w:rsidRDefault="00735E5A" w:rsidP="00735E5A">
            <w:pPr>
              <w:pStyle w:val="ARtabletextright"/>
            </w:pPr>
            <w:r w:rsidRPr="00AF3CA5">
              <w:t>1</w:t>
            </w:r>
          </w:p>
        </w:tc>
        <w:tc>
          <w:tcPr>
            <w:tcW w:w="548" w:type="pct"/>
          </w:tcPr>
          <w:p w:rsidR="00735E5A" w:rsidRPr="00AF3CA5" w:rsidRDefault="00735E5A" w:rsidP="00735E5A">
            <w:pPr>
              <w:pStyle w:val="ARtabletextright"/>
            </w:pPr>
            <w:r w:rsidRPr="00AF3CA5">
              <w:t>0</w:t>
            </w:r>
          </w:p>
        </w:tc>
        <w:tc>
          <w:tcPr>
            <w:tcW w:w="548" w:type="pct"/>
          </w:tcPr>
          <w:p w:rsidR="00735E5A" w:rsidRPr="00AF3CA5" w:rsidRDefault="00735E5A" w:rsidP="00735E5A">
            <w:pPr>
              <w:pStyle w:val="ARtabletextright"/>
            </w:pPr>
            <w:r w:rsidRPr="00AF3CA5">
              <w:t>1</w:t>
            </w:r>
          </w:p>
        </w:tc>
        <w:tc>
          <w:tcPr>
            <w:tcW w:w="463" w:type="pct"/>
          </w:tcPr>
          <w:p w:rsidR="00735E5A" w:rsidRPr="00AF3CA5" w:rsidRDefault="00735E5A" w:rsidP="00735E5A">
            <w:pPr>
              <w:pStyle w:val="ARtabletextright"/>
            </w:pPr>
            <w:r w:rsidRPr="00AF3CA5">
              <w:t>0</w:t>
            </w:r>
          </w:p>
        </w:tc>
        <w:tc>
          <w:tcPr>
            <w:tcW w:w="625" w:type="pct"/>
          </w:tcPr>
          <w:p w:rsidR="00735E5A" w:rsidRPr="00AF3CA5" w:rsidRDefault="00735E5A" w:rsidP="00735E5A">
            <w:pPr>
              <w:pStyle w:val="ARtabletextright"/>
            </w:pPr>
            <w:r w:rsidRPr="00AF3CA5">
              <w:t>0</w:t>
            </w:r>
          </w:p>
        </w:tc>
        <w:tc>
          <w:tcPr>
            <w:tcW w:w="571" w:type="pct"/>
          </w:tcPr>
          <w:p w:rsidR="00735E5A" w:rsidRPr="00AF3CA5" w:rsidRDefault="00735E5A" w:rsidP="00735E5A">
            <w:pPr>
              <w:pStyle w:val="ARtabletextright"/>
            </w:pPr>
            <w:r w:rsidRPr="00AF3CA5">
              <w:t>0</w:t>
            </w:r>
          </w:p>
        </w:tc>
      </w:tr>
      <w:tr w:rsidR="00735E5A" w:rsidRPr="00FF7C1C" w:rsidTr="00735E5A">
        <w:tc>
          <w:tcPr>
            <w:tcW w:w="1697" w:type="pct"/>
          </w:tcPr>
          <w:p w:rsidR="00735E5A" w:rsidRPr="00AF3CA5" w:rsidRDefault="00735E5A" w:rsidP="00735E5A">
            <w:pPr>
              <w:pStyle w:val="ARtabletext"/>
            </w:pPr>
            <w:r w:rsidRPr="00AF3CA5">
              <w:t>Total</w:t>
            </w:r>
          </w:p>
        </w:tc>
        <w:tc>
          <w:tcPr>
            <w:tcW w:w="548" w:type="pct"/>
          </w:tcPr>
          <w:p w:rsidR="00735E5A" w:rsidRPr="00AF3CA5" w:rsidRDefault="00735E5A" w:rsidP="00735E5A">
            <w:pPr>
              <w:pStyle w:val="ARtabletextright"/>
            </w:pPr>
            <w:r w:rsidRPr="00AF3CA5">
              <w:t>1</w:t>
            </w:r>
          </w:p>
        </w:tc>
        <w:tc>
          <w:tcPr>
            <w:tcW w:w="548" w:type="pct"/>
          </w:tcPr>
          <w:p w:rsidR="00735E5A" w:rsidRPr="00AF3CA5" w:rsidRDefault="00735E5A" w:rsidP="00735E5A">
            <w:pPr>
              <w:pStyle w:val="ARtabletextright"/>
            </w:pPr>
            <w:r w:rsidRPr="00AF3CA5">
              <w:t>0</w:t>
            </w:r>
          </w:p>
        </w:tc>
        <w:tc>
          <w:tcPr>
            <w:tcW w:w="548" w:type="pct"/>
          </w:tcPr>
          <w:p w:rsidR="00735E5A" w:rsidRPr="00AF3CA5" w:rsidRDefault="00735E5A" w:rsidP="00735E5A">
            <w:pPr>
              <w:pStyle w:val="ARtabletextright"/>
            </w:pPr>
            <w:r w:rsidRPr="00AF3CA5">
              <w:t>1</w:t>
            </w:r>
          </w:p>
        </w:tc>
        <w:tc>
          <w:tcPr>
            <w:tcW w:w="463" w:type="pct"/>
          </w:tcPr>
          <w:p w:rsidR="00735E5A" w:rsidRPr="00AF3CA5" w:rsidRDefault="00735E5A" w:rsidP="00735E5A">
            <w:pPr>
              <w:pStyle w:val="ARtabletextright"/>
            </w:pPr>
            <w:r w:rsidRPr="00AF3CA5">
              <w:t>0</w:t>
            </w:r>
          </w:p>
        </w:tc>
        <w:tc>
          <w:tcPr>
            <w:tcW w:w="625" w:type="pct"/>
          </w:tcPr>
          <w:p w:rsidR="00735E5A" w:rsidRPr="00AF3CA5" w:rsidRDefault="00735E5A" w:rsidP="00735E5A">
            <w:pPr>
              <w:pStyle w:val="ARtabletextright"/>
            </w:pPr>
            <w:r w:rsidRPr="00AF3CA5">
              <w:t>0</w:t>
            </w:r>
          </w:p>
        </w:tc>
        <w:tc>
          <w:tcPr>
            <w:tcW w:w="571" w:type="pct"/>
          </w:tcPr>
          <w:p w:rsidR="00735E5A" w:rsidRPr="00FF7C1C" w:rsidRDefault="00735E5A" w:rsidP="00735E5A">
            <w:pPr>
              <w:pStyle w:val="ARtabletextright"/>
            </w:pPr>
            <w:r w:rsidRPr="00AF3CA5">
              <w:t>0</w:t>
            </w:r>
          </w:p>
        </w:tc>
      </w:tr>
    </w:tbl>
    <w:p w:rsidR="00735E5A" w:rsidRDefault="00735E5A" w:rsidP="00735E5A">
      <w:pPr>
        <w:pStyle w:val="ARtablefootnote"/>
      </w:pPr>
      <w:r w:rsidRPr="00DB1CC1">
        <w:t>The number of executives includes those paid by the department on secondment to other go</w:t>
      </w:r>
      <w:r>
        <w:t>vernment department or agencies and does not include vacancies.</w:t>
      </w:r>
    </w:p>
    <w:p w:rsidR="00735E5A" w:rsidRDefault="00735E5A" w:rsidP="00735E5A">
      <w:pPr>
        <w:pStyle w:val="ARtablefootnote"/>
      </w:pPr>
      <w:r w:rsidRPr="00DB1CC1">
        <w:t>The increase in the number of executives is due to</w:t>
      </w:r>
      <w:r>
        <w:t xml:space="preserve"> t</w:t>
      </w:r>
      <w:r w:rsidRPr="0068704D">
        <w:t>he creation and filling of positions</w:t>
      </w:r>
      <w:r>
        <w:t xml:space="preserve"> in response to independent reviews such as ‘Targeting Zero: the review of hospital safety and quality assurance’ (see p.25), </w:t>
      </w:r>
      <w:r w:rsidRPr="0068704D">
        <w:t>implementation of significant governme</w:t>
      </w:r>
      <w:r>
        <w:t>nt service delivery initiatives and policies</w:t>
      </w:r>
      <w:r w:rsidRPr="0068704D">
        <w:t>, accepted recommendatio</w:t>
      </w:r>
      <w:r>
        <w:t xml:space="preserve">ns from the Royal Commissions, and the filling of other existing vacancies. A number of these positions were created </w:t>
      </w:r>
      <w:r w:rsidRPr="0068704D">
        <w:t>initially in the department</w:t>
      </w:r>
      <w:r>
        <w:t>,</w:t>
      </w:r>
      <w:r w:rsidRPr="0068704D">
        <w:t xml:space="preserve"> and then transferred to new </w:t>
      </w:r>
      <w:r>
        <w:t>a</w:t>
      </w:r>
      <w:r w:rsidRPr="0068704D">
        <w:t xml:space="preserve">dministrative </w:t>
      </w:r>
      <w:r>
        <w:t>o</w:t>
      </w:r>
      <w:r w:rsidRPr="0068704D">
        <w:t xml:space="preserve">ffices </w:t>
      </w:r>
      <w:r>
        <w:t>(Safer Care Victoria established January 2017 (see below), and</w:t>
      </w:r>
      <w:r w:rsidRPr="0068704D">
        <w:t xml:space="preserve"> </w:t>
      </w:r>
      <w:r>
        <w:t xml:space="preserve">the </w:t>
      </w:r>
      <w:r w:rsidRPr="0068704D">
        <w:t xml:space="preserve">Victorian Agency for Health Information, </w:t>
      </w:r>
      <w:r>
        <w:t xml:space="preserve">and </w:t>
      </w:r>
      <w:r w:rsidRPr="0068704D">
        <w:t>Family Safety Victoria</w:t>
      </w:r>
      <w:r>
        <w:t>,</w:t>
      </w:r>
      <w:r w:rsidRPr="0068704D">
        <w:t xml:space="preserve"> </w:t>
      </w:r>
      <w:r>
        <w:t xml:space="preserve">both established on </w:t>
      </w:r>
      <w:r w:rsidRPr="0068704D">
        <w:t>3 July 2017</w:t>
      </w:r>
      <w:r>
        <w:t xml:space="preserve"> after this reporting period).</w:t>
      </w:r>
    </w:p>
    <w:p w:rsidR="00735E5A" w:rsidRPr="0068704D" w:rsidRDefault="00735E5A" w:rsidP="00735E5A">
      <w:pPr>
        <w:pStyle w:val="ARtablefootnote"/>
      </w:pPr>
      <w:r w:rsidRPr="00FF162C">
        <w:t>The Chief Executive Officer of Safer Care Victoria is an administrative head and is reported separately.</w:t>
      </w:r>
    </w:p>
    <w:p w:rsidR="00735E5A" w:rsidRPr="00627F7F" w:rsidRDefault="00735E5A" w:rsidP="00735E5A">
      <w:pPr>
        <w:pStyle w:val="ARtablecolhead"/>
      </w:pPr>
      <w:r w:rsidRPr="00627F7F">
        <w:rPr>
          <w:rFonts w:cs="Times New Roman"/>
          <w:b w:val="0"/>
          <w:i/>
          <w:sz w:val="16"/>
          <w:szCs w:val="16"/>
        </w:rPr>
        <w:t>The number of executives in the report of operations is based on the number of executive positions that are occupied at the end of the financial year. Note 9.7 in the financial statements lists the actual number of EOs and the total remuneration paid to EOs over the course of the reporting period. The financial statements note does not include the responsible body, nor does it distinguish between executive levels or disclose separations. Separations are executives who have left the department during the relevant reporting period. To assist readers, these two disclosures are reconciled below.</w:t>
      </w:r>
    </w:p>
    <w:p w:rsidR="00735E5A" w:rsidRPr="00FF7C1C" w:rsidRDefault="00735E5A" w:rsidP="00735E5A">
      <w:pPr>
        <w:pStyle w:val="ARtablecaption"/>
      </w:pPr>
      <w:r w:rsidRPr="00FF7C1C">
        <w:t xml:space="preserve">Table </w:t>
      </w:r>
      <w:r>
        <w:t>3</w:t>
      </w:r>
      <w:r w:rsidRPr="00FF7C1C">
        <w:t>: Reconciliation</w:t>
      </w:r>
      <w:r>
        <w:t xml:space="preserve"> </w:t>
      </w:r>
      <w:r w:rsidRPr="00FF7C1C">
        <w:t>of executive numbers</w:t>
      </w:r>
    </w:p>
    <w:tbl>
      <w:tblPr>
        <w:tblStyle w:val="DTFTable"/>
        <w:tblW w:w="9639" w:type="dxa"/>
        <w:tblInd w:w="0" w:type="dxa"/>
        <w:tblCellMar>
          <w:left w:w="0" w:type="dxa"/>
          <w:right w:w="108" w:type="dxa"/>
        </w:tblCellMar>
        <w:tblLook w:val="0660" w:firstRow="1" w:lastRow="1" w:firstColumn="0" w:lastColumn="0" w:noHBand="1" w:noVBand="1"/>
      </w:tblPr>
      <w:tblGrid>
        <w:gridCol w:w="1240"/>
        <w:gridCol w:w="7335"/>
        <w:gridCol w:w="1064"/>
      </w:tblGrid>
      <w:tr w:rsidR="00735E5A" w:rsidRPr="0057729D" w:rsidTr="00735E5A">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FFFFFF" w:themeFill="background1"/>
          </w:tcPr>
          <w:p w:rsidR="00735E5A" w:rsidRPr="00FF7C1C" w:rsidRDefault="00735E5A" w:rsidP="00F50411">
            <w:pPr>
              <w:pStyle w:val="ARtabletext"/>
              <w:jc w:val="left"/>
            </w:pPr>
          </w:p>
        </w:tc>
        <w:tc>
          <w:tcPr>
            <w:tcW w:w="7335" w:type="dxa"/>
            <w:tcBorders>
              <w:bottom w:val="single" w:sz="4" w:space="0" w:color="auto"/>
            </w:tcBorders>
            <w:shd w:val="clear" w:color="auto" w:fill="FFFFFF" w:themeFill="background1"/>
          </w:tcPr>
          <w:p w:rsidR="00735E5A" w:rsidRPr="00FF7C1C" w:rsidRDefault="00735E5A" w:rsidP="00F50411">
            <w:pPr>
              <w:pStyle w:val="ARtablecolhead"/>
              <w:jc w:val="left"/>
            </w:pPr>
          </w:p>
        </w:tc>
        <w:tc>
          <w:tcPr>
            <w:tcW w:w="1064" w:type="dxa"/>
            <w:tcBorders>
              <w:bottom w:val="single" w:sz="4" w:space="0" w:color="auto"/>
            </w:tcBorders>
            <w:shd w:val="clear" w:color="auto" w:fill="FFFFFF" w:themeFill="background1"/>
          </w:tcPr>
          <w:p w:rsidR="00735E5A" w:rsidRPr="0057729D" w:rsidRDefault="00735E5A" w:rsidP="0057729D">
            <w:pPr>
              <w:pStyle w:val="ARtablecolheadright"/>
              <w:rPr>
                <w:i w:val="0"/>
              </w:rPr>
            </w:pPr>
            <w:r w:rsidRPr="0057729D">
              <w:rPr>
                <w:i w:val="0"/>
              </w:rPr>
              <w:t>2017</w:t>
            </w:r>
          </w:p>
        </w:tc>
      </w:tr>
      <w:tr w:rsidR="00735E5A" w:rsidRPr="00FF7C1C" w:rsidTr="00735E5A">
        <w:trPr>
          <w:cantSplit w:val="0"/>
          <w:trHeight w:val="340"/>
        </w:trPr>
        <w:tc>
          <w:tcPr>
            <w:tcW w:w="0" w:type="dxa"/>
          </w:tcPr>
          <w:p w:rsidR="00735E5A" w:rsidRPr="00F16F20" w:rsidRDefault="00735E5A" w:rsidP="00F50411">
            <w:pPr>
              <w:pStyle w:val="ARtabletext"/>
              <w:jc w:val="left"/>
            </w:pPr>
          </w:p>
        </w:tc>
        <w:tc>
          <w:tcPr>
            <w:tcW w:w="0" w:type="dxa"/>
            <w:tcBorders>
              <w:top w:val="single" w:sz="4" w:space="0" w:color="auto"/>
              <w:bottom w:val="single" w:sz="4" w:space="0" w:color="auto"/>
            </w:tcBorders>
          </w:tcPr>
          <w:p w:rsidR="00735E5A" w:rsidRPr="00786D3C" w:rsidRDefault="00735E5A" w:rsidP="00F50411">
            <w:pPr>
              <w:pStyle w:val="ARtabletext"/>
              <w:jc w:val="left"/>
            </w:pPr>
            <w:r w:rsidRPr="00786D3C">
              <w:t>Executives</w:t>
            </w:r>
          </w:p>
        </w:tc>
        <w:tc>
          <w:tcPr>
            <w:tcW w:w="0" w:type="dxa"/>
            <w:tcBorders>
              <w:top w:val="single" w:sz="4" w:space="0" w:color="auto"/>
              <w:bottom w:val="single" w:sz="4" w:space="0" w:color="auto"/>
            </w:tcBorders>
          </w:tcPr>
          <w:p w:rsidR="00735E5A" w:rsidRPr="00254D67" w:rsidRDefault="00735E5A" w:rsidP="00735E5A">
            <w:pPr>
              <w:pStyle w:val="ARtabletextright"/>
              <w:keepNext/>
              <w:keepLines/>
            </w:pPr>
            <w:r w:rsidRPr="00254D67">
              <w:t>161</w:t>
            </w:r>
          </w:p>
        </w:tc>
      </w:tr>
      <w:tr w:rsidR="00735E5A" w:rsidRPr="00FF7C1C" w:rsidTr="00735E5A">
        <w:trPr>
          <w:cantSplit w:val="0"/>
          <w:trHeight w:val="340"/>
        </w:trPr>
        <w:tc>
          <w:tcPr>
            <w:tcW w:w="0" w:type="dxa"/>
          </w:tcPr>
          <w:p w:rsidR="00735E5A" w:rsidRPr="00F16F20" w:rsidRDefault="00735E5A" w:rsidP="00F50411">
            <w:pPr>
              <w:pStyle w:val="ARtabletext"/>
              <w:jc w:val="left"/>
            </w:pPr>
          </w:p>
        </w:tc>
        <w:tc>
          <w:tcPr>
            <w:tcW w:w="0" w:type="dxa"/>
            <w:tcBorders>
              <w:top w:val="single" w:sz="4" w:space="0" w:color="auto"/>
              <w:bottom w:val="single" w:sz="4" w:space="0" w:color="auto"/>
            </w:tcBorders>
          </w:tcPr>
          <w:p w:rsidR="00735E5A" w:rsidRPr="00786D3C" w:rsidRDefault="00735E5A" w:rsidP="00F50411">
            <w:pPr>
              <w:pStyle w:val="ARtabletext"/>
              <w:jc w:val="left"/>
            </w:pPr>
            <w:r w:rsidRPr="00786D3C">
              <w:t>Responsible body (Secretary)</w:t>
            </w:r>
          </w:p>
        </w:tc>
        <w:tc>
          <w:tcPr>
            <w:tcW w:w="0" w:type="dxa"/>
            <w:tcBorders>
              <w:top w:val="single" w:sz="4" w:space="0" w:color="auto"/>
              <w:bottom w:val="single" w:sz="4" w:space="0" w:color="auto"/>
            </w:tcBorders>
          </w:tcPr>
          <w:p w:rsidR="00735E5A" w:rsidRPr="00254D67" w:rsidRDefault="00735E5A" w:rsidP="00735E5A">
            <w:pPr>
              <w:pStyle w:val="ARtabletextright"/>
              <w:keepNext/>
              <w:keepLines/>
            </w:pPr>
            <w:r w:rsidRPr="00254D67">
              <w:t>1</w:t>
            </w:r>
          </w:p>
        </w:tc>
      </w:tr>
      <w:tr w:rsidR="00735E5A" w:rsidRPr="00FF7C1C" w:rsidTr="00735E5A">
        <w:trPr>
          <w:cantSplit w:val="0"/>
          <w:trHeight w:val="340"/>
        </w:trPr>
        <w:tc>
          <w:tcPr>
            <w:tcW w:w="0" w:type="dxa"/>
          </w:tcPr>
          <w:p w:rsidR="00735E5A" w:rsidRPr="00F16F20" w:rsidRDefault="00735E5A" w:rsidP="00F50411">
            <w:pPr>
              <w:pStyle w:val="ARtabletext"/>
              <w:jc w:val="left"/>
            </w:pPr>
          </w:p>
        </w:tc>
        <w:tc>
          <w:tcPr>
            <w:tcW w:w="0" w:type="dxa"/>
            <w:tcBorders>
              <w:top w:val="single" w:sz="4" w:space="0" w:color="auto"/>
              <w:bottom w:val="single" w:sz="4" w:space="0" w:color="auto"/>
            </w:tcBorders>
          </w:tcPr>
          <w:p w:rsidR="00735E5A" w:rsidRPr="00786D3C" w:rsidRDefault="00735E5A" w:rsidP="00F50411">
            <w:pPr>
              <w:pStyle w:val="ARtabletext"/>
              <w:jc w:val="left"/>
            </w:pPr>
            <w:r w:rsidRPr="00786D3C">
              <w:t>Responsible body (Director, of Housing)</w:t>
            </w:r>
          </w:p>
        </w:tc>
        <w:tc>
          <w:tcPr>
            <w:tcW w:w="0" w:type="dxa"/>
            <w:tcBorders>
              <w:top w:val="single" w:sz="4" w:space="0" w:color="auto"/>
              <w:bottom w:val="single" w:sz="4" w:space="0" w:color="auto"/>
            </w:tcBorders>
          </w:tcPr>
          <w:p w:rsidR="00735E5A" w:rsidRPr="00254D67" w:rsidRDefault="00735E5A" w:rsidP="00735E5A">
            <w:pPr>
              <w:pStyle w:val="ARtabletextright"/>
              <w:keepNext/>
              <w:keepLines/>
            </w:pPr>
            <w:r w:rsidRPr="00254D67">
              <w:t>1</w:t>
            </w:r>
          </w:p>
        </w:tc>
      </w:tr>
      <w:tr w:rsidR="00735E5A" w:rsidRPr="00FF7C1C" w:rsidTr="00735E5A">
        <w:trPr>
          <w:cantSplit w:val="0"/>
          <w:trHeight w:val="340"/>
        </w:trPr>
        <w:tc>
          <w:tcPr>
            <w:tcW w:w="0" w:type="dxa"/>
          </w:tcPr>
          <w:p w:rsidR="00735E5A" w:rsidRPr="00F16F20" w:rsidRDefault="00735E5A" w:rsidP="00F50411">
            <w:pPr>
              <w:pStyle w:val="ARtabletext"/>
              <w:jc w:val="left"/>
            </w:pPr>
          </w:p>
        </w:tc>
        <w:tc>
          <w:tcPr>
            <w:tcW w:w="0" w:type="dxa"/>
            <w:tcBorders>
              <w:top w:val="single" w:sz="4" w:space="0" w:color="auto"/>
              <w:bottom w:val="single" w:sz="4" w:space="0" w:color="auto"/>
            </w:tcBorders>
          </w:tcPr>
          <w:p w:rsidR="00735E5A" w:rsidRPr="00786D3C" w:rsidRDefault="00735E5A" w:rsidP="00F50411">
            <w:pPr>
              <w:pStyle w:val="ARtabletext"/>
              <w:jc w:val="left"/>
            </w:pPr>
            <w:r w:rsidRPr="00786D3C">
              <w:t>Responsible body (Chief Executive Officer Safer Care Victoria)</w:t>
            </w:r>
          </w:p>
        </w:tc>
        <w:tc>
          <w:tcPr>
            <w:tcW w:w="0" w:type="dxa"/>
            <w:tcBorders>
              <w:top w:val="single" w:sz="4" w:space="0" w:color="auto"/>
              <w:bottom w:val="single" w:sz="4" w:space="0" w:color="auto"/>
            </w:tcBorders>
          </w:tcPr>
          <w:p w:rsidR="00735E5A" w:rsidRPr="00254D67" w:rsidRDefault="00735E5A" w:rsidP="00735E5A">
            <w:pPr>
              <w:pStyle w:val="ARtabletextright"/>
              <w:keepNext/>
              <w:keepLines/>
            </w:pPr>
            <w:r w:rsidRPr="00254D67">
              <w:t>1</w:t>
            </w:r>
          </w:p>
        </w:tc>
      </w:tr>
      <w:tr w:rsidR="00735E5A" w:rsidRPr="00FF7C1C" w:rsidTr="00735E5A">
        <w:trPr>
          <w:cantSplit w:val="0"/>
          <w:trHeight w:val="340"/>
        </w:trPr>
        <w:tc>
          <w:tcPr>
            <w:tcW w:w="0" w:type="dxa"/>
            <w:tcBorders>
              <w:bottom w:val="single" w:sz="4" w:space="0" w:color="auto"/>
            </w:tcBorders>
          </w:tcPr>
          <w:p w:rsidR="00735E5A" w:rsidRPr="00F16F20" w:rsidRDefault="00735E5A" w:rsidP="00F50411">
            <w:pPr>
              <w:pStyle w:val="ARtabletext"/>
              <w:jc w:val="left"/>
            </w:pPr>
            <w:r w:rsidRPr="00F16F20">
              <w:t>Less</w:t>
            </w:r>
          </w:p>
        </w:tc>
        <w:tc>
          <w:tcPr>
            <w:tcW w:w="0" w:type="dxa"/>
            <w:tcBorders>
              <w:top w:val="single" w:sz="4" w:space="0" w:color="auto"/>
              <w:bottom w:val="single" w:sz="4" w:space="0" w:color="auto"/>
            </w:tcBorders>
          </w:tcPr>
          <w:p w:rsidR="00735E5A" w:rsidRPr="00786D3C" w:rsidRDefault="00735E5A" w:rsidP="00F50411">
            <w:pPr>
              <w:pStyle w:val="ARtabletext"/>
              <w:jc w:val="left"/>
            </w:pPr>
            <w:r w:rsidRPr="00786D3C">
              <w:t>Separations</w:t>
            </w:r>
          </w:p>
        </w:tc>
        <w:tc>
          <w:tcPr>
            <w:tcW w:w="0" w:type="dxa"/>
            <w:tcBorders>
              <w:top w:val="single" w:sz="4" w:space="0" w:color="auto"/>
              <w:bottom w:val="single" w:sz="4" w:space="0" w:color="auto"/>
            </w:tcBorders>
          </w:tcPr>
          <w:p w:rsidR="00735E5A" w:rsidRPr="00254D67" w:rsidRDefault="00735E5A" w:rsidP="00735E5A">
            <w:pPr>
              <w:pStyle w:val="ARtabletextright"/>
              <w:keepNext/>
              <w:keepLines/>
            </w:pPr>
            <w:r w:rsidRPr="00254D67">
              <w:t>(21)</w:t>
            </w:r>
          </w:p>
        </w:tc>
      </w:tr>
      <w:tr w:rsidR="00735E5A" w:rsidRPr="00FF7C1C" w:rsidTr="00735E5A">
        <w:trPr>
          <w:cnfStyle w:val="010000000000" w:firstRow="0" w:lastRow="1" w:firstColumn="0" w:lastColumn="0" w:oddVBand="0" w:evenVBand="0" w:oddHBand="0" w:evenHBand="0" w:firstRowFirstColumn="0" w:firstRowLastColumn="0" w:lastRowFirstColumn="0" w:lastRowLastColumn="0"/>
          <w:cantSplit w:val="0"/>
          <w:trHeight w:val="340"/>
        </w:trPr>
        <w:tc>
          <w:tcPr>
            <w:tcW w:w="0" w:type="dxa"/>
            <w:tcBorders>
              <w:top w:val="single" w:sz="4" w:space="0" w:color="auto"/>
              <w:bottom w:val="single" w:sz="4" w:space="0" w:color="auto"/>
            </w:tcBorders>
          </w:tcPr>
          <w:p w:rsidR="00735E5A" w:rsidRPr="00867775" w:rsidRDefault="00735E5A" w:rsidP="00F50411">
            <w:pPr>
              <w:pStyle w:val="ARtabletext"/>
              <w:jc w:val="left"/>
            </w:pPr>
          </w:p>
        </w:tc>
        <w:tc>
          <w:tcPr>
            <w:tcW w:w="0" w:type="dxa"/>
            <w:tcBorders>
              <w:top w:val="single" w:sz="4" w:space="0" w:color="auto"/>
              <w:bottom w:val="single" w:sz="4" w:space="0" w:color="auto"/>
            </w:tcBorders>
          </w:tcPr>
          <w:p w:rsidR="00735E5A" w:rsidRPr="00786D3C" w:rsidRDefault="00735E5A" w:rsidP="00F50411">
            <w:pPr>
              <w:pStyle w:val="ARtabletext"/>
              <w:jc w:val="left"/>
            </w:pPr>
            <w:r w:rsidRPr="00786D3C">
              <w:t>Total executive numbers at 30 June</w:t>
            </w:r>
          </w:p>
        </w:tc>
        <w:tc>
          <w:tcPr>
            <w:tcW w:w="0" w:type="dxa"/>
            <w:tcBorders>
              <w:top w:val="single" w:sz="4" w:space="0" w:color="auto"/>
              <w:bottom w:val="single" w:sz="4" w:space="0" w:color="auto"/>
            </w:tcBorders>
          </w:tcPr>
          <w:p w:rsidR="00735E5A" w:rsidRPr="00FF7C1C" w:rsidRDefault="00735E5A" w:rsidP="00735E5A">
            <w:pPr>
              <w:pStyle w:val="ARtabletextright"/>
              <w:keepNext/>
              <w:keepLines/>
            </w:pPr>
            <w:r w:rsidRPr="00FF7C1C">
              <w:t>143</w:t>
            </w:r>
          </w:p>
        </w:tc>
      </w:tr>
    </w:tbl>
    <w:p w:rsidR="00735E5A" w:rsidRPr="00767E90" w:rsidRDefault="00735E5A" w:rsidP="00735E5A">
      <w:pPr>
        <w:pStyle w:val="ARtablecaption"/>
      </w:pPr>
      <w:r w:rsidRPr="00767E90">
        <w:t xml:space="preserve">Table </w:t>
      </w:r>
      <w:r>
        <w:t>4:</w:t>
      </w:r>
      <w:r w:rsidRPr="00767E90">
        <w:t xml:space="preserve"> Number of executive officers for the department’s portfolio agencies</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2411"/>
        <w:gridCol w:w="864"/>
        <w:gridCol w:w="758"/>
        <w:gridCol w:w="806"/>
        <w:gridCol w:w="833"/>
        <w:gridCol w:w="769"/>
        <w:gridCol w:w="806"/>
        <w:gridCol w:w="829"/>
        <w:gridCol w:w="775"/>
        <w:gridCol w:w="788"/>
      </w:tblGrid>
      <w:tr w:rsidR="0092299C" w:rsidRPr="00D41308" w:rsidTr="005C1ACD">
        <w:trPr>
          <w:cantSplit/>
          <w:trHeight w:val="255"/>
          <w:tblHeader/>
        </w:trPr>
        <w:tc>
          <w:tcPr>
            <w:tcW w:w="1251" w:type="pct"/>
            <w:vMerge w:val="restart"/>
            <w:shd w:val="clear" w:color="auto" w:fill="auto"/>
            <w:noWrap/>
            <w:vAlign w:val="bottom"/>
          </w:tcPr>
          <w:p w:rsidR="0092299C" w:rsidRPr="00D41308" w:rsidRDefault="0092299C" w:rsidP="001658B4">
            <w:pPr>
              <w:pStyle w:val="ARtablecolhead"/>
            </w:pPr>
            <w:r w:rsidRPr="00D41308">
              <w:t>Organisation</w:t>
            </w:r>
          </w:p>
        </w:tc>
        <w:tc>
          <w:tcPr>
            <w:tcW w:w="1259" w:type="pct"/>
            <w:gridSpan w:val="3"/>
            <w:shd w:val="clear" w:color="auto" w:fill="auto"/>
            <w:noWrap/>
          </w:tcPr>
          <w:p w:rsidR="0092299C" w:rsidRPr="00D41308" w:rsidRDefault="0092299C" w:rsidP="001658B4">
            <w:pPr>
              <w:pStyle w:val="ARtablecolhead"/>
              <w:ind w:left="284"/>
              <w:jc w:val="center"/>
            </w:pPr>
            <w:r w:rsidRPr="00D41308">
              <w:t>2016</w:t>
            </w:r>
          </w:p>
        </w:tc>
        <w:tc>
          <w:tcPr>
            <w:tcW w:w="1249" w:type="pct"/>
            <w:gridSpan w:val="3"/>
            <w:tcBorders>
              <w:top w:val="nil"/>
            </w:tcBorders>
            <w:shd w:val="clear" w:color="auto" w:fill="F2F2F2" w:themeFill="background1" w:themeFillShade="F2"/>
            <w:noWrap/>
          </w:tcPr>
          <w:p w:rsidR="0092299C" w:rsidRPr="00D41308" w:rsidRDefault="0092299C" w:rsidP="001658B4">
            <w:pPr>
              <w:pStyle w:val="ARtablecolhead"/>
              <w:ind w:left="284"/>
              <w:jc w:val="center"/>
            </w:pPr>
            <w:r w:rsidRPr="00D41308">
              <w:t>2017</w:t>
            </w:r>
          </w:p>
        </w:tc>
        <w:tc>
          <w:tcPr>
            <w:tcW w:w="1241" w:type="pct"/>
            <w:gridSpan w:val="3"/>
            <w:shd w:val="clear" w:color="auto" w:fill="auto"/>
            <w:noWrap/>
          </w:tcPr>
          <w:p w:rsidR="0092299C" w:rsidRPr="00D41308" w:rsidRDefault="0092299C" w:rsidP="001658B4">
            <w:pPr>
              <w:pStyle w:val="ARtablecolhead"/>
              <w:ind w:left="284"/>
              <w:jc w:val="center"/>
            </w:pPr>
            <w:r w:rsidRPr="00D41308">
              <w:t>Change</w:t>
            </w:r>
          </w:p>
        </w:tc>
      </w:tr>
      <w:tr w:rsidR="0092299C" w:rsidRPr="00767E90" w:rsidTr="005C1ACD">
        <w:trPr>
          <w:cantSplit/>
          <w:trHeight w:val="255"/>
          <w:tblHeader/>
        </w:trPr>
        <w:tc>
          <w:tcPr>
            <w:tcW w:w="1251" w:type="pct"/>
            <w:vMerge/>
            <w:shd w:val="clear" w:color="auto" w:fill="auto"/>
            <w:noWrap/>
          </w:tcPr>
          <w:p w:rsidR="0092299C" w:rsidRPr="00767E90" w:rsidRDefault="0092299C" w:rsidP="0092299C">
            <w:pPr>
              <w:pStyle w:val="ARtabletext"/>
            </w:pPr>
          </w:p>
        </w:tc>
        <w:tc>
          <w:tcPr>
            <w:tcW w:w="448" w:type="pct"/>
            <w:shd w:val="clear" w:color="auto" w:fill="auto"/>
            <w:noWrap/>
          </w:tcPr>
          <w:p w:rsidR="0092299C" w:rsidRPr="00767E90" w:rsidRDefault="0092299C" w:rsidP="0092299C">
            <w:pPr>
              <w:pStyle w:val="ARtablecolheadright"/>
            </w:pPr>
            <w:r w:rsidRPr="00767E90">
              <w:t>Female</w:t>
            </w:r>
          </w:p>
        </w:tc>
        <w:tc>
          <w:tcPr>
            <w:tcW w:w="393" w:type="pct"/>
            <w:shd w:val="clear" w:color="auto" w:fill="auto"/>
            <w:noWrap/>
          </w:tcPr>
          <w:p w:rsidR="0092299C" w:rsidRPr="00767E90" w:rsidRDefault="0092299C" w:rsidP="0092299C">
            <w:pPr>
              <w:pStyle w:val="ARtablecolheadright"/>
            </w:pPr>
            <w:r w:rsidRPr="00767E90">
              <w:t>Male</w:t>
            </w:r>
          </w:p>
        </w:tc>
        <w:tc>
          <w:tcPr>
            <w:tcW w:w="418" w:type="pct"/>
            <w:shd w:val="clear" w:color="auto" w:fill="auto"/>
            <w:noWrap/>
          </w:tcPr>
          <w:p w:rsidR="0092299C" w:rsidRPr="00767E90" w:rsidRDefault="0092299C" w:rsidP="0092299C">
            <w:pPr>
              <w:pStyle w:val="ARtablecolheadright"/>
            </w:pPr>
            <w:r w:rsidRPr="00767E90">
              <w:t>Active</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colheadright"/>
            </w:pPr>
            <w:r w:rsidRPr="00767E90">
              <w:t>Female</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colheadright"/>
            </w:pPr>
            <w:r w:rsidRPr="00767E90">
              <w:t>Male</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colheadright"/>
            </w:pPr>
            <w:r w:rsidRPr="00767E90">
              <w:t>Active</w:t>
            </w:r>
          </w:p>
        </w:tc>
        <w:tc>
          <w:tcPr>
            <w:tcW w:w="430" w:type="pct"/>
            <w:shd w:val="clear" w:color="auto" w:fill="auto"/>
            <w:noWrap/>
          </w:tcPr>
          <w:p w:rsidR="0092299C" w:rsidRPr="00767E90" w:rsidRDefault="0092299C" w:rsidP="0092299C">
            <w:pPr>
              <w:pStyle w:val="ARtablecolheadright"/>
            </w:pPr>
            <w:r w:rsidRPr="00767E90">
              <w:t>Female</w:t>
            </w:r>
          </w:p>
        </w:tc>
        <w:tc>
          <w:tcPr>
            <w:tcW w:w="402" w:type="pct"/>
            <w:shd w:val="clear" w:color="auto" w:fill="auto"/>
            <w:noWrap/>
          </w:tcPr>
          <w:p w:rsidR="0092299C" w:rsidRPr="00767E90" w:rsidRDefault="0092299C" w:rsidP="0092299C">
            <w:pPr>
              <w:pStyle w:val="ARtablecolheadright"/>
            </w:pPr>
            <w:r w:rsidRPr="00767E90">
              <w:t>Male</w:t>
            </w:r>
          </w:p>
        </w:tc>
        <w:tc>
          <w:tcPr>
            <w:tcW w:w="409" w:type="pct"/>
            <w:shd w:val="clear" w:color="auto" w:fill="auto"/>
            <w:noWrap/>
          </w:tcPr>
          <w:p w:rsidR="0092299C" w:rsidRPr="00767E90" w:rsidRDefault="0092299C" w:rsidP="0092299C">
            <w:pPr>
              <w:pStyle w:val="ARtablecolheadright"/>
            </w:pPr>
            <w:r w:rsidRPr="00767E90">
              <w:t>Active</w:t>
            </w:r>
          </w:p>
        </w:tc>
      </w:tr>
      <w:tr w:rsidR="00735E5A" w:rsidRPr="008E685D" w:rsidTr="00735E5A">
        <w:tblPrEx>
          <w:tblLook w:val="0000" w:firstRow="0" w:lastRow="0" w:firstColumn="0" w:lastColumn="0" w:noHBand="0" w:noVBand="0"/>
        </w:tblPrEx>
        <w:trPr>
          <w:cantSplit/>
          <w:trHeight w:hRule="exact" w:val="397"/>
        </w:trPr>
        <w:tc>
          <w:tcPr>
            <w:tcW w:w="1251" w:type="pct"/>
            <w:noWrap/>
          </w:tcPr>
          <w:p w:rsidR="00735E5A" w:rsidRPr="00767E90" w:rsidRDefault="00735E5A" w:rsidP="00735E5A">
            <w:pPr>
              <w:pStyle w:val="ARtabletext"/>
            </w:pPr>
            <w:r w:rsidRPr="00767E90">
              <w:t>Albury Wodonga Health</w:t>
            </w:r>
          </w:p>
        </w:tc>
        <w:tc>
          <w:tcPr>
            <w:tcW w:w="448" w:type="pct"/>
            <w:noWrap/>
          </w:tcPr>
          <w:p w:rsidR="00735E5A" w:rsidRPr="00767E90" w:rsidRDefault="00735E5A" w:rsidP="00735E5A">
            <w:pPr>
              <w:pStyle w:val="ARtabletextright"/>
            </w:pPr>
            <w:r w:rsidRPr="00767E90">
              <w:t>4</w:t>
            </w:r>
          </w:p>
        </w:tc>
        <w:tc>
          <w:tcPr>
            <w:tcW w:w="393" w:type="pct"/>
            <w:noWrap/>
          </w:tcPr>
          <w:p w:rsidR="00735E5A" w:rsidRPr="00767E90" w:rsidRDefault="00735E5A" w:rsidP="00735E5A">
            <w:pPr>
              <w:pStyle w:val="ARtabletextright"/>
            </w:pPr>
            <w:r w:rsidRPr="00767E90">
              <w:t>4</w:t>
            </w:r>
          </w:p>
        </w:tc>
        <w:tc>
          <w:tcPr>
            <w:tcW w:w="418" w:type="pct"/>
            <w:noWrap/>
          </w:tcPr>
          <w:p w:rsidR="00735E5A" w:rsidRPr="00767E90" w:rsidRDefault="00735E5A" w:rsidP="00735E5A">
            <w:pPr>
              <w:pStyle w:val="ARtabletextright"/>
            </w:pPr>
            <w:r w:rsidRPr="00767E90">
              <w:t>8</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2</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2</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4</w:t>
            </w:r>
          </w:p>
        </w:tc>
        <w:tc>
          <w:tcPr>
            <w:tcW w:w="430" w:type="pct"/>
            <w:noWrap/>
          </w:tcPr>
          <w:p w:rsidR="00735E5A" w:rsidRPr="008E685D" w:rsidRDefault="00735E5A" w:rsidP="00735E5A">
            <w:pPr>
              <w:pStyle w:val="ARtabletextright"/>
            </w:pPr>
            <w:r w:rsidRPr="008E685D">
              <w:t>(2)</w:t>
            </w:r>
          </w:p>
        </w:tc>
        <w:tc>
          <w:tcPr>
            <w:tcW w:w="402" w:type="pct"/>
            <w:noWrap/>
          </w:tcPr>
          <w:p w:rsidR="00735E5A" w:rsidRPr="008E685D" w:rsidRDefault="00735E5A" w:rsidP="00735E5A">
            <w:pPr>
              <w:pStyle w:val="ARtabletextright"/>
            </w:pPr>
            <w:r w:rsidRPr="008E685D">
              <w:t>(2)</w:t>
            </w:r>
          </w:p>
        </w:tc>
        <w:tc>
          <w:tcPr>
            <w:tcW w:w="409" w:type="pct"/>
            <w:noWrap/>
          </w:tcPr>
          <w:p w:rsidR="00735E5A" w:rsidRPr="008E685D" w:rsidRDefault="00735E5A" w:rsidP="00735E5A">
            <w:pPr>
              <w:pStyle w:val="ARtabletextright"/>
            </w:pPr>
            <w:r w:rsidRPr="008E685D">
              <w:t>(4)</w:t>
            </w:r>
          </w:p>
        </w:tc>
      </w:tr>
      <w:tr w:rsidR="00735E5A" w:rsidRPr="008E685D" w:rsidTr="00735E5A">
        <w:tblPrEx>
          <w:tblLook w:val="0000" w:firstRow="0" w:lastRow="0" w:firstColumn="0" w:lastColumn="0" w:noHBand="0" w:noVBand="0"/>
        </w:tblPrEx>
        <w:trPr>
          <w:cantSplit/>
          <w:trHeight w:hRule="exact" w:val="397"/>
        </w:trPr>
        <w:tc>
          <w:tcPr>
            <w:tcW w:w="1251" w:type="pct"/>
            <w:noWrap/>
          </w:tcPr>
          <w:p w:rsidR="00735E5A" w:rsidRPr="00767E90" w:rsidRDefault="00735E5A" w:rsidP="00735E5A">
            <w:pPr>
              <w:pStyle w:val="ARtabletext"/>
            </w:pPr>
            <w:r w:rsidRPr="00767E90">
              <w:t>Alexandra District Hospital</w:t>
            </w:r>
          </w:p>
        </w:tc>
        <w:tc>
          <w:tcPr>
            <w:tcW w:w="448" w:type="pct"/>
            <w:noWrap/>
          </w:tcPr>
          <w:p w:rsidR="00735E5A" w:rsidRPr="00767E90" w:rsidRDefault="00735E5A" w:rsidP="00735E5A">
            <w:pPr>
              <w:pStyle w:val="ARtabletextright"/>
            </w:pPr>
            <w:r w:rsidRPr="00767E90">
              <w:t>1</w:t>
            </w:r>
          </w:p>
        </w:tc>
        <w:tc>
          <w:tcPr>
            <w:tcW w:w="393" w:type="pct"/>
            <w:noWrap/>
          </w:tcPr>
          <w:p w:rsidR="00735E5A" w:rsidRPr="00767E90" w:rsidRDefault="00735E5A" w:rsidP="00735E5A">
            <w:pPr>
              <w:pStyle w:val="ARtabletextright"/>
            </w:pPr>
            <w:r w:rsidRPr="00767E90">
              <w:t>0</w:t>
            </w:r>
          </w:p>
        </w:tc>
        <w:tc>
          <w:tcPr>
            <w:tcW w:w="418" w:type="pct"/>
            <w:noWrap/>
          </w:tcPr>
          <w:p w:rsidR="00735E5A" w:rsidRPr="00767E90" w:rsidRDefault="00735E5A" w:rsidP="00735E5A">
            <w:pPr>
              <w:pStyle w:val="ARtabletextright"/>
            </w:pPr>
            <w:r w:rsidRPr="00767E90">
              <w:t>1</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1</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0</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1</w:t>
            </w:r>
          </w:p>
        </w:tc>
        <w:tc>
          <w:tcPr>
            <w:tcW w:w="430" w:type="pct"/>
            <w:noWrap/>
          </w:tcPr>
          <w:p w:rsidR="00735E5A" w:rsidRPr="008E685D" w:rsidRDefault="00735E5A" w:rsidP="00735E5A">
            <w:pPr>
              <w:pStyle w:val="ARtabletextright"/>
            </w:pPr>
            <w:r w:rsidRPr="008E685D">
              <w:t>0</w:t>
            </w:r>
          </w:p>
        </w:tc>
        <w:tc>
          <w:tcPr>
            <w:tcW w:w="402" w:type="pct"/>
            <w:noWrap/>
          </w:tcPr>
          <w:p w:rsidR="00735E5A" w:rsidRPr="008E685D" w:rsidRDefault="00735E5A" w:rsidP="00735E5A">
            <w:pPr>
              <w:pStyle w:val="ARtabletextright"/>
            </w:pPr>
            <w:r w:rsidRPr="008E685D">
              <w:t>0</w:t>
            </w:r>
          </w:p>
        </w:tc>
        <w:tc>
          <w:tcPr>
            <w:tcW w:w="409" w:type="pct"/>
            <w:noWrap/>
          </w:tcPr>
          <w:p w:rsidR="00735E5A" w:rsidRPr="008E685D" w:rsidRDefault="00735E5A" w:rsidP="00735E5A">
            <w:pPr>
              <w:pStyle w:val="ARtabletextright"/>
            </w:pPr>
            <w:r w:rsidRPr="008E685D">
              <w:t>0</w:t>
            </w:r>
          </w:p>
        </w:tc>
      </w:tr>
      <w:tr w:rsidR="00735E5A" w:rsidRPr="008E685D" w:rsidTr="00735E5A">
        <w:tblPrEx>
          <w:tblLook w:val="0000" w:firstRow="0" w:lastRow="0" w:firstColumn="0" w:lastColumn="0" w:noHBand="0" w:noVBand="0"/>
        </w:tblPrEx>
        <w:trPr>
          <w:cantSplit/>
          <w:trHeight w:hRule="exact" w:val="397"/>
        </w:trPr>
        <w:tc>
          <w:tcPr>
            <w:tcW w:w="1251" w:type="pct"/>
            <w:noWrap/>
          </w:tcPr>
          <w:p w:rsidR="00735E5A" w:rsidRPr="00767E90" w:rsidRDefault="00735E5A" w:rsidP="00735E5A">
            <w:pPr>
              <w:pStyle w:val="ARtabletext"/>
            </w:pPr>
            <w:r w:rsidRPr="00767E90">
              <w:t>Alfred Health</w:t>
            </w:r>
          </w:p>
        </w:tc>
        <w:tc>
          <w:tcPr>
            <w:tcW w:w="448" w:type="pct"/>
            <w:noWrap/>
          </w:tcPr>
          <w:p w:rsidR="00735E5A" w:rsidRPr="00767E90" w:rsidRDefault="00735E5A" w:rsidP="00735E5A">
            <w:pPr>
              <w:pStyle w:val="ARtabletextright"/>
            </w:pPr>
            <w:r w:rsidRPr="00767E90">
              <w:t>4</w:t>
            </w:r>
          </w:p>
        </w:tc>
        <w:tc>
          <w:tcPr>
            <w:tcW w:w="393" w:type="pct"/>
            <w:noWrap/>
          </w:tcPr>
          <w:p w:rsidR="00735E5A" w:rsidRPr="00767E90" w:rsidRDefault="00735E5A" w:rsidP="00735E5A">
            <w:pPr>
              <w:pStyle w:val="ARtabletextright"/>
            </w:pPr>
            <w:r w:rsidRPr="00767E90">
              <w:t>3</w:t>
            </w:r>
          </w:p>
        </w:tc>
        <w:tc>
          <w:tcPr>
            <w:tcW w:w="418" w:type="pct"/>
            <w:noWrap/>
          </w:tcPr>
          <w:p w:rsidR="00735E5A" w:rsidRPr="00767E90" w:rsidRDefault="00735E5A" w:rsidP="00735E5A">
            <w:pPr>
              <w:pStyle w:val="ARtabletextright"/>
            </w:pPr>
            <w:r w:rsidRPr="00767E90">
              <w:t>7</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4</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4</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8</w:t>
            </w:r>
          </w:p>
        </w:tc>
        <w:tc>
          <w:tcPr>
            <w:tcW w:w="430" w:type="pct"/>
            <w:noWrap/>
          </w:tcPr>
          <w:p w:rsidR="00735E5A" w:rsidRPr="008E685D" w:rsidRDefault="00735E5A" w:rsidP="00735E5A">
            <w:pPr>
              <w:pStyle w:val="ARtabletextright"/>
            </w:pPr>
            <w:r w:rsidRPr="008E685D">
              <w:t>0</w:t>
            </w:r>
          </w:p>
        </w:tc>
        <w:tc>
          <w:tcPr>
            <w:tcW w:w="402" w:type="pct"/>
            <w:noWrap/>
          </w:tcPr>
          <w:p w:rsidR="00735E5A" w:rsidRPr="008E685D" w:rsidRDefault="00735E5A" w:rsidP="00735E5A">
            <w:pPr>
              <w:pStyle w:val="ARtabletextright"/>
            </w:pPr>
            <w:r w:rsidRPr="008E685D">
              <w:t>1</w:t>
            </w:r>
          </w:p>
        </w:tc>
        <w:tc>
          <w:tcPr>
            <w:tcW w:w="409" w:type="pct"/>
            <w:noWrap/>
          </w:tcPr>
          <w:p w:rsidR="00735E5A" w:rsidRPr="008E685D" w:rsidRDefault="00735E5A" w:rsidP="00735E5A">
            <w:pPr>
              <w:pStyle w:val="ARtabletextright"/>
            </w:pPr>
            <w:r w:rsidRPr="008E685D">
              <w:t>1</w:t>
            </w:r>
          </w:p>
        </w:tc>
      </w:tr>
      <w:tr w:rsidR="00735E5A" w:rsidRPr="008E685D" w:rsidTr="00735E5A">
        <w:tblPrEx>
          <w:tblLook w:val="0000" w:firstRow="0" w:lastRow="0" w:firstColumn="0" w:lastColumn="0" w:noHBand="0" w:noVBand="0"/>
        </w:tblPrEx>
        <w:trPr>
          <w:cantSplit/>
          <w:trHeight w:hRule="exact" w:val="397"/>
        </w:trPr>
        <w:tc>
          <w:tcPr>
            <w:tcW w:w="1251" w:type="pct"/>
            <w:noWrap/>
          </w:tcPr>
          <w:p w:rsidR="00735E5A" w:rsidRPr="00767E90" w:rsidRDefault="00735E5A" w:rsidP="00735E5A">
            <w:pPr>
              <w:pStyle w:val="ARtabletext"/>
            </w:pPr>
            <w:r w:rsidRPr="00767E90">
              <w:t>Alpine Health</w:t>
            </w:r>
          </w:p>
        </w:tc>
        <w:tc>
          <w:tcPr>
            <w:tcW w:w="448" w:type="pct"/>
            <w:noWrap/>
          </w:tcPr>
          <w:p w:rsidR="00735E5A" w:rsidRPr="00767E90" w:rsidRDefault="00735E5A" w:rsidP="00735E5A">
            <w:pPr>
              <w:pStyle w:val="ARtabletextright"/>
            </w:pPr>
            <w:r w:rsidRPr="00767E90">
              <w:t>0</w:t>
            </w:r>
          </w:p>
        </w:tc>
        <w:tc>
          <w:tcPr>
            <w:tcW w:w="393" w:type="pct"/>
            <w:noWrap/>
          </w:tcPr>
          <w:p w:rsidR="00735E5A" w:rsidRPr="00767E90" w:rsidRDefault="00735E5A" w:rsidP="00735E5A">
            <w:pPr>
              <w:pStyle w:val="ARtabletextright"/>
            </w:pPr>
            <w:r w:rsidRPr="00767E90">
              <w:t>1</w:t>
            </w:r>
          </w:p>
        </w:tc>
        <w:tc>
          <w:tcPr>
            <w:tcW w:w="418" w:type="pct"/>
            <w:noWrap/>
          </w:tcPr>
          <w:p w:rsidR="00735E5A" w:rsidRPr="00767E90" w:rsidRDefault="00735E5A" w:rsidP="00735E5A">
            <w:pPr>
              <w:pStyle w:val="ARtabletextright"/>
            </w:pPr>
            <w:r w:rsidRPr="00767E90">
              <w:t>1</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0</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1</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1</w:t>
            </w:r>
          </w:p>
        </w:tc>
        <w:tc>
          <w:tcPr>
            <w:tcW w:w="430" w:type="pct"/>
            <w:noWrap/>
          </w:tcPr>
          <w:p w:rsidR="00735E5A" w:rsidRPr="008E685D" w:rsidRDefault="00735E5A" w:rsidP="00735E5A">
            <w:pPr>
              <w:pStyle w:val="ARtabletextright"/>
            </w:pPr>
            <w:r w:rsidRPr="008E685D">
              <w:t>0</w:t>
            </w:r>
          </w:p>
        </w:tc>
        <w:tc>
          <w:tcPr>
            <w:tcW w:w="402" w:type="pct"/>
            <w:noWrap/>
          </w:tcPr>
          <w:p w:rsidR="00735E5A" w:rsidRPr="008E685D" w:rsidRDefault="00735E5A" w:rsidP="00735E5A">
            <w:pPr>
              <w:pStyle w:val="ARtabletextright"/>
            </w:pPr>
            <w:r w:rsidRPr="008E685D">
              <w:t>0</w:t>
            </w:r>
          </w:p>
        </w:tc>
        <w:tc>
          <w:tcPr>
            <w:tcW w:w="409" w:type="pct"/>
            <w:noWrap/>
          </w:tcPr>
          <w:p w:rsidR="00735E5A" w:rsidRPr="008E685D" w:rsidRDefault="00735E5A" w:rsidP="00735E5A">
            <w:pPr>
              <w:pStyle w:val="ARtabletextright"/>
            </w:pPr>
            <w:r w:rsidRPr="008E685D">
              <w:t xml:space="preserve"> 0</w:t>
            </w:r>
          </w:p>
        </w:tc>
      </w:tr>
      <w:tr w:rsidR="00735E5A" w:rsidRPr="008E685D" w:rsidTr="00735E5A">
        <w:tblPrEx>
          <w:tblLook w:val="0000" w:firstRow="0" w:lastRow="0" w:firstColumn="0" w:lastColumn="0" w:noHBand="0" w:noVBand="0"/>
        </w:tblPrEx>
        <w:trPr>
          <w:cantSplit/>
          <w:trHeight w:hRule="exact" w:val="397"/>
        </w:trPr>
        <w:tc>
          <w:tcPr>
            <w:tcW w:w="1251" w:type="pct"/>
            <w:noWrap/>
          </w:tcPr>
          <w:p w:rsidR="00735E5A" w:rsidRPr="00767E90" w:rsidRDefault="00735E5A" w:rsidP="00735E5A">
            <w:pPr>
              <w:pStyle w:val="ARtabletext"/>
            </w:pPr>
            <w:r w:rsidRPr="00767E90">
              <w:t>Ambulance Victoria</w:t>
            </w:r>
          </w:p>
        </w:tc>
        <w:tc>
          <w:tcPr>
            <w:tcW w:w="448" w:type="pct"/>
            <w:noWrap/>
          </w:tcPr>
          <w:p w:rsidR="00735E5A" w:rsidRPr="00767E90" w:rsidRDefault="00735E5A" w:rsidP="00735E5A">
            <w:pPr>
              <w:pStyle w:val="ARtabletextright"/>
            </w:pPr>
            <w:r w:rsidRPr="00767E90">
              <w:t>3</w:t>
            </w:r>
          </w:p>
        </w:tc>
        <w:tc>
          <w:tcPr>
            <w:tcW w:w="393" w:type="pct"/>
            <w:noWrap/>
          </w:tcPr>
          <w:p w:rsidR="00735E5A" w:rsidRPr="00767E90" w:rsidRDefault="00735E5A" w:rsidP="00735E5A">
            <w:pPr>
              <w:pStyle w:val="ARtabletextright"/>
            </w:pPr>
            <w:r w:rsidRPr="00767E90">
              <w:t>8</w:t>
            </w:r>
          </w:p>
        </w:tc>
        <w:tc>
          <w:tcPr>
            <w:tcW w:w="418" w:type="pct"/>
            <w:noWrap/>
          </w:tcPr>
          <w:p w:rsidR="00735E5A" w:rsidRPr="00767E90" w:rsidRDefault="00735E5A" w:rsidP="00735E5A">
            <w:pPr>
              <w:pStyle w:val="ARtabletextright"/>
            </w:pPr>
            <w:r w:rsidRPr="00767E90">
              <w:t>11</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4</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10</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14</w:t>
            </w:r>
          </w:p>
        </w:tc>
        <w:tc>
          <w:tcPr>
            <w:tcW w:w="430" w:type="pct"/>
            <w:noWrap/>
          </w:tcPr>
          <w:p w:rsidR="00735E5A" w:rsidRPr="008E685D" w:rsidRDefault="00735E5A" w:rsidP="00735E5A">
            <w:pPr>
              <w:pStyle w:val="ARtabletextright"/>
            </w:pPr>
            <w:r w:rsidRPr="008E685D">
              <w:t>1</w:t>
            </w:r>
          </w:p>
        </w:tc>
        <w:tc>
          <w:tcPr>
            <w:tcW w:w="402" w:type="pct"/>
            <w:noWrap/>
          </w:tcPr>
          <w:p w:rsidR="00735E5A" w:rsidRPr="008E685D" w:rsidRDefault="00735E5A" w:rsidP="00735E5A">
            <w:pPr>
              <w:pStyle w:val="ARtabletextright"/>
            </w:pPr>
            <w:r w:rsidRPr="008E685D">
              <w:t>2</w:t>
            </w:r>
          </w:p>
        </w:tc>
        <w:tc>
          <w:tcPr>
            <w:tcW w:w="409" w:type="pct"/>
            <w:noWrap/>
          </w:tcPr>
          <w:p w:rsidR="00735E5A" w:rsidRPr="008E685D" w:rsidRDefault="00735E5A" w:rsidP="00735E5A">
            <w:pPr>
              <w:pStyle w:val="ARtabletextright"/>
            </w:pPr>
            <w:r w:rsidRPr="008E685D">
              <w:t>3</w:t>
            </w:r>
          </w:p>
        </w:tc>
      </w:tr>
      <w:tr w:rsidR="00735E5A" w:rsidRPr="008E685D" w:rsidTr="00735E5A">
        <w:tblPrEx>
          <w:tblLook w:val="0000" w:firstRow="0" w:lastRow="0" w:firstColumn="0" w:lastColumn="0" w:noHBand="0" w:noVBand="0"/>
        </w:tblPrEx>
        <w:trPr>
          <w:cantSplit/>
          <w:trHeight w:hRule="exact" w:val="397"/>
        </w:trPr>
        <w:tc>
          <w:tcPr>
            <w:tcW w:w="1251" w:type="pct"/>
            <w:noWrap/>
          </w:tcPr>
          <w:p w:rsidR="00735E5A" w:rsidRPr="00767E90" w:rsidRDefault="00735E5A" w:rsidP="00735E5A">
            <w:pPr>
              <w:pStyle w:val="ARtabletext"/>
            </w:pPr>
            <w:r w:rsidRPr="00767E90">
              <w:t>Austin Health</w:t>
            </w:r>
          </w:p>
        </w:tc>
        <w:tc>
          <w:tcPr>
            <w:tcW w:w="448" w:type="pct"/>
            <w:noWrap/>
          </w:tcPr>
          <w:p w:rsidR="00735E5A" w:rsidRPr="00767E90" w:rsidRDefault="00735E5A" w:rsidP="00735E5A">
            <w:pPr>
              <w:pStyle w:val="ARtabletextright"/>
            </w:pPr>
            <w:r w:rsidRPr="00767E90">
              <w:t>3</w:t>
            </w:r>
          </w:p>
        </w:tc>
        <w:tc>
          <w:tcPr>
            <w:tcW w:w="393" w:type="pct"/>
            <w:noWrap/>
          </w:tcPr>
          <w:p w:rsidR="00735E5A" w:rsidRPr="00767E90" w:rsidRDefault="00735E5A" w:rsidP="00735E5A">
            <w:pPr>
              <w:pStyle w:val="ARtabletextright"/>
            </w:pPr>
            <w:r w:rsidRPr="00767E90">
              <w:t>3</w:t>
            </w:r>
          </w:p>
        </w:tc>
        <w:tc>
          <w:tcPr>
            <w:tcW w:w="418" w:type="pct"/>
            <w:noWrap/>
          </w:tcPr>
          <w:p w:rsidR="00735E5A" w:rsidRPr="00767E90" w:rsidRDefault="00735E5A" w:rsidP="00735E5A">
            <w:pPr>
              <w:pStyle w:val="ARtabletextright"/>
            </w:pPr>
            <w:r w:rsidRPr="00767E90">
              <w:t>6</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3</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5</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8</w:t>
            </w:r>
          </w:p>
        </w:tc>
        <w:tc>
          <w:tcPr>
            <w:tcW w:w="430" w:type="pct"/>
            <w:noWrap/>
          </w:tcPr>
          <w:p w:rsidR="00735E5A" w:rsidRPr="008E685D" w:rsidRDefault="00735E5A" w:rsidP="00735E5A">
            <w:pPr>
              <w:pStyle w:val="ARtabletextright"/>
            </w:pPr>
            <w:r w:rsidRPr="008E685D">
              <w:t>0</w:t>
            </w:r>
          </w:p>
        </w:tc>
        <w:tc>
          <w:tcPr>
            <w:tcW w:w="402" w:type="pct"/>
            <w:noWrap/>
          </w:tcPr>
          <w:p w:rsidR="00735E5A" w:rsidRPr="008E685D" w:rsidRDefault="00735E5A" w:rsidP="00735E5A">
            <w:pPr>
              <w:pStyle w:val="ARtabletextright"/>
            </w:pPr>
            <w:r w:rsidRPr="008E685D">
              <w:t>2</w:t>
            </w:r>
          </w:p>
        </w:tc>
        <w:tc>
          <w:tcPr>
            <w:tcW w:w="409" w:type="pct"/>
            <w:noWrap/>
          </w:tcPr>
          <w:p w:rsidR="00735E5A" w:rsidRPr="008E685D" w:rsidRDefault="00735E5A" w:rsidP="00735E5A">
            <w:pPr>
              <w:pStyle w:val="ARtabletextright"/>
            </w:pPr>
            <w:r w:rsidRPr="008E685D">
              <w:t>2</w:t>
            </w:r>
          </w:p>
        </w:tc>
      </w:tr>
      <w:tr w:rsidR="00735E5A" w:rsidRPr="00767E90" w:rsidTr="00735E5A">
        <w:tblPrEx>
          <w:tblLook w:val="0000" w:firstRow="0" w:lastRow="0" w:firstColumn="0" w:lastColumn="0" w:noHBand="0" w:noVBand="0"/>
        </w:tblPrEx>
        <w:trPr>
          <w:cantSplit/>
          <w:trHeight w:val="340"/>
        </w:trPr>
        <w:tc>
          <w:tcPr>
            <w:tcW w:w="1251" w:type="pct"/>
            <w:noWrap/>
          </w:tcPr>
          <w:p w:rsidR="00735E5A" w:rsidRPr="00767E90" w:rsidRDefault="00735E5A" w:rsidP="00735E5A">
            <w:pPr>
              <w:pStyle w:val="ARtabletext"/>
            </w:pPr>
            <w:r w:rsidRPr="00767E90">
              <w:t>Bairnsdale Regional Health Service</w:t>
            </w:r>
          </w:p>
        </w:tc>
        <w:tc>
          <w:tcPr>
            <w:tcW w:w="448" w:type="pct"/>
            <w:noWrap/>
          </w:tcPr>
          <w:p w:rsidR="00735E5A" w:rsidRPr="00767E90" w:rsidRDefault="00735E5A" w:rsidP="00735E5A">
            <w:pPr>
              <w:pStyle w:val="ARtabletextright"/>
            </w:pPr>
            <w:r w:rsidRPr="00767E90">
              <w:t>3</w:t>
            </w:r>
          </w:p>
        </w:tc>
        <w:tc>
          <w:tcPr>
            <w:tcW w:w="393" w:type="pct"/>
            <w:noWrap/>
          </w:tcPr>
          <w:p w:rsidR="00735E5A" w:rsidRPr="00767E90" w:rsidRDefault="00735E5A" w:rsidP="00735E5A">
            <w:pPr>
              <w:pStyle w:val="ARtabletextright"/>
            </w:pPr>
            <w:r w:rsidRPr="00767E90">
              <w:t>2</w:t>
            </w:r>
          </w:p>
        </w:tc>
        <w:tc>
          <w:tcPr>
            <w:tcW w:w="418" w:type="pct"/>
            <w:noWrap/>
          </w:tcPr>
          <w:p w:rsidR="00735E5A" w:rsidRPr="00767E90" w:rsidRDefault="00735E5A" w:rsidP="00735E5A">
            <w:pPr>
              <w:pStyle w:val="ARtabletextright"/>
            </w:pPr>
            <w:r w:rsidRPr="00767E90">
              <w:t>5</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3</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2</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5</w:t>
            </w:r>
          </w:p>
        </w:tc>
        <w:tc>
          <w:tcPr>
            <w:tcW w:w="430" w:type="pct"/>
            <w:noWrap/>
          </w:tcPr>
          <w:p w:rsidR="00735E5A" w:rsidRPr="00767E90" w:rsidRDefault="00735E5A" w:rsidP="00735E5A">
            <w:pPr>
              <w:pStyle w:val="ARtabletextright"/>
            </w:pPr>
            <w:r w:rsidRPr="00767E90">
              <w:t>0</w:t>
            </w:r>
          </w:p>
        </w:tc>
        <w:tc>
          <w:tcPr>
            <w:tcW w:w="402" w:type="pct"/>
            <w:noWrap/>
          </w:tcPr>
          <w:p w:rsidR="00735E5A" w:rsidRPr="00767E90" w:rsidRDefault="00735E5A" w:rsidP="00735E5A">
            <w:pPr>
              <w:pStyle w:val="ARtabletextright"/>
            </w:pPr>
            <w:r w:rsidRPr="00767E90">
              <w:t>0</w:t>
            </w:r>
          </w:p>
        </w:tc>
        <w:tc>
          <w:tcPr>
            <w:tcW w:w="409" w:type="pct"/>
            <w:noWrap/>
          </w:tcPr>
          <w:p w:rsidR="00735E5A" w:rsidRPr="00767E90" w:rsidRDefault="00735E5A" w:rsidP="00735E5A">
            <w:pPr>
              <w:pStyle w:val="ARtabletextright"/>
            </w:pPr>
            <w:r w:rsidRPr="00767E90">
              <w:t>0</w:t>
            </w:r>
          </w:p>
        </w:tc>
      </w:tr>
      <w:tr w:rsidR="00735E5A" w:rsidRPr="00767E90" w:rsidTr="00735E5A">
        <w:tblPrEx>
          <w:tblLook w:val="0000" w:firstRow="0" w:lastRow="0" w:firstColumn="0" w:lastColumn="0" w:noHBand="0" w:noVBand="0"/>
        </w:tblPrEx>
        <w:trPr>
          <w:cantSplit/>
          <w:trHeight w:val="340"/>
        </w:trPr>
        <w:tc>
          <w:tcPr>
            <w:tcW w:w="1251" w:type="pct"/>
            <w:noWrap/>
          </w:tcPr>
          <w:p w:rsidR="00735E5A" w:rsidRPr="00767E90" w:rsidRDefault="00735E5A" w:rsidP="00735E5A">
            <w:pPr>
              <w:pStyle w:val="ARtabletext"/>
            </w:pPr>
            <w:r w:rsidRPr="00767E90">
              <w:t>Ballarat General Cemeteries Trust</w:t>
            </w:r>
          </w:p>
        </w:tc>
        <w:tc>
          <w:tcPr>
            <w:tcW w:w="448" w:type="pct"/>
            <w:noWrap/>
          </w:tcPr>
          <w:p w:rsidR="00735E5A" w:rsidRPr="00767E90" w:rsidRDefault="00735E5A" w:rsidP="00735E5A">
            <w:pPr>
              <w:pStyle w:val="ARtabletextright"/>
            </w:pPr>
            <w:r w:rsidRPr="00767E90">
              <w:t>1</w:t>
            </w:r>
          </w:p>
        </w:tc>
        <w:tc>
          <w:tcPr>
            <w:tcW w:w="393" w:type="pct"/>
            <w:noWrap/>
          </w:tcPr>
          <w:p w:rsidR="00735E5A" w:rsidRPr="00767E90" w:rsidRDefault="00735E5A" w:rsidP="00735E5A">
            <w:pPr>
              <w:pStyle w:val="ARtabletextright"/>
            </w:pPr>
            <w:r w:rsidRPr="00767E90">
              <w:t>0</w:t>
            </w:r>
          </w:p>
        </w:tc>
        <w:tc>
          <w:tcPr>
            <w:tcW w:w="418" w:type="pct"/>
            <w:noWrap/>
          </w:tcPr>
          <w:p w:rsidR="00735E5A" w:rsidRPr="00767E90" w:rsidRDefault="00735E5A" w:rsidP="00735E5A">
            <w:pPr>
              <w:pStyle w:val="ARtabletextright"/>
            </w:pPr>
            <w:r w:rsidRPr="00767E90">
              <w:t>1</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1</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0</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1</w:t>
            </w:r>
          </w:p>
        </w:tc>
        <w:tc>
          <w:tcPr>
            <w:tcW w:w="430" w:type="pct"/>
            <w:noWrap/>
          </w:tcPr>
          <w:p w:rsidR="00735E5A" w:rsidRPr="00767E90" w:rsidRDefault="00735E5A" w:rsidP="00735E5A">
            <w:pPr>
              <w:pStyle w:val="ARtabletextright"/>
            </w:pPr>
            <w:r w:rsidRPr="00767E90">
              <w:t>0</w:t>
            </w:r>
          </w:p>
        </w:tc>
        <w:tc>
          <w:tcPr>
            <w:tcW w:w="402" w:type="pct"/>
            <w:noWrap/>
          </w:tcPr>
          <w:p w:rsidR="00735E5A" w:rsidRPr="00767E90" w:rsidRDefault="00735E5A" w:rsidP="00735E5A">
            <w:pPr>
              <w:pStyle w:val="ARtabletextright"/>
            </w:pPr>
            <w:r w:rsidRPr="00767E90">
              <w:t>0</w:t>
            </w:r>
          </w:p>
        </w:tc>
        <w:tc>
          <w:tcPr>
            <w:tcW w:w="409" w:type="pct"/>
            <w:noWrap/>
          </w:tcPr>
          <w:p w:rsidR="00735E5A" w:rsidRPr="00767E90" w:rsidRDefault="00735E5A" w:rsidP="00735E5A">
            <w:pPr>
              <w:pStyle w:val="ARtabletextright"/>
            </w:pPr>
            <w:r w:rsidRPr="00767E90">
              <w:t>0</w:t>
            </w:r>
          </w:p>
        </w:tc>
      </w:tr>
      <w:tr w:rsidR="00735E5A" w:rsidRPr="00767E90" w:rsidTr="00735E5A">
        <w:tblPrEx>
          <w:tblLook w:val="0000" w:firstRow="0" w:lastRow="0" w:firstColumn="0" w:lastColumn="0" w:noHBand="0" w:noVBand="0"/>
        </w:tblPrEx>
        <w:trPr>
          <w:cantSplit/>
          <w:trHeight w:val="340"/>
        </w:trPr>
        <w:tc>
          <w:tcPr>
            <w:tcW w:w="1251" w:type="pct"/>
            <w:noWrap/>
          </w:tcPr>
          <w:p w:rsidR="00735E5A" w:rsidRPr="00767E90" w:rsidRDefault="00735E5A" w:rsidP="00735E5A">
            <w:pPr>
              <w:pStyle w:val="ARtabletext"/>
            </w:pPr>
            <w:r w:rsidRPr="00767E90">
              <w:t>Ballarat Health Services</w:t>
            </w:r>
          </w:p>
        </w:tc>
        <w:tc>
          <w:tcPr>
            <w:tcW w:w="448" w:type="pct"/>
            <w:noWrap/>
          </w:tcPr>
          <w:p w:rsidR="00735E5A" w:rsidRPr="00767E90" w:rsidRDefault="00735E5A" w:rsidP="00735E5A">
            <w:pPr>
              <w:pStyle w:val="ARtabletextright"/>
            </w:pPr>
            <w:r w:rsidRPr="00767E90">
              <w:t>4</w:t>
            </w:r>
          </w:p>
        </w:tc>
        <w:tc>
          <w:tcPr>
            <w:tcW w:w="393" w:type="pct"/>
            <w:noWrap/>
          </w:tcPr>
          <w:p w:rsidR="00735E5A" w:rsidRPr="00767E90" w:rsidRDefault="00735E5A" w:rsidP="00735E5A">
            <w:pPr>
              <w:pStyle w:val="ARtabletextright"/>
            </w:pPr>
            <w:r w:rsidRPr="00767E90">
              <w:t>3</w:t>
            </w:r>
          </w:p>
        </w:tc>
        <w:tc>
          <w:tcPr>
            <w:tcW w:w="418" w:type="pct"/>
            <w:noWrap/>
          </w:tcPr>
          <w:p w:rsidR="00735E5A" w:rsidRPr="00767E90" w:rsidRDefault="00735E5A" w:rsidP="00735E5A">
            <w:pPr>
              <w:pStyle w:val="ARtabletextright"/>
            </w:pPr>
            <w:r w:rsidRPr="00767E90">
              <w:t>7</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4</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4</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8</w:t>
            </w:r>
          </w:p>
        </w:tc>
        <w:tc>
          <w:tcPr>
            <w:tcW w:w="430" w:type="pct"/>
            <w:noWrap/>
          </w:tcPr>
          <w:p w:rsidR="00735E5A" w:rsidRPr="00767E90" w:rsidRDefault="00735E5A" w:rsidP="00735E5A">
            <w:pPr>
              <w:pStyle w:val="ARtabletextright"/>
            </w:pPr>
            <w:r w:rsidRPr="00767E90">
              <w:t>0</w:t>
            </w:r>
          </w:p>
        </w:tc>
        <w:tc>
          <w:tcPr>
            <w:tcW w:w="402" w:type="pct"/>
            <w:noWrap/>
          </w:tcPr>
          <w:p w:rsidR="00735E5A" w:rsidRPr="00767E90" w:rsidRDefault="00735E5A" w:rsidP="00735E5A">
            <w:pPr>
              <w:pStyle w:val="ARtabletextright"/>
            </w:pPr>
            <w:r w:rsidRPr="00767E90">
              <w:t>1</w:t>
            </w:r>
          </w:p>
        </w:tc>
        <w:tc>
          <w:tcPr>
            <w:tcW w:w="409" w:type="pct"/>
            <w:noWrap/>
          </w:tcPr>
          <w:p w:rsidR="00735E5A" w:rsidRPr="00767E90" w:rsidRDefault="00735E5A" w:rsidP="00735E5A">
            <w:pPr>
              <w:pStyle w:val="ARtabletextright"/>
            </w:pPr>
            <w:r w:rsidRPr="00767E90">
              <w:t>1</w:t>
            </w:r>
          </w:p>
        </w:tc>
      </w:tr>
      <w:tr w:rsidR="00735E5A" w:rsidRPr="00767E90" w:rsidTr="00735E5A">
        <w:tblPrEx>
          <w:tblLook w:val="0000" w:firstRow="0" w:lastRow="0" w:firstColumn="0" w:lastColumn="0" w:noHBand="0" w:noVBand="0"/>
        </w:tblPrEx>
        <w:trPr>
          <w:cantSplit/>
          <w:trHeight w:val="340"/>
        </w:trPr>
        <w:tc>
          <w:tcPr>
            <w:tcW w:w="1251" w:type="pct"/>
            <w:noWrap/>
          </w:tcPr>
          <w:p w:rsidR="00735E5A" w:rsidRPr="00767E90" w:rsidRDefault="00735E5A" w:rsidP="00735E5A">
            <w:pPr>
              <w:pStyle w:val="ARtabletext"/>
            </w:pPr>
            <w:r w:rsidRPr="00767E90">
              <w:t>Barwon Health</w:t>
            </w:r>
          </w:p>
        </w:tc>
        <w:tc>
          <w:tcPr>
            <w:tcW w:w="448" w:type="pct"/>
            <w:noWrap/>
          </w:tcPr>
          <w:p w:rsidR="00735E5A" w:rsidRPr="00767E90" w:rsidRDefault="00735E5A" w:rsidP="00735E5A">
            <w:pPr>
              <w:pStyle w:val="ARtabletextright"/>
            </w:pPr>
            <w:r w:rsidRPr="00767E90">
              <w:t>4</w:t>
            </w:r>
          </w:p>
        </w:tc>
        <w:tc>
          <w:tcPr>
            <w:tcW w:w="393" w:type="pct"/>
            <w:noWrap/>
          </w:tcPr>
          <w:p w:rsidR="00735E5A" w:rsidRPr="00767E90" w:rsidRDefault="00735E5A" w:rsidP="00735E5A">
            <w:pPr>
              <w:pStyle w:val="ARtabletextright"/>
            </w:pPr>
            <w:r w:rsidRPr="00767E90">
              <w:t>5</w:t>
            </w:r>
          </w:p>
        </w:tc>
        <w:tc>
          <w:tcPr>
            <w:tcW w:w="418" w:type="pct"/>
            <w:noWrap/>
          </w:tcPr>
          <w:p w:rsidR="00735E5A" w:rsidRPr="00767E90" w:rsidRDefault="00735E5A" w:rsidP="00735E5A">
            <w:pPr>
              <w:pStyle w:val="ARtabletextright"/>
            </w:pPr>
            <w:r w:rsidRPr="00767E90">
              <w:t>9</w:t>
            </w:r>
          </w:p>
        </w:tc>
        <w:tc>
          <w:tcPr>
            <w:tcW w:w="432" w:type="pct"/>
            <w:tcBorders>
              <w:right w:val="nil"/>
            </w:tcBorders>
            <w:shd w:val="clear" w:color="auto" w:fill="F2F2F2" w:themeFill="background1" w:themeFillShade="F2"/>
            <w:noWrap/>
          </w:tcPr>
          <w:p w:rsidR="00735E5A" w:rsidRPr="00767E90" w:rsidRDefault="00735E5A" w:rsidP="00735E5A">
            <w:pPr>
              <w:pStyle w:val="ARtabletextright"/>
            </w:pPr>
            <w:r w:rsidRPr="00767E90">
              <w:t>4</w:t>
            </w:r>
          </w:p>
        </w:tc>
        <w:tc>
          <w:tcPr>
            <w:tcW w:w="399" w:type="pct"/>
            <w:tcBorders>
              <w:left w:val="nil"/>
              <w:right w:val="nil"/>
            </w:tcBorders>
            <w:shd w:val="clear" w:color="auto" w:fill="F2F2F2" w:themeFill="background1" w:themeFillShade="F2"/>
            <w:noWrap/>
          </w:tcPr>
          <w:p w:rsidR="00735E5A" w:rsidRPr="00767E90" w:rsidRDefault="00735E5A" w:rsidP="00735E5A">
            <w:pPr>
              <w:pStyle w:val="ARtabletextright"/>
            </w:pPr>
            <w:r w:rsidRPr="00767E90">
              <w:t>2</w:t>
            </w:r>
          </w:p>
        </w:tc>
        <w:tc>
          <w:tcPr>
            <w:tcW w:w="418" w:type="pct"/>
            <w:tcBorders>
              <w:left w:val="nil"/>
            </w:tcBorders>
            <w:shd w:val="clear" w:color="auto" w:fill="F2F2F2" w:themeFill="background1" w:themeFillShade="F2"/>
            <w:noWrap/>
          </w:tcPr>
          <w:p w:rsidR="00735E5A" w:rsidRPr="00767E90" w:rsidRDefault="00735E5A" w:rsidP="00735E5A">
            <w:pPr>
              <w:pStyle w:val="ARtabletextright"/>
            </w:pPr>
            <w:r w:rsidRPr="00767E90">
              <w:t>7</w:t>
            </w:r>
          </w:p>
        </w:tc>
        <w:tc>
          <w:tcPr>
            <w:tcW w:w="430" w:type="pct"/>
            <w:noWrap/>
          </w:tcPr>
          <w:p w:rsidR="00735E5A" w:rsidRPr="00767E90" w:rsidRDefault="00735E5A" w:rsidP="00735E5A">
            <w:pPr>
              <w:pStyle w:val="ARtabletextright"/>
            </w:pPr>
            <w:r w:rsidRPr="00767E90">
              <w:t>1</w:t>
            </w:r>
          </w:p>
        </w:tc>
        <w:tc>
          <w:tcPr>
            <w:tcW w:w="402" w:type="pct"/>
            <w:noWrap/>
          </w:tcPr>
          <w:p w:rsidR="00735E5A" w:rsidRPr="00767E90" w:rsidRDefault="00735E5A" w:rsidP="00735E5A">
            <w:pPr>
              <w:pStyle w:val="ARtabletextright"/>
            </w:pPr>
            <w:r>
              <w:t>(</w:t>
            </w:r>
            <w:r w:rsidRPr="00767E90">
              <w:t>3</w:t>
            </w:r>
            <w:r>
              <w:t>)</w:t>
            </w:r>
          </w:p>
        </w:tc>
        <w:tc>
          <w:tcPr>
            <w:tcW w:w="409" w:type="pct"/>
            <w:noWrap/>
          </w:tcPr>
          <w:p w:rsidR="00735E5A" w:rsidRPr="00767E90" w:rsidRDefault="00735E5A" w:rsidP="00735E5A">
            <w:pPr>
              <w:pStyle w:val="ARtabletextright"/>
            </w:pPr>
            <w:r>
              <w:t>(</w:t>
            </w:r>
            <w:r w:rsidRPr="00767E90">
              <w:t>2</w:t>
            </w:r>
            <w:r>
              <w:t>)</w:t>
            </w:r>
          </w:p>
        </w:tc>
      </w:tr>
      <w:tr w:rsidR="00735E5A" w:rsidRPr="00831A8A" w:rsidTr="00735E5A">
        <w:tblPrEx>
          <w:tblLook w:val="0000" w:firstRow="0" w:lastRow="0" w:firstColumn="0" w:lastColumn="0" w:noHBand="0" w:noVBand="0"/>
        </w:tblPrEx>
        <w:trPr>
          <w:cantSplit/>
          <w:trHeight w:val="340"/>
        </w:trPr>
        <w:tc>
          <w:tcPr>
            <w:tcW w:w="1251" w:type="pct"/>
            <w:noWrap/>
          </w:tcPr>
          <w:p w:rsidR="00735E5A" w:rsidRPr="00831A8A" w:rsidRDefault="00735E5A" w:rsidP="00735E5A">
            <w:pPr>
              <w:pStyle w:val="ARtabletext"/>
              <w:jc w:val="right"/>
            </w:pPr>
            <w:r w:rsidRPr="00831A8A">
              <w:t>Bass Coast Regional Health</w:t>
            </w:r>
          </w:p>
        </w:tc>
        <w:tc>
          <w:tcPr>
            <w:tcW w:w="448" w:type="pct"/>
            <w:noWrap/>
          </w:tcPr>
          <w:p w:rsidR="00735E5A" w:rsidRPr="00831A8A" w:rsidRDefault="00735E5A" w:rsidP="00735E5A">
            <w:pPr>
              <w:pStyle w:val="ARtabletextright"/>
            </w:pPr>
            <w:r w:rsidRPr="00831A8A">
              <w:t>1</w:t>
            </w:r>
          </w:p>
        </w:tc>
        <w:tc>
          <w:tcPr>
            <w:tcW w:w="393" w:type="pct"/>
            <w:noWrap/>
          </w:tcPr>
          <w:p w:rsidR="00735E5A" w:rsidRPr="00831A8A" w:rsidRDefault="00735E5A" w:rsidP="00735E5A">
            <w:pPr>
              <w:pStyle w:val="ARtabletextright"/>
            </w:pPr>
            <w:r w:rsidRPr="00831A8A">
              <w:t>0</w:t>
            </w:r>
          </w:p>
        </w:tc>
        <w:tc>
          <w:tcPr>
            <w:tcW w:w="418" w:type="pct"/>
            <w:noWrap/>
          </w:tcPr>
          <w:p w:rsidR="00735E5A" w:rsidRPr="00831A8A" w:rsidRDefault="00735E5A" w:rsidP="00735E5A">
            <w:pPr>
              <w:pStyle w:val="ARtabletextright"/>
            </w:pPr>
            <w:r w:rsidRPr="00831A8A">
              <w:t>1</w:t>
            </w:r>
          </w:p>
        </w:tc>
        <w:tc>
          <w:tcPr>
            <w:tcW w:w="432" w:type="pct"/>
            <w:tcBorders>
              <w:right w:val="nil"/>
            </w:tcBorders>
            <w:shd w:val="clear" w:color="auto" w:fill="F2F2F2" w:themeFill="background1" w:themeFillShade="F2"/>
            <w:noWrap/>
          </w:tcPr>
          <w:p w:rsidR="00735E5A" w:rsidRPr="00831A8A" w:rsidRDefault="00735E5A" w:rsidP="00735E5A">
            <w:pPr>
              <w:pStyle w:val="ARtabletextright"/>
            </w:pPr>
            <w:r w:rsidRPr="00831A8A">
              <w:t>2</w:t>
            </w:r>
          </w:p>
        </w:tc>
        <w:tc>
          <w:tcPr>
            <w:tcW w:w="399" w:type="pct"/>
            <w:tcBorders>
              <w:left w:val="nil"/>
              <w:right w:val="nil"/>
            </w:tcBorders>
            <w:shd w:val="clear" w:color="auto" w:fill="F2F2F2" w:themeFill="background1" w:themeFillShade="F2"/>
            <w:noWrap/>
          </w:tcPr>
          <w:p w:rsidR="00735E5A" w:rsidRPr="00831A8A" w:rsidRDefault="00735E5A" w:rsidP="00735E5A">
            <w:pPr>
              <w:pStyle w:val="ARtabletextright"/>
            </w:pPr>
            <w:r w:rsidRPr="00831A8A">
              <w:t>2</w:t>
            </w:r>
          </w:p>
        </w:tc>
        <w:tc>
          <w:tcPr>
            <w:tcW w:w="418" w:type="pct"/>
            <w:tcBorders>
              <w:left w:val="nil"/>
            </w:tcBorders>
            <w:shd w:val="clear" w:color="auto" w:fill="F2F2F2" w:themeFill="background1" w:themeFillShade="F2"/>
            <w:noWrap/>
          </w:tcPr>
          <w:p w:rsidR="00735E5A" w:rsidRPr="00831A8A" w:rsidRDefault="00735E5A" w:rsidP="00735E5A">
            <w:pPr>
              <w:pStyle w:val="ARtabletextright"/>
            </w:pPr>
            <w:r w:rsidRPr="00831A8A">
              <w:t>4</w:t>
            </w:r>
          </w:p>
        </w:tc>
        <w:tc>
          <w:tcPr>
            <w:tcW w:w="430" w:type="pct"/>
            <w:noWrap/>
          </w:tcPr>
          <w:p w:rsidR="00735E5A" w:rsidRPr="00831A8A" w:rsidRDefault="00735E5A" w:rsidP="00735E5A">
            <w:pPr>
              <w:pStyle w:val="ARtabletextright"/>
            </w:pPr>
            <w:r w:rsidRPr="00831A8A">
              <w:t>1</w:t>
            </w:r>
          </w:p>
        </w:tc>
        <w:tc>
          <w:tcPr>
            <w:tcW w:w="402" w:type="pct"/>
            <w:noWrap/>
          </w:tcPr>
          <w:p w:rsidR="00735E5A" w:rsidRPr="00831A8A" w:rsidRDefault="00735E5A" w:rsidP="00735E5A">
            <w:pPr>
              <w:pStyle w:val="ARtabletextright"/>
            </w:pPr>
            <w:r w:rsidRPr="00831A8A">
              <w:t>2</w:t>
            </w:r>
          </w:p>
        </w:tc>
        <w:tc>
          <w:tcPr>
            <w:tcW w:w="409" w:type="pct"/>
            <w:noWrap/>
          </w:tcPr>
          <w:p w:rsidR="00735E5A" w:rsidRPr="00831A8A" w:rsidRDefault="00735E5A" w:rsidP="00735E5A">
            <w:pPr>
              <w:pStyle w:val="ARtabletextright"/>
            </w:pPr>
            <w:r w:rsidRPr="00831A8A">
              <w:t>3</w:t>
            </w:r>
          </w:p>
        </w:tc>
      </w:tr>
      <w:tr w:rsidR="00735E5A" w:rsidRPr="00831A8A" w:rsidTr="00735E5A">
        <w:tblPrEx>
          <w:tblLook w:val="0000" w:firstRow="0" w:lastRow="0" w:firstColumn="0" w:lastColumn="0" w:noHBand="0" w:noVBand="0"/>
        </w:tblPrEx>
        <w:trPr>
          <w:cantSplit/>
          <w:trHeight w:val="340"/>
        </w:trPr>
        <w:tc>
          <w:tcPr>
            <w:tcW w:w="1251" w:type="pct"/>
            <w:noWrap/>
          </w:tcPr>
          <w:p w:rsidR="00735E5A" w:rsidRPr="00831A8A" w:rsidRDefault="00735E5A" w:rsidP="00735E5A">
            <w:pPr>
              <w:pStyle w:val="ARtabletext"/>
            </w:pPr>
            <w:r w:rsidRPr="00831A8A">
              <w:t>Beaufort and Skipton Health Service</w:t>
            </w:r>
          </w:p>
        </w:tc>
        <w:tc>
          <w:tcPr>
            <w:tcW w:w="448" w:type="pct"/>
            <w:noWrap/>
          </w:tcPr>
          <w:p w:rsidR="00735E5A" w:rsidRPr="00831A8A" w:rsidRDefault="00735E5A" w:rsidP="00735E5A">
            <w:pPr>
              <w:pStyle w:val="ARtabletextright"/>
            </w:pPr>
            <w:r w:rsidRPr="00831A8A">
              <w:t>0</w:t>
            </w:r>
          </w:p>
        </w:tc>
        <w:tc>
          <w:tcPr>
            <w:tcW w:w="393" w:type="pct"/>
            <w:noWrap/>
          </w:tcPr>
          <w:p w:rsidR="00735E5A" w:rsidRPr="00831A8A" w:rsidRDefault="00735E5A" w:rsidP="00735E5A">
            <w:pPr>
              <w:pStyle w:val="ARtabletextright"/>
            </w:pPr>
            <w:r w:rsidRPr="00831A8A">
              <w:t>1</w:t>
            </w:r>
          </w:p>
        </w:tc>
        <w:tc>
          <w:tcPr>
            <w:tcW w:w="418" w:type="pct"/>
            <w:noWrap/>
          </w:tcPr>
          <w:p w:rsidR="00735E5A" w:rsidRPr="00831A8A" w:rsidRDefault="00735E5A" w:rsidP="00735E5A">
            <w:pPr>
              <w:pStyle w:val="ARtabletextright"/>
            </w:pPr>
            <w:r w:rsidRPr="00831A8A">
              <w:t>1</w:t>
            </w:r>
          </w:p>
        </w:tc>
        <w:tc>
          <w:tcPr>
            <w:tcW w:w="432" w:type="pct"/>
            <w:tcBorders>
              <w:right w:val="nil"/>
            </w:tcBorders>
            <w:shd w:val="clear" w:color="auto" w:fill="F2F2F2" w:themeFill="background1" w:themeFillShade="F2"/>
            <w:noWrap/>
          </w:tcPr>
          <w:p w:rsidR="00735E5A" w:rsidRPr="00831A8A" w:rsidRDefault="00735E5A" w:rsidP="00735E5A">
            <w:pPr>
              <w:pStyle w:val="ARtabletextright"/>
            </w:pPr>
            <w:r w:rsidRPr="00831A8A">
              <w:t>1</w:t>
            </w:r>
          </w:p>
        </w:tc>
        <w:tc>
          <w:tcPr>
            <w:tcW w:w="399" w:type="pct"/>
            <w:tcBorders>
              <w:left w:val="nil"/>
              <w:right w:val="nil"/>
            </w:tcBorders>
            <w:shd w:val="clear" w:color="auto" w:fill="F2F2F2" w:themeFill="background1" w:themeFillShade="F2"/>
            <w:noWrap/>
          </w:tcPr>
          <w:p w:rsidR="00735E5A" w:rsidRPr="00831A8A" w:rsidRDefault="00735E5A" w:rsidP="00735E5A">
            <w:pPr>
              <w:pStyle w:val="ARtabletextright"/>
            </w:pPr>
            <w:r w:rsidRPr="00831A8A">
              <w:t>0</w:t>
            </w:r>
          </w:p>
        </w:tc>
        <w:tc>
          <w:tcPr>
            <w:tcW w:w="418" w:type="pct"/>
            <w:tcBorders>
              <w:left w:val="nil"/>
            </w:tcBorders>
            <w:shd w:val="clear" w:color="auto" w:fill="F2F2F2" w:themeFill="background1" w:themeFillShade="F2"/>
            <w:noWrap/>
          </w:tcPr>
          <w:p w:rsidR="00735E5A" w:rsidRPr="00831A8A" w:rsidRDefault="00735E5A" w:rsidP="00735E5A">
            <w:pPr>
              <w:pStyle w:val="ARtabletextright"/>
            </w:pPr>
            <w:r w:rsidRPr="00831A8A">
              <w:t>1</w:t>
            </w:r>
          </w:p>
        </w:tc>
        <w:tc>
          <w:tcPr>
            <w:tcW w:w="430" w:type="pct"/>
            <w:noWrap/>
          </w:tcPr>
          <w:p w:rsidR="00735E5A" w:rsidRPr="00831A8A" w:rsidRDefault="00735E5A" w:rsidP="00735E5A">
            <w:pPr>
              <w:pStyle w:val="ARtabletextright"/>
            </w:pPr>
            <w:r w:rsidRPr="00831A8A">
              <w:t>1</w:t>
            </w:r>
          </w:p>
        </w:tc>
        <w:tc>
          <w:tcPr>
            <w:tcW w:w="402" w:type="pct"/>
            <w:noWrap/>
          </w:tcPr>
          <w:p w:rsidR="00735E5A" w:rsidRPr="00831A8A" w:rsidRDefault="00735E5A" w:rsidP="00735E5A">
            <w:pPr>
              <w:pStyle w:val="ARtabletextright"/>
            </w:pPr>
            <w:r>
              <w:t>(</w:t>
            </w:r>
            <w:r w:rsidRPr="00831A8A">
              <w:t>1</w:t>
            </w:r>
            <w:r>
              <w:t>)</w:t>
            </w:r>
          </w:p>
        </w:tc>
        <w:tc>
          <w:tcPr>
            <w:tcW w:w="409" w:type="pct"/>
            <w:noWrap/>
          </w:tcPr>
          <w:p w:rsidR="00735E5A" w:rsidRPr="00831A8A" w:rsidRDefault="00735E5A" w:rsidP="00735E5A">
            <w:pPr>
              <w:pStyle w:val="ARtabletextright"/>
            </w:pPr>
            <w:r w:rsidRPr="00831A8A">
              <w:t>0</w:t>
            </w:r>
          </w:p>
        </w:tc>
      </w:tr>
      <w:tr w:rsidR="00735E5A" w:rsidRPr="00831A8A" w:rsidTr="00735E5A">
        <w:tblPrEx>
          <w:tblLook w:val="0000" w:firstRow="0" w:lastRow="0" w:firstColumn="0" w:lastColumn="0" w:noHBand="0" w:noVBand="0"/>
        </w:tblPrEx>
        <w:trPr>
          <w:cantSplit/>
          <w:trHeight w:val="340"/>
        </w:trPr>
        <w:tc>
          <w:tcPr>
            <w:tcW w:w="1251" w:type="pct"/>
            <w:noWrap/>
            <w:vAlign w:val="center"/>
          </w:tcPr>
          <w:p w:rsidR="00735E5A" w:rsidRPr="00831A8A" w:rsidRDefault="00735E5A" w:rsidP="00735E5A">
            <w:pPr>
              <w:pStyle w:val="ARtabletext"/>
            </w:pPr>
            <w:r w:rsidRPr="00831A8A">
              <w:t>Beechworth Health Service</w:t>
            </w:r>
          </w:p>
        </w:tc>
        <w:tc>
          <w:tcPr>
            <w:tcW w:w="448" w:type="pct"/>
            <w:noWrap/>
            <w:vAlign w:val="center"/>
          </w:tcPr>
          <w:p w:rsidR="00735E5A" w:rsidRPr="00831A8A" w:rsidRDefault="00735E5A" w:rsidP="00735E5A">
            <w:pPr>
              <w:pStyle w:val="ARtabletextright"/>
            </w:pPr>
            <w:r w:rsidRPr="00831A8A">
              <w:t>0</w:t>
            </w:r>
          </w:p>
        </w:tc>
        <w:tc>
          <w:tcPr>
            <w:tcW w:w="393" w:type="pct"/>
            <w:noWrap/>
            <w:vAlign w:val="center"/>
          </w:tcPr>
          <w:p w:rsidR="00735E5A" w:rsidRPr="00831A8A" w:rsidRDefault="00735E5A" w:rsidP="00735E5A">
            <w:pPr>
              <w:pStyle w:val="ARtabletextright"/>
            </w:pPr>
            <w:r w:rsidRPr="00831A8A">
              <w:t>1</w:t>
            </w:r>
          </w:p>
        </w:tc>
        <w:tc>
          <w:tcPr>
            <w:tcW w:w="418" w:type="pct"/>
            <w:noWrap/>
            <w:vAlign w:val="center"/>
          </w:tcPr>
          <w:p w:rsidR="00735E5A" w:rsidRPr="00831A8A" w:rsidRDefault="00735E5A" w:rsidP="00735E5A">
            <w:pPr>
              <w:pStyle w:val="ARtabletextright"/>
            </w:pPr>
            <w:r w:rsidRPr="00831A8A">
              <w:t>1</w:t>
            </w:r>
          </w:p>
        </w:tc>
        <w:tc>
          <w:tcPr>
            <w:tcW w:w="432" w:type="pct"/>
            <w:tcBorders>
              <w:right w:val="nil"/>
            </w:tcBorders>
            <w:shd w:val="clear" w:color="auto" w:fill="F2F2F2" w:themeFill="background1" w:themeFillShade="F2"/>
            <w:noWrap/>
            <w:vAlign w:val="center"/>
          </w:tcPr>
          <w:p w:rsidR="00735E5A" w:rsidRPr="00831A8A" w:rsidRDefault="00735E5A" w:rsidP="00735E5A">
            <w:pPr>
              <w:pStyle w:val="ARtabletextright"/>
            </w:pPr>
            <w:r w:rsidRPr="00831A8A">
              <w:t>0</w:t>
            </w:r>
          </w:p>
        </w:tc>
        <w:tc>
          <w:tcPr>
            <w:tcW w:w="399" w:type="pct"/>
            <w:tcBorders>
              <w:left w:val="nil"/>
              <w:right w:val="nil"/>
            </w:tcBorders>
            <w:shd w:val="clear" w:color="auto" w:fill="F2F2F2" w:themeFill="background1" w:themeFillShade="F2"/>
            <w:noWrap/>
            <w:vAlign w:val="center"/>
          </w:tcPr>
          <w:p w:rsidR="00735E5A" w:rsidRPr="00831A8A" w:rsidRDefault="00735E5A" w:rsidP="00735E5A">
            <w:pPr>
              <w:pStyle w:val="ARtabletextright"/>
            </w:pPr>
            <w:r w:rsidRPr="00831A8A">
              <w:t>1</w:t>
            </w:r>
          </w:p>
        </w:tc>
        <w:tc>
          <w:tcPr>
            <w:tcW w:w="418" w:type="pct"/>
            <w:tcBorders>
              <w:left w:val="nil"/>
            </w:tcBorders>
            <w:shd w:val="clear" w:color="auto" w:fill="F2F2F2" w:themeFill="background1" w:themeFillShade="F2"/>
            <w:noWrap/>
            <w:vAlign w:val="center"/>
          </w:tcPr>
          <w:p w:rsidR="00735E5A" w:rsidRPr="00831A8A" w:rsidRDefault="00735E5A" w:rsidP="00735E5A">
            <w:pPr>
              <w:pStyle w:val="ARtabletextright"/>
            </w:pPr>
            <w:r w:rsidRPr="00831A8A">
              <w:t>1</w:t>
            </w:r>
          </w:p>
        </w:tc>
        <w:tc>
          <w:tcPr>
            <w:tcW w:w="430" w:type="pct"/>
            <w:noWrap/>
            <w:vAlign w:val="center"/>
          </w:tcPr>
          <w:p w:rsidR="00735E5A" w:rsidRPr="00831A8A" w:rsidRDefault="00735E5A" w:rsidP="00735E5A">
            <w:pPr>
              <w:pStyle w:val="ARtabletextright"/>
            </w:pPr>
            <w:r w:rsidRPr="00831A8A">
              <w:t>0</w:t>
            </w:r>
          </w:p>
        </w:tc>
        <w:tc>
          <w:tcPr>
            <w:tcW w:w="402" w:type="pct"/>
            <w:noWrap/>
            <w:vAlign w:val="center"/>
          </w:tcPr>
          <w:p w:rsidR="00735E5A" w:rsidRPr="00831A8A" w:rsidRDefault="00735E5A" w:rsidP="00735E5A">
            <w:pPr>
              <w:pStyle w:val="ARtabletextright"/>
            </w:pPr>
            <w:r w:rsidRPr="00831A8A">
              <w:t>0</w:t>
            </w:r>
          </w:p>
        </w:tc>
        <w:tc>
          <w:tcPr>
            <w:tcW w:w="409" w:type="pct"/>
            <w:noWrap/>
            <w:vAlign w:val="center"/>
          </w:tcPr>
          <w:p w:rsidR="00735E5A" w:rsidRPr="00831A8A" w:rsidRDefault="00735E5A" w:rsidP="00735E5A">
            <w:pPr>
              <w:pStyle w:val="ARtabletextright"/>
            </w:pPr>
            <w:r w:rsidRPr="00831A8A">
              <w:t>0</w:t>
            </w:r>
          </w:p>
        </w:tc>
      </w:tr>
      <w:tr w:rsidR="00735E5A" w:rsidRPr="00831A8A" w:rsidTr="00735E5A">
        <w:tblPrEx>
          <w:tblLook w:val="0000" w:firstRow="0" w:lastRow="0" w:firstColumn="0" w:lastColumn="0" w:noHBand="0" w:noVBand="0"/>
        </w:tblPrEx>
        <w:trPr>
          <w:cantSplit/>
          <w:trHeight w:val="255"/>
        </w:trPr>
        <w:tc>
          <w:tcPr>
            <w:tcW w:w="1251" w:type="pct"/>
            <w:noWrap/>
            <w:vAlign w:val="center"/>
          </w:tcPr>
          <w:p w:rsidR="00735E5A" w:rsidRPr="00831A8A" w:rsidRDefault="00735E5A" w:rsidP="00735E5A">
            <w:pPr>
              <w:pStyle w:val="ARtabletext"/>
            </w:pPr>
            <w:r w:rsidRPr="00831A8A">
              <w:lastRenderedPageBreak/>
              <w:t>Benalla Health</w:t>
            </w:r>
          </w:p>
        </w:tc>
        <w:tc>
          <w:tcPr>
            <w:tcW w:w="448" w:type="pct"/>
            <w:noWrap/>
            <w:vAlign w:val="center"/>
          </w:tcPr>
          <w:p w:rsidR="00735E5A" w:rsidRPr="00831A8A" w:rsidRDefault="00735E5A" w:rsidP="00735E5A">
            <w:pPr>
              <w:pStyle w:val="ARtabletextright"/>
            </w:pPr>
            <w:r w:rsidRPr="00831A8A">
              <w:t>1</w:t>
            </w:r>
          </w:p>
        </w:tc>
        <w:tc>
          <w:tcPr>
            <w:tcW w:w="393" w:type="pct"/>
            <w:noWrap/>
            <w:vAlign w:val="center"/>
          </w:tcPr>
          <w:p w:rsidR="00735E5A" w:rsidRPr="00831A8A" w:rsidRDefault="00735E5A" w:rsidP="00735E5A">
            <w:pPr>
              <w:pStyle w:val="ARtabletextright"/>
            </w:pPr>
            <w:r w:rsidRPr="00831A8A">
              <w:t>0</w:t>
            </w:r>
          </w:p>
        </w:tc>
        <w:tc>
          <w:tcPr>
            <w:tcW w:w="418" w:type="pct"/>
            <w:noWrap/>
            <w:vAlign w:val="center"/>
          </w:tcPr>
          <w:p w:rsidR="00735E5A" w:rsidRPr="00831A8A" w:rsidRDefault="00735E5A" w:rsidP="00735E5A">
            <w:pPr>
              <w:pStyle w:val="ARtabletextright"/>
            </w:pPr>
            <w:r w:rsidRPr="00831A8A">
              <w:t>1</w:t>
            </w:r>
          </w:p>
        </w:tc>
        <w:tc>
          <w:tcPr>
            <w:tcW w:w="432" w:type="pct"/>
            <w:tcBorders>
              <w:right w:val="nil"/>
            </w:tcBorders>
            <w:shd w:val="clear" w:color="auto" w:fill="F2F2F2" w:themeFill="background1" w:themeFillShade="F2"/>
            <w:noWrap/>
            <w:vAlign w:val="center"/>
          </w:tcPr>
          <w:p w:rsidR="00735E5A" w:rsidRPr="00831A8A" w:rsidRDefault="00735E5A" w:rsidP="00735E5A">
            <w:pPr>
              <w:pStyle w:val="ARtabletextright"/>
            </w:pPr>
            <w:r w:rsidRPr="00831A8A">
              <w:t>1</w:t>
            </w:r>
          </w:p>
        </w:tc>
        <w:tc>
          <w:tcPr>
            <w:tcW w:w="399" w:type="pct"/>
            <w:tcBorders>
              <w:left w:val="nil"/>
              <w:right w:val="nil"/>
            </w:tcBorders>
            <w:shd w:val="clear" w:color="auto" w:fill="F2F2F2" w:themeFill="background1" w:themeFillShade="F2"/>
            <w:noWrap/>
            <w:vAlign w:val="center"/>
          </w:tcPr>
          <w:p w:rsidR="00735E5A" w:rsidRPr="00831A8A" w:rsidRDefault="00735E5A" w:rsidP="00735E5A">
            <w:pPr>
              <w:pStyle w:val="ARtabletextright"/>
            </w:pPr>
            <w:r w:rsidRPr="00831A8A">
              <w:t>0</w:t>
            </w:r>
          </w:p>
        </w:tc>
        <w:tc>
          <w:tcPr>
            <w:tcW w:w="418" w:type="pct"/>
            <w:tcBorders>
              <w:left w:val="nil"/>
            </w:tcBorders>
            <w:shd w:val="clear" w:color="auto" w:fill="F2F2F2" w:themeFill="background1" w:themeFillShade="F2"/>
            <w:noWrap/>
            <w:vAlign w:val="center"/>
          </w:tcPr>
          <w:p w:rsidR="00735E5A" w:rsidRPr="00831A8A" w:rsidRDefault="00735E5A" w:rsidP="00735E5A">
            <w:pPr>
              <w:pStyle w:val="ARtabletextright"/>
            </w:pPr>
            <w:r w:rsidRPr="00831A8A">
              <w:t>1</w:t>
            </w:r>
          </w:p>
        </w:tc>
        <w:tc>
          <w:tcPr>
            <w:tcW w:w="430" w:type="pct"/>
            <w:noWrap/>
            <w:vAlign w:val="center"/>
          </w:tcPr>
          <w:p w:rsidR="00735E5A" w:rsidRPr="00831A8A" w:rsidRDefault="00735E5A" w:rsidP="00735E5A">
            <w:pPr>
              <w:pStyle w:val="ARtabletextright"/>
            </w:pPr>
            <w:r w:rsidRPr="00831A8A">
              <w:t>0</w:t>
            </w:r>
          </w:p>
        </w:tc>
        <w:tc>
          <w:tcPr>
            <w:tcW w:w="402" w:type="pct"/>
            <w:noWrap/>
            <w:vAlign w:val="center"/>
          </w:tcPr>
          <w:p w:rsidR="00735E5A" w:rsidRPr="00831A8A" w:rsidRDefault="00735E5A" w:rsidP="00735E5A">
            <w:pPr>
              <w:pStyle w:val="ARtabletextright"/>
            </w:pPr>
            <w:r w:rsidRPr="00831A8A">
              <w:t>0</w:t>
            </w:r>
          </w:p>
        </w:tc>
        <w:tc>
          <w:tcPr>
            <w:tcW w:w="409" w:type="pct"/>
            <w:noWrap/>
            <w:vAlign w:val="center"/>
          </w:tcPr>
          <w:p w:rsidR="00735E5A" w:rsidRPr="00831A8A" w:rsidRDefault="00735E5A" w:rsidP="00735E5A">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Bendigo Health Care Group</w:t>
            </w:r>
          </w:p>
        </w:tc>
        <w:tc>
          <w:tcPr>
            <w:tcW w:w="448" w:type="pct"/>
            <w:shd w:val="clear" w:color="auto" w:fill="auto"/>
            <w:noWrap/>
            <w:vAlign w:val="center"/>
          </w:tcPr>
          <w:p w:rsidR="0092299C" w:rsidRPr="00831A8A" w:rsidRDefault="0092299C" w:rsidP="0092299C">
            <w:pPr>
              <w:pStyle w:val="ARtabletextright"/>
            </w:pPr>
            <w:r w:rsidRPr="00831A8A">
              <w:t>4</w:t>
            </w:r>
          </w:p>
        </w:tc>
        <w:tc>
          <w:tcPr>
            <w:tcW w:w="393" w:type="pct"/>
            <w:shd w:val="clear" w:color="auto" w:fill="auto"/>
            <w:noWrap/>
            <w:vAlign w:val="center"/>
          </w:tcPr>
          <w:p w:rsidR="0092299C" w:rsidRPr="00831A8A" w:rsidRDefault="0092299C" w:rsidP="0092299C">
            <w:pPr>
              <w:pStyle w:val="ARtabletextright"/>
            </w:pPr>
            <w:r w:rsidRPr="00831A8A">
              <w:t>4</w:t>
            </w:r>
          </w:p>
        </w:tc>
        <w:tc>
          <w:tcPr>
            <w:tcW w:w="418" w:type="pct"/>
            <w:shd w:val="clear" w:color="auto" w:fill="auto"/>
            <w:noWrap/>
            <w:vAlign w:val="center"/>
          </w:tcPr>
          <w:p w:rsidR="0092299C" w:rsidRPr="00831A8A" w:rsidRDefault="0092299C" w:rsidP="0092299C">
            <w:pPr>
              <w:pStyle w:val="ARtabletextright"/>
            </w:pPr>
            <w:r w:rsidRPr="00831A8A">
              <w:t>8</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8</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Boort District Hospital</w:t>
            </w:r>
          </w:p>
        </w:tc>
        <w:tc>
          <w:tcPr>
            <w:tcW w:w="448" w:type="pct"/>
            <w:shd w:val="clear" w:color="auto" w:fill="auto"/>
            <w:noWrap/>
            <w:vAlign w:val="center"/>
          </w:tcPr>
          <w:p w:rsidR="0092299C" w:rsidRPr="00831A8A" w:rsidRDefault="0092299C" w:rsidP="0092299C">
            <w:pPr>
              <w:pStyle w:val="ARtabletextright"/>
            </w:pPr>
            <w:r w:rsidRPr="00831A8A">
              <w:t>1</w:t>
            </w:r>
          </w:p>
        </w:tc>
        <w:tc>
          <w:tcPr>
            <w:tcW w:w="393" w:type="pct"/>
            <w:shd w:val="clear" w:color="auto" w:fill="auto"/>
            <w:noWrap/>
            <w:vAlign w:val="center"/>
          </w:tcPr>
          <w:p w:rsidR="0092299C" w:rsidRPr="00831A8A" w:rsidRDefault="0092299C" w:rsidP="0092299C">
            <w:pPr>
              <w:pStyle w:val="ARtabletextright"/>
            </w:pPr>
            <w:r w:rsidRPr="00831A8A">
              <w:t>0</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2" w:type="pct"/>
            <w:shd w:val="clear" w:color="auto" w:fill="auto"/>
            <w:noWrap/>
            <w:vAlign w:val="center"/>
          </w:tcPr>
          <w:p w:rsidR="0092299C" w:rsidRPr="00831A8A" w:rsidRDefault="0092299C" w:rsidP="0092299C">
            <w:pPr>
              <w:pStyle w:val="ARtabletextright"/>
            </w:pPr>
            <w:r w:rsidRPr="00831A8A">
              <w:t>1</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Breast Screen Victoria</w:t>
            </w:r>
          </w:p>
        </w:tc>
        <w:tc>
          <w:tcPr>
            <w:tcW w:w="448" w:type="pct"/>
            <w:shd w:val="clear" w:color="auto" w:fill="auto"/>
            <w:noWrap/>
            <w:vAlign w:val="center"/>
          </w:tcPr>
          <w:p w:rsidR="0092299C" w:rsidRPr="00831A8A" w:rsidRDefault="0092299C" w:rsidP="0092299C">
            <w:pPr>
              <w:pStyle w:val="ARtabletextright"/>
            </w:pPr>
            <w:r w:rsidRPr="00831A8A">
              <w:t>4</w:t>
            </w:r>
          </w:p>
        </w:tc>
        <w:tc>
          <w:tcPr>
            <w:tcW w:w="393" w:type="pct"/>
            <w:shd w:val="clear" w:color="auto" w:fill="auto"/>
            <w:noWrap/>
            <w:vAlign w:val="center"/>
          </w:tcPr>
          <w:p w:rsidR="0092299C" w:rsidRPr="00831A8A" w:rsidRDefault="0092299C" w:rsidP="0092299C">
            <w:pPr>
              <w:pStyle w:val="ARtabletextright"/>
            </w:pPr>
            <w:r w:rsidRPr="00831A8A">
              <w:t>2</w:t>
            </w:r>
          </w:p>
        </w:tc>
        <w:tc>
          <w:tcPr>
            <w:tcW w:w="418" w:type="pct"/>
            <w:shd w:val="clear" w:color="auto" w:fill="auto"/>
            <w:noWrap/>
            <w:vAlign w:val="center"/>
          </w:tcPr>
          <w:p w:rsidR="0092299C" w:rsidRPr="00831A8A" w:rsidRDefault="0092299C" w:rsidP="0092299C">
            <w:pPr>
              <w:pStyle w:val="ARtabletextright"/>
            </w:pPr>
            <w:r w:rsidRPr="00831A8A">
              <w:t>6</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5</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9" w:type="pct"/>
            <w:shd w:val="clear" w:color="auto" w:fill="auto"/>
            <w:noWrap/>
            <w:vAlign w:val="center"/>
          </w:tcPr>
          <w:p w:rsidR="0092299C" w:rsidRPr="00831A8A" w:rsidRDefault="00007586" w:rsidP="0092299C">
            <w:pPr>
              <w:pStyle w:val="ARtabletextright"/>
            </w:pPr>
            <w:r>
              <w:t>(</w:t>
            </w:r>
            <w:r w:rsidR="0092299C" w:rsidRPr="00831A8A">
              <w:t>1</w:t>
            </w:r>
            <w:r>
              <w:t>)</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Casterton Memorial Hospital</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 xml:space="preserve">0 </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Castlemaine Health</w:t>
            </w:r>
          </w:p>
        </w:tc>
        <w:tc>
          <w:tcPr>
            <w:tcW w:w="448" w:type="pct"/>
            <w:shd w:val="clear" w:color="auto" w:fill="auto"/>
            <w:noWrap/>
            <w:vAlign w:val="center"/>
          </w:tcPr>
          <w:p w:rsidR="0092299C" w:rsidRPr="00831A8A" w:rsidRDefault="0092299C" w:rsidP="0092299C">
            <w:pPr>
              <w:pStyle w:val="ARtabletextright"/>
            </w:pPr>
            <w:r w:rsidRPr="00831A8A">
              <w:t>1</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2</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9" w:type="pct"/>
            <w:shd w:val="clear" w:color="auto" w:fill="auto"/>
            <w:noWrap/>
            <w:vAlign w:val="center"/>
          </w:tcPr>
          <w:p w:rsidR="0092299C" w:rsidRPr="00831A8A" w:rsidRDefault="00007586" w:rsidP="0092299C">
            <w:pPr>
              <w:pStyle w:val="ARtabletextright"/>
            </w:pPr>
            <w:r>
              <w:t>(</w:t>
            </w:r>
            <w:r w:rsidR="0092299C" w:rsidRPr="00831A8A">
              <w:t>1</w:t>
            </w:r>
            <w:r>
              <w:t>)</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Central Gippsland Health Service</w:t>
            </w:r>
          </w:p>
        </w:tc>
        <w:tc>
          <w:tcPr>
            <w:tcW w:w="448" w:type="pct"/>
            <w:shd w:val="clear" w:color="auto" w:fill="auto"/>
            <w:noWrap/>
            <w:vAlign w:val="center"/>
          </w:tcPr>
          <w:p w:rsidR="0092299C" w:rsidRPr="00831A8A" w:rsidRDefault="0092299C" w:rsidP="0092299C">
            <w:pPr>
              <w:pStyle w:val="ARtabletextright"/>
            </w:pPr>
            <w:r w:rsidRPr="00831A8A">
              <w:t>2</w:t>
            </w:r>
          </w:p>
        </w:tc>
        <w:tc>
          <w:tcPr>
            <w:tcW w:w="393" w:type="pct"/>
            <w:shd w:val="clear" w:color="auto" w:fill="auto"/>
            <w:noWrap/>
            <w:vAlign w:val="center"/>
          </w:tcPr>
          <w:p w:rsidR="0092299C" w:rsidRPr="00831A8A" w:rsidRDefault="0092299C" w:rsidP="0092299C">
            <w:pPr>
              <w:pStyle w:val="ARtabletextright"/>
            </w:pPr>
            <w:r w:rsidRPr="00831A8A">
              <w:t>2</w:t>
            </w:r>
          </w:p>
        </w:tc>
        <w:tc>
          <w:tcPr>
            <w:tcW w:w="418" w:type="pct"/>
            <w:shd w:val="clear" w:color="auto" w:fill="auto"/>
            <w:noWrap/>
            <w:vAlign w:val="center"/>
          </w:tcPr>
          <w:p w:rsidR="0092299C" w:rsidRPr="00831A8A" w:rsidRDefault="0092299C" w:rsidP="0092299C">
            <w:pPr>
              <w:pStyle w:val="ARtabletextright"/>
            </w:pPr>
            <w:r w:rsidRPr="00831A8A">
              <w:t>4</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3</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5</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1</w:t>
            </w:r>
          </w:p>
        </w:tc>
        <w:tc>
          <w:tcPr>
            <w:tcW w:w="409" w:type="pct"/>
            <w:shd w:val="clear" w:color="auto" w:fill="auto"/>
            <w:noWrap/>
            <w:vAlign w:val="center"/>
          </w:tcPr>
          <w:p w:rsidR="0092299C" w:rsidRPr="00831A8A" w:rsidRDefault="0092299C" w:rsidP="0092299C">
            <w:pPr>
              <w:pStyle w:val="ARtabletextright"/>
            </w:pPr>
            <w:r w:rsidRPr="00831A8A">
              <w:t>1</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Cobram District Hospital</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0</w:t>
            </w:r>
          </w:p>
        </w:tc>
        <w:tc>
          <w:tcPr>
            <w:tcW w:w="418" w:type="pct"/>
            <w:shd w:val="clear" w:color="auto" w:fill="auto"/>
            <w:noWrap/>
            <w:vAlign w:val="center"/>
          </w:tcPr>
          <w:p w:rsidR="0092299C" w:rsidRPr="00831A8A" w:rsidRDefault="0092299C" w:rsidP="0092299C">
            <w:pPr>
              <w:pStyle w:val="ARtabletextright"/>
            </w:pPr>
            <w:r w:rsidRPr="00831A8A">
              <w:t>0</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1</w:t>
            </w:r>
          </w:p>
        </w:tc>
        <w:tc>
          <w:tcPr>
            <w:tcW w:w="409" w:type="pct"/>
            <w:shd w:val="clear" w:color="auto" w:fill="auto"/>
            <w:noWrap/>
            <w:vAlign w:val="center"/>
          </w:tcPr>
          <w:p w:rsidR="0092299C" w:rsidRPr="00831A8A" w:rsidRDefault="0092299C" w:rsidP="0092299C">
            <w:pPr>
              <w:pStyle w:val="ARtabletextright"/>
            </w:pPr>
            <w:r w:rsidRPr="00831A8A">
              <w:t>1</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Colac Area Health</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Dental Health Services Victoria</w:t>
            </w:r>
          </w:p>
        </w:tc>
        <w:tc>
          <w:tcPr>
            <w:tcW w:w="448" w:type="pct"/>
            <w:shd w:val="clear" w:color="auto" w:fill="auto"/>
            <w:noWrap/>
            <w:vAlign w:val="center"/>
          </w:tcPr>
          <w:p w:rsidR="0092299C" w:rsidRPr="00831A8A" w:rsidRDefault="0092299C" w:rsidP="0092299C">
            <w:pPr>
              <w:pStyle w:val="ARtabletextright"/>
            </w:pPr>
            <w:r w:rsidRPr="00831A8A">
              <w:t>3</w:t>
            </w:r>
          </w:p>
        </w:tc>
        <w:tc>
          <w:tcPr>
            <w:tcW w:w="393" w:type="pct"/>
            <w:shd w:val="clear" w:color="auto" w:fill="auto"/>
            <w:noWrap/>
            <w:vAlign w:val="center"/>
          </w:tcPr>
          <w:p w:rsidR="0092299C" w:rsidRPr="00831A8A" w:rsidRDefault="0092299C" w:rsidP="0092299C">
            <w:pPr>
              <w:pStyle w:val="ARtabletextright"/>
            </w:pPr>
            <w:r w:rsidRPr="00831A8A">
              <w:t>2</w:t>
            </w:r>
          </w:p>
        </w:tc>
        <w:tc>
          <w:tcPr>
            <w:tcW w:w="418" w:type="pct"/>
            <w:shd w:val="clear" w:color="auto" w:fill="auto"/>
            <w:noWrap/>
            <w:vAlign w:val="center"/>
          </w:tcPr>
          <w:p w:rsidR="0092299C" w:rsidRPr="00831A8A" w:rsidRDefault="0092299C" w:rsidP="0092299C">
            <w:pPr>
              <w:pStyle w:val="ARtabletextright"/>
            </w:pPr>
            <w:r w:rsidRPr="00831A8A">
              <w:t>5</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3</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9" w:type="pct"/>
            <w:shd w:val="clear" w:color="auto" w:fill="auto"/>
            <w:noWrap/>
            <w:vAlign w:val="center"/>
          </w:tcPr>
          <w:p w:rsidR="0092299C" w:rsidRPr="00831A8A" w:rsidRDefault="00007586" w:rsidP="0092299C">
            <w:pPr>
              <w:pStyle w:val="ARtabletextright"/>
            </w:pPr>
            <w:r>
              <w:t>(</w:t>
            </w:r>
            <w:r w:rsidR="0092299C" w:rsidRPr="00831A8A">
              <w:t>1</w:t>
            </w:r>
            <w:r>
              <w:t>)</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proofErr w:type="spellStart"/>
            <w:r w:rsidRPr="00831A8A">
              <w:t>Djerriwarrh</w:t>
            </w:r>
            <w:proofErr w:type="spellEnd"/>
            <w:r w:rsidRPr="00831A8A">
              <w:t xml:space="preserve"> Health Services</w:t>
            </w:r>
          </w:p>
        </w:tc>
        <w:tc>
          <w:tcPr>
            <w:tcW w:w="448" w:type="pct"/>
            <w:shd w:val="clear" w:color="auto" w:fill="auto"/>
            <w:noWrap/>
            <w:vAlign w:val="center"/>
          </w:tcPr>
          <w:p w:rsidR="0092299C" w:rsidRPr="00831A8A" w:rsidRDefault="0092299C" w:rsidP="0092299C">
            <w:pPr>
              <w:pStyle w:val="ARtabletextright"/>
            </w:pPr>
            <w:r w:rsidRPr="00831A8A">
              <w:t>2</w:t>
            </w:r>
          </w:p>
        </w:tc>
        <w:tc>
          <w:tcPr>
            <w:tcW w:w="393" w:type="pct"/>
            <w:shd w:val="clear" w:color="auto" w:fill="auto"/>
            <w:noWrap/>
            <w:vAlign w:val="center"/>
          </w:tcPr>
          <w:p w:rsidR="0092299C" w:rsidRPr="00831A8A" w:rsidRDefault="0092299C" w:rsidP="0092299C">
            <w:pPr>
              <w:pStyle w:val="ARtabletextright"/>
            </w:pPr>
            <w:r w:rsidRPr="00831A8A">
              <w:t>3</w:t>
            </w:r>
          </w:p>
        </w:tc>
        <w:tc>
          <w:tcPr>
            <w:tcW w:w="418" w:type="pct"/>
            <w:shd w:val="clear" w:color="auto" w:fill="auto"/>
            <w:noWrap/>
            <w:vAlign w:val="center"/>
          </w:tcPr>
          <w:p w:rsidR="0092299C" w:rsidRPr="00831A8A" w:rsidRDefault="0092299C" w:rsidP="0092299C">
            <w:pPr>
              <w:pStyle w:val="ARtabletextright"/>
            </w:pPr>
            <w:r w:rsidRPr="00831A8A">
              <w:t>5</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3</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5</w:t>
            </w:r>
          </w:p>
        </w:tc>
        <w:tc>
          <w:tcPr>
            <w:tcW w:w="430" w:type="pct"/>
            <w:shd w:val="clear" w:color="auto" w:fill="auto"/>
            <w:noWrap/>
            <w:vAlign w:val="center"/>
          </w:tcPr>
          <w:p w:rsidR="0092299C" w:rsidRPr="00831A8A" w:rsidRDefault="0092299C" w:rsidP="0092299C">
            <w:pPr>
              <w:pStyle w:val="ARtabletextright"/>
            </w:pPr>
            <w:r w:rsidRPr="00831A8A">
              <w:t>1</w:t>
            </w:r>
          </w:p>
        </w:tc>
        <w:tc>
          <w:tcPr>
            <w:tcW w:w="402"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East Grampians Health Service</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East Wimmera Health Service</w:t>
            </w:r>
          </w:p>
        </w:tc>
        <w:tc>
          <w:tcPr>
            <w:tcW w:w="448" w:type="pct"/>
            <w:shd w:val="clear" w:color="auto" w:fill="auto"/>
            <w:noWrap/>
            <w:vAlign w:val="center"/>
          </w:tcPr>
          <w:p w:rsidR="0092299C" w:rsidRPr="00831A8A" w:rsidRDefault="0092299C" w:rsidP="0092299C">
            <w:pPr>
              <w:pStyle w:val="ARtabletextright"/>
            </w:pPr>
            <w:r w:rsidRPr="00831A8A">
              <w:t>1</w:t>
            </w:r>
          </w:p>
        </w:tc>
        <w:tc>
          <w:tcPr>
            <w:tcW w:w="393" w:type="pct"/>
            <w:shd w:val="clear" w:color="auto" w:fill="auto"/>
            <w:noWrap/>
            <w:vAlign w:val="center"/>
          </w:tcPr>
          <w:p w:rsidR="0092299C" w:rsidRPr="00831A8A" w:rsidRDefault="0092299C" w:rsidP="0092299C">
            <w:pPr>
              <w:pStyle w:val="ARtabletextright"/>
            </w:pPr>
            <w:r w:rsidRPr="00831A8A">
              <w:t>0</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1</w:t>
            </w:r>
          </w:p>
        </w:tc>
        <w:tc>
          <w:tcPr>
            <w:tcW w:w="409" w:type="pct"/>
            <w:shd w:val="clear" w:color="auto" w:fill="auto"/>
            <w:noWrap/>
            <w:vAlign w:val="center"/>
          </w:tcPr>
          <w:p w:rsidR="0092299C" w:rsidRPr="00831A8A" w:rsidRDefault="0092299C" w:rsidP="0092299C">
            <w:pPr>
              <w:pStyle w:val="ARtabletextright"/>
            </w:pPr>
            <w:r w:rsidRPr="00831A8A">
              <w:t>1</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Eastern Health</w:t>
            </w:r>
          </w:p>
        </w:tc>
        <w:tc>
          <w:tcPr>
            <w:tcW w:w="448" w:type="pct"/>
            <w:shd w:val="clear" w:color="auto" w:fill="auto"/>
            <w:noWrap/>
            <w:vAlign w:val="center"/>
          </w:tcPr>
          <w:p w:rsidR="0092299C" w:rsidRPr="00831A8A" w:rsidRDefault="0092299C" w:rsidP="0092299C">
            <w:pPr>
              <w:pStyle w:val="ARtabletextright"/>
            </w:pPr>
            <w:r w:rsidRPr="00831A8A">
              <w:t>2</w:t>
            </w:r>
          </w:p>
        </w:tc>
        <w:tc>
          <w:tcPr>
            <w:tcW w:w="393" w:type="pct"/>
            <w:shd w:val="clear" w:color="auto" w:fill="auto"/>
            <w:noWrap/>
            <w:vAlign w:val="center"/>
          </w:tcPr>
          <w:p w:rsidR="0092299C" w:rsidRPr="00831A8A" w:rsidRDefault="0092299C" w:rsidP="0092299C">
            <w:pPr>
              <w:pStyle w:val="ARtabletextright"/>
            </w:pPr>
            <w:r w:rsidRPr="00831A8A">
              <w:t>7</w:t>
            </w:r>
          </w:p>
        </w:tc>
        <w:tc>
          <w:tcPr>
            <w:tcW w:w="418" w:type="pct"/>
            <w:shd w:val="clear" w:color="auto" w:fill="auto"/>
            <w:noWrap/>
            <w:vAlign w:val="center"/>
          </w:tcPr>
          <w:p w:rsidR="0092299C" w:rsidRPr="00831A8A" w:rsidRDefault="0092299C" w:rsidP="0092299C">
            <w:pPr>
              <w:pStyle w:val="ARtabletextright"/>
            </w:pPr>
            <w:r w:rsidRPr="00831A8A">
              <w:t>9</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5</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9</w:t>
            </w:r>
          </w:p>
        </w:tc>
        <w:tc>
          <w:tcPr>
            <w:tcW w:w="430" w:type="pct"/>
            <w:shd w:val="clear" w:color="auto" w:fill="auto"/>
            <w:noWrap/>
            <w:vAlign w:val="center"/>
          </w:tcPr>
          <w:p w:rsidR="0092299C" w:rsidRPr="00831A8A" w:rsidRDefault="0092299C" w:rsidP="0092299C">
            <w:pPr>
              <w:pStyle w:val="ARtabletextright"/>
            </w:pPr>
            <w:r w:rsidRPr="00831A8A">
              <w:t>2</w:t>
            </w:r>
          </w:p>
        </w:tc>
        <w:tc>
          <w:tcPr>
            <w:tcW w:w="402" w:type="pct"/>
            <w:shd w:val="clear" w:color="auto" w:fill="auto"/>
            <w:noWrap/>
            <w:vAlign w:val="center"/>
          </w:tcPr>
          <w:p w:rsidR="0092299C" w:rsidRPr="00831A8A" w:rsidRDefault="00007586" w:rsidP="0092299C">
            <w:pPr>
              <w:pStyle w:val="ARtabletextright"/>
            </w:pPr>
            <w:r>
              <w:t>(</w:t>
            </w:r>
            <w:r w:rsidR="0092299C" w:rsidRPr="00831A8A">
              <w:t>2</w:t>
            </w:r>
            <w:r>
              <w:t>)</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Echuca Regional Health</w:t>
            </w:r>
          </w:p>
        </w:tc>
        <w:tc>
          <w:tcPr>
            <w:tcW w:w="448" w:type="pct"/>
            <w:shd w:val="clear" w:color="auto" w:fill="auto"/>
            <w:noWrap/>
            <w:vAlign w:val="center"/>
          </w:tcPr>
          <w:p w:rsidR="0092299C" w:rsidRPr="00831A8A" w:rsidRDefault="0092299C" w:rsidP="0092299C">
            <w:pPr>
              <w:pStyle w:val="ARtabletextright"/>
            </w:pPr>
            <w:r w:rsidRPr="00831A8A">
              <w:t>3</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4</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3</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Edenhope and District Memorial Hospital</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Geelong Cemeteries Trust</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Gippsland Southern Health Service</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2</w:t>
            </w:r>
          </w:p>
        </w:tc>
        <w:tc>
          <w:tcPr>
            <w:tcW w:w="418" w:type="pct"/>
            <w:shd w:val="clear" w:color="auto" w:fill="auto"/>
            <w:noWrap/>
            <w:vAlign w:val="center"/>
          </w:tcPr>
          <w:p w:rsidR="0092299C" w:rsidRPr="00831A8A" w:rsidRDefault="0092299C" w:rsidP="0092299C">
            <w:pPr>
              <w:pStyle w:val="ARtabletextright"/>
            </w:pPr>
            <w:r w:rsidRPr="00831A8A">
              <w:t>2</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Goulburn Valley Health Services</w:t>
            </w:r>
          </w:p>
        </w:tc>
        <w:tc>
          <w:tcPr>
            <w:tcW w:w="448" w:type="pct"/>
            <w:shd w:val="clear" w:color="auto" w:fill="auto"/>
            <w:noWrap/>
            <w:vAlign w:val="center"/>
          </w:tcPr>
          <w:p w:rsidR="0092299C" w:rsidRPr="00831A8A" w:rsidRDefault="0092299C" w:rsidP="0092299C">
            <w:pPr>
              <w:pStyle w:val="ARtabletextright"/>
            </w:pPr>
            <w:r w:rsidRPr="00831A8A">
              <w:t>4</w:t>
            </w:r>
          </w:p>
        </w:tc>
        <w:tc>
          <w:tcPr>
            <w:tcW w:w="393" w:type="pct"/>
            <w:shd w:val="clear" w:color="auto" w:fill="auto"/>
            <w:noWrap/>
            <w:vAlign w:val="center"/>
          </w:tcPr>
          <w:p w:rsidR="0092299C" w:rsidRPr="00831A8A" w:rsidRDefault="0092299C" w:rsidP="0092299C">
            <w:pPr>
              <w:pStyle w:val="ARtabletextright"/>
            </w:pPr>
            <w:r w:rsidRPr="00831A8A">
              <w:t>2</w:t>
            </w:r>
          </w:p>
        </w:tc>
        <w:tc>
          <w:tcPr>
            <w:tcW w:w="418" w:type="pct"/>
            <w:shd w:val="clear" w:color="auto" w:fill="auto"/>
            <w:noWrap/>
            <w:vAlign w:val="center"/>
          </w:tcPr>
          <w:p w:rsidR="0092299C" w:rsidRPr="00831A8A" w:rsidRDefault="0092299C" w:rsidP="0092299C">
            <w:pPr>
              <w:pStyle w:val="ARtabletextright"/>
            </w:pPr>
            <w:r w:rsidRPr="00831A8A">
              <w:t>6</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3</w:t>
            </w:r>
          </w:p>
        </w:tc>
        <w:tc>
          <w:tcPr>
            <w:tcW w:w="430" w:type="pct"/>
            <w:shd w:val="clear" w:color="auto" w:fill="auto"/>
            <w:noWrap/>
            <w:vAlign w:val="center"/>
          </w:tcPr>
          <w:p w:rsidR="0092299C" w:rsidRPr="00831A8A" w:rsidRDefault="00007586" w:rsidP="0092299C">
            <w:pPr>
              <w:pStyle w:val="ARtabletextright"/>
            </w:pPr>
            <w:r>
              <w:t>(</w:t>
            </w:r>
            <w:r w:rsidR="0092299C" w:rsidRPr="00831A8A">
              <w:t>3</w:t>
            </w:r>
            <w:r>
              <w:t>)</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007586" w:rsidP="0092299C">
            <w:pPr>
              <w:pStyle w:val="ARtabletextright"/>
            </w:pPr>
            <w:r>
              <w:t>(</w:t>
            </w:r>
            <w:r w:rsidR="0092299C" w:rsidRPr="00831A8A">
              <w:t>3</w:t>
            </w:r>
            <w:r>
              <w:t>)</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Greater Metropolitan Cemetery Trust</w:t>
            </w:r>
          </w:p>
        </w:tc>
        <w:tc>
          <w:tcPr>
            <w:tcW w:w="448" w:type="pct"/>
            <w:shd w:val="clear" w:color="auto" w:fill="auto"/>
            <w:noWrap/>
            <w:vAlign w:val="center"/>
          </w:tcPr>
          <w:p w:rsidR="0092299C" w:rsidRPr="00831A8A" w:rsidRDefault="0092299C" w:rsidP="0092299C">
            <w:pPr>
              <w:pStyle w:val="ARtabletextright"/>
            </w:pPr>
            <w:r w:rsidRPr="00831A8A">
              <w:t>2</w:t>
            </w:r>
          </w:p>
        </w:tc>
        <w:tc>
          <w:tcPr>
            <w:tcW w:w="393" w:type="pct"/>
            <w:shd w:val="clear" w:color="auto" w:fill="auto"/>
            <w:noWrap/>
            <w:vAlign w:val="center"/>
          </w:tcPr>
          <w:p w:rsidR="0092299C" w:rsidRPr="00831A8A" w:rsidRDefault="0092299C" w:rsidP="0092299C">
            <w:pPr>
              <w:pStyle w:val="ARtabletextright"/>
            </w:pPr>
            <w:r w:rsidRPr="00831A8A">
              <w:t>2</w:t>
            </w:r>
          </w:p>
        </w:tc>
        <w:tc>
          <w:tcPr>
            <w:tcW w:w="418" w:type="pct"/>
            <w:shd w:val="clear" w:color="auto" w:fill="auto"/>
            <w:noWrap/>
            <w:vAlign w:val="center"/>
          </w:tcPr>
          <w:p w:rsidR="0092299C" w:rsidRPr="00831A8A" w:rsidRDefault="0092299C" w:rsidP="0092299C">
            <w:pPr>
              <w:pStyle w:val="ARtabletextright"/>
            </w:pPr>
            <w:r w:rsidRPr="00831A8A">
              <w:t>4</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Health Purchasing Victoria</w:t>
            </w:r>
          </w:p>
        </w:tc>
        <w:tc>
          <w:tcPr>
            <w:tcW w:w="448" w:type="pct"/>
            <w:shd w:val="clear" w:color="auto" w:fill="auto"/>
            <w:noWrap/>
            <w:vAlign w:val="center"/>
          </w:tcPr>
          <w:p w:rsidR="0092299C" w:rsidRPr="00831A8A" w:rsidRDefault="0092299C" w:rsidP="0092299C">
            <w:pPr>
              <w:pStyle w:val="ARtabletextright"/>
            </w:pPr>
            <w:r w:rsidRPr="00831A8A">
              <w:t>3</w:t>
            </w:r>
          </w:p>
        </w:tc>
        <w:tc>
          <w:tcPr>
            <w:tcW w:w="393" w:type="pct"/>
            <w:shd w:val="clear" w:color="auto" w:fill="auto"/>
            <w:noWrap/>
            <w:vAlign w:val="center"/>
          </w:tcPr>
          <w:p w:rsidR="0092299C" w:rsidRPr="00831A8A" w:rsidRDefault="0092299C" w:rsidP="0092299C">
            <w:pPr>
              <w:pStyle w:val="ARtabletextright"/>
            </w:pPr>
            <w:r w:rsidRPr="00831A8A">
              <w:t>2</w:t>
            </w:r>
          </w:p>
        </w:tc>
        <w:tc>
          <w:tcPr>
            <w:tcW w:w="418" w:type="pct"/>
            <w:shd w:val="clear" w:color="auto" w:fill="auto"/>
            <w:noWrap/>
            <w:vAlign w:val="center"/>
          </w:tcPr>
          <w:p w:rsidR="0092299C" w:rsidRPr="00831A8A" w:rsidRDefault="0092299C" w:rsidP="0092299C">
            <w:pPr>
              <w:pStyle w:val="ARtabletextright"/>
            </w:pPr>
            <w:r w:rsidRPr="00831A8A">
              <w:t>5</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4</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6</w:t>
            </w:r>
          </w:p>
        </w:tc>
        <w:tc>
          <w:tcPr>
            <w:tcW w:w="430" w:type="pct"/>
            <w:shd w:val="clear" w:color="auto" w:fill="auto"/>
            <w:noWrap/>
            <w:vAlign w:val="center"/>
          </w:tcPr>
          <w:p w:rsidR="0092299C" w:rsidRPr="00831A8A" w:rsidRDefault="0092299C" w:rsidP="0092299C">
            <w:pPr>
              <w:pStyle w:val="ARtabletextright"/>
            </w:pPr>
            <w:r w:rsidRPr="00831A8A">
              <w:t>1</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1</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Heathcote Health</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Hepburn Health Service</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9" w:type="pct"/>
            <w:shd w:val="clear" w:color="auto" w:fill="auto"/>
            <w:noWrap/>
            <w:vAlign w:val="center"/>
          </w:tcPr>
          <w:p w:rsidR="0092299C" w:rsidRPr="00831A8A" w:rsidRDefault="00007586" w:rsidP="0092299C">
            <w:pPr>
              <w:pStyle w:val="ARtabletextright"/>
            </w:pPr>
            <w:r>
              <w:t>(</w:t>
            </w:r>
            <w:r w:rsidR="0092299C" w:rsidRPr="00831A8A">
              <w:t>1</w:t>
            </w:r>
            <w:r>
              <w:t>)</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Hesse Rural Health Service</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Heywood Rural Health</w:t>
            </w:r>
          </w:p>
        </w:tc>
        <w:tc>
          <w:tcPr>
            <w:tcW w:w="448" w:type="pct"/>
            <w:shd w:val="clear" w:color="auto" w:fill="auto"/>
            <w:noWrap/>
            <w:vAlign w:val="center"/>
          </w:tcPr>
          <w:p w:rsidR="0092299C" w:rsidRPr="00831A8A" w:rsidRDefault="0092299C" w:rsidP="0092299C">
            <w:pPr>
              <w:pStyle w:val="ARtabletextright"/>
            </w:pPr>
            <w:r w:rsidRPr="00831A8A">
              <w:t>1</w:t>
            </w:r>
          </w:p>
        </w:tc>
        <w:tc>
          <w:tcPr>
            <w:tcW w:w="393" w:type="pct"/>
            <w:shd w:val="clear" w:color="auto" w:fill="auto"/>
            <w:noWrap/>
            <w:vAlign w:val="center"/>
          </w:tcPr>
          <w:p w:rsidR="0092299C" w:rsidRPr="00831A8A" w:rsidRDefault="0092299C" w:rsidP="0092299C">
            <w:pPr>
              <w:pStyle w:val="ARtabletextright"/>
            </w:pPr>
            <w:r w:rsidRPr="00831A8A">
              <w:t>0</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Inglewood and Districts Health Service</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92299C" w:rsidP="0092299C">
            <w:pPr>
              <w:pStyle w:val="ARtabletextright"/>
            </w:pPr>
            <w:r w:rsidRPr="00831A8A">
              <w:t>0</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0</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Kardinia Park Stadium Trust</w:t>
            </w:r>
          </w:p>
        </w:tc>
        <w:tc>
          <w:tcPr>
            <w:tcW w:w="448" w:type="pct"/>
            <w:shd w:val="clear" w:color="auto" w:fill="auto"/>
            <w:noWrap/>
            <w:vAlign w:val="center"/>
          </w:tcPr>
          <w:p w:rsidR="0092299C" w:rsidRPr="00831A8A" w:rsidRDefault="0092299C" w:rsidP="0092299C">
            <w:pPr>
              <w:pStyle w:val="ARtabletextright"/>
            </w:pPr>
            <w:r w:rsidRPr="00831A8A">
              <w:t>0</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1</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2</w:t>
            </w:r>
          </w:p>
        </w:tc>
        <w:tc>
          <w:tcPr>
            <w:tcW w:w="430" w:type="pct"/>
            <w:shd w:val="clear" w:color="auto" w:fill="auto"/>
            <w:noWrap/>
            <w:vAlign w:val="center"/>
          </w:tcPr>
          <w:p w:rsidR="0092299C" w:rsidRPr="00831A8A" w:rsidRDefault="0092299C" w:rsidP="0092299C">
            <w:pPr>
              <w:pStyle w:val="ARtabletextright"/>
            </w:pPr>
            <w:r w:rsidRPr="00831A8A">
              <w:t>1</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92299C" w:rsidP="0092299C">
            <w:pPr>
              <w:pStyle w:val="ARtabletextright"/>
            </w:pPr>
            <w:r w:rsidRPr="00831A8A">
              <w:t>1</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Kerang District Health</w:t>
            </w:r>
          </w:p>
        </w:tc>
        <w:tc>
          <w:tcPr>
            <w:tcW w:w="448" w:type="pct"/>
            <w:shd w:val="clear" w:color="auto" w:fill="auto"/>
            <w:noWrap/>
            <w:vAlign w:val="center"/>
          </w:tcPr>
          <w:p w:rsidR="0092299C" w:rsidRPr="00831A8A" w:rsidRDefault="0092299C" w:rsidP="0092299C">
            <w:pPr>
              <w:pStyle w:val="ARtabletextright"/>
            </w:pPr>
            <w:r w:rsidRPr="00831A8A">
              <w:t>1</w:t>
            </w:r>
          </w:p>
        </w:tc>
        <w:tc>
          <w:tcPr>
            <w:tcW w:w="393" w:type="pct"/>
            <w:shd w:val="clear" w:color="auto" w:fill="auto"/>
            <w:noWrap/>
            <w:vAlign w:val="center"/>
          </w:tcPr>
          <w:p w:rsidR="0092299C" w:rsidRPr="00831A8A" w:rsidRDefault="0092299C" w:rsidP="0092299C">
            <w:pPr>
              <w:pStyle w:val="ARtabletextright"/>
            </w:pPr>
            <w:r w:rsidRPr="00831A8A">
              <w:t>1</w:t>
            </w:r>
          </w:p>
        </w:tc>
        <w:tc>
          <w:tcPr>
            <w:tcW w:w="418" w:type="pct"/>
            <w:shd w:val="clear" w:color="auto" w:fill="auto"/>
            <w:noWrap/>
            <w:vAlign w:val="center"/>
          </w:tcPr>
          <w:p w:rsidR="0092299C" w:rsidRPr="00831A8A" w:rsidRDefault="0092299C" w:rsidP="0092299C">
            <w:pPr>
              <w:pStyle w:val="ARtabletextright"/>
            </w:pPr>
            <w:r w:rsidRPr="00831A8A">
              <w:t>2</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007586" w:rsidP="0092299C">
            <w:pPr>
              <w:pStyle w:val="ARtabletextright"/>
            </w:pPr>
            <w:r>
              <w:t>(</w:t>
            </w:r>
            <w:r w:rsidR="0092299C" w:rsidRPr="00831A8A">
              <w:t>1</w:t>
            </w:r>
            <w:r>
              <w:t>)</w:t>
            </w:r>
          </w:p>
        </w:tc>
      </w:tr>
      <w:tr w:rsidR="0092299C" w:rsidRPr="00767E90" w:rsidTr="005C1ACD">
        <w:trPr>
          <w:cantSplit/>
          <w:trHeight w:val="255"/>
        </w:trPr>
        <w:tc>
          <w:tcPr>
            <w:tcW w:w="1251" w:type="pct"/>
            <w:shd w:val="clear" w:color="auto" w:fill="auto"/>
            <w:noWrap/>
            <w:vAlign w:val="center"/>
          </w:tcPr>
          <w:p w:rsidR="0092299C" w:rsidRPr="00831A8A" w:rsidRDefault="0092299C" w:rsidP="0092299C">
            <w:pPr>
              <w:pStyle w:val="ARtabletext"/>
            </w:pPr>
            <w:r w:rsidRPr="00831A8A">
              <w:t>Kilmore and District Hospital</w:t>
            </w:r>
          </w:p>
        </w:tc>
        <w:tc>
          <w:tcPr>
            <w:tcW w:w="448" w:type="pct"/>
            <w:shd w:val="clear" w:color="auto" w:fill="auto"/>
            <w:noWrap/>
            <w:vAlign w:val="center"/>
          </w:tcPr>
          <w:p w:rsidR="0092299C" w:rsidRPr="00831A8A" w:rsidRDefault="0092299C" w:rsidP="0092299C">
            <w:pPr>
              <w:pStyle w:val="ARtabletextright"/>
            </w:pPr>
            <w:r w:rsidRPr="00831A8A">
              <w:t>2</w:t>
            </w:r>
          </w:p>
        </w:tc>
        <w:tc>
          <w:tcPr>
            <w:tcW w:w="393" w:type="pct"/>
            <w:shd w:val="clear" w:color="auto" w:fill="auto"/>
            <w:noWrap/>
            <w:vAlign w:val="center"/>
          </w:tcPr>
          <w:p w:rsidR="0092299C" w:rsidRPr="00831A8A" w:rsidRDefault="0092299C" w:rsidP="0092299C">
            <w:pPr>
              <w:pStyle w:val="ARtabletextright"/>
            </w:pPr>
            <w:r w:rsidRPr="00831A8A">
              <w:t>0</w:t>
            </w:r>
          </w:p>
        </w:tc>
        <w:tc>
          <w:tcPr>
            <w:tcW w:w="418" w:type="pct"/>
            <w:shd w:val="clear" w:color="auto" w:fill="auto"/>
            <w:noWrap/>
            <w:vAlign w:val="center"/>
          </w:tcPr>
          <w:p w:rsidR="0092299C" w:rsidRPr="00831A8A" w:rsidRDefault="0092299C" w:rsidP="0092299C">
            <w:pPr>
              <w:pStyle w:val="ARtabletextright"/>
            </w:pPr>
            <w:r w:rsidRPr="00831A8A">
              <w:t>2</w:t>
            </w:r>
          </w:p>
        </w:tc>
        <w:tc>
          <w:tcPr>
            <w:tcW w:w="432" w:type="pct"/>
            <w:tcBorders>
              <w:top w:val="single" w:sz="4" w:space="0" w:color="auto"/>
              <w:righ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399" w:type="pct"/>
            <w:tcBorders>
              <w:top w:val="single" w:sz="4" w:space="0" w:color="auto"/>
              <w:left w:val="nil"/>
              <w:right w:val="nil"/>
            </w:tcBorders>
            <w:shd w:val="clear" w:color="auto" w:fill="F2F2F2" w:themeFill="background1" w:themeFillShade="F2"/>
            <w:noWrap/>
            <w:vAlign w:val="center"/>
          </w:tcPr>
          <w:p w:rsidR="0092299C" w:rsidRPr="00831A8A" w:rsidRDefault="0092299C" w:rsidP="0092299C">
            <w:pPr>
              <w:pStyle w:val="ARtabletextright"/>
            </w:pPr>
            <w:r w:rsidRPr="00831A8A">
              <w:t>0</w:t>
            </w:r>
          </w:p>
        </w:tc>
        <w:tc>
          <w:tcPr>
            <w:tcW w:w="418" w:type="pct"/>
            <w:tcBorders>
              <w:top w:val="single" w:sz="4" w:space="0" w:color="auto"/>
              <w:left w:val="nil"/>
            </w:tcBorders>
            <w:shd w:val="clear" w:color="auto" w:fill="F2F2F2" w:themeFill="background1" w:themeFillShade="F2"/>
            <w:noWrap/>
            <w:vAlign w:val="center"/>
          </w:tcPr>
          <w:p w:rsidR="0092299C" w:rsidRPr="00831A8A" w:rsidRDefault="0092299C" w:rsidP="0092299C">
            <w:pPr>
              <w:pStyle w:val="ARtabletextright"/>
            </w:pPr>
            <w:r w:rsidRPr="00831A8A">
              <w:t>1</w:t>
            </w:r>
          </w:p>
        </w:tc>
        <w:tc>
          <w:tcPr>
            <w:tcW w:w="430" w:type="pct"/>
            <w:shd w:val="clear" w:color="auto" w:fill="auto"/>
            <w:noWrap/>
            <w:vAlign w:val="center"/>
          </w:tcPr>
          <w:p w:rsidR="0092299C" w:rsidRPr="00831A8A" w:rsidRDefault="00007586" w:rsidP="0092299C">
            <w:pPr>
              <w:pStyle w:val="ARtabletextright"/>
            </w:pPr>
            <w:r>
              <w:t>(</w:t>
            </w:r>
            <w:r w:rsidR="0092299C" w:rsidRPr="00831A8A">
              <w:t>1</w:t>
            </w:r>
            <w:r>
              <w:t>)</w:t>
            </w:r>
          </w:p>
        </w:tc>
        <w:tc>
          <w:tcPr>
            <w:tcW w:w="402" w:type="pct"/>
            <w:shd w:val="clear" w:color="auto" w:fill="auto"/>
            <w:noWrap/>
            <w:vAlign w:val="center"/>
          </w:tcPr>
          <w:p w:rsidR="0092299C" w:rsidRPr="00831A8A" w:rsidRDefault="0092299C" w:rsidP="0092299C">
            <w:pPr>
              <w:pStyle w:val="ARtabletextright"/>
            </w:pPr>
            <w:r w:rsidRPr="00831A8A">
              <w:t>0</w:t>
            </w:r>
          </w:p>
        </w:tc>
        <w:tc>
          <w:tcPr>
            <w:tcW w:w="409" w:type="pct"/>
            <w:shd w:val="clear" w:color="auto" w:fill="auto"/>
            <w:noWrap/>
            <w:vAlign w:val="center"/>
          </w:tcPr>
          <w:p w:rsidR="0092299C" w:rsidRPr="00831A8A" w:rsidRDefault="00007586" w:rsidP="0092299C">
            <w:pPr>
              <w:pStyle w:val="ARtabletextright"/>
            </w:pPr>
            <w:r>
              <w:t>(</w:t>
            </w:r>
            <w:r w:rsidR="0092299C" w:rsidRPr="00831A8A">
              <w:t>1</w:t>
            </w:r>
            <w: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Kooweerup Regional Health Service</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007586" w:rsidP="0092299C">
            <w:pPr>
              <w:pStyle w:val="ARtabletextright"/>
            </w:pPr>
            <w:r>
              <w:t>(</w:t>
            </w:r>
            <w:r w:rsidR="0092299C" w:rsidRPr="00767E90">
              <w:t>1</w:t>
            </w:r>
            <w:r>
              <w:t>)</w:t>
            </w:r>
          </w:p>
        </w:tc>
        <w:tc>
          <w:tcPr>
            <w:tcW w:w="402" w:type="pct"/>
            <w:shd w:val="clear" w:color="auto" w:fill="auto"/>
            <w:noWrap/>
          </w:tcPr>
          <w:p w:rsidR="0092299C" w:rsidRPr="00767E90" w:rsidRDefault="0092299C" w:rsidP="0092299C">
            <w:pPr>
              <w:pStyle w:val="ARtabletextright"/>
            </w:pPr>
            <w:r w:rsidRPr="00767E90">
              <w:t>1</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Kyabram and District Health Services</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1</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Kyneton District Health Service</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lastRenderedPageBreak/>
              <w:t>Latrobe Regional Hospital</w:t>
            </w:r>
          </w:p>
        </w:tc>
        <w:tc>
          <w:tcPr>
            <w:tcW w:w="448" w:type="pct"/>
            <w:shd w:val="clear" w:color="auto" w:fill="auto"/>
            <w:noWrap/>
          </w:tcPr>
          <w:p w:rsidR="0092299C" w:rsidRPr="00767E90" w:rsidRDefault="0092299C" w:rsidP="0092299C">
            <w:pPr>
              <w:pStyle w:val="ARtabletextright"/>
            </w:pPr>
            <w:r w:rsidRPr="00767E90">
              <w:t>2</w:t>
            </w:r>
          </w:p>
        </w:tc>
        <w:tc>
          <w:tcPr>
            <w:tcW w:w="393" w:type="pct"/>
            <w:shd w:val="clear" w:color="auto" w:fill="auto"/>
            <w:noWrap/>
          </w:tcPr>
          <w:p w:rsidR="0092299C" w:rsidRPr="00767E90" w:rsidRDefault="0092299C" w:rsidP="0092299C">
            <w:pPr>
              <w:pStyle w:val="ARtabletextright"/>
            </w:pPr>
            <w:r w:rsidRPr="00767E90">
              <w:t>2</w:t>
            </w:r>
          </w:p>
        </w:tc>
        <w:tc>
          <w:tcPr>
            <w:tcW w:w="418" w:type="pct"/>
            <w:shd w:val="clear" w:color="auto" w:fill="auto"/>
            <w:noWrap/>
          </w:tcPr>
          <w:p w:rsidR="0092299C" w:rsidRPr="00767E90" w:rsidRDefault="0092299C" w:rsidP="0092299C">
            <w:pPr>
              <w:pStyle w:val="ARtabletextright"/>
            </w:pPr>
            <w:r w:rsidRPr="00767E90">
              <w:t>4</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4</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tcBorders>
              <w:bottom w:val="single" w:sz="4" w:space="0" w:color="auto"/>
            </w:tcBorders>
            <w:shd w:val="clear" w:color="auto" w:fill="auto"/>
            <w:noWrap/>
          </w:tcPr>
          <w:p w:rsidR="0092299C" w:rsidRPr="00767E90" w:rsidRDefault="0092299C" w:rsidP="0092299C">
            <w:pPr>
              <w:pStyle w:val="ARtabletext"/>
            </w:pPr>
            <w:r w:rsidRPr="00767E90">
              <w:t>Lorne Community Hospital</w:t>
            </w:r>
          </w:p>
        </w:tc>
        <w:tc>
          <w:tcPr>
            <w:tcW w:w="448" w:type="pct"/>
            <w:tcBorders>
              <w:bottom w:val="single" w:sz="4" w:space="0" w:color="auto"/>
            </w:tcBorders>
            <w:shd w:val="clear" w:color="auto" w:fill="auto"/>
            <w:noWrap/>
          </w:tcPr>
          <w:p w:rsidR="0092299C" w:rsidRPr="00767E90" w:rsidRDefault="0092299C" w:rsidP="0092299C">
            <w:pPr>
              <w:pStyle w:val="ARtabletextright"/>
            </w:pPr>
            <w:r w:rsidRPr="00767E90">
              <w:t>1</w:t>
            </w:r>
          </w:p>
        </w:tc>
        <w:tc>
          <w:tcPr>
            <w:tcW w:w="393" w:type="pct"/>
            <w:tcBorders>
              <w:bottom w:val="single" w:sz="4" w:space="0" w:color="auto"/>
            </w:tcBorders>
            <w:shd w:val="clear" w:color="auto" w:fill="auto"/>
            <w:noWrap/>
          </w:tcPr>
          <w:p w:rsidR="0092299C" w:rsidRPr="00767E90" w:rsidRDefault="0092299C" w:rsidP="0092299C">
            <w:pPr>
              <w:pStyle w:val="ARtabletextright"/>
            </w:pPr>
            <w:r w:rsidRPr="00767E90">
              <w:t>0</w:t>
            </w:r>
          </w:p>
        </w:tc>
        <w:tc>
          <w:tcPr>
            <w:tcW w:w="418" w:type="pct"/>
            <w:tcBorders>
              <w:bottom w:val="single" w:sz="4" w:space="0" w:color="auto"/>
            </w:tcBorders>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bottom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bottom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bottom w:val="single" w:sz="4" w:space="0" w:color="auto"/>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tcBorders>
              <w:bottom w:val="single" w:sz="4" w:space="0" w:color="auto"/>
            </w:tcBorders>
            <w:shd w:val="clear" w:color="auto" w:fill="auto"/>
            <w:noWrap/>
          </w:tcPr>
          <w:p w:rsidR="0092299C" w:rsidRPr="00767E90" w:rsidRDefault="0092299C" w:rsidP="0092299C">
            <w:pPr>
              <w:pStyle w:val="ARtabletextright"/>
            </w:pPr>
            <w:r w:rsidRPr="00767E90">
              <w:t>0</w:t>
            </w:r>
          </w:p>
        </w:tc>
        <w:tc>
          <w:tcPr>
            <w:tcW w:w="402" w:type="pct"/>
            <w:tcBorders>
              <w:bottom w:val="single" w:sz="4" w:space="0" w:color="auto"/>
            </w:tcBorders>
            <w:shd w:val="clear" w:color="auto" w:fill="auto"/>
            <w:noWrap/>
          </w:tcPr>
          <w:p w:rsidR="0092299C" w:rsidRPr="00767E90" w:rsidRDefault="0092299C" w:rsidP="0092299C">
            <w:pPr>
              <w:pStyle w:val="ARtabletextright"/>
            </w:pPr>
            <w:r w:rsidRPr="00767E90">
              <w:t>0</w:t>
            </w:r>
          </w:p>
        </w:tc>
        <w:tc>
          <w:tcPr>
            <w:tcW w:w="409" w:type="pct"/>
            <w:tcBorders>
              <w:bottom w:val="single" w:sz="4" w:space="0" w:color="auto"/>
            </w:tcBorders>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tcBorders>
              <w:top w:val="single" w:sz="4" w:space="0" w:color="auto"/>
              <w:bottom w:val="single" w:sz="4" w:space="0" w:color="auto"/>
            </w:tcBorders>
            <w:shd w:val="clear" w:color="auto" w:fill="auto"/>
            <w:noWrap/>
          </w:tcPr>
          <w:p w:rsidR="0092299C" w:rsidRPr="00767E90" w:rsidRDefault="0092299C" w:rsidP="0092299C">
            <w:pPr>
              <w:pStyle w:val="ARtabletext"/>
            </w:pPr>
            <w:r w:rsidRPr="00767E90">
              <w:t>Mallee Track Health and Community Service</w:t>
            </w:r>
          </w:p>
        </w:tc>
        <w:tc>
          <w:tcPr>
            <w:tcW w:w="448" w:type="pct"/>
            <w:tcBorders>
              <w:top w:val="single" w:sz="4" w:space="0" w:color="auto"/>
              <w:bottom w:val="single" w:sz="4" w:space="0" w:color="auto"/>
            </w:tcBorders>
            <w:shd w:val="clear" w:color="auto" w:fill="auto"/>
            <w:noWrap/>
          </w:tcPr>
          <w:p w:rsidR="0092299C" w:rsidRPr="00767E90" w:rsidRDefault="0092299C" w:rsidP="0092299C">
            <w:pPr>
              <w:pStyle w:val="ARtabletextright"/>
            </w:pPr>
            <w:r w:rsidRPr="00767E90">
              <w:t>0</w:t>
            </w:r>
          </w:p>
        </w:tc>
        <w:tc>
          <w:tcPr>
            <w:tcW w:w="393" w:type="pct"/>
            <w:tcBorders>
              <w:top w:val="single" w:sz="4" w:space="0" w:color="auto"/>
              <w:bottom w:val="single" w:sz="4" w:space="0" w:color="auto"/>
            </w:tcBorders>
            <w:shd w:val="clear" w:color="auto" w:fill="auto"/>
            <w:noWrap/>
          </w:tcPr>
          <w:p w:rsidR="0092299C" w:rsidRPr="00767E90" w:rsidRDefault="0092299C" w:rsidP="0092299C">
            <w:pPr>
              <w:pStyle w:val="ARtabletextright"/>
            </w:pPr>
            <w:r w:rsidRPr="00767E90">
              <w:t>1</w:t>
            </w:r>
          </w:p>
        </w:tc>
        <w:tc>
          <w:tcPr>
            <w:tcW w:w="418" w:type="pct"/>
            <w:tcBorders>
              <w:top w:val="single" w:sz="4" w:space="0" w:color="auto"/>
              <w:bottom w:val="single" w:sz="4" w:space="0" w:color="auto"/>
            </w:tcBorders>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bottom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bottom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bottom w:val="single" w:sz="4" w:space="0" w:color="auto"/>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tcBorders>
              <w:top w:val="single" w:sz="4" w:space="0" w:color="auto"/>
              <w:bottom w:val="single" w:sz="4" w:space="0" w:color="auto"/>
            </w:tcBorders>
            <w:shd w:val="clear" w:color="auto" w:fill="auto"/>
            <w:noWrap/>
          </w:tcPr>
          <w:p w:rsidR="0092299C" w:rsidRPr="00767E90" w:rsidRDefault="0092299C" w:rsidP="0092299C">
            <w:pPr>
              <w:pStyle w:val="ARtabletextright"/>
            </w:pPr>
            <w:r w:rsidRPr="00767E90">
              <w:t>1</w:t>
            </w:r>
          </w:p>
        </w:tc>
        <w:tc>
          <w:tcPr>
            <w:tcW w:w="402" w:type="pct"/>
            <w:tcBorders>
              <w:top w:val="single" w:sz="4" w:space="0" w:color="auto"/>
              <w:bottom w:val="single" w:sz="4" w:space="0" w:color="auto"/>
            </w:tcBorders>
            <w:shd w:val="clear" w:color="auto" w:fill="auto"/>
            <w:noWrap/>
          </w:tcPr>
          <w:p w:rsidR="0092299C" w:rsidRPr="00767E90" w:rsidRDefault="00007586" w:rsidP="0092299C">
            <w:pPr>
              <w:pStyle w:val="ARtabletextright"/>
            </w:pPr>
            <w:r>
              <w:t>(</w:t>
            </w:r>
            <w:r w:rsidR="0092299C" w:rsidRPr="00767E90">
              <w:t>1</w:t>
            </w:r>
            <w:r>
              <w:t>)</w:t>
            </w:r>
          </w:p>
        </w:tc>
        <w:tc>
          <w:tcPr>
            <w:tcW w:w="409" w:type="pct"/>
            <w:tcBorders>
              <w:top w:val="single" w:sz="4" w:space="0" w:color="auto"/>
              <w:bottom w:val="single" w:sz="4" w:space="0" w:color="auto"/>
            </w:tcBorders>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tcBorders>
              <w:top w:val="single" w:sz="4" w:space="0" w:color="auto"/>
            </w:tcBorders>
            <w:shd w:val="clear" w:color="auto" w:fill="auto"/>
            <w:noWrap/>
          </w:tcPr>
          <w:p w:rsidR="0092299C" w:rsidRPr="00767E90" w:rsidRDefault="0092299C" w:rsidP="0092299C">
            <w:pPr>
              <w:pStyle w:val="ARtabletext"/>
            </w:pPr>
            <w:r w:rsidRPr="00767E90">
              <w:t>Mansfield District Hospital</w:t>
            </w:r>
          </w:p>
        </w:tc>
        <w:tc>
          <w:tcPr>
            <w:tcW w:w="448" w:type="pct"/>
            <w:tcBorders>
              <w:top w:val="single" w:sz="4" w:space="0" w:color="auto"/>
            </w:tcBorders>
            <w:shd w:val="clear" w:color="auto" w:fill="auto"/>
            <w:noWrap/>
          </w:tcPr>
          <w:p w:rsidR="0092299C" w:rsidRPr="00767E90" w:rsidRDefault="0092299C" w:rsidP="0092299C">
            <w:pPr>
              <w:pStyle w:val="ARtabletextright"/>
            </w:pPr>
            <w:r w:rsidRPr="00767E90">
              <w:t>1</w:t>
            </w:r>
          </w:p>
        </w:tc>
        <w:tc>
          <w:tcPr>
            <w:tcW w:w="393" w:type="pct"/>
            <w:tcBorders>
              <w:top w:val="single" w:sz="4" w:space="0" w:color="auto"/>
            </w:tcBorders>
            <w:shd w:val="clear" w:color="auto" w:fill="auto"/>
            <w:noWrap/>
          </w:tcPr>
          <w:p w:rsidR="0092299C" w:rsidRPr="00767E90" w:rsidRDefault="0092299C" w:rsidP="0092299C">
            <w:pPr>
              <w:pStyle w:val="ARtabletextright"/>
            </w:pPr>
            <w:r w:rsidRPr="00767E90">
              <w:t>0</w:t>
            </w:r>
          </w:p>
        </w:tc>
        <w:tc>
          <w:tcPr>
            <w:tcW w:w="418" w:type="pct"/>
            <w:tcBorders>
              <w:top w:val="single" w:sz="4" w:space="0" w:color="auto"/>
            </w:tcBorders>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tcBorders>
              <w:top w:val="single" w:sz="4" w:space="0" w:color="auto"/>
            </w:tcBorders>
            <w:shd w:val="clear" w:color="auto" w:fill="auto"/>
            <w:noWrap/>
          </w:tcPr>
          <w:p w:rsidR="0092299C" w:rsidRPr="00767E90" w:rsidRDefault="00007586" w:rsidP="0092299C">
            <w:pPr>
              <w:pStyle w:val="ARtabletextright"/>
            </w:pPr>
            <w:r>
              <w:t>(</w:t>
            </w:r>
            <w:r w:rsidR="0092299C" w:rsidRPr="00767E90">
              <w:t>1</w:t>
            </w:r>
            <w:r>
              <w:t>)</w:t>
            </w:r>
          </w:p>
        </w:tc>
        <w:tc>
          <w:tcPr>
            <w:tcW w:w="402" w:type="pct"/>
            <w:tcBorders>
              <w:top w:val="single" w:sz="4" w:space="0" w:color="auto"/>
            </w:tcBorders>
            <w:shd w:val="clear" w:color="auto" w:fill="auto"/>
            <w:noWrap/>
          </w:tcPr>
          <w:p w:rsidR="0092299C" w:rsidRPr="00767E90" w:rsidRDefault="0092299C" w:rsidP="0092299C">
            <w:pPr>
              <w:pStyle w:val="ARtabletextright"/>
            </w:pPr>
            <w:r w:rsidRPr="00767E90">
              <w:t>1</w:t>
            </w:r>
          </w:p>
        </w:tc>
        <w:tc>
          <w:tcPr>
            <w:tcW w:w="409" w:type="pct"/>
            <w:tcBorders>
              <w:top w:val="single" w:sz="4" w:space="0" w:color="auto"/>
            </w:tcBorders>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Maryborough District Health Service</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1</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 xml:space="preserve">Melbourne and Olympic Parks Trust </w:t>
            </w:r>
          </w:p>
        </w:tc>
        <w:tc>
          <w:tcPr>
            <w:tcW w:w="448" w:type="pct"/>
            <w:shd w:val="clear" w:color="auto" w:fill="auto"/>
            <w:noWrap/>
          </w:tcPr>
          <w:p w:rsidR="0092299C" w:rsidRPr="00767E90" w:rsidRDefault="0092299C" w:rsidP="0092299C">
            <w:pPr>
              <w:pStyle w:val="ARtabletextright"/>
            </w:pPr>
            <w:r w:rsidRPr="00767E90">
              <w:t>2</w:t>
            </w:r>
          </w:p>
        </w:tc>
        <w:tc>
          <w:tcPr>
            <w:tcW w:w="393" w:type="pct"/>
            <w:shd w:val="clear" w:color="auto" w:fill="auto"/>
            <w:noWrap/>
          </w:tcPr>
          <w:p w:rsidR="0092299C" w:rsidRPr="00767E90" w:rsidRDefault="0092299C" w:rsidP="0092299C">
            <w:pPr>
              <w:pStyle w:val="ARtabletextright"/>
            </w:pPr>
            <w:r w:rsidRPr="00767E90">
              <w:t>8</w:t>
            </w:r>
          </w:p>
        </w:tc>
        <w:tc>
          <w:tcPr>
            <w:tcW w:w="418" w:type="pct"/>
            <w:shd w:val="clear" w:color="auto" w:fill="auto"/>
            <w:noWrap/>
          </w:tcPr>
          <w:p w:rsidR="0092299C" w:rsidRPr="00767E90" w:rsidRDefault="0092299C" w:rsidP="0092299C">
            <w:pPr>
              <w:pStyle w:val="ARtabletextright"/>
            </w:pPr>
            <w:r w:rsidRPr="00767E90">
              <w:t>10</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6</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6</w:t>
            </w:r>
          </w:p>
        </w:tc>
        <w:tc>
          <w:tcPr>
            <w:tcW w:w="430" w:type="pct"/>
            <w:shd w:val="clear" w:color="auto" w:fill="auto"/>
            <w:noWrap/>
          </w:tcPr>
          <w:p w:rsidR="0092299C" w:rsidRPr="00767E90" w:rsidRDefault="00007586" w:rsidP="0092299C">
            <w:pPr>
              <w:pStyle w:val="ARtabletextright"/>
            </w:pPr>
            <w:r>
              <w:t>(</w:t>
            </w:r>
            <w:r w:rsidR="0092299C" w:rsidRPr="00767E90">
              <w:t>2</w:t>
            </w:r>
            <w:r>
              <w:t>)</w:t>
            </w:r>
          </w:p>
        </w:tc>
        <w:tc>
          <w:tcPr>
            <w:tcW w:w="402" w:type="pct"/>
            <w:shd w:val="clear" w:color="auto" w:fill="auto"/>
            <w:noWrap/>
          </w:tcPr>
          <w:p w:rsidR="0092299C" w:rsidRPr="00767E90" w:rsidRDefault="00007586" w:rsidP="0092299C">
            <w:pPr>
              <w:pStyle w:val="ARtabletextright"/>
            </w:pPr>
            <w:r>
              <w:t>(</w:t>
            </w:r>
            <w:r w:rsidR="0092299C" w:rsidRPr="00767E90">
              <w:t>2</w:t>
            </w:r>
            <w:r>
              <w:t>)</w:t>
            </w:r>
          </w:p>
        </w:tc>
        <w:tc>
          <w:tcPr>
            <w:tcW w:w="409" w:type="pct"/>
            <w:shd w:val="clear" w:color="auto" w:fill="auto"/>
            <w:noWrap/>
          </w:tcPr>
          <w:p w:rsidR="0092299C" w:rsidRPr="00767E90" w:rsidRDefault="00007586" w:rsidP="0092299C">
            <w:pPr>
              <w:pStyle w:val="ARtabletextright"/>
            </w:pPr>
            <w:r>
              <w:t>(</w:t>
            </w:r>
            <w:r w:rsidR="0092299C" w:rsidRPr="00767E90">
              <w:t>4</w:t>
            </w:r>
            <w: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Melbourne Health</w:t>
            </w:r>
          </w:p>
        </w:tc>
        <w:tc>
          <w:tcPr>
            <w:tcW w:w="448" w:type="pct"/>
            <w:shd w:val="clear" w:color="auto" w:fill="auto"/>
            <w:noWrap/>
          </w:tcPr>
          <w:p w:rsidR="0092299C" w:rsidRPr="00767E90" w:rsidRDefault="0092299C" w:rsidP="0092299C">
            <w:pPr>
              <w:pStyle w:val="ARtabletextright"/>
            </w:pPr>
            <w:r w:rsidRPr="00767E90">
              <w:t>4</w:t>
            </w:r>
          </w:p>
        </w:tc>
        <w:tc>
          <w:tcPr>
            <w:tcW w:w="393" w:type="pct"/>
            <w:shd w:val="clear" w:color="auto" w:fill="auto"/>
            <w:noWrap/>
          </w:tcPr>
          <w:p w:rsidR="0092299C" w:rsidRPr="00767E90" w:rsidRDefault="0092299C" w:rsidP="0092299C">
            <w:pPr>
              <w:pStyle w:val="ARtabletextright"/>
            </w:pPr>
            <w:r w:rsidRPr="00767E90">
              <w:t>2</w:t>
            </w:r>
          </w:p>
        </w:tc>
        <w:tc>
          <w:tcPr>
            <w:tcW w:w="418" w:type="pct"/>
            <w:shd w:val="clear" w:color="auto" w:fill="auto"/>
            <w:noWrap/>
          </w:tcPr>
          <w:p w:rsidR="0092299C" w:rsidRPr="00767E90" w:rsidRDefault="0092299C" w:rsidP="0092299C">
            <w:pPr>
              <w:pStyle w:val="ARtabletextright"/>
            </w:pPr>
            <w:r w:rsidRPr="00767E90">
              <w:t>6</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 xml:space="preserve">5 </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7</w:t>
            </w:r>
          </w:p>
        </w:tc>
        <w:tc>
          <w:tcPr>
            <w:tcW w:w="430" w:type="pct"/>
            <w:shd w:val="clear" w:color="auto" w:fill="auto"/>
            <w:noWrap/>
          </w:tcPr>
          <w:p w:rsidR="0092299C" w:rsidRPr="00767E90" w:rsidRDefault="0092299C" w:rsidP="0092299C">
            <w:pPr>
              <w:pStyle w:val="ARtabletextright"/>
            </w:pPr>
            <w:r w:rsidRPr="00767E90">
              <w:t>1</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Monash Health</w:t>
            </w:r>
          </w:p>
        </w:tc>
        <w:tc>
          <w:tcPr>
            <w:tcW w:w="448" w:type="pct"/>
            <w:shd w:val="clear" w:color="auto" w:fill="auto"/>
            <w:noWrap/>
          </w:tcPr>
          <w:p w:rsidR="0092299C" w:rsidRPr="00767E90" w:rsidRDefault="0092299C" w:rsidP="0092299C">
            <w:pPr>
              <w:pStyle w:val="ARtabletextright"/>
            </w:pPr>
            <w:r w:rsidRPr="00767E90">
              <w:t>2</w:t>
            </w:r>
          </w:p>
        </w:tc>
        <w:tc>
          <w:tcPr>
            <w:tcW w:w="393" w:type="pct"/>
            <w:shd w:val="clear" w:color="auto" w:fill="auto"/>
            <w:noWrap/>
          </w:tcPr>
          <w:p w:rsidR="0092299C" w:rsidRPr="00767E90" w:rsidRDefault="0092299C" w:rsidP="0092299C">
            <w:pPr>
              <w:pStyle w:val="ARtabletextright"/>
            </w:pPr>
            <w:r w:rsidRPr="00767E90">
              <w:t>6</w:t>
            </w:r>
          </w:p>
        </w:tc>
        <w:tc>
          <w:tcPr>
            <w:tcW w:w="418" w:type="pct"/>
            <w:shd w:val="clear" w:color="auto" w:fill="auto"/>
            <w:noWrap/>
          </w:tcPr>
          <w:p w:rsidR="0092299C" w:rsidRPr="00767E90" w:rsidRDefault="0092299C" w:rsidP="0092299C">
            <w:pPr>
              <w:pStyle w:val="ARtabletextright"/>
            </w:pPr>
            <w:r w:rsidRPr="00767E90">
              <w:t>8</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3</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5</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11</w:t>
            </w:r>
          </w:p>
        </w:tc>
        <w:tc>
          <w:tcPr>
            <w:tcW w:w="430" w:type="pct"/>
            <w:shd w:val="clear" w:color="auto" w:fill="auto"/>
            <w:noWrap/>
          </w:tcPr>
          <w:p w:rsidR="0092299C" w:rsidRPr="00767E90" w:rsidRDefault="0092299C" w:rsidP="0092299C">
            <w:pPr>
              <w:pStyle w:val="ARtabletextright"/>
            </w:pPr>
            <w:r w:rsidRPr="00767E90">
              <w:t>1</w:t>
            </w:r>
          </w:p>
        </w:tc>
        <w:tc>
          <w:tcPr>
            <w:tcW w:w="402" w:type="pct"/>
            <w:shd w:val="clear" w:color="auto" w:fill="auto"/>
            <w:noWrap/>
          </w:tcPr>
          <w:p w:rsidR="0092299C" w:rsidRPr="00767E90" w:rsidRDefault="0092299C" w:rsidP="0092299C">
            <w:pPr>
              <w:pStyle w:val="ARtabletextright"/>
            </w:pPr>
            <w:r w:rsidRPr="00767E90">
              <w:t>2</w:t>
            </w:r>
          </w:p>
        </w:tc>
        <w:tc>
          <w:tcPr>
            <w:tcW w:w="409" w:type="pct"/>
            <w:shd w:val="clear" w:color="auto" w:fill="auto"/>
            <w:noWrap/>
          </w:tcPr>
          <w:p w:rsidR="0092299C" w:rsidRPr="00767E90" w:rsidRDefault="0092299C" w:rsidP="0092299C">
            <w:pPr>
              <w:pStyle w:val="ARtabletextright"/>
            </w:pPr>
            <w:r w:rsidRPr="00767E90">
              <w:t>3</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Moyne Health Services</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1</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0</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695D9D" w:rsidP="0092299C">
            <w:pPr>
              <w:pStyle w:val="ARtabletextright"/>
            </w:pPr>
            <w:r>
              <w:t>(</w:t>
            </w:r>
            <w:r w:rsidR="0092299C" w:rsidRPr="00767E90">
              <w:t>1</w:t>
            </w:r>
            <w:r>
              <w:t>)</w:t>
            </w:r>
          </w:p>
        </w:tc>
        <w:tc>
          <w:tcPr>
            <w:tcW w:w="409" w:type="pct"/>
            <w:shd w:val="clear" w:color="auto" w:fill="auto"/>
            <w:noWrap/>
          </w:tcPr>
          <w:p w:rsidR="0092299C" w:rsidRPr="00767E90" w:rsidRDefault="00695D9D" w:rsidP="0092299C">
            <w:pPr>
              <w:pStyle w:val="ARtabletextright"/>
            </w:pPr>
            <w:r>
              <w:t>(</w:t>
            </w:r>
            <w:r w:rsidR="0092299C" w:rsidRPr="00767E90">
              <w:t>1</w:t>
            </w:r>
            <w: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Northeast Health Wangaratta</w:t>
            </w:r>
          </w:p>
        </w:tc>
        <w:tc>
          <w:tcPr>
            <w:tcW w:w="448" w:type="pct"/>
            <w:shd w:val="clear" w:color="auto" w:fill="auto"/>
            <w:noWrap/>
          </w:tcPr>
          <w:p w:rsidR="0092299C" w:rsidRPr="00767E90" w:rsidRDefault="0092299C" w:rsidP="0092299C">
            <w:pPr>
              <w:pStyle w:val="ARtabletextright"/>
            </w:pPr>
            <w:r w:rsidRPr="00767E90">
              <w:t>2</w:t>
            </w:r>
          </w:p>
        </w:tc>
        <w:tc>
          <w:tcPr>
            <w:tcW w:w="393" w:type="pct"/>
            <w:shd w:val="clear" w:color="auto" w:fill="auto"/>
            <w:noWrap/>
          </w:tcPr>
          <w:p w:rsidR="0092299C" w:rsidRPr="00767E90" w:rsidRDefault="0092299C" w:rsidP="0092299C">
            <w:pPr>
              <w:pStyle w:val="ARtabletextright"/>
            </w:pPr>
            <w:r w:rsidRPr="00767E90">
              <w:t>2</w:t>
            </w:r>
          </w:p>
        </w:tc>
        <w:tc>
          <w:tcPr>
            <w:tcW w:w="418" w:type="pct"/>
            <w:shd w:val="clear" w:color="auto" w:fill="auto"/>
            <w:noWrap/>
          </w:tcPr>
          <w:p w:rsidR="0092299C" w:rsidRPr="00767E90" w:rsidRDefault="0092299C" w:rsidP="0092299C">
            <w:pPr>
              <w:pStyle w:val="ARtabletextright"/>
            </w:pPr>
            <w:r w:rsidRPr="00767E90">
              <w:t>4</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4</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Northern Health</w:t>
            </w:r>
          </w:p>
        </w:tc>
        <w:tc>
          <w:tcPr>
            <w:tcW w:w="448" w:type="pct"/>
            <w:shd w:val="clear" w:color="auto" w:fill="auto"/>
            <w:noWrap/>
          </w:tcPr>
          <w:p w:rsidR="0092299C" w:rsidRPr="00767E90" w:rsidRDefault="0092299C" w:rsidP="0092299C">
            <w:pPr>
              <w:pStyle w:val="ARtabletextright"/>
            </w:pPr>
            <w:r w:rsidRPr="00767E90">
              <w:t>7</w:t>
            </w:r>
          </w:p>
        </w:tc>
        <w:tc>
          <w:tcPr>
            <w:tcW w:w="393" w:type="pct"/>
            <w:shd w:val="clear" w:color="auto" w:fill="auto"/>
            <w:noWrap/>
          </w:tcPr>
          <w:p w:rsidR="0092299C" w:rsidRPr="00767E90" w:rsidRDefault="0092299C" w:rsidP="0092299C">
            <w:pPr>
              <w:pStyle w:val="ARtabletextright"/>
            </w:pPr>
            <w:r w:rsidRPr="00767E90">
              <w:t>3</w:t>
            </w:r>
          </w:p>
        </w:tc>
        <w:tc>
          <w:tcPr>
            <w:tcW w:w="418" w:type="pct"/>
            <w:shd w:val="clear" w:color="auto" w:fill="auto"/>
            <w:noWrap/>
          </w:tcPr>
          <w:p w:rsidR="0092299C" w:rsidRPr="00767E90" w:rsidRDefault="0092299C" w:rsidP="0092299C">
            <w:pPr>
              <w:pStyle w:val="ARtabletextright"/>
            </w:pPr>
            <w:r w:rsidRPr="00767E90">
              <w:t>10</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8</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10</w:t>
            </w:r>
          </w:p>
        </w:tc>
        <w:tc>
          <w:tcPr>
            <w:tcW w:w="430" w:type="pct"/>
            <w:shd w:val="clear" w:color="auto" w:fill="auto"/>
            <w:noWrap/>
          </w:tcPr>
          <w:p w:rsidR="0092299C" w:rsidRPr="00767E90" w:rsidRDefault="0092299C" w:rsidP="0092299C">
            <w:pPr>
              <w:pStyle w:val="ARtabletextright"/>
            </w:pPr>
            <w:r w:rsidRPr="00767E90">
              <w:t>1</w:t>
            </w:r>
          </w:p>
        </w:tc>
        <w:tc>
          <w:tcPr>
            <w:tcW w:w="402" w:type="pct"/>
            <w:shd w:val="clear" w:color="auto" w:fill="auto"/>
            <w:noWrap/>
          </w:tcPr>
          <w:p w:rsidR="0092299C" w:rsidRPr="00767E90" w:rsidRDefault="00695D9D" w:rsidP="0092299C">
            <w:pPr>
              <w:pStyle w:val="ARtabletextright"/>
            </w:pPr>
            <w:r>
              <w:t>(</w:t>
            </w:r>
            <w:r w:rsidR="0092299C" w:rsidRPr="00767E90">
              <w:t>1</w:t>
            </w:r>
            <w:r>
              <w:t>)</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Numurkah District Health Service</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Omeo District Health</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0</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1</w:t>
            </w:r>
          </w:p>
        </w:tc>
        <w:tc>
          <w:tcPr>
            <w:tcW w:w="409" w:type="pct"/>
            <w:shd w:val="clear" w:color="auto" w:fill="auto"/>
            <w:noWrap/>
          </w:tcPr>
          <w:p w:rsidR="0092299C" w:rsidRPr="00767E90" w:rsidRDefault="0092299C" w:rsidP="0092299C">
            <w:pPr>
              <w:pStyle w:val="ARtabletextright"/>
            </w:pPr>
            <w:r w:rsidRPr="00767E90">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Orbost Regional Health</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0</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Otway Health and Community Services</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0</w:t>
            </w:r>
          </w:p>
        </w:tc>
        <w:tc>
          <w:tcPr>
            <w:tcW w:w="430" w:type="pct"/>
            <w:shd w:val="clear" w:color="auto" w:fill="auto"/>
            <w:noWrap/>
          </w:tcPr>
          <w:p w:rsidR="0092299C" w:rsidRPr="00767E90" w:rsidRDefault="00695D9D" w:rsidP="0092299C">
            <w:pPr>
              <w:pStyle w:val="ARtabletextright"/>
            </w:pPr>
            <w:r>
              <w:t>(</w:t>
            </w:r>
            <w:r w:rsidR="0092299C" w:rsidRPr="00767E90">
              <w:t>1</w:t>
            </w:r>
            <w:r>
              <w:t>)</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695D9D" w:rsidP="0092299C">
            <w:pPr>
              <w:pStyle w:val="ARtabletextright"/>
            </w:pPr>
            <w:r>
              <w:t>(</w:t>
            </w:r>
            <w:r w:rsidR="0092299C" w:rsidRPr="00767E90">
              <w:t>1</w:t>
            </w:r>
            <w: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Peninsula Health</w:t>
            </w:r>
          </w:p>
        </w:tc>
        <w:tc>
          <w:tcPr>
            <w:tcW w:w="448" w:type="pct"/>
            <w:shd w:val="clear" w:color="auto" w:fill="auto"/>
            <w:noWrap/>
          </w:tcPr>
          <w:p w:rsidR="0092299C" w:rsidRPr="00767E90" w:rsidRDefault="0092299C" w:rsidP="0092299C">
            <w:pPr>
              <w:pStyle w:val="ARtabletextright"/>
            </w:pPr>
            <w:r w:rsidRPr="00767E90">
              <w:t>3</w:t>
            </w:r>
          </w:p>
        </w:tc>
        <w:tc>
          <w:tcPr>
            <w:tcW w:w="393" w:type="pct"/>
            <w:shd w:val="clear" w:color="auto" w:fill="auto"/>
            <w:noWrap/>
          </w:tcPr>
          <w:p w:rsidR="0092299C" w:rsidRPr="00767E90" w:rsidRDefault="0092299C" w:rsidP="0092299C">
            <w:pPr>
              <w:pStyle w:val="ARtabletextright"/>
            </w:pPr>
            <w:r w:rsidRPr="00767E90">
              <w:t>5</w:t>
            </w:r>
          </w:p>
        </w:tc>
        <w:tc>
          <w:tcPr>
            <w:tcW w:w="418" w:type="pct"/>
            <w:shd w:val="clear" w:color="auto" w:fill="auto"/>
            <w:noWrap/>
          </w:tcPr>
          <w:p w:rsidR="0092299C" w:rsidRPr="00767E90" w:rsidRDefault="0092299C" w:rsidP="0092299C">
            <w:pPr>
              <w:pStyle w:val="ARtabletextright"/>
            </w:pPr>
            <w:r w:rsidRPr="00767E90">
              <w:t>8</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4</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4</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8</w:t>
            </w:r>
          </w:p>
        </w:tc>
        <w:tc>
          <w:tcPr>
            <w:tcW w:w="430" w:type="pct"/>
            <w:shd w:val="clear" w:color="auto" w:fill="auto"/>
            <w:noWrap/>
          </w:tcPr>
          <w:p w:rsidR="0092299C" w:rsidRPr="00767E90" w:rsidRDefault="0092299C" w:rsidP="0092299C">
            <w:pPr>
              <w:pStyle w:val="ARtabletextright"/>
            </w:pPr>
            <w:r w:rsidRPr="00767E90">
              <w:t>1</w:t>
            </w:r>
          </w:p>
        </w:tc>
        <w:tc>
          <w:tcPr>
            <w:tcW w:w="402" w:type="pct"/>
            <w:shd w:val="clear" w:color="auto" w:fill="auto"/>
            <w:noWrap/>
          </w:tcPr>
          <w:p w:rsidR="0092299C" w:rsidRPr="00767E90" w:rsidRDefault="00695D9D" w:rsidP="0092299C">
            <w:pPr>
              <w:pStyle w:val="ARtabletextright"/>
            </w:pPr>
            <w:r>
              <w:t>(</w:t>
            </w:r>
            <w:r w:rsidR="0092299C" w:rsidRPr="00767E90">
              <w:t>1</w:t>
            </w:r>
            <w:r>
              <w:t>)</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 xml:space="preserve">Peter </w:t>
            </w:r>
            <w:proofErr w:type="spellStart"/>
            <w:r w:rsidRPr="00767E90">
              <w:t>MacCallum</w:t>
            </w:r>
            <w:proofErr w:type="spellEnd"/>
            <w:r w:rsidRPr="00767E90">
              <w:t xml:space="preserve"> Cancer Centre</w:t>
            </w:r>
          </w:p>
        </w:tc>
        <w:tc>
          <w:tcPr>
            <w:tcW w:w="448" w:type="pct"/>
            <w:shd w:val="clear" w:color="auto" w:fill="auto"/>
            <w:noWrap/>
          </w:tcPr>
          <w:p w:rsidR="0092299C" w:rsidRPr="00767E90" w:rsidRDefault="0092299C" w:rsidP="0092299C">
            <w:pPr>
              <w:pStyle w:val="ARtabletextright"/>
            </w:pPr>
            <w:r w:rsidRPr="00767E90">
              <w:t>6</w:t>
            </w:r>
          </w:p>
        </w:tc>
        <w:tc>
          <w:tcPr>
            <w:tcW w:w="393" w:type="pct"/>
            <w:shd w:val="clear" w:color="auto" w:fill="auto"/>
            <w:noWrap/>
          </w:tcPr>
          <w:p w:rsidR="0092299C" w:rsidRPr="00767E90" w:rsidRDefault="0092299C" w:rsidP="0092299C">
            <w:pPr>
              <w:pStyle w:val="ARtabletextright"/>
            </w:pPr>
            <w:r w:rsidRPr="00767E90">
              <w:t>2</w:t>
            </w:r>
          </w:p>
        </w:tc>
        <w:tc>
          <w:tcPr>
            <w:tcW w:w="418" w:type="pct"/>
            <w:shd w:val="clear" w:color="auto" w:fill="auto"/>
            <w:noWrap/>
          </w:tcPr>
          <w:p w:rsidR="0092299C" w:rsidRPr="00767E90" w:rsidRDefault="0092299C" w:rsidP="0092299C">
            <w:pPr>
              <w:pStyle w:val="ARtabletextright"/>
            </w:pPr>
            <w:r w:rsidRPr="00767E90">
              <w:t>8</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7</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7</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1</w:t>
            </w:r>
          </w:p>
        </w:tc>
        <w:tc>
          <w:tcPr>
            <w:tcW w:w="402" w:type="pct"/>
            <w:shd w:val="clear" w:color="auto" w:fill="auto"/>
            <w:noWrap/>
          </w:tcPr>
          <w:p w:rsidR="0092299C" w:rsidRPr="00767E90" w:rsidRDefault="00695D9D" w:rsidP="0092299C">
            <w:pPr>
              <w:pStyle w:val="ARtabletextright"/>
              <w:rPr>
                <w:color w:val="000000"/>
              </w:rPr>
            </w:pPr>
            <w:r>
              <w:rPr>
                <w:color w:val="000000"/>
              </w:rPr>
              <w:t>(</w:t>
            </w:r>
            <w:r w:rsidR="0092299C" w:rsidRPr="00767E90">
              <w:rPr>
                <w:color w:val="000000"/>
              </w:rPr>
              <w:t>2</w:t>
            </w:r>
            <w:r>
              <w:rPr>
                <w:color w:val="000000"/>
              </w:rPr>
              <w:t>)</w:t>
            </w:r>
          </w:p>
        </w:tc>
        <w:tc>
          <w:tcPr>
            <w:tcW w:w="409" w:type="pct"/>
            <w:shd w:val="clear" w:color="auto" w:fill="auto"/>
            <w:noWrap/>
          </w:tcPr>
          <w:p w:rsidR="0092299C" w:rsidRPr="00767E90" w:rsidRDefault="00695D9D" w:rsidP="0092299C">
            <w:pPr>
              <w:pStyle w:val="ARtabletextright"/>
              <w:rPr>
                <w:color w:val="000000"/>
              </w:rPr>
            </w:pPr>
            <w:r>
              <w:rPr>
                <w:color w:val="000000"/>
              </w:rPr>
              <w:t>(</w:t>
            </w:r>
            <w:r w:rsidR="0092299C" w:rsidRPr="00767E90">
              <w:rPr>
                <w:color w:val="000000"/>
              </w:rPr>
              <w:t>1</w:t>
            </w:r>
            <w:r>
              <w:rPr>
                <w:color w:val="000000"/>
              </w:rP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Portland District Health</w:t>
            </w:r>
          </w:p>
        </w:tc>
        <w:tc>
          <w:tcPr>
            <w:tcW w:w="448" w:type="pct"/>
            <w:shd w:val="clear" w:color="auto" w:fill="auto"/>
            <w:noWrap/>
          </w:tcPr>
          <w:p w:rsidR="0092299C" w:rsidRPr="00767E90" w:rsidRDefault="0092299C" w:rsidP="0092299C">
            <w:pPr>
              <w:pStyle w:val="ARtabletextright"/>
            </w:pPr>
            <w:r w:rsidRPr="00767E90">
              <w:t>2</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2</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vAlign w:val="bottom"/>
          </w:tcPr>
          <w:p w:rsidR="0092299C" w:rsidRPr="00767E90" w:rsidRDefault="00695D9D" w:rsidP="0092299C">
            <w:pPr>
              <w:pStyle w:val="ARtabletextright"/>
              <w:rPr>
                <w:color w:val="000000"/>
              </w:rPr>
            </w:pPr>
            <w:r>
              <w:rPr>
                <w:color w:val="000000"/>
              </w:rPr>
              <w:t>(</w:t>
            </w:r>
            <w:r w:rsidR="0092299C" w:rsidRPr="00767E90">
              <w:rPr>
                <w:color w:val="000000"/>
              </w:rPr>
              <w:t>1</w:t>
            </w:r>
            <w:r>
              <w:rPr>
                <w:color w:val="000000"/>
              </w:rPr>
              <w:t>)</w:t>
            </w:r>
          </w:p>
        </w:tc>
        <w:tc>
          <w:tcPr>
            <w:tcW w:w="402" w:type="pct"/>
            <w:shd w:val="clear" w:color="auto" w:fill="auto"/>
            <w:noWrap/>
            <w:vAlign w:val="bottom"/>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vAlign w:val="bottom"/>
          </w:tcPr>
          <w:p w:rsidR="0092299C" w:rsidRPr="00767E90" w:rsidRDefault="00695D9D" w:rsidP="0092299C">
            <w:pPr>
              <w:pStyle w:val="ARtabletextright"/>
              <w:rPr>
                <w:color w:val="000000"/>
              </w:rPr>
            </w:pPr>
            <w:r>
              <w:rPr>
                <w:color w:val="000000"/>
              </w:rPr>
              <w:t>(</w:t>
            </w:r>
            <w:r w:rsidR="0092299C" w:rsidRPr="00767E90">
              <w:rPr>
                <w:color w:val="000000"/>
              </w:rPr>
              <w:t>1</w:t>
            </w:r>
            <w:r>
              <w:rPr>
                <w:color w:val="000000"/>
              </w:rP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Remembrance Park Central Victoria</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1</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Robinvale District Health Services</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0</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1</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Rochester and Elmore District Health Service</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Rural Northwest Health</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Seymour Health</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1</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South Gippsland Hospital</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1</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5</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7</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1</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South West Healthcare</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5</w:t>
            </w:r>
          </w:p>
        </w:tc>
        <w:tc>
          <w:tcPr>
            <w:tcW w:w="418" w:type="pct"/>
            <w:shd w:val="clear" w:color="auto" w:fill="auto"/>
            <w:noWrap/>
          </w:tcPr>
          <w:p w:rsidR="0092299C" w:rsidRPr="00767E90" w:rsidRDefault="0092299C" w:rsidP="0092299C">
            <w:pPr>
              <w:pStyle w:val="ARtabletextright"/>
            </w:pPr>
            <w:r w:rsidRPr="00767E90">
              <w:t>6</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5</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7</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1</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Southern Metropolitan Cemeteries Trust</w:t>
            </w:r>
          </w:p>
        </w:tc>
        <w:tc>
          <w:tcPr>
            <w:tcW w:w="448" w:type="pct"/>
            <w:shd w:val="clear" w:color="auto" w:fill="auto"/>
            <w:noWrap/>
          </w:tcPr>
          <w:p w:rsidR="0092299C" w:rsidRPr="00767E90" w:rsidRDefault="0092299C" w:rsidP="0092299C">
            <w:pPr>
              <w:pStyle w:val="ARtabletextright"/>
            </w:pPr>
            <w:r w:rsidRPr="00767E90">
              <w:t>4</w:t>
            </w:r>
          </w:p>
        </w:tc>
        <w:tc>
          <w:tcPr>
            <w:tcW w:w="393" w:type="pct"/>
            <w:shd w:val="clear" w:color="auto" w:fill="auto"/>
            <w:noWrap/>
          </w:tcPr>
          <w:p w:rsidR="0092299C" w:rsidRPr="00767E90" w:rsidRDefault="0092299C" w:rsidP="0092299C">
            <w:pPr>
              <w:pStyle w:val="ARtabletextright"/>
            </w:pPr>
            <w:r w:rsidRPr="00767E90">
              <w:t>2</w:t>
            </w:r>
          </w:p>
        </w:tc>
        <w:tc>
          <w:tcPr>
            <w:tcW w:w="418" w:type="pct"/>
            <w:shd w:val="clear" w:color="auto" w:fill="auto"/>
            <w:noWrap/>
          </w:tcPr>
          <w:p w:rsidR="0092299C" w:rsidRPr="00767E90" w:rsidRDefault="0092299C" w:rsidP="0092299C">
            <w:pPr>
              <w:pStyle w:val="ARtabletextright"/>
            </w:pPr>
            <w:r w:rsidRPr="00767E90">
              <w:t>6</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4</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2</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6</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State Sport Centres Trust</w:t>
            </w:r>
          </w:p>
        </w:tc>
        <w:tc>
          <w:tcPr>
            <w:tcW w:w="448" w:type="pct"/>
            <w:shd w:val="clear" w:color="auto" w:fill="auto"/>
            <w:noWrap/>
          </w:tcPr>
          <w:p w:rsidR="0092299C" w:rsidRPr="00767E90" w:rsidRDefault="0092299C" w:rsidP="0092299C">
            <w:pPr>
              <w:pStyle w:val="ARtabletextright"/>
            </w:pPr>
            <w:r w:rsidRPr="00767E90">
              <w:t>0</w:t>
            </w:r>
          </w:p>
        </w:tc>
        <w:tc>
          <w:tcPr>
            <w:tcW w:w="393" w:type="pct"/>
            <w:shd w:val="clear" w:color="auto" w:fill="auto"/>
            <w:noWrap/>
          </w:tcPr>
          <w:p w:rsidR="0092299C" w:rsidRPr="00767E90" w:rsidRDefault="0092299C" w:rsidP="0092299C">
            <w:pPr>
              <w:pStyle w:val="ARtabletextright"/>
            </w:pPr>
            <w:r w:rsidRPr="00767E90">
              <w:t>4</w:t>
            </w:r>
          </w:p>
        </w:tc>
        <w:tc>
          <w:tcPr>
            <w:tcW w:w="418" w:type="pct"/>
            <w:shd w:val="clear" w:color="auto" w:fill="auto"/>
            <w:noWrap/>
          </w:tcPr>
          <w:p w:rsidR="0092299C" w:rsidRPr="00767E90" w:rsidRDefault="0092299C" w:rsidP="0092299C">
            <w:pPr>
              <w:pStyle w:val="ARtabletextright"/>
            </w:pPr>
            <w:r w:rsidRPr="00767E90">
              <w:t>4</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4</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5</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1</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Stawell Regional Health</w:t>
            </w:r>
          </w:p>
        </w:tc>
        <w:tc>
          <w:tcPr>
            <w:tcW w:w="448" w:type="pct"/>
            <w:shd w:val="clear" w:color="auto" w:fill="auto"/>
            <w:noWrap/>
            <w:vAlign w:val="center"/>
          </w:tcPr>
          <w:p w:rsidR="0092299C" w:rsidRPr="00767E90" w:rsidRDefault="0092299C" w:rsidP="0092299C">
            <w:pPr>
              <w:pStyle w:val="ARtabletextright"/>
            </w:pPr>
            <w:r w:rsidRPr="00767E90">
              <w:t>1</w:t>
            </w:r>
          </w:p>
        </w:tc>
        <w:tc>
          <w:tcPr>
            <w:tcW w:w="393" w:type="pct"/>
            <w:shd w:val="clear" w:color="auto" w:fill="auto"/>
            <w:noWrap/>
            <w:vAlign w:val="center"/>
          </w:tcPr>
          <w:p w:rsidR="0092299C" w:rsidRPr="00767E90" w:rsidRDefault="0092299C" w:rsidP="0092299C">
            <w:pPr>
              <w:pStyle w:val="ARtabletextright"/>
            </w:pPr>
            <w:r w:rsidRPr="00767E90">
              <w:t>0</w:t>
            </w:r>
          </w:p>
        </w:tc>
        <w:tc>
          <w:tcPr>
            <w:tcW w:w="418" w:type="pct"/>
            <w:shd w:val="clear" w:color="auto" w:fill="auto"/>
            <w:noWrap/>
            <w:vAlign w:val="center"/>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vAlign w:val="center"/>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vAlign w:val="center"/>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vAlign w:val="center"/>
          </w:tcPr>
          <w:p w:rsidR="0092299C" w:rsidRPr="00767E90" w:rsidRDefault="0092299C" w:rsidP="0092299C">
            <w:pPr>
              <w:pStyle w:val="ARtabletextright"/>
            </w:pPr>
            <w:r w:rsidRPr="00767E90">
              <w:t>1</w:t>
            </w:r>
          </w:p>
        </w:tc>
        <w:tc>
          <w:tcPr>
            <w:tcW w:w="430" w:type="pct"/>
            <w:shd w:val="clear" w:color="auto" w:fill="auto"/>
            <w:noWrap/>
            <w:vAlign w:val="center"/>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vAlign w:val="center"/>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vAlign w:val="center"/>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Swan Hill District Health</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3</w:t>
            </w:r>
          </w:p>
        </w:tc>
        <w:tc>
          <w:tcPr>
            <w:tcW w:w="418" w:type="pct"/>
            <w:shd w:val="clear" w:color="auto" w:fill="auto"/>
            <w:noWrap/>
          </w:tcPr>
          <w:p w:rsidR="0092299C" w:rsidRPr="00767E90" w:rsidRDefault="0092299C" w:rsidP="0092299C">
            <w:pPr>
              <w:pStyle w:val="ARtabletextright"/>
            </w:pPr>
            <w:r w:rsidRPr="00767E90">
              <w:t>4</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3</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4</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Tallangatta Health Service</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2" w:type="pct"/>
            <w:shd w:val="clear" w:color="auto" w:fill="auto"/>
            <w:noWrap/>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tcPr>
          <w:p w:rsidR="0092299C" w:rsidRPr="00767E90" w:rsidRDefault="0092299C" w:rsidP="0092299C">
            <w:pPr>
              <w:pStyle w:val="ARtabletextright"/>
              <w:rPr>
                <w:color w:val="000000"/>
              </w:rPr>
            </w:pPr>
            <w:r w:rsidRPr="00767E90">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Terang and Mortlake Health Service</w:t>
            </w:r>
          </w:p>
        </w:tc>
        <w:tc>
          <w:tcPr>
            <w:tcW w:w="448" w:type="pct"/>
            <w:shd w:val="clear" w:color="auto" w:fill="auto"/>
            <w:noWrap/>
            <w:vAlign w:val="center"/>
          </w:tcPr>
          <w:p w:rsidR="0092299C" w:rsidRPr="00767E90" w:rsidRDefault="0092299C" w:rsidP="0092299C">
            <w:pPr>
              <w:pStyle w:val="ARtabletextright"/>
            </w:pPr>
            <w:r w:rsidRPr="00767E90">
              <w:t>1</w:t>
            </w:r>
          </w:p>
        </w:tc>
        <w:tc>
          <w:tcPr>
            <w:tcW w:w="393" w:type="pct"/>
            <w:shd w:val="clear" w:color="auto" w:fill="auto"/>
            <w:noWrap/>
            <w:vAlign w:val="center"/>
          </w:tcPr>
          <w:p w:rsidR="0092299C" w:rsidRPr="00767E90" w:rsidRDefault="0092299C" w:rsidP="0092299C">
            <w:pPr>
              <w:pStyle w:val="ARtabletextright"/>
            </w:pPr>
            <w:r w:rsidRPr="00767E90">
              <w:t>0</w:t>
            </w:r>
          </w:p>
        </w:tc>
        <w:tc>
          <w:tcPr>
            <w:tcW w:w="418" w:type="pct"/>
            <w:shd w:val="clear" w:color="auto" w:fill="auto"/>
            <w:noWrap/>
            <w:vAlign w:val="center"/>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vAlign w:val="center"/>
          </w:tcPr>
          <w:p w:rsidR="0092299C" w:rsidRPr="00767E90" w:rsidRDefault="0092299C" w:rsidP="0092299C">
            <w:pPr>
              <w:pStyle w:val="ARtabletextright"/>
            </w:pPr>
            <w:r w:rsidRPr="00767E90">
              <w:t>2</w:t>
            </w:r>
          </w:p>
        </w:tc>
        <w:tc>
          <w:tcPr>
            <w:tcW w:w="399" w:type="pct"/>
            <w:tcBorders>
              <w:top w:val="single" w:sz="4" w:space="0" w:color="auto"/>
              <w:left w:val="nil"/>
              <w:right w:val="nil"/>
            </w:tcBorders>
            <w:shd w:val="clear" w:color="auto" w:fill="F2F2F2" w:themeFill="background1" w:themeFillShade="F2"/>
            <w:noWrap/>
            <w:vAlign w:val="center"/>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vAlign w:val="center"/>
          </w:tcPr>
          <w:p w:rsidR="0092299C" w:rsidRPr="00767E90" w:rsidRDefault="0092299C" w:rsidP="0092299C">
            <w:pPr>
              <w:pStyle w:val="ARtabletextright"/>
            </w:pPr>
            <w:r w:rsidRPr="00767E90">
              <w:t>2</w:t>
            </w:r>
          </w:p>
        </w:tc>
        <w:tc>
          <w:tcPr>
            <w:tcW w:w="430" w:type="pct"/>
            <w:shd w:val="clear" w:color="auto" w:fill="auto"/>
            <w:noWrap/>
            <w:vAlign w:val="center"/>
          </w:tcPr>
          <w:p w:rsidR="0092299C" w:rsidRPr="00767E90" w:rsidRDefault="0092299C" w:rsidP="0092299C">
            <w:pPr>
              <w:pStyle w:val="ARtabletextright"/>
              <w:rPr>
                <w:color w:val="000000"/>
              </w:rPr>
            </w:pPr>
            <w:r w:rsidRPr="00767E90">
              <w:rPr>
                <w:color w:val="000000"/>
              </w:rPr>
              <w:t>1</w:t>
            </w:r>
          </w:p>
        </w:tc>
        <w:tc>
          <w:tcPr>
            <w:tcW w:w="402" w:type="pct"/>
            <w:shd w:val="clear" w:color="auto" w:fill="auto"/>
            <w:noWrap/>
            <w:vAlign w:val="center"/>
          </w:tcPr>
          <w:p w:rsidR="0092299C" w:rsidRPr="00767E90" w:rsidRDefault="0092299C" w:rsidP="0092299C">
            <w:pPr>
              <w:pStyle w:val="ARtabletextright"/>
              <w:rPr>
                <w:color w:val="000000"/>
              </w:rPr>
            </w:pPr>
            <w:r w:rsidRPr="00767E90">
              <w:rPr>
                <w:color w:val="000000"/>
              </w:rPr>
              <w:t>0</w:t>
            </w:r>
          </w:p>
        </w:tc>
        <w:tc>
          <w:tcPr>
            <w:tcW w:w="409" w:type="pct"/>
            <w:shd w:val="clear" w:color="auto" w:fill="auto"/>
            <w:noWrap/>
            <w:vAlign w:val="center"/>
          </w:tcPr>
          <w:p w:rsidR="0092299C" w:rsidRPr="00767E90" w:rsidRDefault="0092299C" w:rsidP="0092299C">
            <w:pPr>
              <w:pStyle w:val="ARtabletextright"/>
              <w:rPr>
                <w:color w:val="000000"/>
              </w:rPr>
            </w:pPr>
            <w:r w:rsidRPr="00767E90">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The Queen Elizabeth Centre</w:t>
            </w:r>
          </w:p>
        </w:tc>
        <w:tc>
          <w:tcPr>
            <w:tcW w:w="448" w:type="pct"/>
            <w:shd w:val="clear" w:color="auto" w:fill="auto"/>
            <w:noWrap/>
          </w:tcPr>
          <w:p w:rsidR="0092299C" w:rsidRPr="00767E90" w:rsidRDefault="0092299C" w:rsidP="0092299C">
            <w:pPr>
              <w:pStyle w:val="ARtabletextright"/>
            </w:pPr>
            <w:r w:rsidRPr="00767E90">
              <w:t>1</w:t>
            </w:r>
          </w:p>
        </w:tc>
        <w:tc>
          <w:tcPr>
            <w:tcW w:w="393" w:type="pct"/>
            <w:shd w:val="clear" w:color="auto" w:fill="auto"/>
            <w:noWrap/>
          </w:tcPr>
          <w:p w:rsidR="0092299C" w:rsidRPr="00767E90" w:rsidRDefault="0092299C" w:rsidP="0092299C">
            <w:pPr>
              <w:pStyle w:val="ARtabletextright"/>
            </w:pPr>
            <w:r w:rsidRPr="00767E90">
              <w:t>0</w:t>
            </w:r>
          </w:p>
        </w:tc>
        <w:tc>
          <w:tcPr>
            <w:tcW w:w="418" w:type="pct"/>
            <w:shd w:val="clear" w:color="auto" w:fill="auto"/>
            <w:noWrap/>
          </w:tcPr>
          <w:p w:rsidR="0092299C" w:rsidRPr="00767E90" w:rsidRDefault="0092299C" w:rsidP="0092299C">
            <w:pPr>
              <w:pStyle w:val="ARtabletextright"/>
            </w:pPr>
            <w:r w:rsidRPr="00767E90">
              <w:t>1</w:t>
            </w:r>
          </w:p>
        </w:tc>
        <w:tc>
          <w:tcPr>
            <w:tcW w:w="432" w:type="pct"/>
            <w:tcBorders>
              <w:top w:val="single" w:sz="4" w:space="0" w:color="auto"/>
              <w:right w:val="nil"/>
            </w:tcBorders>
            <w:shd w:val="clear" w:color="auto" w:fill="F2F2F2" w:themeFill="background1" w:themeFillShade="F2"/>
            <w:noWrap/>
          </w:tcPr>
          <w:p w:rsidR="0092299C" w:rsidRPr="00767E90" w:rsidRDefault="0092299C" w:rsidP="0092299C">
            <w:pPr>
              <w:pStyle w:val="ARtabletextright"/>
            </w:pPr>
            <w:r w:rsidRPr="00767E90">
              <w:t>1</w:t>
            </w:r>
          </w:p>
        </w:tc>
        <w:tc>
          <w:tcPr>
            <w:tcW w:w="399" w:type="pct"/>
            <w:tcBorders>
              <w:top w:val="single" w:sz="4" w:space="0" w:color="auto"/>
              <w:left w:val="nil"/>
              <w:right w:val="nil"/>
            </w:tcBorders>
            <w:shd w:val="clear" w:color="auto" w:fill="F2F2F2" w:themeFill="background1" w:themeFillShade="F2"/>
            <w:noWrap/>
          </w:tcPr>
          <w:p w:rsidR="0092299C" w:rsidRPr="00767E90" w:rsidRDefault="0092299C" w:rsidP="0092299C">
            <w:pPr>
              <w:pStyle w:val="ARtabletextright"/>
            </w:pPr>
            <w:r w:rsidRPr="00767E90">
              <w:t>0</w:t>
            </w:r>
          </w:p>
        </w:tc>
        <w:tc>
          <w:tcPr>
            <w:tcW w:w="418" w:type="pct"/>
            <w:tcBorders>
              <w:top w:val="single" w:sz="4" w:space="0" w:color="auto"/>
              <w:left w:val="nil"/>
            </w:tcBorders>
            <w:shd w:val="clear" w:color="auto" w:fill="F2F2F2" w:themeFill="background1" w:themeFillShade="F2"/>
            <w:noWrap/>
          </w:tcPr>
          <w:p w:rsidR="0092299C" w:rsidRPr="00767E90" w:rsidRDefault="0092299C" w:rsidP="0092299C">
            <w:pPr>
              <w:pStyle w:val="ARtabletextright"/>
            </w:pPr>
            <w:r w:rsidRPr="00767E90">
              <w:t>1</w:t>
            </w:r>
          </w:p>
        </w:tc>
        <w:tc>
          <w:tcPr>
            <w:tcW w:w="430" w:type="pct"/>
            <w:shd w:val="clear" w:color="auto" w:fill="auto"/>
            <w:noWrap/>
          </w:tcPr>
          <w:p w:rsidR="0092299C" w:rsidRPr="00767E90" w:rsidRDefault="0092299C" w:rsidP="0092299C">
            <w:pPr>
              <w:pStyle w:val="ARtabletextright"/>
            </w:pPr>
            <w:r w:rsidRPr="00767E90">
              <w:t>0</w:t>
            </w:r>
          </w:p>
        </w:tc>
        <w:tc>
          <w:tcPr>
            <w:tcW w:w="402" w:type="pct"/>
            <w:shd w:val="clear" w:color="auto" w:fill="auto"/>
            <w:noWrap/>
          </w:tcPr>
          <w:p w:rsidR="0092299C" w:rsidRPr="00767E90" w:rsidRDefault="0092299C" w:rsidP="0092299C">
            <w:pPr>
              <w:pStyle w:val="ARtabletextright"/>
            </w:pPr>
            <w:r w:rsidRPr="00767E90">
              <w:t>0</w:t>
            </w:r>
          </w:p>
        </w:tc>
        <w:tc>
          <w:tcPr>
            <w:tcW w:w="409" w:type="pct"/>
            <w:shd w:val="clear" w:color="auto" w:fill="auto"/>
            <w:noWrap/>
          </w:tcPr>
          <w:p w:rsidR="0092299C" w:rsidRPr="00767E90" w:rsidRDefault="0092299C" w:rsidP="0092299C">
            <w:pPr>
              <w:pStyle w:val="ARtabletextright"/>
            </w:pPr>
            <w:r w:rsidRPr="00767E90">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lastRenderedPageBreak/>
              <w:t>The Royal Children’s Hospital</w:t>
            </w:r>
          </w:p>
        </w:tc>
        <w:tc>
          <w:tcPr>
            <w:tcW w:w="448" w:type="pct"/>
            <w:shd w:val="clear" w:color="auto" w:fill="auto"/>
            <w:noWrap/>
            <w:vAlign w:val="center"/>
          </w:tcPr>
          <w:p w:rsidR="0092299C" w:rsidRPr="00707FE1" w:rsidRDefault="0092299C" w:rsidP="0092299C">
            <w:pPr>
              <w:pStyle w:val="ARtabletextright"/>
            </w:pPr>
            <w:r w:rsidRPr="00707FE1">
              <w:t>6</w:t>
            </w:r>
          </w:p>
        </w:tc>
        <w:tc>
          <w:tcPr>
            <w:tcW w:w="393" w:type="pct"/>
            <w:shd w:val="clear" w:color="auto" w:fill="auto"/>
            <w:noWrap/>
            <w:vAlign w:val="center"/>
          </w:tcPr>
          <w:p w:rsidR="0092299C" w:rsidRPr="00707FE1" w:rsidRDefault="0092299C" w:rsidP="0092299C">
            <w:pPr>
              <w:pStyle w:val="ARtabletextright"/>
            </w:pPr>
            <w:r w:rsidRPr="00707FE1">
              <w:t>2</w:t>
            </w:r>
          </w:p>
        </w:tc>
        <w:tc>
          <w:tcPr>
            <w:tcW w:w="418" w:type="pct"/>
            <w:shd w:val="clear" w:color="auto" w:fill="auto"/>
            <w:noWrap/>
            <w:vAlign w:val="center"/>
          </w:tcPr>
          <w:p w:rsidR="0092299C" w:rsidRPr="00707FE1" w:rsidRDefault="0092299C" w:rsidP="0092299C">
            <w:pPr>
              <w:pStyle w:val="ARtabletextright"/>
            </w:pPr>
            <w:r w:rsidRPr="00707FE1">
              <w:t>8</w:t>
            </w:r>
          </w:p>
        </w:tc>
        <w:tc>
          <w:tcPr>
            <w:tcW w:w="432" w:type="pct"/>
            <w:tcBorders>
              <w:top w:val="single" w:sz="4" w:space="0" w:color="auto"/>
              <w:right w:val="nil"/>
            </w:tcBorders>
            <w:shd w:val="clear" w:color="auto" w:fill="F2F2F2" w:themeFill="background1" w:themeFillShade="F2"/>
            <w:noWrap/>
            <w:vAlign w:val="center"/>
          </w:tcPr>
          <w:p w:rsidR="0092299C" w:rsidRPr="00707FE1" w:rsidRDefault="0092299C" w:rsidP="0092299C">
            <w:pPr>
              <w:pStyle w:val="ARtabletextright"/>
              <w:rPr>
                <w:color w:val="000000"/>
              </w:rPr>
            </w:pPr>
            <w:r w:rsidRPr="00707FE1">
              <w:rPr>
                <w:color w:val="000000"/>
              </w:rPr>
              <w:t>3</w:t>
            </w:r>
          </w:p>
        </w:tc>
        <w:tc>
          <w:tcPr>
            <w:tcW w:w="399" w:type="pct"/>
            <w:tcBorders>
              <w:top w:val="single" w:sz="4" w:space="0" w:color="auto"/>
              <w:left w:val="nil"/>
              <w:right w:val="nil"/>
            </w:tcBorders>
            <w:shd w:val="clear" w:color="auto" w:fill="F2F2F2" w:themeFill="background1" w:themeFillShade="F2"/>
            <w:noWrap/>
            <w:vAlign w:val="center"/>
          </w:tcPr>
          <w:p w:rsidR="0092299C" w:rsidRPr="00707FE1" w:rsidRDefault="0092299C" w:rsidP="0092299C">
            <w:pPr>
              <w:pStyle w:val="ARtabletextright"/>
              <w:rPr>
                <w:color w:val="000000"/>
              </w:rPr>
            </w:pPr>
            <w:r w:rsidRPr="00707FE1">
              <w:rPr>
                <w:color w:val="000000"/>
              </w:rPr>
              <w:t>5</w:t>
            </w:r>
          </w:p>
        </w:tc>
        <w:tc>
          <w:tcPr>
            <w:tcW w:w="418" w:type="pct"/>
            <w:tcBorders>
              <w:top w:val="single" w:sz="4" w:space="0" w:color="auto"/>
              <w:left w:val="nil"/>
            </w:tcBorders>
            <w:shd w:val="clear" w:color="auto" w:fill="F2F2F2" w:themeFill="background1" w:themeFillShade="F2"/>
            <w:noWrap/>
            <w:vAlign w:val="center"/>
          </w:tcPr>
          <w:p w:rsidR="0092299C" w:rsidRPr="00707FE1" w:rsidRDefault="0092299C" w:rsidP="0092299C">
            <w:pPr>
              <w:pStyle w:val="ARtabletextright"/>
              <w:rPr>
                <w:color w:val="000000"/>
              </w:rPr>
            </w:pPr>
            <w:r w:rsidRPr="00707FE1">
              <w:rPr>
                <w:color w:val="000000"/>
              </w:rPr>
              <w:t>8</w:t>
            </w:r>
          </w:p>
        </w:tc>
        <w:tc>
          <w:tcPr>
            <w:tcW w:w="430" w:type="pct"/>
            <w:shd w:val="clear" w:color="auto" w:fill="auto"/>
            <w:noWrap/>
            <w:vAlign w:val="center"/>
          </w:tcPr>
          <w:p w:rsidR="0092299C" w:rsidRPr="00707FE1" w:rsidRDefault="00695D9D" w:rsidP="0092299C">
            <w:pPr>
              <w:pStyle w:val="ARtabletextright"/>
              <w:rPr>
                <w:color w:val="000000"/>
              </w:rPr>
            </w:pPr>
            <w:r>
              <w:rPr>
                <w:color w:val="000000"/>
              </w:rPr>
              <w:t>(</w:t>
            </w:r>
            <w:r w:rsidR="0092299C" w:rsidRPr="00707FE1">
              <w:rPr>
                <w:color w:val="000000"/>
              </w:rPr>
              <w:t>3</w:t>
            </w:r>
            <w:r>
              <w:rPr>
                <w:color w:val="000000"/>
              </w:rPr>
              <w:t>)</w:t>
            </w:r>
          </w:p>
        </w:tc>
        <w:tc>
          <w:tcPr>
            <w:tcW w:w="402" w:type="pct"/>
            <w:shd w:val="clear" w:color="auto" w:fill="auto"/>
            <w:noWrap/>
            <w:vAlign w:val="center"/>
          </w:tcPr>
          <w:p w:rsidR="0092299C" w:rsidRPr="00707FE1" w:rsidRDefault="0092299C" w:rsidP="0092299C">
            <w:pPr>
              <w:pStyle w:val="ARtabletextright"/>
              <w:rPr>
                <w:color w:val="000000"/>
              </w:rPr>
            </w:pPr>
            <w:r w:rsidRPr="00707FE1">
              <w:rPr>
                <w:color w:val="000000"/>
              </w:rPr>
              <w:t>3</w:t>
            </w:r>
          </w:p>
        </w:tc>
        <w:tc>
          <w:tcPr>
            <w:tcW w:w="409" w:type="pct"/>
            <w:shd w:val="clear" w:color="auto" w:fill="auto"/>
            <w:noWrap/>
            <w:vAlign w:val="center"/>
          </w:tcPr>
          <w:p w:rsidR="0092299C" w:rsidRPr="00707FE1" w:rsidRDefault="0092299C" w:rsidP="0092299C">
            <w:pPr>
              <w:pStyle w:val="ARtabletextright"/>
              <w:rPr>
                <w:color w:val="000000"/>
              </w:rPr>
            </w:pPr>
            <w:r w:rsidRPr="00707FE1">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The Royal Victorian Eye and Ear Hospital</w:t>
            </w:r>
          </w:p>
        </w:tc>
        <w:tc>
          <w:tcPr>
            <w:tcW w:w="448" w:type="pct"/>
            <w:shd w:val="clear" w:color="auto" w:fill="auto"/>
            <w:noWrap/>
            <w:vAlign w:val="center"/>
          </w:tcPr>
          <w:p w:rsidR="0092299C" w:rsidRPr="00707FE1" w:rsidRDefault="0092299C" w:rsidP="0092299C">
            <w:pPr>
              <w:pStyle w:val="ARtabletextright"/>
            </w:pPr>
            <w:r w:rsidRPr="00707FE1">
              <w:t>2</w:t>
            </w:r>
          </w:p>
        </w:tc>
        <w:tc>
          <w:tcPr>
            <w:tcW w:w="393" w:type="pct"/>
            <w:shd w:val="clear" w:color="auto" w:fill="auto"/>
            <w:noWrap/>
            <w:vAlign w:val="center"/>
          </w:tcPr>
          <w:p w:rsidR="0092299C" w:rsidRPr="00707FE1" w:rsidRDefault="0092299C" w:rsidP="0092299C">
            <w:pPr>
              <w:pStyle w:val="ARtabletextright"/>
            </w:pPr>
            <w:r w:rsidRPr="00707FE1">
              <w:t>3</w:t>
            </w:r>
          </w:p>
        </w:tc>
        <w:tc>
          <w:tcPr>
            <w:tcW w:w="418" w:type="pct"/>
            <w:shd w:val="clear" w:color="auto" w:fill="auto"/>
            <w:noWrap/>
            <w:vAlign w:val="center"/>
          </w:tcPr>
          <w:p w:rsidR="0092299C" w:rsidRPr="00707FE1" w:rsidRDefault="0092299C" w:rsidP="0092299C">
            <w:pPr>
              <w:pStyle w:val="ARtabletextright"/>
            </w:pPr>
            <w:r w:rsidRPr="00707FE1">
              <w:t>5</w:t>
            </w:r>
          </w:p>
        </w:tc>
        <w:tc>
          <w:tcPr>
            <w:tcW w:w="432" w:type="pct"/>
            <w:tcBorders>
              <w:top w:val="single" w:sz="4" w:space="0" w:color="auto"/>
              <w:right w:val="nil"/>
            </w:tcBorders>
            <w:shd w:val="clear" w:color="auto" w:fill="F2F2F2" w:themeFill="background1" w:themeFillShade="F2"/>
            <w:noWrap/>
            <w:vAlign w:val="center"/>
          </w:tcPr>
          <w:p w:rsidR="0092299C" w:rsidRPr="00707FE1" w:rsidRDefault="0092299C" w:rsidP="0092299C">
            <w:pPr>
              <w:pStyle w:val="ARtabletextright"/>
              <w:rPr>
                <w:color w:val="000000"/>
              </w:rPr>
            </w:pPr>
            <w:r w:rsidRPr="00707FE1">
              <w:rPr>
                <w:color w:val="000000"/>
              </w:rPr>
              <w:t>3</w:t>
            </w:r>
          </w:p>
        </w:tc>
        <w:tc>
          <w:tcPr>
            <w:tcW w:w="399" w:type="pct"/>
            <w:tcBorders>
              <w:top w:val="single" w:sz="4" w:space="0" w:color="auto"/>
              <w:left w:val="nil"/>
              <w:right w:val="nil"/>
            </w:tcBorders>
            <w:shd w:val="clear" w:color="auto" w:fill="F2F2F2" w:themeFill="background1" w:themeFillShade="F2"/>
            <w:noWrap/>
            <w:vAlign w:val="center"/>
          </w:tcPr>
          <w:p w:rsidR="0092299C" w:rsidRPr="00707FE1" w:rsidRDefault="0092299C" w:rsidP="0092299C">
            <w:pPr>
              <w:pStyle w:val="ARtabletextright"/>
              <w:rPr>
                <w:color w:val="000000"/>
              </w:rPr>
            </w:pPr>
            <w:r w:rsidRPr="00707FE1">
              <w:rPr>
                <w:color w:val="000000"/>
              </w:rPr>
              <w:t>3</w:t>
            </w:r>
          </w:p>
        </w:tc>
        <w:tc>
          <w:tcPr>
            <w:tcW w:w="418" w:type="pct"/>
            <w:tcBorders>
              <w:top w:val="single" w:sz="4" w:space="0" w:color="auto"/>
              <w:left w:val="nil"/>
            </w:tcBorders>
            <w:shd w:val="clear" w:color="auto" w:fill="F2F2F2" w:themeFill="background1" w:themeFillShade="F2"/>
            <w:noWrap/>
            <w:vAlign w:val="center"/>
          </w:tcPr>
          <w:p w:rsidR="0092299C" w:rsidRPr="00707FE1" w:rsidRDefault="0092299C" w:rsidP="0092299C">
            <w:pPr>
              <w:pStyle w:val="ARtabletextright"/>
              <w:rPr>
                <w:color w:val="000000"/>
              </w:rPr>
            </w:pPr>
            <w:r w:rsidRPr="00707FE1">
              <w:rPr>
                <w:color w:val="000000"/>
              </w:rPr>
              <w:t>6</w:t>
            </w:r>
          </w:p>
        </w:tc>
        <w:tc>
          <w:tcPr>
            <w:tcW w:w="430" w:type="pct"/>
            <w:shd w:val="clear" w:color="auto" w:fill="auto"/>
            <w:noWrap/>
            <w:vAlign w:val="center"/>
          </w:tcPr>
          <w:p w:rsidR="0092299C" w:rsidRPr="00707FE1" w:rsidRDefault="0092299C" w:rsidP="0092299C">
            <w:pPr>
              <w:pStyle w:val="ARtabletextright"/>
              <w:rPr>
                <w:color w:val="000000"/>
              </w:rPr>
            </w:pPr>
            <w:r w:rsidRPr="00707FE1">
              <w:rPr>
                <w:color w:val="000000"/>
              </w:rPr>
              <w:t>1</w:t>
            </w:r>
          </w:p>
        </w:tc>
        <w:tc>
          <w:tcPr>
            <w:tcW w:w="402" w:type="pct"/>
            <w:shd w:val="clear" w:color="auto" w:fill="auto"/>
            <w:noWrap/>
            <w:vAlign w:val="center"/>
          </w:tcPr>
          <w:p w:rsidR="0092299C" w:rsidRPr="00707FE1" w:rsidRDefault="0092299C" w:rsidP="0092299C">
            <w:pPr>
              <w:pStyle w:val="ARtabletextright"/>
              <w:rPr>
                <w:color w:val="000000"/>
              </w:rPr>
            </w:pPr>
            <w:r w:rsidRPr="00707FE1">
              <w:rPr>
                <w:color w:val="000000"/>
              </w:rPr>
              <w:t>0</w:t>
            </w:r>
          </w:p>
        </w:tc>
        <w:tc>
          <w:tcPr>
            <w:tcW w:w="409" w:type="pct"/>
            <w:shd w:val="clear" w:color="auto" w:fill="auto"/>
            <w:noWrap/>
            <w:vAlign w:val="center"/>
          </w:tcPr>
          <w:p w:rsidR="0092299C" w:rsidRPr="00707FE1" w:rsidRDefault="0092299C" w:rsidP="0092299C">
            <w:pPr>
              <w:pStyle w:val="ARtabletextright"/>
              <w:rPr>
                <w:color w:val="000000"/>
              </w:rPr>
            </w:pPr>
            <w:r w:rsidRPr="00707FE1">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The Royal Women’s Hospital</w:t>
            </w:r>
          </w:p>
        </w:tc>
        <w:tc>
          <w:tcPr>
            <w:tcW w:w="448" w:type="pct"/>
            <w:shd w:val="clear" w:color="auto" w:fill="auto"/>
            <w:noWrap/>
            <w:vAlign w:val="center"/>
          </w:tcPr>
          <w:p w:rsidR="0092299C" w:rsidRPr="000B5C1F" w:rsidRDefault="0092299C" w:rsidP="0092299C">
            <w:pPr>
              <w:pStyle w:val="ARtabletextright"/>
            </w:pPr>
            <w:r w:rsidRPr="000B5C1F">
              <w:t>5</w:t>
            </w:r>
          </w:p>
        </w:tc>
        <w:tc>
          <w:tcPr>
            <w:tcW w:w="393" w:type="pct"/>
            <w:shd w:val="clear" w:color="auto" w:fill="auto"/>
            <w:noWrap/>
            <w:vAlign w:val="center"/>
          </w:tcPr>
          <w:p w:rsidR="0092299C" w:rsidRPr="000B5C1F" w:rsidRDefault="0092299C" w:rsidP="0092299C">
            <w:pPr>
              <w:pStyle w:val="ARtabletextright"/>
            </w:pPr>
            <w:r w:rsidRPr="000B5C1F">
              <w:t>2</w:t>
            </w:r>
          </w:p>
        </w:tc>
        <w:tc>
          <w:tcPr>
            <w:tcW w:w="418" w:type="pct"/>
            <w:shd w:val="clear" w:color="auto" w:fill="auto"/>
            <w:noWrap/>
            <w:vAlign w:val="center"/>
          </w:tcPr>
          <w:p w:rsidR="0092299C" w:rsidRPr="000B5C1F" w:rsidRDefault="0092299C" w:rsidP="0092299C">
            <w:pPr>
              <w:pStyle w:val="ARtabletextright"/>
            </w:pPr>
            <w:r w:rsidRPr="000B5C1F">
              <w:t>7</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6</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2</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8</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1</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Timboon and District Health Care Service</w:t>
            </w:r>
          </w:p>
        </w:tc>
        <w:tc>
          <w:tcPr>
            <w:tcW w:w="448" w:type="pct"/>
            <w:shd w:val="clear" w:color="auto" w:fill="auto"/>
            <w:noWrap/>
            <w:vAlign w:val="center"/>
          </w:tcPr>
          <w:p w:rsidR="0092299C" w:rsidRPr="000B5C1F" w:rsidRDefault="0092299C" w:rsidP="0092299C">
            <w:pPr>
              <w:pStyle w:val="ARtabletextright"/>
            </w:pPr>
            <w:r w:rsidRPr="000B5C1F">
              <w:t>0</w:t>
            </w:r>
          </w:p>
        </w:tc>
        <w:tc>
          <w:tcPr>
            <w:tcW w:w="393" w:type="pct"/>
            <w:shd w:val="clear" w:color="auto" w:fill="auto"/>
            <w:noWrap/>
            <w:vAlign w:val="center"/>
          </w:tcPr>
          <w:p w:rsidR="0092299C" w:rsidRPr="000B5C1F" w:rsidRDefault="0092299C" w:rsidP="0092299C">
            <w:pPr>
              <w:pStyle w:val="ARtabletextright"/>
            </w:pPr>
            <w:r w:rsidRPr="000B5C1F">
              <w:t>1</w:t>
            </w:r>
          </w:p>
        </w:tc>
        <w:tc>
          <w:tcPr>
            <w:tcW w:w="418" w:type="pct"/>
            <w:shd w:val="clear" w:color="auto" w:fill="auto"/>
            <w:noWrap/>
            <w:vAlign w:val="center"/>
          </w:tcPr>
          <w:p w:rsidR="0092299C" w:rsidRPr="000B5C1F" w:rsidRDefault="0092299C" w:rsidP="0092299C">
            <w:pPr>
              <w:pStyle w:val="ARtabletextright"/>
            </w:pPr>
            <w:r w:rsidRPr="000B5C1F">
              <w:t>1</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proofErr w:type="spellStart"/>
            <w:r w:rsidRPr="00767E90">
              <w:t>Tweedle</w:t>
            </w:r>
            <w:proofErr w:type="spellEnd"/>
            <w:r w:rsidRPr="00767E90">
              <w:t xml:space="preserve"> Child and Family Health Service</w:t>
            </w:r>
          </w:p>
        </w:tc>
        <w:tc>
          <w:tcPr>
            <w:tcW w:w="448" w:type="pct"/>
            <w:shd w:val="clear" w:color="auto" w:fill="auto"/>
            <w:noWrap/>
            <w:vAlign w:val="center"/>
          </w:tcPr>
          <w:p w:rsidR="0092299C" w:rsidRPr="000B5C1F" w:rsidRDefault="0092299C" w:rsidP="0092299C">
            <w:pPr>
              <w:pStyle w:val="ARtabletextright"/>
            </w:pPr>
            <w:r w:rsidRPr="000B5C1F">
              <w:t>1</w:t>
            </w:r>
          </w:p>
        </w:tc>
        <w:tc>
          <w:tcPr>
            <w:tcW w:w="393" w:type="pct"/>
            <w:shd w:val="clear" w:color="auto" w:fill="auto"/>
            <w:noWrap/>
            <w:vAlign w:val="center"/>
          </w:tcPr>
          <w:p w:rsidR="0092299C" w:rsidRPr="000B5C1F" w:rsidRDefault="0092299C" w:rsidP="0092299C">
            <w:pPr>
              <w:pStyle w:val="ARtabletextright"/>
            </w:pPr>
            <w:r w:rsidRPr="000B5C1F">
              <w:t>0</w:t>
            </w:r>
          </w:p>
        </w:tc>
        <w:tc>
          <w:tcPr>
            <w:tcW w:w="418" w:type="pct"/>
            <w:shd w:val="clear" w:color="auto" w:fill="auto"/>
            <w:noWrap/>
            <w:vAlign w:val="center"/>
          </w:tcPr>
          <w:p w:rsidR="0092299C" w:rsidRPr="000B5C1F" w:rsidRDefault="0092299C" w:rsidP="0092299C">
            <w:pPr>
              <w:pStyle w:val="ARtabletextright"/>
            </w:pPr>
            <w:r w:rsidRPr="000B5C1F">
              <w:t>1</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Upper Murray Health and Community Service</w:t>
            </w:r>
          </w:p>
        </w:tc>
        <w:tc>
          <w:tcPr>
            <w:tcW w:w="448" w:type="pct"/>
            <w:shd w:val="clear" w:color="auto" w:fill="auto"/>
            <w:noWrap/>
            <w:vAlign w:val="center"/>
          </w:tcPr>
          <w:p w:rsidR="0092299C" w:rsidRPr="000B5C1F" w:rsidRDefault="0092299C" w:rsidP="0092299C">
            <w:pPr>
              <w:pStyle w:val="ARtabletextright"/>
            </w:pPr>
            <w:r w:rsidRPr="000B5C1F">
              <w:t>1</w:t>
            </w:r>
          </w:p>
        </w:tc>
        <w:tc>
          <w:tcPr>
            <w:tcW w:w="393" w:type="pct"/>
            <w:shd w:val="clear" w:color="auto" w:fill="auto"/>
            <w:noWrap/>
            <w:vAlign w:val="center"/>
          </w:tcPr>
          <w:p w:rsidR="0092299C" w:rsidRPr="000B5C1F" w:rsidRDefault="0092299C" w:rsidP="0092299C">
            <w:pPr>
              <w:pStyle w:val="ARtabletextright"/>
            </w:pPr>
            <w:r w:rsidRPr="000B5C1F">
              <w:t>0</w:t>
            </w:r>
          </w:p>
        </w:tc>
        <w:tc>
          <w:tcPr>
            <w:tcW w:w="418" w:type="pct"/>
            <w:shd w:val="clear" w:color="auto" w:fill="auto"/>
            <w:noWrap/>
            <w:vAlign w:val="center"/>
          </w:tcPr>
          <w:p w:rsidR="0092299C" w:rsidRPr="000B5C1F" w:rsidRDefault="0092299C" w:rsidP="0092299C">
            <w:pPr>
              <w:pStyle w:val="ARtabletextright"/>
            </w:pPr>
            <w:r w:rsidRPr="000B5C1F">
              <w:t>1</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Victorian Assisted Reproductive Treatment Authority</w:t>
            </w:r>
          </w:p>
        </w:tc>
        <w:tc>
          <w:tcPr>
            <w:tcW w:w="448" w:type="pct"/>
            <w:shd w:val="clear" w:color="auto" w:fill="auto"/>
            <w:noWrap/>
            <w:vAlign w:val="center"/>
          </w:tcPr>
          <w:p w:rsidR="0092299C" w:rsidRPr="000B5C1F" w:rsidRDefault="0092299C" w:rsidP="0092299C">
            <w:pPr>
              <w:pStyle w:val="ARtabletextright"/>
            </w:pPr>
            <w:r w:rsidRPr="000B5C1F">
              <w:t>1</w:t>
            </w:r>
          </w:p>
        </w:tc>
        <w:tc>
          <w:tcPr>
            <w:tcW w:w="393" w:type="pct"/>
            <w:shd w:val="clear" w:color="auto" w:fill="auto"/>
            <w:noWrap/>
            <w:vAlign w:val="center"/>
          </w:tcPr>
          <w:p w:rsidR="0092299C" w:rsidRPr="000B5C1F" w:rsidRDefault="0092299C" w:rsidP="0092299C">
            <w:pPr>
              <w:pStyle w:val="ARtabletextright"/>
            </w:pPr>
            <w:r w:rsidRPr="000B5C1F">
              <w:t>0</w:t>
            </w:r>
          </w:p>
        </w:tc>
        <w:tc>
          <w:tcPr>
            <w:tcW w:w="418" w:type="pct"/>
            <w:shd w:val="clear" w:color="auto" w:fill="auto"/>
            <w:noWrap/>
            <w:vAlign w:val="center"/>
          </w:tcPr>
          <w:p w:rsidR="0092299C" w:rsidRPr="000B5C1F" w:rsidRDefault="0092299C" w:rsidP="0092299C">
            <w:pPr>
              <w:pStyle w:val="ARtabletextright"/>
            </w:pPr>
            <w:r w:rsidRPr="000B5C1F">
              <w:t>1</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Victorian Health Promotion Foundation</w:t>
            </w:r>
          </w:p>
        </w:tc>
        <w:tc>
          <w:tcPr>
            <w:tcW w:w="448" w:type="pct"/>
            <w:shd w:val="clear" w:color="auto" w:fill="auto"/>
            <w:noWrap/>
            <w:vAlign w:val="center"/>
          </w:tcPr>
          <w:p w:rsidR="0092299C" w:rsidRPr="000B5C1F" w:rsidRDefault="0092299C" w:rsidP="0092299C">
            <w:pPr>
              <w:pStyle w:val="ARtabletextright"/>
            </w:pPr>
            <w:r w:rsidRPr="000B5C1F">
              <w:t>4</w:t>
            </w:r>
          </w:p>
        </w:tc>
        <w:tc>
          <w:tcPr>
            <w:tcW w:w="393" w:type="pct"/>
            <w:shd w:val="clear" w:color="auto" w:fill="auto"/>
            <w:noWrap/>
            <w:vAlign w:val="center"/>
          </w:tcPr>
          <w:p w:rsidR="0092299C" w:rsidRPr="000B5C1F" w:rsidRDefault="0092299C" w:rsidP="0092299C">
            <w:pPr>
              <w:pStyle w:val="ARtabletextright"/>
            </w:pPr>
            <w:r w:rsidRPr="000B5C1F">
              <w:t>2</w:t>
            </w:r>
          </w:p>
        </w:tc>
        <w:tc>
          <w:tcPr>
            <w:tcW w:w="418" w:type="pct"/>
            <w:shd w:val="clear" w:color="auto" w:fill="auto"/>
            <w:noWrap/>
            <w:vAlign w:val="center"/>
          </w:tcPr>
          <w:p w:rsidR="0092299C" w:rsidRPr="000B5C1F" w:rsidRDefault="0092299C" w:rsidP="0092299C">
            <w:pPr>
              <w:pStyle w:val="ARtabletextright"/>
            </w:pPr>
            <w:r w:rsidRPr="000B5C1F">
              <w:t>6</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3</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2</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5</w:t>
            </w:r>
          </w:p>
        </w:tc>
        <w:tc>
          <w:tcPr>
            <w:tcW w:w="430"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Victorian Institute of Forensic Mental Health (</w:t>
            </w:r>
            <w:proofErr w:type="spellStart"/>
            <w:r w:rsidRPr="00767E90">
              <w:t>Forensicare</w:t>
            </w:r>
            <w:proofErr w:type="spellEnd"/>
            <w:r w:rsidRPr="00767E90">
              <w:t>)</w:t>
            </w:r>
          </w:p>
        </w:tc>
        <w:tc>
          <w:tcPr>
            <w:tcW w:w="448" w:type="pct"/>
            <w:shd w:val="clear" w:color="auto" w:fill="auto"/>
            <w:noWrap/>
            <w:vAlign w:val="center"/>
          </w:tcPr>
          <w:p w:rsidR="0092299C" w:rsidRPr="000B5C1F" w:rsidRDefault="0092299C" w:rsidP="0092299C">
            <w:pPr>
              <w:pStyle w:val="ARtabletextright"/>
            </w:pPr>
            <w:r w:rsidRPr="000B5C1F">
              <w:t>0</w:t>
            </w:r>
          </w:p>
        </w:tc>
        <w:tc>
          <w:tcPr>
            <w:tcW w:w="393" w:type="pct"/>
            <w:shd w:val="clear" w:color="auto" w:fill="auto"/>
            <w:noWrap/>
            <w:vAlign w:val="center"/>
          </w:tcPr>
          <w:p w:rsidR="0092299C" w:rsidRPr="000B5C1F" w:rsidRDefault="0092299C" w:rsidP="0092299C">
            <w:pPr>
              <w:pStyle w:val="ARtabletextright"/>
            </w:pPr>
            <w:r w:rsidRPr="000B5C1F">
              <w:t>5</w:t>
            </w:r>
          </w:p>
        </w:tc>
        <w:tc>
          <w:tcPr>
            <w:tcW w:w="418" w:type="pct"/>
            <w:shd w:val="clear" w:color="auto" w:fill="auto"/>
            <w:noWrap/>
            <w:vAlign w:val="center"/>
          </w:tcPr>
          <w:p w:rsidR="0092299C" w:rsidRPr="000B5C1F" w:rsidRDefault="0092299C" w:rsidP="0092299C">
            <w:pPr>
              <w:pStyle w:val="ARtabletextright"/>
            </w:pPr>
            <w:r w:rsidRPr="000B5C1F">
              <w:t>5</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4</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4</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c>
          <w:tcPr>
            <w:tcW w:w="409"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Victorian Institute of Sport</w:t>
            </w:r>
          </w:p>
        </w:tc>
        <w:tc>
          <w:tcPr>
            <w:tcW w:w="448" w:type="pct"/>
            <w:shd w:val="clear" w:color="auto" w:fill="auto"/>
            <w:noWrap/>
            <w:vAlign w:val="center"/>
          </w:tcPr>
          <w:p w:rsidR="0092299C" w:rsidRPr="000B5C1F" w:rsidRDefault="0092299C" w:rsidP="0092299C">
            <w:pPr>
              <w:pStyle w:val="ARtabletextright"/>
            </w:pPr>
            <w:r w:rsidRPr="000B5C1F">
              <w:t>1</w:t>
            </w:r>
          </w:p>
        </w:tc>
        <w:tc>
          <w:tcPr>
            <w:tcW w:w="393" w:type="pct"/>
            <w:shd w:val="clear" w:color="auto" w:fill="auto"/>
            <w:noWrap/>
            <w:vAlign w:val="center"/>
          </w:tcPr>
          <w:p w:rsidR="0092299C" w:rsidRPr="000B5C1F" w:rsidRDefault="0092299C" w:rsidP="0092299C">
            <w:pPr>
              <w:pStyle w:val="ARtabletextright"/>
            </w:pPr>
            <w:r w:rsidRPr="000B5C1F">
              <w:t>0</w:t>
            </w:r>
          </w:p>
        </w:tc>
        <w:tc>
          <w:tcPr>
            <w:tcW w:w="418" w:type="pct"/>
            <w:shd w:val="clear" w:color="auto" w:fill="auto"/>
            <w:noWrap/>
            <w:vAlign w:val="center"/>
          </w:tcPr>
          <w:p w:rsidR="0092299C" w:rsidRPr="000B5C1F" w:rsidRDefault="0092299C" w:rsidP="0092299C">
            <w:pPr>
              <w:pStyle w:val="ARtabletextright"/>
            </w:pPr>
            <w:r w:rsidRPr="000B5C1F">
              <w:t>1</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West Gippsland Healthcare Group</w:t>
            </w:r>
          </w:p>
        </w:tc>
        <w:tc>
          <w:tcPr>
            <w:tcW w:w="448" w:type="pct"/>
            <w:shd w:val="clear" w:color="auto" w:fill="auto"/>
            <w:noWrap/>
            <w:vAlign w:val="center"/>
          </w:tcPr>
          <w:p w:rsidR="0092299C" w:rsidRPr="000B5C1F" w:rsidRDefault="0092299C" w:rsidP="0092299C">
            <w:pPr>
              <w:pStyle w:val="ARtabletextright"/>
            </w:pPr>
            <w:r w:rsidRPr="000B5C1F">
              <w:t>2</w:t>
            </w:r>
          </w:p>
        </w:tc>
        <w:tc>
          <w:tcPr>
            <w:tcW w:w="393" w:type="pct"/>
            <w:shd w:val="clear" w:color="auto" w:fill="auto"/>
            <w:noWrap/>
            <w:vAlign w:val="center"/>
          </w:tcPr>
          <w:p w:rsidR="0092299C" w:rsidRPr="000B5C1F" w:rsidRDefault="0092299C" w:rsidP="0092299C">
            <w:pPr>
              <w:pStyle w:val="ARtabletextright"/>
            </w:pPr>
            <w:r w:rsidRPr="000B5C1F">
              <w:t>3</w:t>
            </w:r>
          </w:p>
        </w:tc>
        <w:tc>
          <w:tcPr>
            <w:tcW w:w="418" w:type="pct"/>
            <w:shd w:val="clear" w:color="auto" w:fill="auto"/>
            <w:noWrap/>
            <w:vAlign w:val="center"/>
          </w:tcPr>
          <w:p w:rsidR="0092299C" w:rsidRPr="000B5C1F" w:rsidRDefault="0092299C" w:rsidP="0092299C">
            <w:pPr>
              <w:pStyle w:val="ARtabletextright"/>
            </w:pPr>
            <w:r w:rsidRPr="000B5C1F">
              <w:t>5</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2</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3</w:t>
            </w:r>
          </w:p>
        </w:tc>
        <w:tc>
          <w:tcPr>
            <w:tcW w:w="430"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c>
          <w:tcPr>
            <w:tcW w:w="402"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c>
          <w:tcPr>
            <w:tcW w:w="409"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2</w:t>
            </w:r>
            <w:r>
              <w:rPr>
                <w:color w:val="000000"/>
              </w:rP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West Wimmera Health Service</w:t>
            </w:r>
          </w:p>
        </w:tc>
        <w:tc>
          <w:tcPr>
            <w:tcW w:w="448" w:type="pct"/>
            <w:shd w:val="clear" w:color="auto" w:fill="auto"/>
            <w:noWrap/>
            <w:vAlign w:val="center"/>
          </w:tcPr>
          <w:p w:rsidR="0092299C" w:rsidRPr="000B5C1F" w:rsidRDefault="0092299C" w:rsidP="0092299C">
            <w:pPr>
              <w:pStyle w:val="ARtabletextright"/>
            </w:pPr>
            <w:r w:rsidRPr="000B5C1F">
              <w:t>3</w:t>
            </w:r>
          </w:p>
        </w:tc>
        <w:tc>
          <w:tcPr>
            <w:tcW w:w="393" w:type="pct"/>
            <w:shd w:val="clear" w:color="auto" w:fill="auto"/>
            <w:noWrap/>
            <w:vAlign w:val="center"/>
          </w:tcPr>
          <w:p w:rsidR="0092299C" w:rsidRPr="000B5C1F" w:rsidRDefault="0092299C" w:rsidP="0092299C">
            <w:pPr>
              <w:pStyle w:val="ARtabletextright"/>
            </w:pPr>
            <w:r w:rsidRPr="000B5C1F">
              <w:t>3</w:t>
            </w:r>
          </w:p>
        </w:tc>
        <w:tc>
          <w:tcPr>
            <w:tcW w:w="418" w:type="pct"/>
            <w:shd w:val="clear" w:color="auto" w:fill="auto"/>
            <w:noWrap/>
            <w:vAlign w:val="center"/>
          </w:tcPr>
          <w:p w:rsidR="0092299C" w:rsidRPr="000B5C1F" w:rsidRDefault="0092299C" w:rsidP="0092299C">
            <w:pPr>
              <w:pStyle w:val="ARtabletextright"/>
            </w:pPr>
            <w:r w:rsidRPr="000B5C1F">
              <w:t>6</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3</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3</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6</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Western District Health Service</w:t>
            </w:r>
          </w:p>
        </w:tc>
        <w:tc>
          <w:tcPr>
            <w:tcW w:w="448" w:type="pct"/>
            <w:shd w:val="clear" w:color="auto" w:fill="auto"/>
            <w:noWrap/>
            <w:vAlign w:val="center"/>
          </w:tcPr>
          <w:p w:rsidR="0092299C" w:rsidRPr="000B5C1F" w:rsidRDefault="0092299C" w:rsidP="0092299C">
            <w:pPr>
              <w:pStyle w:val="ARtabletextright"/>
            </w:pPr>
            <w:r w:rsidRPr="000B5C1F">
              <w:t>0</w:t>
            </w:r>
          </w:p>
        </w:tc>
        <w:tc>
          <w:tcPr>
            <w:tcW w:w="393" w:type="pct"/>
            <w:shd w:val="clear" w:color="auto" w:fill="auto"/>
            <w:noWrap/>
            <w:vAlign w:val="center"/>
          </w:tcPr>
          <w:p w:rsidR="0092299C" w:rsidRPr="000B5C1F" w:rsidRDefault="0092299C" w:rsidP="0092299C">
            <w:pPr>
              <w:pStyle w:val="ARtabletextright"/>
            </w:pPr>
            <w:r w:rsidRPr="000B5C1F">
              <w:t>2</w:t>
            </w:r>
          </w:p>
        </w:tc>
        <w:tc>
          <w:tcPr>
            <w:tcW w:w="418" w:type="pct"/>
            <w:shd w:val="clear" w:color="auto" w:fill="auto"/>
            <w:noWrap/>
            <w:vAlign w:val="center"/>
          </w:tcPr>
          <w:p w:rsidR="0092299C" w:rsidRPr="000B5C1F" w:rsidRDefault="0092299C" w:rsidP="0092299C">
            <w:pPr>
              <w:pStyle w:val="ARtabletextright"/>
            </w:pPr>
            <w:r w:rsidRPr="000B5C1F">
              <w:t>2</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2</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3</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1</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1</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Western Health</w:t>
            </w:r>
          </w:p>
        </w:tc>
        <w:tc>
          <w:tcPr>
            <w:tcW w:w="448" w:type="pct"/>
            <w:shd w:val="clear" w:color="auto" w:fill="auto"/>
            <w:noWrap/>
            <w:vAlign w:val="center"/>
          </w:tcPr>
          <w:p w:rsidR="0092299C" w:rsidRPr="000B5C1F" w:rsidRDefault="0092299C" w:rsidP="0092299C">
            <w:pPr>
              <w:pStyle w:val="ARtabletextright"/>
            </w:pPr>
            <w:r w:rsidRPr="000B5C1F">
              <w:t>14</w:t>
            </w:r>
          </w:p>
        </w:tc>
        <w:tc>
          <w:tcPr>
            <w:tcW w:w="393" w:type="pct"/>
            <w:shd w:val="clear" w:color="auto" w:fill="auto"/>
            <w:noWrap/>
            <w:vAlign w:val="center"/>
          </w:tcPr>
          <w:p w:rsidR="0092299C" w:rsidRPr="000B5C1F" w:rsidRDefault="0092299C" w:rsidP="0092299C">
            <w:pPr>
              <w:pStyle w:val="ARtabletextright"/>
            </w:pPr>
            <w:r w:rsidRPr="000B5C1F">
              <w:t>10</w:t>
            </w:r>
          </w:p>
        </w:tc>
        <w:tc>
          <w:tcPr>
            <w:tcW w:w="418" w:type="pct"/>
            <w:shd w:val="clear" w:color="auto" w:fill="auto"/>
            <w:noWrap/>
            <w:vAlign w:val="center"/>
          </w:tcPr>
          <w:p w:rsidR="0092299C" w:rsidRPr="000B5C1F" w:rsidRDefault="0092299C" w:rsidP="0092299C">
            <w:pPr>
              <w:pStyle w:val="ARtabletextright"/>
            </w:pPr>
            <w:r w:rsidRPr="000B5C1F">
              <w:t>24</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16</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11</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27</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2</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1</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3</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Wimmera Health Care Group</w:t>
            </w:r>
          </w:p>
        </w:tc>
        <w:tc>
          <w:tcPr>
            <w:tcW w:w="448" w:type="pct"/>
            <w:shd w:val="clear" w:color="auto" w:fill="auto"/>
            <w:noWrap/>
            <w:vAlign w:val="center"/>
          </w:tcPr>
          <w:p w:rsidR="0092299C" w:rsidRPr="000B5C1F" w:rsidRDefault="0092299C" w:rsidP="0092299C">
            <w:pPr>
              <w:pStyle w:val="ARtabletextright"/>
            </w:pPr>
            <w:r w:rsidRPr="000B5C1F">
              <w:t>1</w:t>
            </w:r>
          </w:p>
        </w:tc>
        <w:tc>
          <w:tcPr>
            <w:tcW w:w="393" w:type="pct"/>
            <w:shd w:val="clear" w:color="auto" w:fill="auto"/>
            <w:noWrap/>
            <w:vAlign w:val="center"/>
          </w:tcPr>
          <w:p w:rsidR="0092299C" w:rsidRPr="000B5C1F" w:rsidRDefault="0092299C" w:rsidP="0092299C">
            <w:pPr>
              <w:pStyle w:val="ARtabletextright"/>
            </w:pPr>
            <w:r w:rsidRPr="000B5C1F">
              <w:t>4</w:t>
            </w:r>
          </w:p>
        </w:tc>
        <w:tc>
          <w:tcPr>
            <w:tcW w:w="418" w:type="pct"/>
            <w:shd w:val="clear" w:color="auto" w:fill="auto"/>
            <w:noWrap/>
            <w:vAlign w:val="center"/>
          </w:tcPr>
          <w:p w:rsidR="0092299C" w:rsidRPr="000B5C1F" w:rsidRDefault="0092299C" w:rsidP="0092299C">
            <w:pPr>
              <w:pStyle w:val="ARtabletextright"/>
            </w:pPr>
            <w:r w:rsidRPr="000B5C1F">
              <w:t>5</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3</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4</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c>
          <w:tcPr>
            <w:tcW w:w="409" w:type="pct"/>
            <w:shd w:val="clear" w:color="auto" w:fill="auto"/>
            <w:noWrap/>
            <w:vAlign w:val="center"/>
          </w:tcPr>
          <w:p w:rsidR="0092299C" w:rsidRPr="000B5C1F" w:rsidRDefault="00695D9D" w:rsidP="0092299C">
            <w:pPr>
              <w:pStyle w:val="ARtabletextright"/>
              <w:rPr>
                <w:color w:val="000000"/>
              </w:rPr>
            </w:pPr>
            <w:r>
              <w:rPr>
                <w:color w:val="000000"/>
              </w:rPr>
              <w:t>(</w:t>
            </w:r>
            <w:r w:rsidR="0092299C" w:rsidRPr="000B5C1F">
              <w:rPr>
                <w:color w:val="000000"/>
              </w:rPr>
              <w:t>1</w:t>
            </w:r>
            <w:r>
              <w:rPr>
                <w:color w:val="000000"/>
              </w:rPr>
              <w:t>)</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Yarram and District Health Service</w:t>
            </w:r>
          </w:p>
        </w:tc>
        <w:tc>
          <w:tcPr>
            <w:tcW w:w="448" w:type="pct"/>
            <w:shd w:val="clear" w:color="auto" w:fill="auto"/>
            <w:noWrap/>
            <w:vAlign w:val="center"/>
          </w:tcPr>
          <w:p w:rsidR="0092299C" w:rsidRPr="000B5C1F" w:rsidRDefault="0092299C" w:rsidP="0092299C">
            <w:pPr>
              <w:pStyle w:val="ARtabletextright"/>
            </w:pPr>
            <w:r w:rsidRPr="000B5C1F">
              <w:t>1</w:t>
            </w:r>
          </w:p>
        </w:tc>
        <w:tc>
          <w:tcPr>
            <w:tcW w:w="393" w:type="pct"/>
            <w:shd w:val="clear" w:color="auto" w:fill="auto"/>
            <w:noWrap/>
            <w:vAlign w:val="center"/>
          </w:tcPr>
          <w:p w:rsidR="0092299C" w:rsidRPr="000B5C1F" w:rsidRDefault="0092299C" w:rsidP="0092299C">
            <w:pPr>
              <w:pStyle w:val="ARtabletextright"/>
            </w:pPr>
            <w:r w:rsidRPr="000B5C1F">
              <w:t>0</w:t>
            </w:r>
          </w:p>
        </w:tc>
        <w:tc>
          <w:tcPr>
            <w:tcW w:w="418" w:type="pct"/>
            <w:shd w:val="clear" w:color="auto" w:fill="auto"/>
            <w:noWrap/>
            <w:vAlign w:val="center"/>
          </w:tcPr>
          <w:p w:rsidR="0092299C" w:rsidRPr="000B5C1F" w:rsidRDefault="0092299C" w:rsidP="0092299C">
            <w:pPr>
              <w:pStyle w:val="ARtabletextright"/>
            </w:pPr>
            <w:r w:rsidRPr="000B5C1F">
              <w:t>1</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767E90" w:rsidTr="005C1ACD">
        <w:trPr>
          <w:cantSplit/>
          <w:trHeight w:val="255"/>
        </w:trPr>
        <w:tc>
          <w:tcPr>
            <w:tcW w:w="1251" w:type="pct"/>
            <w:shd w:val="clear" w:color="auto" w:fill="auto"/>
            <w:noWrap/>
          </w:tcPr>
          <w:p w:rsidR="0092299C" w:rsidRPr="00767E90" w:rsidRDefault="0092299C" w:rsidP="0092299C">
            <w:pPr>
              <w:pStyle w:val="ARtabletext"/>
            </w:pPr>
            <w:r w:rsidRPr="00767E90">
              <w:t>Yarrawonga Health</w:t>
            </w:r>
          </w:p>
        </w:tc>
        <w:tc>
          <w:tcPr>
            <w:tcW w:w="448" w:type="pct"/>
            <w:shd w:val="clear" w:color="auto" w:fill="auto"/>
            <w:noWrap/>
            <w:vAlign w:val="center"/>
          </w:tcPr>
          <w:p w:rsidR="0092299C" w:rsidRPr="000B5C1F" w:rsidRDefault="0092299C" w:rsidP="0092299C">
            <w:pPr>
              <w:pStyle w:val="ARtabletextright"/>
            </w:pPr>
            <w:r w:rsidRPr="000B5C1F">
              <w:t>1</w:t>
            </w:r>
          </w:p>
        </w:tc>
        <w:tc>
          <w:tcPr>
            <w:tcW w:w="393" w:type="pct"/>
            <w:shd w:val="clear" w:color="auto" w:fill="auto"/>
            <w:noWrap/>
            <w:vAlign w:val="center"/>
          </w:tcPr>
          <w:p w:rsidR="0092299C" w:rsidRPr="000B5C1F" w:rsidRDefault="0092299C" w:rsidP="0092299C">
            <w:pPr>
              <w:pStyle w:val="ARtabletextright"/>
            </w:pPr>
            <w:r w:rsidRPr="000B5C1F">
              <w:t>0</w:t>
            </w:r>
          </w:p>
        </w:tc>
        <w:tc>
          <w:tcPr>
            <w:tcW w:w="418" w:type="pct"/>
            <w:shd w:val="clear" w:color="auto" w:fill="auto"/>
            <w:noWrap/>
            <w:vAlign w:val="center"/>
          </w:tcPr>
          <w:p w:rsidR="0092299C" w:rsidRPr="000B5C1F" w:rsidRDefault="0092299C" w:rsidP="0092299C">
            <w:pPr>
              <w:pStyle w:val="ARtabletextright"/>
            </w:pPr>
            <w:r w:rsidRPr="000B5C1F">
              <w:t>1</w:t>
            </w:r>
          </w:p>
        </w:tc>
        <w:tc>
          <w:tcPr>
            <w:tcW w:w="432" w:type="pct"/>
            <w:tcBorders>
              <w:top w:val="single" w:sz="4" w:space="0" w:color="auto"/>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399" w:type="pct"/>
            <w:tcBorders>
              <w:top w:val="single" w:sz="4" w:space="0" w:color="auto"/>
              <w:left w:val="nil"/>
              <w:righ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0</w:t>
            </w:r>
          </w:p>
        </w:tc>
        <w:tc>
          <w:tcPr>
            <w:tcW w:w="418" w:type="pct"/>
            <w:tcBorders>
              <w:top w:val="single" w:sz="4" w:space="0" w:color="auto"/>
              <w:left w:val="nil"/>
            </w:tcBorders>
            <w:shd w:val="clear" w:color="auto" w:fill="F2F2F2" w:themeFill="background1" w:themeFillShade="F2"/>
            <w:noWrap/>
            <w:vAlign w:val="center"/>
          </w:tcPr>
          <w:p w:rsidR="0092299C" w:rsidRPr="000B5C1F" w:rsidRDefault="0092299C" w:rsidP="0092299C">
            <w:pPr>
              <w:pStyle w:val="ARtabletextright"/>
              <w:rPr>
                <w:color w:val="000000"/>
              </w:rPr>
            </w:pPr>
            <w:r w:rsidRPr="000B5C1F">
              <w:rPr>
                <w:color w:val="000000"/>
              </w:rPr>
              <w:t>1</w:t>
            </w:r>
          </w:p>
        </w:tc>
        <w:tc>
          <w:tcPr>
            <w:tcW w:w="430"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2"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c>
          <w:tcPr>
            <w:tcW w:w="409" w:type="pct"/>
            <w:shd w:val="clear" w:color="auto" w:fill="auto"/>
            <w:noWrap/>
            <w:vAlign w:val="center"/>
          </w:tcPr>
          <w:p w:rsidR="0092299C" w:rsidRPr="000B5C1F" w:rsidRDefault="0092299C" w:rsidP="0092299C">
            <w:pPr>
              <w:pStyle w:val="ARtabletextright"/>
              <w:rPr>
                <w:color w:val="000000"/>
              </w:rPr>
            </w:pPr>
            <w:r w:rsidRPr="000B5C1F">
              <w:rPr>
                <w:color w:val="000000"/>
              </w:rPr>
              <w:t>0</w:t>
            </w:r>
          </w:p>
        </w:tc>
      </w:tr>
      <w:tr w:rsidR="0092299C" w:rsidRPr="00D21A30" w:rsidTr="005C1ACD">
        <w:trPr>
          <w:cantSplit/>
          <w:trHeight w:val="255"/>
        </w:trPr>
        <w:tc>
          <w:tcPr>
            <w:tcW w:w="1251" w:type="pct"/>
            <w:shd w:val="clear" w:color="auto" w:fill="auto"/>
            <w:noWrap/>
          </w:tcPr>
          <w:p w:rsidR="0092299C" w:rsidRPr="00767E90" w:rsidRDefault="0092299C" w:rsidP="0092299C">
            <w:pPr>
              <w:pStyle w:val="ARtabletext"/>
            </w:pPr>
          </w:p>
        </w:tc>
        <w:tc>
          <w:tcPr>
            <w:tcW w:w="448" w:type="pct"/>
            <w:shd w:val="clear" w:color="auto" w:fill="auto"/>
            <w:noWrap/>
            <w:vAlign w:val="center"/>
          </w:tcPr>
          <w:p w:rsidR="0092299C" w:rsidRPr="00A43AA2" w:rsidRDefault="0092299C" w:rsidP="00A43AA2">
            <w:pPr>
              <w:pStyle w:val="ARtabletextright"/>
              <w:rPr>
                <w:rStyle w:val="Strong"/>
              </w:rPr>
            </w:pPr>
            <w:r w:rsidRPr="00A43AA2">
              <w:rPr>
                <w:rStyle w:val="Strong"/>
              </w:rPr>
              <w:t>156</w:t>
            </w:r>
          </w:p>
        </w:tc>
        <w:tc>
          <w:tcPr>
            <w:tcW w:w="393" w:type="pct"/>
            <w:shd w:val="clear" w:color="auto" w:fill="auto"/>
            <w:noWrap/>
            <w:vAlign w:val="center"/>
          </w:tcPr>
          <w:p w:rsidR="0092299C" w:rsidRPr="00A43AA2" w:rsidRDefault="0092299C" w:rsidP="00A43AA2">
            <w:pPr>
              <w:pStyle w:val="ARtabletextright"/>
              <w:rPr>
                <w:rStyle w:val="Strong"/>
              </w:rPr>
            </w:pPr>
            <w:r w:rsidRPr="00A43AA2">
              <w:rPr>
                <w:rStyle w:val="Strong"/>
              </w:rPr>
              <w:t>153</w:t>
            </w:r>
          </w:p>
        </w:tc>
        <w:tc>
          <w:tcPr>
            <w:tcW w:w="418" w:type="pct"/>
            <w:shd w:val="clear" w:color="auto" w:fill="auto"/>
            <w:noWrap/>
            <w:vAlign w:val="center"/>
          </w:tcPr>
          <w:p w:rsidR="0092299C" w:rsidRPr="00A43AA2" w:rsidRDefault="0092299C" w:rsidP="00A43AA2">
            <w:pPr>
              <w:pStyle w:val="ARtabletextright"/>
              <w:rPr>
                <w:rStyle w:val="Strong"/>
              </w:rPr>
            </w:pPr>
            <w:r w:rsidRPr="00A43AA2">
              <w:rPr>
                <w:rStyle w:val="Strong"/>
              </w:rPr>
              <w:t>309</w:t>
            </w:r>
          </w:p>
        </w:tc>
        <w:tc>
          <w:tcPr>
            <w:tcW w:w="432" w:type="pct"/>
            <w:tcBorders>
              <w:top w:val="single" w:sz="4" w:space="0" w:color="auto"/>
              <w:right w:val="nil"/>
            </w:tcBorders>
            <w:shd w:val="clear" w:color="auto" w:fill="F2F2F2" w:themeFill="background1" w:themeFillShade="F2"/>
            <w:noWrap/>
            <w:vAlign w:val="center"/>
          </w:tcPr>
          <w:p w:rsidR="0092299C" w:rsidRPr="00A43AA2" w:rsidRDefault="0092299C" w:rsidP="00A43AA2">
            <w:pPr>
              <w:pStyle w:val="ARtabletextright"/>
              <w:rPr>
                <w:rStyle w:val="Strong"/>
              </w:rPr>
            </w:pPr>
            <w:r w:rsidRPr="00A43AA2">
              <w:rPr>
                <w:rStyle w:val="Strong"/>
              </w:rPr>
              <w:t>163</w:t>
            </w:r>
          </w:p>
        </w:tc>
        <w:tc>
          <w:tcPr>
            <w:tcW w:w="399" w:type="pct"/>
            <w:tcBorders>
              <w:top w:val="single" w:sz="4" w:space="0" w:color="auto"/>
              <w:left w:val="nil"/>
              <w:right w:val="nil"/>
            </w:tcBorders>
            <w:shd w:val="clear" w:color="auto" w:fill="F2F2F2" w:themeFill="background1" w:themeFillShade="F2"/>
            <w:noWrap/>
            <w:vAlign w:val="center"/>
          </w:tcPr>
          <w:p w:rsidR="0092299C" w:rsidRPr="00A43AA2" w:rsidRDefault="0092299C" w:rsidP="00A43AA2">
            <w:pPr>
              <w:pStyle w:val="ARtabletextright"/>
              <w:rPr>
                <w:rStyle w:val="Strong"/>
              </w:rPr>
            </w:pPr>
            <w:r w:rsidRPr="00A43AA2">
              <w:rPr>
                <w:rStyle w:val="Strong"/>
              </w:rPr>
              <w:t>156</w:t>
            </w:r>
          </w:p>
        </w:tc>
        <w:tc>
          <w:tcPr>
            <w:tcW w:w="418" w:type="pct"/>
            <w:tcBorders>
              <w:top w:val="single" w:sz="4" w:space="0" w:color="auto"/>
              <w:left w:val="nil"/>
            </w:tcBorders>
            <w:shd w:val="clear" w:color="auto" w:fill="F2F2F2" w:themeFill="background1" w:themeFillShade="F2"/>
            <w:noWrap/>
            <w:vAlign w:val="center"/>
          </w:tcPr>
          <w:p w:rsidR="0092299C" w:rsidRPr="00A43AA2" w:rsidRDefault="0092299C" w:rsidP="00A43AA2">
            <w:pPr>
              <w:pStyle w:val="ARtabletextright"/>
              <w:rPr>
                <w:rStyle w:val="Strong"/>
              </w:rPr>
            </w:pPr>
            <w:r w:rsidRPr="00A43AA2">
              <w:rPr>
                <w:rStyle w:val="Strong"/>
              </w:rPr>
              <w:t>319</w:t>
            </w:r>
          </w:p>
        </w:tc>
        <w:tc>
          <w:tcPr>
            <w:tcW w:w="430" w:type="pct"/>
            <w:shd w:val="clear" w:color="auto" w:fill="auto"/>
            <w:noWrap/>
            <w:vAlign w:val="center"/>
          </w:tcPr>
          <w:p w:rsidR="0092299C" w:rsidRPr="00A43AA2" w:rsidRDefault="0092299C" w:rsidP="00A43AA2">
            <w:pPr>
              <w:pStyle w:val="ARtabletextright"/>
              <w:rPr>
                <w:rStyle w:val="Strong"/>
              </w:rPr>
            </w:pPr>
            <w:r w:rsidRPr="00A43AA2">
              <w:rPr>
                <w:rStyle w:val="Strong"/>
              </w:rPr>
              <w:t>6</w:t>
            </w:r>
          </w:p>
        </w:tc>
        <w:tc>
          <w:tcPr>
            <w:tcW w:w="402" w:type="pct"/>
            <w:shd w:val="clear" w:color="auto" w:fill="auto"/>
            <w:noWrap/>
            <w:vAlign w:val="center"/>
          </w:tcPr>
          <w:p w:rsidR="0092299C" w:rsidRPr="00A43AA2" w:rsidRDefault="00695D9D" w:rsidP="00A43AA2">
            <w:pPr>
              <w:pStyle w:val="ARtabletextright"/>
              <w:rPr>
                <w:rStyle w:val="Strong"/>
              </w:rPr>
            </w:pPr>
            <w:r>
              <w:rPr>
                <w:rStyle w:val="Strong"/>
              </w:rPr>
              <w:t>(</w:t>
            </w:r>
            <w:r w:rsidR="0092299C" w:rsidRPr="00A43AA2">
              <w:rPr>
                <w:rStyle w:val="Strong"/>
              </w:rPr>
              <w:t>4</w:t>
            </w:r>
            <w:r>
              <w:rPr>
                <w:rStyle w:val="Strong"/>
              </w:rPr>
              <w:t>)</w:t>
            </w:r>
          </w:p>
        </w:tc>
        <w:tc>
          <w:tcPr>
            <w:tcW w:w="409" w:type="pct"/>
            <w:shd w:val="clear" w:color="auto" w:fill="auto"/>
            <w:noWrap/>
            <w:vAlign w:val="center"/>
          </w:tcPr>
          <w:p w:rsidR="0092299C" w:rsidRPr="00A43AA2" w:rsidRDefault="0092299C" w:rsidP="00A43AA2">
            <w:pPr>
              <w:pStyle w:val="ARtabletextright"/>
              <w:rPr>
                <w:rStyle w:val="Strong"/>
              </w:rPr>
            </w:pPr>
            <w:r w:rsidRPr="00A43AA2">
              <w:rPr>
                <w:rStyle w:val="Strong"/>
              </w:rPr>
              <w:t>2</w:t>
            </w:r>
          </w:p>
        </w:tc>
      </w:tr>
    </w:tbl>
    <w:p w:rsidR="0092299C" w:rsidRDefault="0092299C" w:rsidP="0092299C">
      <w:pPr>
        <w:pStyle w:val="Heading2"/>
        <w:spacing w:before="0"/>
        <w:sectPr w:rsidR="0092299C" w:rsidSect="0093192F">
          <w:pgSz w:w="11906" w:h="16838" w:code="9"/>
          <w:pgMar w:top="1531" w:right="851" w:bottom="680" w:left="1418" w:header="510" w:footer="340" w:gutter="0"/>
          <w:cols w:space="708"/>
          <w:docGrid w:linePitch="360"/>
        </w:sectPr>
      </w:pPr>
      <w:bookmarkStart w:id="45" w:name="_Ref492894777"/>
    </w:p>
    <w:p w:rsidR="0092299C" w:rsidRPr="00667232" w:rsidRDefault="0092299C" w:rsidP="0092299C">
      <w:pPr>
        <w:pStyle w:val="Heading2"/>
        <w:spacing w:before="0"/>
      </w:pPr>
      <w:bookmarkStart w:id="46" w:name="_Ref492894929"/>
      <w:bookmarkEnd w:id="45"/>
      <w:r w:rsidRPr="00667232">
        <w:lastRenderedPageBreak/>
        <w:t>Occupational health and safety</w:t>
      </w:r>
      <w:bookmarkEnd w:id="46"/>
    </w:p>
    <w:p w:rsidR="0092299C" w:rsidRPr="00667232" w:rsidRDefault="0092299C" w:rsidP="0092299C">
      <w:pPr>
        <w:pStyle w:val="ARbody"/>
      </w:pPr>
      <w:r w:rsidRPr="00667232">
        <w:t xml:space="preserve">The </w:t>
      </w:r>
      <w:r>
        <w:t xml:space="preserve">department’s </w:t>
      </w:r>
      <w:r w:rsidRPr="00667232">
        <w:t xml:space="preserve">commitment </w:t>
      </w:r>
      <w:r>
        <w:t xml:space="preserve">to occupational </w:t>
      </w:r>
      <w:r w:rsidRPr="00667232">
        <w:t>health</w:t>
      </w:r>
      <w:r>
        <w:t xml:space="preserve"> and</w:t>
      </w:r>
      <w:r w:rsidRPr="00667232">
        <w:t xml:space="preserve"> safety</w:t>
      </w:r>
      <w:r>
        <w:t xml:space="preserve"> (OHS)</w:t>
      </w:r>
      <w:r w:rsidRPr="00667232">
        <w:t xml:space="preserve"> and wellbeing is reflected i</w:t>
      </w:r>
      <w:r>
        <w:t xml:space="preserve">n its </w:t>
      </w:r>
      <w:r w:rsidRPr="00761D11">
        <w:rPr>
          <w:i/>
        </w:rPr>
        <w:t>Health, safety and wellbeing policy and accountabilities</w:t>
      </w:r>
      <w:r w:rsidRPr="00667232">
        <w:t>. The policy and accountabilities articulate specific actions for the Secretary and all other levels of management and staff to support this.</w:t>
      </w:r>
    </w:p>
    <w:p w:rsidR="0092299C" w:rsidRDefault="0092299C" w:rsidP="0092299C">
      <w:pPr>
        <w:pStyle w:val="Heading3"/>
      </w:pPr>
      <w:r w:rsidRPr="00836527">
        <w:t>Improvement measures in 2016–17</w:t>
      </w:r>
    </w:p>
    <w:p w:rsidR="0092299C" w:rsidRPr="00836527" w:rsidRDefault="0092299C" w:rsidP="0092299C">
      <w:pPr>
        <w:pStyle w:val="ARbody"/>
      </w:pPr>
      <w:r>
        <w:t>In 2016–17, the department implemented the following improvement measures:</w:t>
      </w:r>
    </w:p>
    <w:p w:rsidR="0092299C" w:rsidRDefault="0092299C" w:rsidP="0092299C">
      <w:pPr>
        <w:pStyle w:val="ARbullet1"/>
        <w:numPr>
          <w:ilvl w:val="0"/>
          <w:numId w:val="19"/>
        </w:numPr>
      </w:pPr>
      <w:r>
        <w:t xml:space="preserve">launch of the </w:t>
      </w:r>
      <w:r>
        <w:rPr>
          <w:i/>
        </w:rPr>
        <w:t xml:space="preserve">Health, Safety and wellbeing strategy 2016–20. </w:t>
      </w:r>
      <w:r>
        <w:t>The strategy identifies the changes required to reach a new and improved future state of occupational health and safety by 2020. It aims to achieve this by developing efficient and accessible health and safety systems, building engagement and capability, and creating an organisational culture in which employee wellbeing is evident</w:t>
      </w:r>
    </w:p>
    <w:p w:rsidR="0092299C" w:rsidRDefault="0092299C" w:rsidP="0092299C">
      <w:pPr>
        <w:pStyle w:val="ARbullet1"/>
        <w:numPr>
          <w:ilvl w:val="0"/>
          <w:numId w:val="19"/>
        </w:numPr>
      </w:pPr>
      <w:r>
        <w:t xml:space="preserve">launch of </w:t>
      </w:r>
      <w:r>
        <w:rPr>
          <w:i/>
        </w:rPr>
        <w:t>Health, safety and wellbeing policy</w:t>
      </w:r>
      <w:r>
        <w:t xml:space="preserve">. The policy is a statement of the department’s commitment at the most senior levels to safeguarding the health, safety and wellbeing of all employees and others in its workplaces. The policy is supported by the </w:t>
      </w:r>
      <w:r>
        <w:rPr>
          <w:i/>
        </w:rPr>
        <w:t xml:space="preserve">Health, safety and wellbeing accountabilities </w:t>
      </w:r>
      <w:r w:rsidRPr="0076509D">
        <w:t xml:space="preserve">which </w:t>
      </w:r>
      <w:r>
        <w:t>identify key accountabilities for all levels in the department</w:t>
      </w:r>
    </w:p>
    <w:p w:rsidR="0092299C" w:rsidRDefault="0092299C" w:rsidP="0092299C">
      <w:pPr>
        <w:pStyle w:val="ARbullet1"/>
        <w:numPr>
          <w:ilvl w:val="0"/>
          <w:numId w:val="19"/>
        </w:numPr>
      </w:pPr>
      <w:r>
        <w:t>development of an online OHS employee incident reporting system to replace the current paper based reporting tool, ready for deployment in the second half of 2017</w:t>
      </w:r>
    </w:p>
    <w:p w:rsidR="0092299C" w:rsidRPr="0076509D" w:rsidRDefault="0092299C" w:rsidP="0092299C">
      <w:pPr>
        <w:pStyle w:val="ARbullet1"/>
        <w:numPr>
          <w:ilvl w:val="0"/>
          <w:numId w:val="19"/>
        </w:numPr>
        <w:rPr>
          <w:i/>
        </w:rPr>
      </w:pPr>
      <w:r>
        <w:rPr>
          <w:lang w:eastAsia="en-AU"/>
        </w:rPr>
        <w:t>development and pilot of risk assessment tools for employees working in uncontrolled environments (for example, child protection, public housing) where exposure to occupational violence risk is high</w:t>
      </w:r>
    </w:p>
    <w:p w:rsidR="0092299C" w:rsidRPr="00CB3998" w:rsidRDefault="0092299C" w:rsidP="0092299C">
      <w:pPr>
        <w:pStyle w:val="ARbullet1"/>
        <w:numPr>
          <w:ilvl w:val="0"/>
          <w:numId w:val="19"/>
        </w:numPr>
      </w:pPr>
      <w:r>
        <w:rPr>
          <w:rFonts w:cs="Times New Roman"/>
        </w:rPr>
        <w:t>p</w:t>
      </w:r>
      <w:r w:rsidRPr="0076509D">
        <w:rPr>
          <w:rFonts w:cs="Times New Roman"/>
        </w:rPr>
        <w:t>articipation in whole</w:t>
      </w:r>
      <w:r>
        <w:rPr>
          <w:rFonts w:cs="Times New Roman"/>
        </w:rPr>
        <w:t>-</w:t>
      </w:r>
      <w:r w:rsidRPr="0076509D">
        <w:rPr>
          <w:rFonts w:cs="Times New Roman"/>
        </w:rPr>
        <w:t>of</w:t>
      </w:r>
      <w:r>
        <w:rPr>
          <w:rFonts w:cs="Times New Roman"/>
        </w:rPr>
        <w:t>-</w:t>
      </w:r>
      <w:r w:rsidRPr="0076509D">
        <w:rPr>
          <w:rFonts w:cs="Times New Roman"/>
        </w:rPr>
        <w:t xml:space="preserve">government OHS committees established by </w:t>
      </w:r>
      <w:proofErr w:type="spellStart"/>
      <w:r w:rsidRPr="0076509D">
        <w:rPr>
          <w:rFonts w:cs="Times New Roman"/>
        </w:rPr>
        <w:t>WorkSafe</w:t>
      </w:r>
      <w:proofErr w:type="spellEnd"/>
      <w:r w:rsidRPr="0076509D">
        <w:rPr>
          <w:rFonts w:cs="Times New Roman"/>
        </w:rPr>
        <w:t xml:space="preserve"> in partnership with unions and state government departments to lead and improve OHS performance in the public sector, including</w:t>
      </w:r>
      <w:r w:rsidR="004722B7">
        <w:rPr>
          <w:rFonts w:cs="Times New Roman"/>
        </w:rPr>
        <w:t>:</w:t>
      </w:r>
    </w:p>
    <w:p w:rsidR="0092299C" w:rsidRPr="004722B7" w:rsidRDefault="0092299C" w:rsidP="004722B7">
      <w:pPr>
        <w:pStyle w:val="ARbullet2"/>
      </w:pPr>
      <w:r>
        <w:t>participation in a tripartite working group to revise</w:t>
      </w:r>
      <w:r w:rsidRPr="0076509D">
        <w:t xml:space="preserve"> </w:t>
      </w:r>
      <w:r w:rsidRPr="0076509D">
        <w:rPr>
          <w:i/>
        </w:rPr>
        <w:t>Leading the way</w:t>
      </w:r>
      <w:r w:rsidRPr="0076509D">
        <w:t xml:space="preserve"> which p</w:t>
      </w:r>
      <w:r w:rsidRPr="004722B7">
        <w:t>rovides a framework for improving employee health, safety and wellbeing outcomes in Victorian Government departments</w:t>
      </w:r>
    </w:p>
    <w:p w:rsidR="0092299C" w:rsidRPr="004722B7" w:rsidRDefault="001E2AF8" w:rsidP="004722B7">
      <w:pPr>
        <w:pStyle w:val="ARbullet2"/>
      </w:pPr>
      <w:r>
        <w:br w:type="column"/>
      </w:r>
      <w:r w:rsidR="0092299C" w:rsidRPr="004722B7">
        <w:lastRenderedPageBreak/>
        <w:t>launching the Mental health and wellbeing charter. The charter demonstrates a commitment from public sector leaders to drive and support mental health and wellbeing in their workplaces. The department was the first department to launch the charter</w:t>
      </w:r>
    </w:p>
    <w:p w:rsidR="0092299C" w:rsidRPr="004722B7" w:rsidRDefault="0092299C" w:rsidP="004722B7">
      <w:pPr>
        <w:pStyle w:val="ARbullet2"/>
      </w:pPr>
      <w:r w:rsidRPr="004722B7">
        <w:t>participation in the development and trialling of a minimum data set of performance indicators for mental health and wellbeing which will be used by Victorian Government departments to measure improvement, and benchmark against similar organisations</w:t>
      </w:r>
    </w:p>
    <w:p w:rsidR="0092299C" w:rsidRPr="004722B7" w:rsidRDefault="0092299C" w:rsidP="004722B7">
      <w:pPr>
        <w:pStyle w:val="ARbullet2"/>
      </w:pPr>
      <w:r w:rsidRPr="004722B7">
        <w:t>contribution to the development of a mental health and wellbeing education and training framework which outlines minimum education and training requirements for public sector leaders, line managers, health and safety representatives and workers, and a commitment to train all staff by June 2020</w:t>
      </w:r>
    </w:p>
    <w:p w:rsidR="0092299C" w:rsidRDefault="0092299C" w:rsidP="004722B7">
      <w:pPr>
        <w:pStyle w:val="ARbullet2"/>
      </w:pPr>
      <w:r w:rsidRPr="004722B7">
        <w:t>leading the occupational violence working group which has progressed key pieces of work including the development of training principles, a training implementation plan,</w:t>
      </w:r>
      <w:r w:rsidRPr="0076509D">
        <w:t xml:space="preserve"> an organisational response framework and a guide for mitigating occupational violence and aggression through the built environment</w:t>
      </w:r>
      <w:r>
        <w:t>.</w:t>
      </w:r>
    </w:p>
    <w:p w:rsidR="0092299C" w:rsidRDefault="0092299C" w:rsidP="0092299C">
      <w:pPr>
        <w:pStyle w:val="ARbullet1"/>
        <w:numPr>
          <w:ilvl w:val="0"/>
          <w:numId w:val="19"/>
        </w:numPr>
      </w:pPr>
      <w:r>
        <w:t xml:space="preserve">improved governance through establishment </w:t>
      </w:r>
      <w:r w:rsidR="00135248">
        <w:br/>
      </w:r>
      <w:r>
        <w:t xml:space="preserve">of a health and safety governance committee which is monitoring health and safety performance and driving accountability for delivery on the </w:t>
      </w:r>
      <w:r w:rsidRPr="0076509D">
        <w:rPr>
          <w:i/>
        </w:rPr>
        <w:t>Health, Safet</w:t>
      </w:r>
      <w:r>
        <w:rPr>
          <w:i/>
        </w:rPr>
        <w:t>y and Wellbeing Strategy 2016–20</w:t>
      </w:r>
    </w:p>
    <w:p w:rsidR="0092299C" w:rsidRPr="0076509D" w:rsidRDefault="0092299C" w:rsidP="0092299C">
      <w:pPr>
        <w:pStyle w:val="ARbullet1"/>
        <w:numPr>
          <w:ilvl w:val="0"/>
          <w:numId w:val="19"/>
        </w:numPr>
      </w:pPr>
      <w:r>
        <w:t>continued effort through the</w:t>
      </w:r>
      <w:r w:rsidRPr="0076509D">
        <w:t xml:space="preserve"> department’s Wellbeing Committee </w:t>
      </w:r>
      <w:r>
        <w:t>towards</w:t>
      </w:r>
      <w:r w:rsidRPr="0076509D">
        <w:t xml:space="preserve"> implement</w:t>
      </w:r>
      <w:r>
        <w:t xml:space="preserve">ation of strategies under the </w:t>
      </w:r>
      <w:r w:rsidRPr="00761D11">
        <w:rPr>
          <w:i/>
        </w:rPr>
        <w:t xml:space="preserve">Mental health and wellbeing charter </w:t>
      </w:r>
      <w:r>
        <w:t>to</w:t>
      </w:r>
      <w:r w:rsidRPr="0076509D">
        <w:t xml:space="preserve"> promot</w:t>
      </w:r>
      <w:r>
        <w:t>e</w:t>
      </w:r>
      <w:r w:rsidRPr="0076509D">
        <w:t xml:space="preserve"> positive mental wellbeing</w:t>
      </w:r>
      <w:r>
        <w:t>,</w:t>
      </w:r>
      <w:r w:rsidRPr="0076509D">
        <w:t xml:space="preserve"> address mental injury and illness and protect </w:t>
      </w:r>
      <w:r>
        <w:t>against</w:t>
      </w:r>
      <w:r w:rsidRPr="0076509D">
        <w:t xml:space="preserve"> mental injury and illness</w:t>
      </w:r>
    </w:p>
    <w:p w:rsidR="0092299C" w:rsidRDefault="0092299C" w:rsidP="0092299C">
      <w:pPr>
        <w:pStyle w:val="ARbullet1"/>
        <w:numPr>
          <w:ilvl w:val="0"/>
          <w:numId w:val="19"/>
        </w:numPr>
      </w:pPr>
      <w:r>
        <w:t>commencement of work to establish a peer support n</w:t>
      </w:r>
      <w:r w:rsidRPr="009B1B3B">
        <w:t>etwork which will provide informal and confidential support to employee</w:t>
      </w:r>
      <w:r>
        <w:t>s</w:t>
      </w:r>
      <w:r w:rsidRPr="009B1B3B">
        <w:t xml:space="preserve"> experiencing difficulties in the wor</w:t>
      </w:r>
      <w:r>
        <w:t>kplace or at home. The peer support n</w:t>
      </w:r>
      <w:r w:rsidRPr="009B1B3B">
        <w:t xml:space="preserve">etwork will enable access to a colleague </w:t>
      </w:r>
      <w:r>
        <w:t>who can provide</w:t>
      </w:r>
      <w:r w:rsidRPr="009B1B3B">
        <w:t xml:space="preserve"> advice and assistance in navigating</w:t>
      </w:r>
      <w:r>
        <w:t xml:space="preserve"> pathways for support. Peer supporters will receive specialised training in bullying and inappropriate behaviour, family violence and mental health and wellbeing</w:t>
      </w:r>
    </w:p>
    <w:p w:rsidR="001E2AF8" w:rsidRDefault="001E2AF8" w:rsidP="0092299C">
      <w:pPr>
        <w:pStyle w:val="ARbullet1"/>
        <w:numPr>
          <w:ilvl w:val="0"/>
          <w:numId w:val="19"/>
        </w:numPr>
      </w:pPr>
      <w:r>
        <w:br w:type="page"/>
      </w:r>
    </w:p>
    <w:p w:rsidR="0092299C" w:rsidRDefault="0092299C" w:rsidP="0092299C">
      <w:pPr>
        <w:pStyle w:val="ARbullet1"/>
        <w:numPr>
          <w:ilvl w:val="0"/>
          <w:numId w:val="19"/>
        </w:numPr>
      </w:pPr>
      <w:r>
        <w:lastRenderedPageBreak/>
        <w:t>delivery of training for managers and supervisors to improve the management of health and safety across the department</w:t>
      </w:r>
    </w:p>
    <w:p w:rsidR="0092299C" w:rsidRPr="0076509D" w:rsidRDefault="0092299C" w:rsidP="0092299C">
      <w:pPr>
        <w:pStyle w:val="ARbullet1"/>
        <w:numPr>
          <w:ilvl w:val="0"/>
          <w:numId w:val="19"/>
        </w:numPr>
      </w:pPr>
      <w:r>
        <w:t>f</w:t>
      </w:r>
      <w:r w:rsidRPr="0076509D">
        <w:t>acilitation of department</w:t>
      </w:r>
      <w:r>
        <w:t>-</w:t>
      </w:r>
      <w:r w:rsidRPr="0076509D">
        <w:t>wide workshops to assist staff in identifying and responding to vicarious trauma in themselves and others</w:t>
      </w:r>
    </w:p>
    <w:p w:rsidR="0092299C" w:rsidRDefault="0092299C" w:rsidP="0092299C">
      <w:pPr>
        <w:pStyle w:val="ARbullet1"/>
        <w:numPr>
          <w:ilvl w:val="0"/>
          <w:numId w:val="19"/>
        </w:numPr>
      </w:pPr>
      <w:r>
        <w:lastRenderedPageBreak/>
        <w:t>coordination of events and activities in support of health and safety week and health and safety representatives</w:t>
      </w:r>
    </w:p>
    <w:p w:rsidR="0092299C" w:rsidRDefault="0092299C" w:rsidP="00F91CA3">
      <w:pPr>
        <w:pStyle w:val="ARbullet1"/>
      </w:pPr>
      <w:r>
        <w:t>successful management of the transition to a new WorkCover agent, Xchanging.</w:t>
      </w:r>
    </w:p>
    <w:p w:rsidR="001006EB" w:rsidRDefault="001006EB" w:rsidP="001006EB">
      <w:pPr>
        <w:pStyle w:val="ARbody"/>
      </w:pPr>
    </w:p>
    <w:p w:rsidR="009D4DE7" w:rsidRDefault="009D4DE7" w:rsidP="001006EB">
      <w:pPr>
        <w:pStyle w:val="Heading3"/>
        <w:spacing w:before="400"/>
        <w:sectPr w:rsidR="009D4DE7" w:rsidSect="009D4DE7">
          <w:endnotePr>
            <w:numFmt w:val="decimal"/>
          </w:endnotePr>
          <w:type w:val="nextColumn"/>
          <w:pgSz w:w="11900" w:h="16840" w:code="9"/>
          <w:pgMar w:top="1531" w:right="851" w:bottom="680" w:left="1418" w:header="510" w:footer="340" w:gutter="0"/>
          <w:cols w:num="2" w:space="454"/>
          <w:docGrid w:linePitch="272"/>
        </w:sectPr>
      </w:pPr>
    </w:p>
    <w:p w:rsidR="0092299C" w:rsidRPr="0068704D" w:rsidRDefault="0092299C" w:rsidP="001006EB">
      <w:pPr>
        <w:pStyle w:val="Heading3"/>
        <w:spacing w:before="400"/>
      </w:pPr>
      <w:r w:rsidRPr="0068704D">
        <w:lastRenderedPageBreak/>
        <w:t>The department’s performance against occupational health and safety management measures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92"/>
        <w:gridCol w:w="3203"/>
        <w:gridCol w:w="1410"/>
        <w:gridCol w:w="1410"/>
        <w:gridCol w:w="1324"/>
      </w:tblGrid>
      <w:tr w:rsidR="00E828F9" w:rsidRPr="00D41308" w:rsidTr="0092299C">
        <w:trPr>
          <w:cantSplit/>
          <w:tblHeader/>
        </w:trPr>
        <w:tc>
          <w:tcPr>
            <w:tcW w:w="2292" w:type="dxa"/>
            <w:vAlign w:val="bottom"/>
          </w:tcPr>
          <w:p w:rsidR="00E828F9" w:rsidRPr="00D41308" w:rsidRDefault="00E828F9" w:rsidP="0092299C">
            <w:pPr>
              <w:pStyle w:val="ARtablecolhead"/>
            </w:pPr>
            <w:r w:rsidRPr="00D41308">
              <w:t>Measure</w:t>
            </w:r>
          </w:p>
        </w:tc>
        <w:tc>
          <w:tcPr>
            <w:tcW w:w="3203" w:type="dxa"/>
            <w:vAlign w:val="bottom"/>
          </w:tcPr>
          <w:p w:rsidR="00E828F9" w:rsidRPr="00D41308" w:rsidRDefault="00E828F9" w:rsidP="0092299C">
            <w:pPr>
              <w:pStyle w:val="ARtablecolhead"/>
            </w:pPr>
            <w:r w:rsidRPr="00D41308">
              <w:t>KPI</w:t>
            </w:r>
          </w:p>
        </w:tc>
        <w:tc>
          <w:tcPr>
            <w:tcW w:w="1410" w:type="dxa"/>
          </w:tcPr>
          <w:p w:rsidR="00E828F9" w:rsidRPr="00D41308" w:rsidRDefault="00E828F9" w:rsidP="0092299C">
            <w:pPr>
              <w:pStyle w:val="ARtablecolheadright"/>
            </w:pPr>
            <w:r w:rsidRPr="00BE329A">
              <w:t>2014–15</w:t>
            </w:r>
          </w:p>
        </w:tc>
        <w:tc>
          <w:tcPr>
            <w:tcW w:w="1410" w:type="dxa"/>
          </w:tcPr>
          <w:p w:rsidR="00E828F9" w:rsidRPr="00D41308" w:rsidRDefault="00E828F9" w:rsidP="0092299C">
            <w:pPr>
              <w:pStyle w:val="ARtablecolheadright"/>
            </w:pPr>
            <w:r w:rsidRPr="00BE329A">
              <w:t>2015–16</w:t>
            </w:r>
          </w:p>
        </w:tc>
        <w:tc>
          <w:tcPr>
            <w:tcW w:w="1324" w:type="dxa"/>
          </w:tcPr>
          <w:p w:rsidR="00E828F9" w:rsidRPr="00D41308" w:rsidRDefault="00E828F9" w:rsidP="0092299C">
            <w:pPr>
              <w:pStyle w:val="ARtablecolheadright"/>
            </w:pPr>
            <w:r w:rsidRPr="00BE329A">
              <w:t>2016-17</w:t>
            </w:r>
          </w:p>
        </w:tc>
      </w:tr>
      <w:tr w:rsidR="0092299C" w:rsidRPr="00D41308" w:rsidTr="0092299C">
        <w:trPr>
          <w:cantSplit/>
        </w:trPr>
        <w:tc>
          <w:tcPr>
            <w:tcW w:w="2292" w:type="dxa"/>
            <w:vMerge w:val="restart"/>
          </w:tcPr>
          <w:p w:rsidR="0092299C" w:rsidRPr="00D41308" w:rsidRDefault="0092299C" w:rsidP="0092299C">
            <w:pPr>
              <w:pStyle w:val="ARtabletext"/>
            </w:pPr>
            <w:r w:rsidRPr="00D41308">
              <w:t>Incidents and hazards</w:t>
            </w: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No. of incidents</w:t>
            </w:r>
            <w:r w:rsidRPr="00D41308">
              <w:rPr>
                <w:rFonts w:eastAsia="Times" w:cs="Arial"/>
                <w:sz w:val="18"/>
                <w:szCs w:val="18"/>
                <w:vertAlign w:val="superscript"/>
                <w:lang w:eastAsia="en-AU"/>
              </w:rPr>
              <w:t>1</w:t>
            </w:r>
          </w:p>
        </w:tc>
        <w:tc>
          <w:tcPr>
            <w:tcW w:w="1410" w:type="dxa"/>
          </w:tcPr>
          <w:p w:rsidR="0092299C" w:rsidRPr="00D41308" w:rsidRDefault="0092299C" w:rsidP="0092299C">
            <w:pPr>
              <w:pStyle w:val="ARtabletextright"/>
            </w:pPr>
            <w:r w:rsidRPr="00D41308">
              <w:t>8,166</w:t>
            </w:r>
          </w:p>
        </w:tc>
        <w:tc>
          <w:tcPr>
            <w:tcW w:w="1410" w:type="dxa"/>
          </w:tcPr>
          <w:p w:rsidR="0092299C" w:rsidRPr="00D41308" w:rsidRDefault="0092299C" w:rsidP="0092299C">
            <w:pPr>
              <w:pStyle w:val="ARtabletextright"/>
            </w:pPr>
            <w:r w:rsidRPr="00D41308">
              <w:t>8,224</w:t>
            </w:r>
          </w:p>
        </w:tc>
        <w:tc>
          <w:tcPr>
            <w:tcW w:w="1324" w:type="dxa"/>
          </w:tcPr>
          <w:p w:rsidR="0092299C" w:rsidRPr="00D41308" w:rsidRDefault="0092299C" w:rsidP="0092299C">
            <w:pPr>
              <w:pStyle w:val="ARtabletextright"/>
            </w:pPr>
            <w:r w:rsidRPr="00D41308">
              <w:t>6,938</w:t>
            </w:r>
          </w:p>
        </w:tc>
      </w:tr>
      <w:tr w:rsidR="0092299C" w:rsidRPr="00D41308" w:rsidTr="0092299C">
        <w:trPr>
          <w:cantSplit/>
        </w:trPr>
        <w:tc>
          <w:tcPr>
            <w:tcW w:w="2292" w:type="dxa"/>
            <w:vMerge/>
          </w:tcPr>
          <w:p w:rsidR="0092299C" w:rsidRPr="00D41308" w:rsidRDefault="0092299C" w:rsidP="0092299C">
            <w:pPr>
              <w:pStyle w:val="ARtabletext"/>
            </w:pP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Rate per 100 FTE</w:t>
            </w:r>
          </w:p>
        </w:tc>
        <w:tc>
          <w:tcPr>
            <w:tcW w:w="1410" w:type="dxa"/>
          </w:tcPr>
          <w:p w:rsidR="0092299C" w:rsidRPr="00D41308" w:rsidRDefault="0092299C" w:rsidP="0092299C">
            <w:pPr>
              <w:pStyle w:val="ARtabletextright"/>
            </w:pPr>
            <w:r w:rsidRPr="00D41308">
              <w:t>73.01</w:t>
            </w:r>
          </w:p>
        </w:tc>
        <w:tc>
          <w:tcPr>
            <w:tcW w:w="1410" w:type="dxa"/>
          </w:tcPr>
          <w:p w:rsidR="0092299C" w:rsidRPr="00D41308" w:rsidRDefault="0092299C" w:rsidP="0092299C">
            <w:pPr>
              <w:pStyle w:val="ARtabletextright"/>
            </w:pPr>
            <w:r w:rsidRPr="00D41308">
              <w:t>71.81</w:t>
            </w:r>
          </w:p>
        </w:tc>
        <w:tc>
          <w:tcPr>
            <w:tcW w:w="1324" w:type="dxa"/>
          </w:tcPr>
          <w:p w:rsidR="0092299C" w:rsidRPr="00D41308" w:rsidRDefault="0092299C" w:rsidP="0092299C">
            <w:pPr>
              <w:pStyle w:val="ARtabletextright"/>
            </w:pPr>
            <w:r w:rsidRPr="00D41308">
              <w:t>61.63</w:t>
            </w:r>
          </w:p>
        </w:tc>
      </w:tr>
      <w:tr w:rsidR="0092299C" w:rsidRPr="00D41308" w:rsidTr="0092299C">
        <w:trPr>
          <w:cantSplit/>
        </w:trPr>
        <w:tc>
          <w:tcPr>
            <w:tcW w:w="2292" w:type="dxa"/>
            <w:vMerge w:val="restart"/>
          </w:tcPr>
          <w:p w:rsidR="0092299C" w:rsidRPr="00D41308" w:rsidRDefault="0092299C" w:rsidP="0092299C">
            <w:pPr>
              <w:pStyle w:val="ARtabletext"/>
            </w:pPr>
            <w:r w:rsidRPr="00D41308">
              <w:t>Claims</w:t>
            </w: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No. of standard claims</w:t>
            </w:r>
            <w:r w:rsidRPr="00D41308">
              <w:rPr>
                <w:rFonts w:eastAsia="Times" w:cs="Arial"/>
                <w:sz w:val="18"/>
                <w:szCs w:val="18"/>
                <w:vertAlign w:val="superscript"/>
                <w:lang w:eastAsia="en-AU"/>
              </w:rPr>
              <w:t>2</w:t>
            </w:r>
          </w:p>
        </w:tc>
        <w:tc>
          <w:tcPr>
            <w:tcW w:w="1410" w:type="dxa"/>
          </w:tcPr>
          <w:p w:rsidR="0092299C" w:rsidRPr="00D41308" w:rsidRDefault="0092299C" w:rsidP="0092299C">
            <w:pPr>
              <w:pStyle w:val="ARtabletextright"/>
            </w:pPr>
            <w:r w:rsidRPr="00D41308">
              <w:t>410</w:t>
            </w:r>
          </w:p>
        </w:tc>
        <w:tc>
          <w:tcPr>
            <w:tcW w:w="1410" w:type="dxa"/>
          </w:tcPr>
          <w:p w:rsidR="0092299C" w:rsidRPr="00D41308" w:rsidRDefault="0092299C" w:rsidP="0092299C">
            <w:pPr>
              <w:pStyle w:val="ARtabletextright"/>
            </w:pPr>
            <w:r w:rsidRPr="00D41308">
              <w:t>341</w:t>
            </w:r>
          </w:p>
        </w:tc>
        <w:tc>
          <w:tcPr>
            <w:tcW w:w="1324" w:type="dxa"/>
          </w:tcPr>
          <w:p w:rsidR="0092299C" w:rsidRPr="00D41308" w:rsidRDefault="0092299C" w:rsidP="0092299C">
            <w:pPr>
              <w:pStyle w:val="ARtabletextright"/>
            </w:pPr>
            <w:r w:rsidRPr="00D41308">
              <w:t>274</w:t>
            </w:r>
            <w:r w:rsidRPr="00D41308">
              <w:rPr>
                <w:vertAlign w:val="superscript"/>
              </w:rPr>
              <w:t>3</w:t>
            </w:r>
          </w:p>
        </w:tc>
      </w:tr>
      <w:tr w:rsidR="0092299C" w:rsidRPr="00D41308" w:rsidTr="0092299C">
        <w:trPr>
          <w:cantSplit/>
        </w:trPr>
        <w:tc>
          <w:tcPr>
            <w:tcW w:w="2292" w:type="dxa"/>
            <w:vMerge/>
          </w:tcPr>
          <w:p w:rsidR="0092299C" w:rsidRPr="00D41308" w:rsidRDefault="0092299C" w:rsidP="0092299C">
            <w:pPr>
              <w:spacing w:before="80" w:after="60"/>
              <w:rPr>
                <w:rFonts w:eastAsia="Times" w:cs="Arial"/>
                <w:sz w:val="18"/>
                <w:szCs w:val="18"/>
                <w:lang w:eastAsia="en-AU"/>
              </w:rPr>
            </w:pP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Rate per 100 FTE</w:t>
            </w:r>
          </w:p>
        </w:tc>
        <w:tc>
          <w:tcPr>
            <w:tcW w:w="1410" w:type="dxa"/>
          </w:tcPr>
          <w:p w:rsidR="0092299C" w:rsidRPr="00D41308" w:rsidRDefault="0092299C" w:rsidP="0092299C">
            <w:pPr>
              <w:pStyle w:val="ARtabletextright"/>
            </w:pPr>
            <w:r w:rsidRPr="00D41308">
              <w:t>3.665</w:t>
            </w:r>
          </w:p>
        </w:tc>
        <w:tc>
          <w:tcPr>
            <w:tcW w:w="1410" w:type="dxa"/>
          </w:tcPr>
          <w:p w:rsidR="0092299C" w:rsidRPr="00D41308" w:rsidRDefault="0092299C" w:rsidP="0092299C">
            <w:pPr>
              <w:pStyle w:val="ARtabletextright"/>
            </w:pPr>
            <w:r w:rsidRPr="00D41308">
              <w:t>2.977</w:t>
            </w:r>
          </w:p>
        </w:tc>
        <w:tc>
          <w:tcPr>
            <w:tcW w:w="1324" w:type="dxa"/>
          </w:tcPr>
          <w:p w:rsidR="0092299C" w:rsidRPr="00D41308" w:rsidRDefault="0092299C" w:rsidP="0092299C">
            <w:pPr>
              <w:pStyle w:val="ARtabletextright"/>
            </w:pPr>
            <w:r w:rsidRPr="00D41308">
              <w:t>2.433</w:t>
            </w:r>
          </w:p>
        </w:tc>
      </w:tr>
      <w:tr w:rsidR="0092299C" w:rsidRPr="00D41308" w:rsidTr="0092299C">
        <w:trPr>
          <w:cantSplit/>
        </w:trPr>
        <w:tc>
          <w:tcPr>
            <w:tcW w:w="2292" w:type="dxa"/>
            <w:vMerge/>
          </w:tcPr>
          <w:p w:rsidR="0092299C" w:rsidRPr="00D41308" w:rsidRDefault="0092299C" w:rsidP="0092299C">
            <w:pPr>
              <w:spacing w:before="80" w:after="60"/>
              <w:rPr>
                <w:rFonts w:eastAsia="Times" w:cs="Arial"/>
                <w:sz w:val="18"/>
                <w:szCs w:val="18"/>
                <w:lang w:eastAsia="en-AU"/>
              </w:rPr>
            </w:pP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No. of lost time claims</w:t>
            </w:r>
          </w:p>
        </w:tc>
        <w:tc>
          <w:tcPr>
            <w:tcW w:w="1410" w:type="dxa"/>
          </w:tcPr>
          <w:p w:rsidR="0092299C" w:rsidRPr="00D41308" w:rsidRDefault="0092299C" w:rsidP="0092299C">
            <w:pPr>
              <w:pStyle w:val="ARtabletextright"/>
            </w:pPr>
            <w:r w:rsidRPr="00D41308">
              <w:t>199</w:t>
            </w:r>
          </w:p>
        </w:tc>
        <w:tc>
          <w:tcPr>
            <w:tcW w:w="1410" w:type="dxa"/>
          </w:tcPr>
          <w:p w:rsidR="0092299C" w:rsidRPr="00D41308" w:rsidRDefault="0092299C" w:rsidP="0092299C">
            <w:pPr>
              <w:pStyle w:val="ARtabletextright"/>
            </w:pPr>
            <w:r w:rsidRPr="00D41308">
              <w:t>185</w:t>
            </w:r>
          </w:p>
        </w:tc>
        <w:tc>
          <w:tcPr>
            <w:tcW w:w="1324" w:type="dxa"/>
          </w:tcPr>
          <w:p w:rsidR="0092299C" w:rsidRPr="00D41308" w:rsidRDefault="0092299C" w:rsidP="0092299C">
            <w:pPr>
              <w:pStyle w:val="ARtabletextright"/>
            </w:pPr>
            <w:r w:rsidRPr="00D41308">
              <w:t>149</w:t>
            </w:r>
          </w:p>
        </w:tc>
      </w:tr>
      <w:tr w:rsidR="0092299C" w:rsidRPr="00D41308" w:rsidTr="0092299C">
        <w:trPr>
          <w:cantSplit/>
        </w:trPr>
        <w:tc>
          <w:tcPr>
            <w:tcW w:w="2292" w:type="dxa"/>
            <w:vMerge/>
          </w:tcPr>
          <w:p w:rsidR="0092299C" w:rsidRPr="00D41308" w:rsidRDefault="0092299C" w:rsidP="0092299C">
            <w:pPr>
              <w:spacing w:before="80" w:after="60"/>
              <w:rPr>
                <w:rFonts w:eastAsia="Times" w:cs="Arial"/>
                <w:sz w:val="18"/>
                <w:szCs w:val="18"/>
                <w:lang w:eastAsia="en-AU"/>
              </w:rPr>
            </w:pP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Rate per 100 FTE</w:t>
            </w:r>
          </w:p>
        </w:tc>
        <w:tc>
          <w:tcPr>
            <w:tcW w:w="1410" w:type="dxa"/>
          </w:tcPr>
          <w:p w:rsidR="0092299C" w:rsidRPr="00D41308" w:rsidRDefault="0092299C" w:rsidP="0092299C">
            <w:pPr>
              <w:pStyle w:val="ARtabletextright"/>
            </w:pPr>
            <w:r w:rsidRPr="00D41308">
              <w:t>1.779</w:t>
            </w:r>
          </w:p>
        </w:tc>
        <w:tc>
          <w:tcPr>
            <w:tcW w:w="1410" w:type="dxa"/>
          </w:tcPr>
          <w:p w:rsidR="0092299C" w:rsidRPr="00D41308" w:rsidRDefault="0092299C" w:rsidP="0092299C">
            <w:pPr>
              <w:pStyle w:val="ARtabletextright"/>
            </w:pPr>
            <w:r w:rsidRPr="00D41308">
              <w:t>1.615</w:t>
            </w:r>
          </w:p>
        </w:tc>
        <w:tc>
          <w:tcPr>
            <w:tcW w:w="1324" w:type="dxa"/>
          </w:tcPr>
          <w:p w:rsidR="0092299C" w:rsidRPr="00D41308" w:rsidRDefault="0092299C" w:rsidP="0092299C">
            <w:pPr>
              <w:pStyle w:val="ARtabletextright"/>
            </w:pPr>
            <w:r w:rsidRPr="00D41308">
              <w:t>1.323</w:t>
            </w:r>
          </w:p>
        </w:tc>
      </w:tr>
      <w:tr w:rsidR="0092299C" w:rsidRPr="00D41308" w:rsidTr="0092299C">
        <w:trPr>
          <w:cantSplit/>
        </w:trPr>
        <w:tc>
          <w:tcPr>
            <w:tcW w:w="2292" w:type="dxa"/>
            <w:vMerge/>
          </w:tcPr>
          <w:p w:rsidR="0092299C" w:rsidRPr="00D41308" w:rsidRDefault="0092299C" w:rsidP="0092299C">
            <w:pPr>
              <w:spacing w:before="80" w:after="60"/>
              <w:rPr>
                <w:rFonts w:eastAsia="Times" w:cs="Arial"/>
                <w:sz w:val="18"/>
                <w:szCs w:val="18"/>
                <w:lang w:eastAsia="en-AU"/>
              </w:rPr>
            </w:pP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No. of claims exceeding 13 weeks</w:t>
            </w:r>
            <w:r w:rsidRPr="00D41308">
              <w:rPr>
                <w:rFonts w:eastAsia="Times" w:cs="Arial"/>
                <w:sz w:val="18"/>
                <w:szCs w:val="18"/>
                <w:vertAlign w:val="superscript"/>
                <w:lang w:eastAsia="en-AU"/>
              </w:rPr>
              <w:t>4</w:t>
            </w:r>
          </w:p>
        </w:tc>
        <w:tc>
          <w:tcPr>
            <w:tcW w:w="1410" w:type="dxa"/>
          </w:tcPr>
          <w:p w:rsidR="0092299C" w:rsidRPr="00D41308" w:rsidRDefault="0092299C" w:rsidP="0092299C">
            <w:pPr>
              <w:pStyle w:val="ARtabletextright"/>
            </w:pPr>
            <w:r w:rsidRPr="00D41308">
              <w:t>100</w:t>
            </w:r>
          </w:p>
        </w:tc>
        <w:tc>
          <w:tcPr>
            <w:tcW w:w="1410" w:type="dxa"/>
          </w:tcPr>
          <w:p w:rsidR="0092299C" w:rsidRPr="00D41308" w:rsidRDefault="0092299C" w:rsidP="0092299C">
            <w:pPr>
              <w:pStyle w:val="ARtabletextright"/>
            </w:pPr>
            <w:r w:rsidRPr="00D41308">
              <w:t>79</w:t>
            </w:r>
          </w:p>
        </w:tc>
        <w:tc>
          <w:tcPr>
            <w:tcW w:w="1324" w:type="dxa"/>
          </w:tcPr>
          <w:p w:rsidR="0092299C" w:rsidRPr="00D41308" w:rsidRDefault="0092299C" w:rsidP="0092299C">
            <w:pPr>
              <w:pStyle w:val="ARtabletextright"/>
            </w:pPr>
            <w:r w:rsidRPr="00D41308">
              <w:t>76</w:t>
            </w:r>
          </w:p>
        </w:tc>
      </w:tr>
      <w:tr w:rsidR="0092299C" w:rsidRPr="00D41308" w:rsidTr="0092299C">
        <w:trPr>
          <w:cantSplit/>
        </w:trPr>
        <w:tc>
          <w:tcPr>
            <w:tcW w:w="2292" w:type="dxa"/>
            <w:vMerge/>
          </w:tcPr>
          <w:p w:rsidR="0092299C" w:rsidRPr="00D41308" w:rsidRDefault="0092299C" w:rsidP="0092299C">
            <w:pPr>
              <w:spacing w:before="80" w:after="60"/>
              <w:rPr>
                <w:rFonts w:eastAsia="Times" w:cs="Arial"/>
                <w:sz w:val="18"/>
                <w:szCs w:val="18"/>
                <w:lang w:eastAsia="en-AU"/>
              </w:rPr>
            </w:pP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Rate per 100 FTE</w:t>
            </w:r>
          </w:p>
        </w:tc>
        <w:tc>
          <w:tcPr>
            <w:tcW w:w="1410" w:type="dxa"/>
          </w:tcPr>
          <w:p w:rsidR="0092299C" w:rsidRPr="00D41308" w:rsidRDefault="0092299C" w:rsidP="0092299C">
            <w:pPr>
              <w:pStyle w:val="ARtabletextright"/>
            </w:pPr>
            <w:r w:rsidRPr="00D41308">
              <w:t>0.894</w:t>
            </w:r>
          </w:p>
        </w:tc>
        <w:tc>
          <w:tcPr>
            <w:tcW w:w="1410" w:type="dxa"/>
          </w:tcPr>
          <w:p w:rsidR="0092299C" w:rsidRPr="00D41308" w:rsidRDefault="0092299C" w:rsidP="0092299C">
            <w:pPr>
              <w:pStyle w:val="ARtabletextright"/>
            </w:pPr>
            <w:r w:rsidRPr="00D41308">
              <w:t>0.690</w:t>
            </w:r>
          </w:p>
        </w:tc>
        <w:tc>
          <w:tcPr>
            <w:tcW w:w="1324" w:type="dxa"/>
          </w:tcPr>
          <w:p w:rsidR="0092299C" w:rsidRPr="00D41308" w:rsidRDefault="0092299C" w:rsidP="0092299C">
            <w:pPr>
              <w:pStyle w:val="ARtabletextright"/>
            </w:pPr>
            <w:r w:rsidRPr="00D41308">
              <w:t>0.675</w:t>
            </w:r>
          </w:p>
        </w:tc>
      </w:tr>
      <w:tr w:rsidR="0092299C" w:rsidRPr="00D41308" w:rsidTr="0092299C">
        <w:trPr>
          <w:cantSplit/>
        </w:trPr>
        <w:tc>
          <w:tcPr>
            <w:tcW w:w="2292" w:type="dxa"/>
          </w:tcPr>
          <w:p w:rsidR="0092299C" w:rsidRPr="00D41308" w:rsidRDefault="0092299C" w:rsidP="0092299C">
            <w:pPr>
              <w:pStyle w:val="ARtabletext"/>
            </w:pPr>
            <w:r w:rsidRPr="00D41308">
              <w:t>Fatalities</w:t>
            </w:r>
          </w:p>
        </w:tc>
        <w:tc>
          <w:tcPr>
            <w:tcW w:w="3203" w:type="dxa"/>
          </w:tcPr>
          <w:p w:rsidR="0092299C" w:rsidRPr="00D41308" w:rsidRDefault="0092299C" w:rsidP="0092299C">
            <w:pPr>
              <w:pStyle w:val="ARtabletext"/>
            </w:pPr>
            <w:r w:rsidRPr="00D41308">
              <w:t>No. of fatalities</w:t>
            </w:r>
          </w:p>
        </w:tc>
        <w:tc>
          <w:tcPr>
            <w:tcW w:w="1410" w:type="dxa"/>
          </w:tcPr>
          <w:p w:rsidR="0092299C" w:rsidRPr="00D41308" w:rsidRDefault="0092299C" w:rsidP="0092299C">
            <w:pPr>
              <w:pStyle w:val="ARtabletextright"/>
            </w:pPr>
            <w:r w:rsidRPr="00D41308">
              <w:t>0</w:t>
            </w:r>
          </w:p>
        </w:tc>
        <w:tc>
          <w:tcPr>
            <w:tcW w:w="1410" w:type="dxa"/>
          </w:tcPr>
          <w:p w:rsidR="0092299C" w:rsidRPr="00D41308" w:rsidRDefault="0092299C" w:rsidP="0092299C">
            <w:pPr>
              <w:pStyle w:val="ARtabletextright"/>
            </w:pPr>
            <w:r w:rsidRPr="00D41308">
              <w:t>0</w:t>
            </w:r>
          </w:p>
        </w:tc>
        <w:tc>
          <w:tcPr>
            <w:tcW w:w="1324" w:type="dxa"/>
          </w:tcPr>
          <w:p w:rsidR="0092299C" w:rsidRPr="00D41308" w:rsidRDefault="0092299C" w:rsidP="0092299C">
            <w:pPr>
              <w:pStyle w:val="ARtabletextright"/>
            </w:pPr>
            <w:r w:rsidRPr="00D41308">
              <w:t>0</w:t>
            </w:r>
          </w:p>
        </w:tc>
      </w:tr>
      <w:tr w:rsidR="0092299C" w:rsidRPr="00D41308" w:rsidTr="0092299C">
        <w:trPr>
          <w:cantSplit/>
        </w:trPr>
        <w:tc>
          <w:tcPr>
            <w:tcW w:w="2292"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Claims costs</w:t>
            </w:r>
            <w:r w:rsidRPr="00D41308">
              <w:rPr>
                <w:rFonts w:eastAsia="Times" w:cs="Arial"/>
                <w:sz w:val="18"/>
                <w:szCs w:val="18"/>
                <w:vertAlign w:val="superscript"/>
                <w:lang w:eastAsia="en-AU"/>
              </w:rPr>
              <w:t>4</w:t>
            </w:r>
          </w:p>
        </w:tc>
        <w:tc>
          <w:tcPr>
            <w:tcW w:w="3203" w:type="dxa"/>
          </w:tcPr>
          <w:p w:rsidR="0092299C" w:rsidRPr="00D41308" w:rsidRDefault="0092299C" w:rsidP="0092299C">
            <w:pPr>
              <w:spacing w:before="80" w:after="60"/>
              <w:rPr>
                <w:rFonts w:eastAsia="Times" w:cs="Arial"/>
                <w:sz w:val="18"/>
                <w:szCs w:val="18"/>
                <w:lang w:eastAsia="en-AU"/>
              </w:rPr>
            </w:pPr>
            <w:r w:rsidRPr="00D41308">
              <w:rPr>
                <w:rFonts w:eastAsia="Times" w:cs="Arial"/>
                <w:sz w:val="18"/>
                <w:szCs w:val="18"/>
                <w:lang w:eastAsia="en-AU"/>
              </w:rPr>
              <w:t>Average cost per standard claim</w:t>
            </w:r>
            <w:r w:rsidRPr="00D41308">
              <w:rPr>
                <w:rFonts w:eastAsia="Times" w:cs="Arial"/>
                <w:sz w:val="18"/>
                <w:szCs w:val="18"/>
                <w:vertAlign w:val="superscript"/>
                <w:lang w:eastAsia="en-AU"/>
              </w:rPr>
              <w:t>6</w:t>
            </w:r>
          </w:p>
        </w:tc>
        <w:tc>
          <w:tcPr>
            <w:tcW w:w="1410" w:type="dxa"/>
          </w:tcPr>
          <w:p w:rsidR="0092299C" w:rsidRPr="00D41308" w:rsidRDefault="0092299C" w:rsidP="0092299C">
            <w:pPr>
              <w:pStyle w:val="ARtabletextright"/>
            </w:pPr>
            <w:r w:rsidRPr="00D41308">
              <w:t>$59,688</w:t>
            </w:r>
          </w:p>
        </w:tc>
        <w:tc>
          <w:tcPr>
            <w:tcW w:w="1410" w:type="dxa"/>
          </w:tcPr>
          <w:p w:rsidR="0092299C" w:rsidRPr="00D41308" w:rsidRDefault="0092299C" w:rsidP="0092299C">
            <w:pPr>
              <w:pStyle w:val="ARtabletextright"/>
            </w:pPr>
            <w:r w:rsidRPr="00D41308">
              <w:t>$48,274</w:t>
            </w:r>
          </w:p>
        </w:tc>
        <w:tc>
          <w:tcPr>
            <w:tcW w:w="1324" w:type="dxa"/>
          </w:tcPr>
          <w:p w:rsidR="0092299C" w:rsidRPr="00D41308" w:rsidRDefault="0092299C" w:rsidP="0092299C">
            <w:pPr>
              <w:pStyle w:val="ARtabletextright"/>
            </w:pPr>
            <w:r w:rsidRPr="00D41308">
              <w:t>$73,939</w:t>
            </w:r>
          </w:p>
        </w:tc>
      </w:tr>
    </w:tbl>
    <w:p w:rsidR="0092299C" w:rsidRPr="00D41308" w:rsidRDefault="0092299C" w:rsidP="0092299C">
      <w:pPr>
        <w:pStyle w:val="ARtablefootnote"/>
      </w:pPr>
      <w:r w:rsidRPr="00D41308">
        <w:t>2014</w:t>
      </w:r>
      <w:r>
        <w:t>–</w:t>
      </w:r>
      <w:r w:rsidRPr="00D41308">
        <w:t>15 figures represent the sum of Department of Health and the Department of Human Services figures.</w:t>
      </w:r>
    </w:p>
    <w:p w:rsidR="0092299C" w:rsidRPr="00D41308" w:rsidRDefault="0092299C" w:rsidP="0092299C">
      <w:pPr>
        <w:pStyle w:val="ARtablefootnote"/>
      </w:pPr>
      <w:r w:rsidRPr="00D41308">
        <w:t>FTE: full-time equivalent; OHS: occupational health and safety</w:t>
      </w:r>
      <w:r>
        <w:t>.</w:t>
      </w:r>
    </w:p>
    <w:p w:rsidR="0092299C" w:rsidRPr="00D41308" w:rsidRDefault="0092299C" w:rsidP="006C7DE0">
      <w:pPr>
        <w:pStyle w:val="ARtablefootnote"/>
        <w:numPr>
          <w:ilvl w:val="0"/>
          <w:numId w:val="66"/>
        </w:numPr>
      </w:pPr>
      <w:r w:rsidRPr="00D41308">
        <w:t>Figures for 2014–15 and 2015–16 are recorded incidents as at June 2017.</w:t>
      </w:r>
    </w:p>
    <w:p w:rsidR="0092299C" w:rsidRPr="00D41308" w:rsidRDefault="0092299C" w:rsidP="006C7DE0">
      <w:pPr>
        <w:pStyle w:val="ARtablefootnote"/>
        <w:numPr>
          <w:ilvl w:val="0"/>
          <w:numId w:val="66"/>
        </w:numPr>
      </w:pPr>
      <w:r w:rsidRPr="00D41308">
        <w:t>Includes accepted, pend</w:t>
      </w:r>
      <w:r>
        <w:t>ing</w:t>
      </w:r>
      <w:r w:rsidRPr="00D41308">
        <w:t xml:space="preserve"> and rejected claims that met the standard claims threshold.</w:t>
      </w:r>
    </w:p>
    <w:p w:rsidR="0092299C" w:rsidRPr="00D41308" w:rsidRDefault="0092299C" w:rsidP="006C7DE0">
      <w:pPr>
        <w:pStyle w:val="ARtablefootnote"/>
        <w:numPr>
          <w:ilvl w:val="0"/>
          <w:numId w:val="66"/>
        </w:numPr>
      </w:pPr>
      <w:r w:rsidRPr="00D41308">
        <w:t>Number and rate per 100 FTE excludes Youth Justice claims which were transferred to Department of Justice and Regulation.</w:t>
      </w:r>
    </w:p>
    <w:p w:rsidR="0092299C" w:rsidRPr="00D41308" w:rsidRDefault="0092299C" w:rsidP="006C7DE0">
      <w:pPr>
        <w:pStyle w:val="ARtablefootnote"/>
        <w:numPr>
          <w:ilvl w:val="0"/>
          <w:numId w:val="66"/>
        </w:numPr>
      </w:pPr>
      <w:r w:rsidRPr="00D41308">
        <w:t>Data extracted with a six-month lag to allow for claims to reach 13 weeks compensation.</w:t>
      </w:r>
    </w:p>
    <w:p w:rsidR="0092299C" w:rsidRPr="00D41308" w:rsidRDefault="0092299C" w:rsidP="006C7DE0">
      <w:pPr>
        <w:pStyle w:val="ARtablefootnote"/>
        <w:numPr>
          <w:ilvl w:val="0"/>
          <w:numId w:val="66"/>
        </w:numPr>
      </w:pPr>
      <w:r w:rsidRPr="00D41308">
        <w:t>Includes payments and estimated future costs.</w:t>
      </w:r>
    </w:p>
    <w:p w:rsidR="0092299C" w:rsidRDefault="0092299C" w:rsidP="006C7DE0">
      <w:pPr>
        <w:pStyle w:val="ARtablefootnote"/>
        <w:numPr>
          <w:ilvl w:val="0"/>
          <w:numId w:val="66"/>
        </w:numPr>
      </w:pPr>
      <w:r w:rsidRPr="00D41308">
        <w:t>Data extracted with a three-month lag to allow for the claims estimate to develop to give an accurate picture of associated costs. Figures for 2014–15 and 2015–16 are calculated as at June 2017.</w:t>
      </w:r>
    </w:p>
    <w:p w:rsidR="001C3DAF" w:rsidRPr="00D41308" w:rsidRDefault="001C3DAF" w:rsidP="0092299C">
      <w:pPr>
        <w:pStyle w:val="ARtablefootnot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72"/>
        <w:gridCol w:w="2102"/>
        <w:gridCol w:w="6165"/>
      </w:tblGrid>
      <w:tr w:rsidR="0092299C" w:rsidRPr="00FC6F3E" w:rsidTr="0092299C">
        <w:trPr>
          <w:cantSplit/>
          <w:tblHeader/>
        </w:trPr>
        <w:tc>
          <w:tcPr>
            <w:tcW w:w="1372" w:type="dxa"/>
            <w:vAlign w:val="bottom"/>
          </w:tcPr>
          <w:p w:rsidR="0092299C" w:rsidRPr="00FC6F3E" w:rsidRDefault="0092299C" w:rsidP="0092299C">
            <w:pPr>
              <w:pStyle w:val="ARtablecolhead"/>
            </w:pPr>
            <w:r w:rsidRPr="00FC6F3E">
              <w:t>Measure</w:t>
            </w:r>
          </w:p>
        </w:tc>
        <w:tc>
          <w:tcPr>
            <w:tcW w:w="0" w:type="auto"/>
            <w:vAlign w:val="bottom"/>
          </w:tcPr>
          <w:p w:rsidR="0092299C" w:rsidRPr="00FC6F3E" w:rsidRDefault="0092299C" w:rsidP="0092299C">
            <w:pPr>
              <w:pStyle w:val="ARtablecolhead"/>
            </w:pPr>
            <w:r w:rsidRPr="00FC6F3E">
              <w:t>KPI</w:t>
            </w:r>
          </w:p>
        </w:tc>
        <w:tc>
          <w:tcPr>
            <w:tcW w:w="0" w:type="auto"/>
            <w:vAlign w:val="bottom"/>
          </w:tcPr>
          <w:p w:rsidR="0092299C" w:rsidRPr="00FC6F3E" w:rsidRDefault="0092299C" w:rsidP="0092299C">
            <w:pPr>
              <w:pStyle w:val="ARtablecolhead"/>
            </w:pPr>
            <w:r w:rsidRPr="00FC6F3E">
              <w:t>Performance</w:t>
            </w:r>
          </w:p>
        </w:tc>
      </w:tr>
      <w:tr w:rsidR="0092299C" w:rsidRPr="00FC6F3E" w:rsidTr="0092299C">
        <w:trPr>
          <w:cantSplit/>
          <w:trHeight w:val="720"/>
        </w:trPr>
        <w:tc>
          <w:tcPr>
            <w:tcW w:w="1372" w:type="dxa"/>
          </w:tcPr>
          <w:p w:rsidR="0092299C" w:rsidRPr="00D41308" w:rsidRDefault="0092299C" w:rsidP="0092299C">
            <w:pPr>
              <w:pStyle w:val="ARtabletext"/>
            </w:pPr>
            <w:r w:rsidRPr="00D41308">
              <w:t>Management commitment</w:t>
            </w:r>
          </w:p>
        </w:tc>
        <w:tc>
          <w:tcPr>
            <w:tcW w:w="0" w:type="auto"/>
          </w:tcPr>
          <w:p w:rsidR="0092299C" w:rsidRPr="00D41308" w:rsidRDefault="0092299C" w:rsidP="0092299C">
            <w:pPr>
              <w:pStyle w:val="ARtabletext"/>
            </w:pPr>
            <w:r w:rsidRPr="00D41308">
              <w:t>OHS policy statement and OHS criteria</w:t>
            </w:r>
          </w:p>
        </w:tc>
        <w:tc>
          <w:tcPr>
            <w:tcW w:w="0" w:type="auto"/>
          </w:tcPr>
          <w:p w:rsidR="0092299C" w:rsidRPr="00D41308" w:rsidRDefault="0092299C" w:rsidP="0092299C">
            <w:pPr>
              <w:pStyle w:val="ARtabletext"/>
            </w:pPr>
            <w:r w:rsidRPr="00D41308">
              <w:t xml:space="preserve">The </w:t>
            </w:r>
            <w:r w:rsidRPr="005D353C">
              <w:rPr>
                <w:i/>
              </w:rPr>
              <w:t xml:space="preserve">Health, </w:t>
            </w:r>
            <w:r>
              <w:rPr>
                <w:i/>
              </w:rPr>
              <w:t>s</w:t>
            </w:r>
            <w:r w:rsidRPr="005D353C">
              <w:rPr>
                <w:i/>
              </w:rPr>
              <w:t xml:space="preserve">afety and </w:t>
            </w:r>
            <w:r>
              <w:rPr>
                <w:i/>
              </w:rPr>
              <w:t>w</w:t>
            </w:r>
            <w:r w:rsidRPr="005D353C">
              <w:rPr>
                <w:i/>
              </w:rPr>
              <w:t xml:space="preserve">ellbeing </w:t>
            </w:r>
            <w:r>
              <w:rPr>
                <w:i/>
              </w:rPr>
              <w:t>s</w:t>
            </w:r>
            <w:r w:rsidRPr="005D353C">
              <w:rPr>
                <w:i/>
              </w:rPr>
              <w:t>trategy 2016–20</w:t>
            </w:r>
            <w:r w:rsidRPr="00D41308">
              <w:t xml:space="preserve"> was launched by the department’s executive board.</w:t>
            </w:r>
          </w:p>
          <w:p w:rsidR="0092299C" w:rsidRPr="00D41308" w:rsidRDefault="0092299C" w:rsidP="0092299C">
            <w:pPr>
              <w:pStyle w:val="ARtabletext"/>
            </w:pPr>
            <w:r w:rsidRPr="00D41308">
              <w:t xml:space="preserve">The department is represented on the whole-of-government OHS committees that have been established in partnership with unions and </w:t>
            </w:r>
            <w:proofErr w:type="spellStart"/>
            <w:r w:rsidRPr="00D41308">
              <w:t>WorkSafe</w:t>
            </w:r>
            <w:proofErr w:type="spellEnd"/>
            <w:r w:rsidRPr="00D41308">
              <w:t xml:space="preserve"> to lead and improve OHS performance in the public sector.</w:t>
            </w:r>
          </w:p>
          <w:p w:rsidR="0092299C" w:rsidRPr="00D41308" w:rsidRDefault="0092299C" w:rsidP="0092299C">
            <w:pPr>
              <w:pStyle w:val="ARtabletext"/>
            </w:pPr>
            <w:r w:rsidRPr="00D41308">
              <w:t>There has been continued progress on development and implementation of key elements of an OHS management system (OHSMS) for the department to meet the relevant national standard AS4801.</w:t>
            </w:r>
          </w:p>
          <w:p w:rsidR="0092299C" w:rsidRPr="00D41308" w:rsidRDefault="0092299C" w:rsidP="0092299C">
            <w:pPr>
              <w:pStyle w:val="ARtabletext"/>
            </w:pPr>
            <w:r w:rsidRPr="00D41308">
              <w:t>The Wellbeing Committee is leading proactive and preventive activity to protect and improve the mental and physical wellbeing of staff.</w:t>
            </w:r>
          </w:p>
          <w:p w:rsidR="0092299C" w:rsidRPr="00D41308" w:rsidRDefault="0092299C" w:rsidP="0092299C">
            <w:pPr>
              <w:pStyle w:val="ARtabletext"/>
            </w:pPr>
            <w:r w:rsidRPr="00D41308">
              <w:t>Workers compensation performance reports are provided to senior leaders on a monthly basis. Middle and senior managers have desktop access to OHS performance reports through the department’s corporate reporting tool.</w:t>
            </w:r>
          </w:p>
        </w:tc>
      </w:tr>
      <w:tr w:rsidR="0092299C" w:rsidRPr="000C6310" w:rsidTr="0092299C">
        <w:trPr>
          <w:cantSplit/>
          <w:trHeight w:val="720"/>
        </w:trPr>
        <w:tc>
          <w:tcPr>
            <w:tcW w:w="1372" w:type="dxa"/>
          </w:tcPr>
          <w:p w:rsidR="0092299C" w:rsidRPr="00FC6F3E" w:rsidRDefault="0092299C" w:rsidP="0092299C">
            <w:pPr>
              <w:pStyle w:val="ARtabletext"/>
            </w:pPr>
            <w:r w:rsidRPr="00FC6F3E">
              <w:lastRenderedPageBreak/>
              <w:t>Consultation and participation</w:t>
            </w:r>
          </w:p>
        </w:tc>
        <w:tc>
          <w:tcPr>
            <w:tcW w:w="0" w:type="auto"/>
          </w:tcPr>
          <w:p w:rsidR="0092299C" w:rsidRPr="00FC6F3E" w:rsidRDefault="0092299C" w:rsidP="0092299C">
            <w:pPr>
              <w:pStyle w:val="ARtabletext"/>
            </w:pPr>
            <w:r w:rsidRPr="00FC6F3E">
              <w:t>Designated work group structures and issue resolution procedures</w:t>
            </w:r>
          </w:p>
        </w:tc>
        <w:tc>
          <w:tcPr>
            <w:tcW w:w="0" w:type="auto"/>
          </w:tcPr>
          <w:p w:rsidR="0092299C" w:rsidRPr="00FC6F3E" w:rsidRDefault="0092299C" w:rsidP="0092299C">
            <w:pPr>
              <w:pStyle w:val="ARtabletext"/>
            </w:pPr>
            <w:r w:rsidRPr="00FC6F3E">
              <w:t xml:space="preserve">The department has in place a comprehensive cascading OHS consultation structure comprising committees at the area, divisional and </w:t>
            </w:r>
            <w:proofErr w:type="spellStart"/>
            <w:r w:rsidRPr="00FC6F3E">
              <w:t>statewide</w:t>
            </w:r>
            <w:proofErr w:type="spellEnd"/>
            <w:r w:rsidRPr="00FC6F3E">
              <w:t xml:space="preserve"> level. Committee meetings follow a coordinated schedule to ensure timely escalation and resolution of any identified OHS issues.</w:t>
            </w:r>
          </w:p>
          <w:p w:rsidR="0092299C" w:rsidRPr="00FC6F3E" w:rsidRDefault="0092299C" w:rsidP="0092299C">
            <w:pPr>
              <w:pStyle w:val="ARtabletext"/>
            </w:pPr>
            <w:r w:rsidRPr="00FC6F3E">
              <w:t>The department is trialling implementation of an electronic incident and hazard reporting system in four locations. This system, once fully implemented, will drive greater accountability and more timely follow up and will allow access to real-time data which will allow the department to be more proactive.</w:t>
            </w:r>
          </w:p>
          <w:p w:rsidR="0092299C" w:rsidRPr="00FC6F3E" w:rsidRDefault="0092299C" w:rsidP="0092299C">
            <w:pPr>
              <w:pStyle w:val="ARtabletext"/>
            </w:pPr>
            <w:r w:rsidRPr="00FC6F3E">
              <w:t>The department continues to maintain an extensive network of 484</w:t>
            </w:r>
            <w:r>
              <w:t> </w:t>
            </w:r>
            <w:r w:rsidRPr="00FC6F3E">
              <w:t>designated work groups with 436 health and safety representatives and 131</w:t>
            </w:r>
            <w:r>
              <w:t> </w:t>
            </w:r>
            <w:r w:rsidRPr="00FC6F3E">
              <w:t>designated management representatives.</w:t>
            </w:r>
          </w:p>
        </w:tc>
      </w:tr>
      <w:tr w:rsidR="0092299C" w:rsidRPr="00E05A53" w:rsidTr="0092299C">
        <w:trPr>
          <w:cantSplit/>
          <w:trHeight w:val="2200"/>
        </w:trPr>
        <w:tc>
          <w:tcPr>
            <w:tcW w:w="1372" w:type="dxa"/>
          </w:tcPr>
          <w:p w:rsidR="0092299C" w:rsidRPr="00E05A53" w:rsidRDefault="0092299C" w:rsidP="0092299C">
            <w:pPr>
              <w:pStyle w:val="ARtabletext"/>
            </w:pPr>
            <w:r w:rsidRPr="00E05A53">
              <w:t>Risk management</w:t>
            </w:r>
          </w:p>
        </w:tc>
        <w:tc>
          <w:tcPr>
            <w:tcW w:w="0" w:type="auto"/>
          </w:tcPr>
          <w:p w:rsidR="0092299C" w:rsidRPr="00E05A53" w:rsidRDefault="0092299C" w:rsidP="0092299C">
            <w:pPr>
              <w:pStyle w:val="ARtabletext"/>
            </w:pPr>
            <w:r w:rsidRPr="00E05A53">
              <w:t>Regular internal audits conducted and issues identified and actioned</w:t>
            </w:r>
          </w:p>
        </w:tc>
        <w:tc>
          <w:tcPr>
            <w:tcW w:w="0" w:type="auto"/>
          </w:tcPr>
          <w:p w:rsidR="0092299C" w:rsidRPr="00E05A53" w:rsidRDefault="0092299C" w:rsidP="0092299C">
            <w:pPr>
              <w:pStyle w:val="ARtabletext"/>
            </w:pPr>
            <w:r w:rsidRPr="00E05A53">
              <w:t>The department’s mechanisms for identifying and controlling OHS hazards to prevent or reduce the likelihood of harm include</w:t>
            </w:r>
            <w:r>
              <w:t xml:space="preserve"> </w:t>
            </w:r>
            <w:r w:rsidRPr="00E05A53">
              <w:t xml:space="preserve">disease, injury, near miss and accident </w:t>
            </w:r>
            <w:r>
              <w:t>(</w:t>
            </w:r>
            <w:r w:rsidRPr="00E05A53">
              <w:t>DINMA</w:t>
            </w:r>
            <w:r>
              <w:t>)</w:t>
            </w:r>
            <w:r w:rsidRPr="00E05A53">
              <w:t xml:space="preserve"> reports, specific risk management tools and workplace inspections.</w:t>
            </w:r>
          </w:p>
          <w:p w:rsidR="0092299C" w:rsidRPr="00E05A53" w:rsidRDefault="0092299C" w:rsidP="0092299C">
            <w:pPr>
              <w:pStyle w:val="ARtabletext"/>
            </w:pPr>
            <w:r w:rsidRPr="00E05A53">
              <w:t>Specific interventions and supports to reduce the likelihood or impact of injuries from occupational violence, manual handling and work-related stress resulted in decreased claims and incidents for these injury types. There is ongoing activity to improve the management of occupational violence risks in uncontrolled environments.</w:t>
            </w:r>
          </w:p>
          <w:p w:rsidR="0092299C" w:rsidRPr="00E05A53" w:rsidRDefault="0092299C" w:rsidP="0092299C">
            <w:pPr>
              <w:pStyle w:val="ARtabletext"/>
            </w:pPr>
            <w:proofErr w:type="spellStart"/>
            <w:r w:rsidRPr="00E05A53">
              <w:t>WorkSafe</w:t>
            </w:r>
            <w:proofErr w:type="spellEnd"/>
            <w:r w:rsidRPr="00E05A53">
              <w:t xml:space="preserve"> made 331 visits to the department’s worksites and issued 48 </w:t>
            </w:r>
            <w:proofErr w:type="spellStart"/>
            <w:r w:rsidRPr="00E05A53">
              <w:t>WorkSafe</w:t>
            </w:r>
            <w:proofErr w:type="spellEnd"/>
            <w:r w:rsidRPr="00E05A53">
              <w:t xml:space="preserve"> notices.</w:t>
            </w:r>
          </w:p>
          <w:p w:rsidR="0092299C" w:rsidRPr="00E05A53" w:rsidRDefault="0092299C" w:rsidP="0092299C">
            <w:pPr>
              <w:pStyle w:val="ARtabletext"/>
            </w:pPr>
            <w:r w:rsidRPr="00E05A53">
              <w:t>There were 349 critical incident response management (CIRM) interventions provided to 1</w:t>
            </w:r>
            <w:r>
              <w:t>,</w:t>
            </w:r>
            <w:r w:rsidRPr="00E05A53">
              <w:t xml:space="preserve">215 employees in response to incidents in </w:t>
            </w:r>
            <w:r>
              <w:t>the department’s</w:t>
            </w:r>
            <w:r w:rsidRPr="00E05A53">
              <w:t xml:space="preserve"> workplaces.</w:t>
            </w:r>
          </w:p>
          <w:p w:rsidR="0092299C" w:rsidRPr="00E05A53" w:rsidRDefault="0092299C" w:rsidP="0092299C">
            <w:pPr>
              <w:pStyle w:val="ARtabletext"/>
            </w:pPr>
            <w:r w:rsidRPr="00E05A53">
              <w:t>1</w:t>
            </w:r>
            <w:r>
              <w:t>,</w:t>
            </w:r>
            <w:r w:rsidRPr="00E05A53">
              <w:t xml:space="preserve">360 employees were supported to participate in the </w:t>
            </w:r>
            <w:proofErr w:type="spellStart"/>
            <w:r w:rsidRPr="00E05A53">
              <w:t>Stepathlon</w:t>
            </w:r>
            <w:proofErr w:type="spellEnd"/>
            <w:r w:rsidRPr="00E05A53">
              <w:t xml:space="preserve"> program with evaluation results showing significant improvements in physical and mental wellbeing of participants.</w:t>
            </w:r>
          </w:p>
        </w:tc>
      </w:tr>
      <w:tr w:rsidR="0092299C" w:rsidRPr="00E05A53" w:rsidTr="0092299C">
        <w:trPr>
          <w:cantSplit/>
          <w:trHeight w:val="3143"/>
        </w:trPr>
        <w:tc>
          <w:tcPr>
            <w:tcW w:w="1372" w:type="dxa"/>
          </w:tcPr>
          <w:p w:rsidR="0092299C" w:rsidRPr="00E05A53" w:rsidRDefault="0092299C" w:rsidP="0092299C">
            <w:pPr>
              <w:pStyle w:val="ARtabletext"/>
            </w:pPr>
            <w:r w:rsidRPr="00E05A53">
              <w:t>Training</w:t>
            </w:r>
          </w:p>
        </w:tc>
        <w:tc>
          <w:tcPr>
            <w:tcW w:w="0" w:type="auto"/>
          </w:tcPr>
          <w:p w:rsidR="0092299C" w:rsidRPr="00E05A53" w:rsidRDefault="0092299C" w:rsidP="0092299C">
            <w:pPr>
              <w:pStyle w:val="ARtabletext"/>
            </w:pPr>
            <w:r w:rsidRPr="00E05A53">
              <w:t xml:space="preserve">Managers, health and safety representatives and other staff trained </w:t>
            </w:r>
          </w:p>
        </w:tc>
        <w:tc>
          <w:tcPr>
            <w:tcW w:w="0" w:type="auto"/>
          </w:tcPr>
          <w:p w:rsidR="0092299C" w:rsidRPr="00E05A53" w:rsidRDefault="0092299C" w:rsidP="0092299C">
            <w:pPr>
              <w:pStyle w:val="ARtabletext"/>
            </w:pPr>
            <w:r w:rsidRPr="00E05A53">
              <w:t>The department’s Managing Safe Workplaces training program was delivered to 130 managers.</w:t>
            </w:r>
          </w:p>
          <w:p w:rsidR="0092299C" w:rsidRPr="00E05A53" w:rsidRDefault="0092299C" w:rsidP="0092299C">
            <w:pPr>
              <w:pStyle w:val="ARtabletext"/>
            </w:pPr>
            <w:r w:rsidRPr="00E05A53">
              <w:t>All health and safety representatives elected in 2016–17 were encouraged and supported by the department to undertake the five-day health and safety representative training program.</w:t>
            </w:r>
          </w:p>
          <w:p w:rsidR="0092299C" w:rsidRPr="00E05A53" w:rsidRDefault="0092299C" w:rsidP="0092299C">
            <w:pPr>
              <w:pStyle w:val="ARtabletext"/>
            </w:pPr>
            <w:r w:rsidRPr="00E05A53">
              <w:t>The department conducts an annual health and safety representative forum each October as a key activity during Health and Safety Month. There were approximately 137 participants at the 2016 forum.</w:t>
            </w:r>
          </w:p>
          <w:p w:rsidR="0092299C" w:rsidRPr="00E05A53" w:rsidRDefault="0092299C" w:rsidP="0092299C">
            <w:pPr>
              <w:pStyle w:val="ARtabletext"/>
            </w:pPr>
            <w:r w:rsidRPr="00E05A53">
              <w:t xml:space="preserve">The department has 103 </w:t>
            </w:r>
            <w:r>
              <w:t>c</w:t>
            </w:r>
            <w:r w:rsidRPr="00E05A53">
              <w:t xml:space="preserve">ritical </w:t>
            </w:r>
            <w:r>
              <w:t>i</w:t>
            </w:r>
            <w:r w:rsidRPr="00E05A53">
              <w:t xml:space="preserve">ncident </w:t>
            </w:r>
            <w:r>
              <w:t>r</w:t>
            </w:r>
            <w:r w:rsidRPr="00E05A53">
              <w:t xml:space="preserve">esponse </w:t>
            </w:r>
            <w:r>
              <w:t>m</w:t>
            </w:r>
            <w:r w:rsidRPr="00E05A53">
              <w:t>anagement (CIRM) volunteers comprising coordinators, de-briefers and support workers. During the year, a five-day training program for de-briefers, a three-day training program for support workers, and quarterly professional development programs open to all CIRM volunteers, were conducted.</w:t>
            </w:r>
          </w:p>
          <w:p w:rsidR="0092299C" w:rsidRPr="00E05A53" w:rsidRDefault="0092299C" w:rsidP="0092299C">
            <w:pPr>
              <w:pStyle w:val="ARtabletext"/>
            </w:pPr>
            <w:r w:rsidRPr="00E05A53">
              <w:t>Vicarious trauma workshops were conducted centrally and in operational divisions where requested or required to support managers and staff to minimise the impact of trauma on their wellbeing.</w:t>
            </w:r>
          </w:p>
          <w:p w:rsidR="0092299C" w:rsidRPr="00E05A53" w:rsidRDefault="0092299C" w:rsidP="0092299C">
            <w:pPr>
              <w:pStyle w:val="ARtabletext"/>
            </w:pPr>
            <w:r w:rsidRPr="00E05A53">
              <w:t>Quarterly forums were conducted for internal OHS and workers compensation professional staff including OHS Advisors, Injury Management Coordinators and Claims Administrators.</w:t>
            </w:r>
          </w:p>
        </w:tc>
      </w:tr>
    </w:tbl>
    <w:p w:rsidR="0092299C" w:rsidRPr="00E05A53" w:rsidRDefault="0092299C" w:rsidP="0092299C">
      <w:pPr>
        <w:pStyle w:val="ARtablefootnote"/>
      </w:pPr>
      <w:r w:rsidRPr="00E05A53">
        <w:t>Standard claims are those that have exceeded the employer excess (days or dollars) or are open claims that have been received but have no payments at the time of extraction and may be rejected.</w:t>
      </w:r>
    </w:p>
    <w:p w:rsidR="0092299C" w:rsidRPr="00E05A53" w:rsidRDefault="0092299C" w:rsidP="0092299C">
      <w:pPr>
        <w:pStyle w:val="ARtablefootnote"/>
      </w:pPr>
      <w:r w:rsidRPr="00E05A53">
        <w:t>A time-lost claim is one with one or more days compensation paid by the Victorian WorkCover Authority (that is, once the employer has paid the 10-day excess) at the time of extraction.</w:t>
      </w:r>
    </w:p>
    <w:p w:rsidR="0092299C" w:rsidRDefault="0092299C" w:rsidP="0092299C">
      <w:pPr>
        <w:pStyle w:val="ARtablefootnote"/>
      </w:pPr>
      <w:r>
        <w:t>Thirteen</w:t>
      </w:r>
      <w:r w:rsidRPr="00E05A53">
        <w:t>-week claims are claims that involve 13 weeks or more of weekly benefits paid. The 13-week measure begins at day one (that is, employer excess and Victorian WorkCover Authority payments).</w:t>
      </w:r>
    </w:p>
    <w:p w:rsidR="0092299C" w:rsidRPr="006B7882" w:rsidRDefault="0092299C" w:rsidP="0092299C">
      <w:pPr>
        <w:pStyle w:val="ARbody"/>
      </w:pPr>
    </w:p>
    <w:p w:rsidR="0092299C" w:rsidRDefault="0092299C" w:rsidP="0092299C">
      <w:pPr>
        <w:pStyle w:val="Heading2"/>
        <w:spacing w:before="0"/>
        <w:sectPr w:rsidR="0092299C" w:rsidSect="009D4DE7">
          <w:endnotePr>
            <w:numFmt w:val="decimal"/>
          </w:endnotePr>
          <w:type w:val="continuous"/>
          <w:pgSz w:w="11900" w:h="16840" w:code="9"/>
          <w:pgMar w:top="1531" w:right="851" w:bottom="680" w:left="1418" w:header="510" w:footer="340" w:gutter="0"/>
          <w:cols w:space="720"/>
          <w:docGrid w:linePitch="272"/>
        </w:sectPr>
      </w:pPr>
      <w:bookmarkStart w:id="47" w:name="_Ref492894976"/>
    </w:p>
    <w:p w:rsidR="0092299C" w:rsidRDefault="0092299C" w:rsidP="0092299C">
      <w:pPr>
        <w:pStyle w:val="Heading1"/>
      </w:pPr>
      <w:bookmarkStart w:id="48" w:name="_Toc493069463"/>
      <w:bookmarkEnd w:id="47"/>
      <w:r w:rsidRPr="000B2035">
        <w:lastRenderedPageBreak/>
        <w:t>Disclosures</w:t>
      </w:r>
      <w:bookmarkEnd w:id="48"/>
    </w:p>
    <w:p w:rsidR="007E3D72" w:rsidRDefault="007E3D72" w:rsidP="0092299C">
      <w:pPr>
        <w:pStyle w:val="Heading2"/>
        <w:sectPr w:rsidR="007E3D72" w:rsidSect="007E3D72">
          <w:footerReference w:type="default" r:id="rId56"/>
          <w:type w:val="nextColumn"/>
          <w:pgSz w:w="11906" w:h="16838"/>
          <w:pgMar w:top="1531" w:right="851" w:bottom="680" w:left="1418" w:header="510" w:footer="340" w:gutter="0"/>
          <w:cols w:space="708"/>
          <w:docGrid w:linePitch="360"/>
        </w:sectPr>
      </w:pPr>
    </w:p>
    <w:p w:rsidR="0092299C" w:rsidRPr="00F93A2C" w:rsidRDefault="0092299C" w:rsidP="009877BF">
      <w:pPr>
        <w:pStyle w:val="Heading2"/>
        <w:spacing w:before="0"/>
      </w:pPr>
      <w:r w:rsidRPr="00F93A2C">
        <w:lastRenderedPageBreak/>
        <w:t xml:space="preserve">Audit and </w:t>
      </w:r>
      <w:r>
        <w:t>r</w:t>
      </w:r>
      <w:r w:rsidRPr="00F93A2C">
        <w:t xml:space="preserve">isk </w:t>
      </w:r>
      <w:r>
        <w:t>m</w:t>
      </w:r>
      <w:r w:rsidRPr="00F93A2C">
        <w:t>anagement</w:t>
      </w:r>
    </w:p>
    <w:p w:rsidR="0092299C" w:rsidRDefault="0092299C" w:rsidP="0092299C">
      <w:pPr>
        <w:pStyle w:val="Heading3"/>
      </w:pPr>
      <w:r>
        <w:t>Audit committee membership and roles</w:t>
      </w:r>
    </w:p>
    <w:p w:rsidR="0092299C" w:rsidRPr="003F189C" w:rsidRDefault="0092299C" w:rsidP="0092299C">
      <w:pPr>
        <w:pStyle w:val="ARbody"/>
      </w:pPr>
      <w:r w:rsidRPr="003F189C">
        <w:t xml:space="preserve">The Audit and Risk Management Committee is an independent committee established in accordance with the </w:t>
      </w:r>
      <w:r w:rsidRPr="001E54ED">
        <w:rPr>
          <w:i/>
        </w:rPr>
        <w:t>Financial Management Act 1994</w:t>
      </w:r>
      <w:r w:rsidRPr="003F189C">
        <w:t xml:space="preserve"> and the Standing Directions of the Minister for Finance (2016).</w:t>
      </w:r>
    </w:p>
    <w:p w:rsidR="0092299C" w:rsidRPr="003F189C" w:rsidRDefault="0092299C" w:rsidP="0092299C">
      <w:pPr>
        <w:pStyle w:val="ARbody"/>
      </w:pPr>
      <w:r w:rsidRPr="003F189C">
        <w:t>The Committee operates under an approved charter and has the following members:</w:t>
      </w:r>
    </w:p>
    <w:p w:rsidR="0092299C" w:rsidRPr="003F189C" w:rsidRDefault="0092299C" w:rsidP="0092299C">
      <w:pPr>
        <w:pStyle w:val="ARbullet1"/>
        <w:numPr>
          <w:ilvl w:val="0"/>
          <w:numId w:val="19"/>
        </w:numPr>
      </w:pPr>
      <w:r w:rsidRPr="003F189C">
        <w:t>Jo-Anne Stephenson, Chair (Independent appointee)</w:t>
      </w:r>
    </w:p>
    <w:p w:rsidR="0092299C" w:rsidRPr="003F189C" w:rsidRDefault="0092299C" w:rsidP="0092299C">
      <w:pPr>
        <w:pStyle w:val="ARbullet1"/>
        <w:numPr>
          <w:ilvl w:val="0"/>
          <w:numId w:val="19"/>
        </w:numPr>
      </w:pPr>
      <w:r w:rsidRPr="003F189C">
        <w:t>Peter Lewinsky, Deputy Chair (Independent appointee)</w:t>
      </w:r>
    </w:p>
    <w:p w:rsidR="0092299C" w:rsidRPr="003F189C" w:rsidRDefault="0092299C" w:rsidP="0092299C">
      <w:pPr>
        <w:pStyle w:val="ARbullet1"/>
        <w:numPr>
          <w:ilvl w:val="0"/>
          <w:numId w:val="19"/>
        </w:numPr>
      </w:pPr>
      <w:r w:rsidRPr="003F189C">
        <w:t>Helen Thornton (Independent appointee)</w:t>
      </w:r>
    </w:p>
    <w:p w:rsidR="0092299C" w:rsidRPr="003F189C" w:rsidRDefault="0092299C" w:rsidP="0092299C">
      <w:pPr>
        <w:pStyle w:val="ARbullet1"/>
        <w:numPr>
          <w:ilvl w:val="0"/>
          <w:numId w:val="19"/>
        </w:numPr>
      </w:pPr>
      <w:r w:rsidRPr="003F189C">
        <w:t>Pam White (Independent appointee)</w:t>
      </w:r>
    </w:p>
    <w:p w:rsidR="0092299C" w:rsidRPr="003F189C" w:rsidRDefault="0092299C" w:rsidP="00F91CA3">
      <w:pPr>
        <w:pStyle w:val="ARbodyafterbullets"/>
      </w:pPr>
      <w:r w:rsidRPr="003F189C">
        <w:t>The following internal members concluded their terms on 2 July 2017:</w:t>
      </w:r>
    </w:p>
    <w:p w:rsidR="0092299C" w:rsidRPr="003F189C" w:rsidRDefault="0092299C" w:rsidP="0092299C">
      <w:pPr>
        <w:pStyle w:val="ARbullet1"/>
        <w:numPr>
          <w:ilvl w:val="0"/>
          <w:numId w:val="19"/>
        </w:numPr>
      </w:pPr>
      <w:r w:rsidRPr="003F189C">
        <w:t>Anne Congleton (Deputy Secretary, Community Participation, Health and Wellbeing)</w:t>
      </w:r>
    </w:p>
    <w:p w:rsidR="0092299C" w:rsidRPr="003F189C" w:rsidRDefault="0092299C" w:rsidP="0092299C">
      <w:pPr>
        <w:pStyle w:val="ARbullet1"/>
        <w:numPr>
          <w:ilvl w:val="0"/>
          <w:numId w:val="19"/>
        </w:numPr>
      </w:pPr>
      <w:r w:rsidRPr="003F189C">
        <w:t>Elizabeth Langdon (Deputy Secretary, People, Capability and Oversight)</w:t>
      </w:r>
    </w:p>
    <w:p w:rsidR="0092299C" w:rsidRPr="003F189C" w:rsidRDefault="0092299C" w:rsidP="00F91CA3">
      <w:pPr>
        <w:pStyle w:val="ARbullet1"/>
      </w:pPr>
      <w:r w:rsidRPr="003F189C">
        <w:t xml:space="preserve">Finn </w:t>
      </w:r>
      <w:proofErr w:type="spellStart"/>
      <w:r w:rsidRPr="003F189C">
        <w:t>Romanes</w:t>
      </w:r>
      <w:proofErr w:type="spellEnd"/>
      <w:r w:rsidRPr="003F189C">
        <w:t xml:space="preserve"> (Senior Medical Adviser).</w:t>
      </w:r>
    </w:p>
    <w:p w:rsidR="0092299C" w:rsidRPr="003F189C" w:rsidRDefault="0092299C" w:rsidP="00F91CA3">
      <w:pPr>
        <w:pStyle w:val="ARbodyafterbullets"/>
      </w:pPr>
      <w:r w:rsidRPr="003F189C">
        <w:t>The following internal members commenced their terms on 3 July 2017:</w:t>
      </w:r>
    </w:p>
    <w:p w:rsidR="0092299C" w:rsidRPr="003F189C" w:rsidRDefault="0092299C" w:rsidP="0092299C">
      <w:pPr>
        <w:pStyle w:val="ARbullet1"/>
        <w:numPr>
          <w:ilvl w:val="0"/>
          <w:numId w:val="19"/>
        </w:numPr>
      </w:pPr>
      <w:r w:rsidRPr="003F189C">
        <w:t xml:space="preserve">Nick </w:t>
      </w:r>
      <w:proofErr w:type="spellStart"/>
      <w:r w:rsidRPr="003F189C">
        <w:t>Foa</w:t>
      </w:r>
      <w:proofErr w:type="spellEnd"/>
      <w:r w:rsidRPr="003F189C">
        <w:t xml:space="preserve"> (Deputy Secretary, Housing, Infrastructure, Sport and Recreation)</w:t>
      </w:r>
    </w:p>
    <w:p w:rsidR="0092299C" w:rsidRPr="003F189C" w:rsidRDefault="0092299C" w:rsidP="0092299C">
      <w:pPr>
        <w:pStyle w:val="ARbullet1"/>
        <w:numPr>
          <w:ilvl w:val="0"/>
          <w:numId w:val="19"/>
        </w:numPr>
      </w:pPr>
      <w:r w:rsidRPr="003F189C">
        <w:t>Amity Durham (Deputy Secretary, Strategy and Planning)</w:t>
      </w:r>
    </w:p>
    <w:p w:rsidR="0092299C" w:rsidRPr="003F189C" w:rsidRDefault="0092299C" w:rsidP="0092299C">
      <w:pPr>
        <w:pStyle w:val="ARbullet1"/>
        <w:numPr>
          <w:ilvl w:val="0"/>
          <w:numId w:val="19"/>
        </w:numPr>
      </w:pPr>
      <w:r w:rsidRPr="003F189C">
        <w:t>Paul Smith (Deputy Secretary, West Division)</w:t>
      </w:r>
    </w:p>
    <w:p w:rsidR="0092299C" w:rsidRPr="00C24741" w:rsidRDefault="0092299C" w:rsidP="00F91CA3">
      <w:pPr>
        <w:pStyle w:val="ARbodyafterbullets"/>
      </w:pPr>
      <w:r w:rsidRPr="00C24741">
        <w:t xml:space="preserve">The committee is integral to the </w:t>
      </w:r>
      <w:r w:rsidR="001903E0">
        <w:t>d</w:t>
      </w:r>
      <w:r w:rsidRPr="00C24741">
        <w:t>epartment’s approach to governance, ensuring that systems and processes for identifying and monitoring risks are operating as intended.</w:t>
      </w:r>
    </w:p>
    <w:p w:rsidR="0092299C" w:rsidRPr="00C24741" w:rsidRDefault="0092299C" w:rsidP="0092299C">
      <w:pPr>
        <w:pStyle w:val="ARbody"/>
      </w:pPr>
      <w:r w:rsidRPr="00C24741">
        <w:t xml:space="preserve">The </w:t>
      </w:r>
      <w:r w:rsidR="001903E0">
        <w:t>d</w:t>
      </w:r>
      <w:r w:rsidRPr="00C24741">
        <w:t>epartment has contracted PwC to undertake internal audit services in a co-sourced arrangement with the Department’s Internal Audit Unit.</w:t>
      </w:r>
    </w:p>
    <w:p w:rsidR="0092299C" w:rsidRPr="003F189C" w:rsidRDefault="00E22175" w:rsidP="009877BF">
      <w:pPr>
        <w:pStyle w:val="Heading3"/>
        <w:spacing w:before="0"/>
      </w:pPr>
      <w:r>
        <w:br w:type="column"/>
      </w:r>
      <w:r w:rsidR="0092299C" w:rsidRPr="003F189C">
        <w:lastRenderedPageBreak/>
        <w:t>Risk management context</w:t>
      </w:r>
    </w:p>
    <w:p w:rsidR="0092299C" w:rsidRPr="003F189C" w:rsidRDefault="0092299C" w:rsidP="0092299C">
      <w:pPr>
        <w:pStyle w:val="ARbody"/>
      </w:pPr>
      <w:r>
        <w:t>During 2016–</w:t>
      </w:r>
      <w:r w:rsidRPr="003F189C">
        <w:t xml:space="preserve">17, the </w:t>
      </w:r>
      <w:r w:rsidR="001903E0">
        <w:t>d</w:t>
      </w:r>
      <w:r w:rsidRPr="003F189C">
        <w:t>epartment faced a number of significant risks in its operating environment including:</w:t>
      </w:r>
    </w:p>
    <w:p w:rsidR="0092299C" w:rsidRPr="003F189C" w:rsidRDefault="0092299C" w:rsidP="0092299C">
      <w:pPr>
        <w:pStyle w:val="ARbullet1"/>
        <w:numPr>
          <w:ilvl w:val="0"/>
          <w:numId w:val="19"/>
        </w:numPr>
      </w:pPr>
      <w:r w:rsidRPr="003F189C">
        <w:t>progressing the transition to the National Disability Insurance Scheme</w:t>
      </w:r>
    </w:p>
    <w:p w:rsidR="0092299C" w:rsidRPr="003F189C" w:rsidRDefault="0092299C" w:rsidP="0092299C">
      <w:pPr>
        <w:pStyle w:val="ARbullet1"/>
        <w:numPr>
          <w:ilvl w:val="0"/>
          <w:numId w:val="19"/>
        </w:numPr>
      </w:pPr>
      <w:r w:rsidRPr="003F189C">
        <w:t>continuing to deliver high quality and safe health and human services for Victorians in a climate of unprecedented growth and demand for key services</w:t>
      </w:r>
    </w:p>
    <w:p w:rsidR="0092299C" w:rsidRPr="003F189C" w:rsidRDefault="009F019C" w:rsidP="0092299C">
      <w:pPr>
        <w:pStyle w:val="ARbullet1"/>
        <w:numPr>
          <w:ilvl w:val="0"/>
          <w:numId w:val="19"/>
        </w:numPr>
      </w:pPr>
      <w:r>
        <w:t>on</w:t>
      </w:r>
      <w:r w:rsidR="0092299C" w:rsidRPr="003F189C">
        <w:t>going health system funding arrangements and negotiations related to the Commonwealth–State National Health Reform Agreement</w:t>
      </w:r>
    </w:p>
    <w:p w:rsidR="0092299C" w:rsidRPr="003F189C" w:rsidRDefault="0092299C" w:rsidP="0092299C">
      <w:pPr>
        <w:pStyle w:val="ARbullet1"/>
        <w:numPr>
          <w:ilvl w:val="0"/>
          <w:numId w:val="19"/>
        </w:numPr>
      </w:pPr>
      <w:r w:rsidRPr="003F189C">
        <w:t>responding to Machinery of Government changes and organisational structure adjustments, principally the transfer of youth justice to the Department of Justice and Regulation.</w:t>
      </w:r>
    </w:p>
    <w:p w:rsidR="0092299C" w:rsidRPr="003F189C" w:rsidRDefault="0092299C" w:rsidP="0092299C">
      <w:pPr>
        <w:pStyle w:val="Heading3"/>
      </w:pPr>
      <w:r>
        <w:t xml:space="preserve">The </w:t>
      </w:r>
      <w:r w:rsidR="001903E0">
        <w:t>d</w:t>
      </w:r>
      <w:r>
        <w:t>epartment’s 2016–</w:t>
      </w:r>
      <w:r w:rsidRPr="003F189C">
        <w:t>17 attestation is supported by:</w:t>
      </w:r>
    </w:p>
    <w:p w:rsidR="00AA035A" w:rsidRDefault="009D68FE" w:rsidP="0092299C">
      <w:pPr>
        <w:pStyle w:val="ARbullet1"/>
        <w:numPr>
          <w:ilvl w:val="0"/>
          <w:numId w:val="19"/>
        </w:numPr>
      </w:pPr>
      <w:r>
        <w:t>a</w:t>
      </w:r>
      <w:r w:rsidR="0092299C" w:rsidRPr="003F189C">
        <w:t xml:space="preserve"> </w:t>
      </w:r>
      <w:r w:rsidR="0092299C" w:rsidRPr="003F189C">
        <w:rPr>
          <w:i/>
        </w:rPr>
        <w:t>Risk Management Policy and Framework</w:t>
      </w:r>
      <w:r>
        <w:t xml:space="preserve"> that </w:t>
      </w:r>
      <w:r w:rsidR="0092299C" w:rsidRPr="003F189C">
        <w:t xml:space="preserve">aligns with the requirements set out in the </w:t>
      </w:r>
      <w:r w:rsidR="0092299C" w:rsidRPr="003F189C">
        <w:rPr>
          <w:i/>
        </w:rPr>
        <w:t>Victorian Government Risk Management Framework</w:t>
      </w:r>
      <w:r w:rsidR="0092299C" w:rsidRPr="003F189C">
        <w:t xml:space="preserve"> and Financial Manageme</w:t>
      </w:r>
      <w:r>
        <w:t>nt Act Standing Direction 3.7.1</w:t>
      </w:r>
    </w:p>
    <w:p w:rsidR="0092299C" w:rsidRPr="003F189C" w:rsidRDefault="009D68FE" w:rsidP="0092299C">
      <w:pPr>
        <w:pStyle w:val="ARbullet1"/>
        <w:numPr>
          <w:ilvl w:val="0"/>
          <w:numId w:val="19"/>
        </w:numPr>
      </w:pPr>
      <w:r>
        <w:t>a</w:t>
      </w:r>
      <w:r w:rsidR="0092299C" w:rsidRPr="003F189C">
        <w:t xml:space="preserve"> top-down risk management approach consisting of 20 Corporate Risks using the AS/NZS ISO 310</w:t>
      </w:r>
      <w:r>
        <w:t>00:2009 risk management process</w:t>
      </w:r>
    </w:p>
    <w:p w:rsidR="0092299C" w:rsidRPr="003F189C" w:rsidRDefault="009D68FE" w:rsidP="0092299C">
      <w:pPr>
        <w:pStyle w:val="ARbullet1"/>
        <w:numPr>
          <w:ilvl w:val="0"/>
          <w:numId w:val="19"/>
        </w:numPr>
      </w:pPr>
      <w:r>
        <w:t>d</w:t>
      </w:r>
      <w:r w:rsidR="0092299C" w:rsidRPr="003F189C">
        <w:t xml:space="preserve">evelopment and implementation of a proposed department-wide </w:t>
      </w:r>
      <w:r w:rsidR="0092299C" w:rsidRPr="003F189C">
        <w:rPr>
          <w:i/>
        </w:rPr>
        <w:t>Performance Oversight and Risk Management Framework</w:t>
      </w:r>
      <w:r w:rsidR="0092299C" w:rsidRPr="003F189C">
        <w:t xml:space="preserve"> that seeks to embed risk and performance reporting across departmental governance arrangements,</w:t>
      </w:r>
      <w:r>
        <w:t xml:space="preserve"> driving broader accountability</w:t>
      </w:r>
    </w:p>
    <w:p w:rsidR="0092299C" w:rsidRPr="003F189C" w:rsidRDefault="009D68FE" w:rsidP="0092299C">
      <w:pPr>
        <w:pStyle w:val="ARbullet1"/>
        <w:numPr>
          <w:ilvl w:val="0"/>
          <w:numId w:val="19"/>
        </w:numPr>
      </w:pPr>
      <w:r>
        <w:t>a</w:t>
      </w:r>
      <w:r w:rsidR="0092299C" w:rsidRPr="003F189C">
        <w:t xml:space="preserve"> progressively improving risk management c</w:t>
      </w:r>
      <w:r>
        <w:t>ulture, framework and processes</w:t>
      </w:r>
    </w:p>
    <w:p w:rsidR="0092299C" w:rsidRPr="003F189C" w:rsidRDefault="009D68FE" w:rsidP="0092299C">
      <w:pPr>
        <w:pStyle w:val="ARbullet1"/>
        <w:numPr>
          <w:ilvl w:val="0"/>
          <w:numId w:val="19"/>
        </w:numPr>
      </w:pPr>
      <w:r>
        <w:t>r</w:t>
      </w:r>
      <w:r w:rsidR="0092299C" w:rsidRPr="003F189C">
        <w:t>isk management processes embedded within plannin</w:t>
      </w:r>
      <w:r>
        <w:t>g and decision-making processes</w:t>
      </w:r>
    </w:p>
    <w:p w:rsidR="00AA035A" w:rsidRDefault="009D68FE" w:rsidP="0092299C">
      <w:pPr>
        <w:pStyle w:val="ARbullet1"/>
        <w:numPr>
          <w:ilvl w:val="0"/>
          <w:numId w:val="19"/>
        </w:numPr>
      </w:pPr>
      <w:r>
        <w:t>t</w:t>
      </w:r>
      <w:r w:rsidR="0092299C" w:rsidRPr="003F189C">
        <w:t xml:space="preserve">he department’s commitment to risk management and its continual improvement supported by a </w:t>
      </w:r>
      <w:r w:rsidR="0092299C" w:rsidRPr="003F189C">
        <w:rPr>
          <w:i/>
        </w:rPr>
        <w:t>Risk Management Implementation Plan</w:t>
      </w:r>
      <w:r>
        <w:t xml:space="preserve"> that has set a pathway to </w:t>
      </w:r>
      <w:r w:rsidR="0092299C" w:rsidRPr="003F189C">
        <w:t xml:space="preserve">target </w:t>
      </w:r>
      <w:r>
        <w:t>risk management maturity levels</w:t>
      </w:r>
    </w:p>
    <w:p w:rsidR="0092299C" w:rsidRPr="003F189C" w:rsidRDefault="009D68FE" w:rsidP="0092299C">
      <w:pPr>
        <w:pStyle w:val="ARbullet1"/>
        <w:numPr>
          <w:ilvl w:val="0"/>
          <w:numId w:val="19"/>
        </w:numPr>
      </w:pPr>
      <w:r>
        <w:t>a</w:t>
      </w:r>
      <w:r w:rsidR="0092299C" w:rsidRPr="003F189C">
        <w:t xml:space="preserve">n audit and assurance program aligned with the </w:t>
      </w:r>
      <w:r w:rsidR="001903E0">
        <w:t>d</w:t>
      </w:r>
      <w:r w:rsidR="0092299C" w:rsidRPr="003F189C">
        <w:t>epartment’s risk profile.</w:t>
      </w:r>
    </w:p>
    <w:p w:rsidR="00E22175" w:rsidRPr="005C3EA7" w:rsidRDefault="00E22175" w:rsidP="005C3EA7">
      <w:pPr>
        <w:pStyle w:val="ARbody"/>
      </w:pPr>
      <w:r w:rsidRPr="005C3EA7">
        <w:br w:type="page"/>
      </w:r>
    </w:p>
    <w:p w:rsidR="0092299C" w:rsidRPr="003F189C" w:rsidRDefault="0092299C" w:rsidP="0092299C">
      <w:pPr>
        <w:pStyle w:val="Heading3"/>
      </w:pPr>
      <w:r w:rsidRPr="003F189C">
        <w:lastRenderedPageBreak/>
        <w:t>Insurance</w:t>
      </w:r>
    </w:p>
    <w:p w:rsidR="0092299C" w:rsidRPr="003F189C" w:rsidRDefault="0092299C" w:rsidP="0092299C">
      <w:pPr>
        <w:pStyle w:val="ARbody"/>
      </w:pPr>
      <w:r w:rsidRPr="003F189C">
        <w:t xml:space="preserve">The </w:t>
      </w:r>
      <w:r w:rsidR="001903E0">
        <w:t>d</w:t>
      </w:r>
      <w:r w:rsidRPr="003F189C">
        <w:t>epartment is par</w:t>
      </w:r>
      <w:r w:rsidR="0060365F">
        <w:t>tially compliant in relation to </w:t>
      </w:r>
      <w:r w:rsidRPr="003F189C">
        <w:t>the Mandatory requi</w:t>
      </w:r>
      <w:r w:rsidR="0060365F">
        <w:t>rements as set out under 3.1.2 –</w:t>
      </w:r>
      <w:r w:rsidRPr="003F189C">
        <w:t xml:space="preserve"> Insurance requirements of the </w:t>
      </w:r>
      <w:r w:rsidRPr="003F189C">
        <w:rPr>
          <w:i/>
        </w:rPr>
        <w:t>Victoria Government Risk Management Framework</w:t>
      </w:r>
      <w:r w:rsidR="0060365F">
        <w:t xml:space="preserve"> and </w:t>
      </w:r>
      <w:r w:rsidRPr="003F189C">
        <w:t>has:</w:t>
      </w:r>
    </w:p>
    <w:p w:rsidR="0092299C" w:rsidRPr="003F189C" w:rsidRDefault="0092299C" w:rsidP="0092299C">
      <w:pPr>
        <w:pStyle w:val="ARbullet1"/>
        <w:numPr>
          <w:ilvl w:val="0"/>
          <w:numId w:val="19"/>
        </w:numPr>
      </w:pPr>
      <w:r w:rsidRPr="003F189C">
        <w:t>arranged all of its insurance with the Victorian Managed Insurance Authority; and</w:t>
      </w:r>
    </w:p>
    <w:p w:rsidR="0092299C" w:rsidRPr="003F189C" w:rsidRDefault="0092299C" w:rsidP="0092299C">
      <w:pPr>
        <w:pStyle w:val="ARbullet1"/>
        <w:numPr>
          <w:ilvl w:val="0"/>
          <w:numId w:val="19"/>
        </w:numPr>
      </w:pPr>
      <w:r w:rsidRPr="003F189C">
        <w:t>as part of its annual renewal process determined the appropriate levels of insurance in consultation with the Victorian Managed Insurance Authority; and</w:t>
      </w:r>
    </w:p>
    <w:p w:rsidR="0092299C" w:rsidRPr="003F189C" w:rsidRDefault="0092299C" w:rsidP="00F91CA3">
      <w:pPr>
        <w:pStyle w:val="ARbullet1"/>
      </w:pPr>
      <w:r w:rsidRPr="003F189C">
        <w:t>maintains a register of all insurances and indemnities and make this available on request.</w:t>
      </w:r>
    </w:p>
    <w:p w:rsidR="0092299C" w:rsidRPr="003F189C" w:rsidRDefault="0092299C" w:rsidP="0092299C">
      <w:pPr>
        <w:pStyle w:val="ARbodyafterbullets"/>
      </w:pPr>
      <w:r w:rsidRPr="003F189C">
        <w:t xml:space="preserve">The </w:t>
      </w:r>
      <w:r w:rsidR="001903E0">
        <w:t>d</w:t>
      </w:r>
      <w:r w:rsidRPr="003F189C">
        <w:t>epartment is partially compliant in relation to providing information on claims management capability, resources, structures and processes for any self-insured retained losses to the Victorian Managed Insurance Authority, including the basis for valuation of self-insured retained losses.</w:t>
      </w:r>
    </w:p>
    <w:p w:rsidR="0092299C" w:rsidRPr="003F189C" w:rsidRDefault="0092299C" w:rsidP="0092299C">
      <w:pPr>
        <w:pStyle w:val="ARbody"/>
      </w:pPr>
      <w:r w:rsidRPr="003F189C">
        <w:t xml:space="preserve">The </w:t>
      </w:r>
      <w:r w:rsidR="001903E0">
        <w:t>d</w:t>
      </w:r>
      <w:r w:rsidRPr="003F189C">
        <w:t>epartment in consultation with Victorian Managed Insurance Authority has conducted an organisation wide claims capability and resourcing review of self-insured retained losses management to improve reporting processes and provide the required below deductible claims data to the Victorian Managed Insurance Authority. The findings of this rev</w:t>
      </w:r>
      <w:r>
        <w:t>iew will be implemented in</w:t>
      </w:r>
      <w:r w:rsidR="00F8267D">
        <w:t xml:space="preserve"> </w:t>
      </w:r>
      <w:r w:rsidR="00971C4E">
        <w:br/>
      </w:r>
      <w:r>
        <w:t>2017–</w:t>
      </w:r>
      <w:r w:rsidRPr="003F189C">
        <w:t>18.</w:t>
      </w:r>
    </w:p>
    <w:p w:rsidR="0092299C" w:rsidRDefault="0092299C" w:rsidP="0092299C">
      <w:pPr>
        <w:pStyle w:val="Heading3"/>
      </w:pPr>
      <w:bookmarkStart w:id="49" w:name="_Ref492906050"/>
      <w:r>
        <w:t>Risk attestation</w:t>
      </w:r>
      <w:bookmarkEnd w:id="49"/>
    </w:p>
    <w:p w:rsidR="0092299C" w:rsidRPr="00F93A2C" w:rsidRDefault="0092299C" w:rsidP="0092299C">
      <w:pPr>
        <w:pStyle w:val="ARbody"/>
      </w:pPr>
      <w:r w:rsidRPr="00F93A2C">
        <w:t>I, Kym Peake, certify that the Department of Health and Human Services has made progress over a number of years to improve risk management processes, practices and culture to meet the requirements of the Ministerial Standing Direction 3.7.1</w:t>
      </w:r>
      <w:r>
        <w:t>:</w:t>
      </w:r>
      <w:r w:rsidRPr="00F93A2C">
        <w:t xml:space="preserve"> </w:t>
      </w:r>
      <w:r>
        <w:t>r</w:t>
      </w:r>
      <w:r w:rsidRPr="00F93A2C">
        <w:t xml:space="preserve">isk </w:t>
      </w:r>
      <w:r>
        <w:t>m</w:t>
      </w:r>
      <w:r w:rsidRPr="00F93A2C">
        <w:t xml:space="preserve">anagement </w:t>
      </w:r>
      <w:r>
        <w:t>f</w:t>
      </w:r>
      <w:r w:rsidRPr="00F93A2C">
        <w:t xml:space="preserve">ramework and </w:t>
      </w:r>
      <w:r>
        <w:t>p</w:t>
      </w:r>
      <w:r w:rsidRPr="00F93A2C">
        <w:t>rocesses within the context set out above.</w:t>
      </w:r>
    </w:p>
    <w:p w:rsidR="0092299C" w:rsidRPr="00F93A2C" w:rsidRDefault="00E22175" w:rsidP="0092299C">
      <w:pPr>
        <w:pStyle w:val="ARbody"/>
      </w:pPr>
      <w:r>
        <w:br w:type="column"/>
      </w:r>
      <w:r w:rsidR="0092299C" w:rsidRPr="00F93A2C">
        <w:lastRenderedPageBreak/>
        <w:t>Whil</w:t>
      </w:r>
      <w:r w:rsidR="0092299C">
        <w:t>e</w:t>
      </w:r>
      <w:r w:rsidR="0092299C" w:rsidRPr="00F93A2C">
        <w:t xml:space="preserve"> the department is partially compliant with some requirements, it has plans to further improve its risk management maturity and processes over the next 12 months.</w:t>
      </w:r>
    </w:p>
    <w:p w:rsidR="0092299C" w:rsidRDefault="0092299C" w:rsidP="0092299C">
      <w:pPr>
        <w:pStyle w:val="ARbody"/>
      </w:pPr>
      <w:r w:rsidRPr="00F93A2C">
        <w:t>The department’s Audit and Risk Management Committee has verified this.</w:t>
      </w:r>
    </w:p>
    <w:p w:rsidR="00964875" w:rsidRDefault="00964875" w:rsidP="00964875">
      <w:pPr>
        <w:pStyle w:val="ARbodyaftertable"/>
        <w:spacing w:before="400"/>
      </w:pPr>
      <w:r w:rsidRPr="00D428E7">
        <w:rPr>
          <w:noProof/>
          <w:lang w:eastAsia="en-AU"/>
        </w:rPr>
        <w:drawing>
          <wp:inline distT="0" distB="0" distL="0" distR="0" wp14:anchorId="52BC8A51" wp14:editId="261316E0">
            <wp:extent cx="1204595" cy="672465"/>
            <wp:effectExtent l="0" t="0" r="0" b="0"/>
            <wp:docPr id="16" name="Picture 16"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rsidR="0092299C" w:rsidRPr="006F0DB4" w:rsidRDefault="0092299C" w:rsidP="00D521A5">
      <w:pPr>
        <w:pStyle w:val="ARbodynospace"/>
      </w:pPr>
      <w:r w:rsidRPr="006F0DB4">
        <w:t>Kym Peake</w:t>
      </w:r>
    </w:p>
    <w:p w:rsidR="0092299C" w:rsidRPr="006F0DB4" w:rsidRDefault="0092299C" w:rsidP="00D521A5">
      <w:pPr>
        <w:pStyle w:val="ARbodynospace"/>
      </w:pPr>
      <w:r w:rsidRPr="006F0DB4">
        <w:t>Secretary</w:t>
      </w:r>
    </w:p>
    <w:p w:rsidR="0092299C" w:rsidRPr="006F0DB4" w:rsidRDefault="0092299C" w:rsidP="0092299C">
      <w:pPr>
        <w:pStyle w:val="ARbody"/>
      </w:pPr>
      <w:r w:rsidRPr="006F0DB4">
        <w:t>Department of Health and Human Services</w:t>
      </w:r>
    </w:p>
    <w:p w:rsidR="004A41A9" w:rsidRPr="009C11E4" w:rsidRDefault="004A41A9" w:rsidP="007F5011">
      <w:pPr>
        <w:pStyle w:val="Heading2"/>
      </w:pPr>
      <w:bookmarkStart w:id="50" w:name="_Ref493159581"/>
      <w:r w:rsidRPr="009C11E4">
        <w:t>Attestation on Compliance with Health Purchasing Victoria (HPV) Health Purchasing Policies</w:t>
      </w:r>
      <w:bookmarkEnd w:id="50"/>
    </w:p>
    <w:p w:rsidR="004A41A9" w:rsidRDefault="004A41A9" w:rsidP="004A41A9">
      <w:pPr>
        <w:pStyle w:val="ARbody"/>
      </w:pPr>
      <w:r w:rsidRPr="008C0BA5">
        <w:t xml:space="preserve">I, Kym Peake, certify that the Department of Health and Human Services has put in place appropriate internal controls and processes to ensure that it has complied with all requirements set out in the HPV Health Purchasing Policies including mandatory HPV collective agreements as required by the </w:t>
      </w:r>
      <w:r w:rsidRPr="00C76C10">
        <w:rPr>
          <w:i/>
        </w:rPr>
        <w:t>Health Services Act 1988 (Vic)</w:t>
      </w:r>
      <w:r w:rsidRPr="008C0BA5">
        <w:t xml:space="preserve"> and has critically reviewed these controls and processes during the year.</w:t>
      </w:r>
    </w:p>
    <w:p w:rsidR="004A41A9" w:rsidRDefault="004A41A9" w:rsidP="004A41A9">
      <w:pPr>
        <w:pStyle w:val="ARbodyaftertable"/>
        <w:spacing w:before="400"/>
      </w:pPr>
      <w:r w:rsidRPr="00D428E7">
        <w:rPr>
          <w:noProof/>
          <w:lang w:eastAsia="en-AU"/>
        </w:rPr>
        <w:drawing>
          <wp:inline distT="0" distB="0" distL="0" distR="0" wp14:anchorId="49560210" wp14:editId="0399ED98">
            <wp:extent cx="1204595" cy="672465"/>
            <wp:effectExtent l="0" t="0" r="0" b="0"/>
            <wp:docPr id="3" name="Picture 3"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rsidR="004A41A9" w:rsidRPr="006F0DB4" w:rsidRDefault="004A41A9" w:rsidP="004A41A9">
      <w:pPr>
        <w:pStyle w:val="ARbodynospace"/>
      </w:pPr>
      <w:r w:rsidRPr="006F0DB4">
        <w:t>Kym Peake</w:t>
      </w:r>
    </w:p>
    <w:p w:rsidR="004A41A9" w:rsidRPr="006F0DB4" w:rsidRDefault="004A41A9" w:rsidP="004A41A9">
      <w:pPr>
        <w:pStyle w:val="ARbodynospace"/>
      </w:pPr>
      <w:r w:rsidRPr="006F0DB4">
        <w:t>Secretary</w:t>
      </w:r>
    </w:p>
    <w:p w:rsidR="004A41A9" w:rsidRDefault="004A41A9" w:rsidP="004A41A9">
      <w:pPr>
        <w:pStyle w:val="ARbody"/>
        <w:sectPr w:rsidR="004A41A9" w:rsidSect="007E3D72">
          <w:type w:val="continuous"/>
          <w:pgSz w:w="11906" w:h="16838"/>
          <w:pgMar w:top="1531" w:right="851" w:bottom="680" w:left="1418" w:header="510" w:footer="340" w:gutter="0"/>
          <w:cols w:num="2" w:space="708"/>
          <w:docGrid w:linePitch="360"/>
        </w:sectPr>
      </w:pPr>
      <w:r w:rsidRPr="006F0DB4">
        <w:t>Department of Health and Human Services</w:t>
      </w:r>
    </w:p>
    <w:p w:rsidR="00005B6E" w:rsidRDefault="00005B6E" w:rsidP="00162A00">
      <w:pPr>
        <w:pStyle w:val="Heading2"/>
        <w:spacing w:before="0"/>
      </w:pPr>
      <w:bookmarkStart w:id="51" w:name="_Ref492905492"/>
      <w:r>
        <w:lastRenderedPageBreak/>
        <w:t>Local Jobs First</w:t>
      </w:r>
      <w:r w:rsidR="00C008D9">
        <w:t xml:space="preserve"> – </w:t>
      </w:r>
      <w:r>
        <w:t>Victorian Industry Participation Policy</w:t>
      </w:r>
      <w:bookmarkEnd w:id="51"/>
    </w:p>
    <w:p w:rsidR="00005B6E" w:rsidRDefault="00005B6E" w:rsidP="00521279">
      <w:pPr>
        <w:pStyle w:val="ARbody"/>
      </w:pPr>
      <w:r w:rsidRPr="00521279">
        <w:t xml:space="preserve">The </w:t>
      </w:r>
      <w:r w:rsidRPr="00521279">
        <w:rPr>
          <w:rStyle w:val="Emphasis"/>
        </w:rPr>
        <w:t>Victorian Industry Participation Policy Act 2003</w:t>
      </w:r>
      <w:r w:rsidRPr="00521279">
        <w:t xml:space="preserve"> requires </w:t>
      </w:r>
      <w:r w:rsidR="00521279">
        <w:t>d</w:t>
      </w:r>
      <w:r w:rsidRPr="00521279">
        <w:t>epartments and public sector bodies to report on the implemen</w:t>
      </w:r>
      <w:r w:rsidR="00521279">
        <w:t>tation of the Local Jobs First –</w:t>
      </w:r>
      <w:r w:rsidRPr="00521279">
        <w:t xml:space="preserve"> Victorian Industry Particip</w:t>
      </w:r>
      <w:r w:rsidR="00521279">
        <w:t>ation Policy (Local Jobs First –</w:t>
      </w:r>
      <w:r w:rsidRPr="00521279">
        <w:t xml:space="preserve"> VIPP). Departments and public sector bodies are required</w:t>
      </w:r>
      <w:r w:rsidR="00521279">
        <w:t xml:space="preserve"> to apply the Local Jobs First –</w:t>
      </w:r>
      <w:r w:rsidRPr="00521279">
        <w:t xml:space="preserve"> VIPP in all proc</w:t>
      </w:r>
      <w:r w:rsidR="0007050F">
        <w:t>urement activities valued at $3 </w:t>
      </w:r>
      <w:r w:rsidRPr="00521279">
        <w:t>million or more in metro</w:t>
      </w:r>
      <w:r w:rsidR="0007050F">
        <w:t xml:space="preserve">politan Melbourne and for </w:t>
      </w:r>
      <w:proofErr w:type="spellStart"/>
      <w:r w:rsidR="0007050F">
        <w:t>state</w:t>
      </w:r>
      <w:r w:rsidRPr="00521279">
        <w:t>wide</w:t>
      </w:r>
      <w:proofErr w:type="spellEnd"/>
      <w:r w:rsidRPr="00521279">
        <w:t xml:space="preserve"> projects, or $1 million or more for procurement activities in regional Victoria.</w:t>
      </w:r>
    </w:p>
    <w:p w:rsidR="00AA035A" w:rsidRDefault="0007050F">
      <w:pPr>
        <w:pStyle w:val="ARbody"/>
      </w:pPr>
      <w:r>
        <w:t>During 2016–17, the Department commenced 16 </w:t>
      </w:r>
      <w:r w:rsidR="00005B6E">
        <w:t>Local Jobs First</w:t>
      </w:r>
      <w:r w:rsidR="00C008D9">
        <w:t xml:space="preserve"> – </w:t>
      </w:r>
      <w:r w:rsidR="003E037A">
        <w:t>VIPP–</w:t>
      </w:r>
      <w:r w:rsidR="00005B6E">
        <w:t>applicable or Local I</w:t>
      </w:r>
      <w:r w:rsidR="003E037A">
        <w:t>ndustry Development Plan (LIDP)–</w:t>
      </w:r>
      <w:r w:rsidR="00005B6E">
        <w:t xml:space="preserve">applicable procurements totalling $134.3 million. Of those projects, four were located in regional Victoria, representing 26 per cent of estimated local content, two were located </w:t>
      </w:r>
      <w:proofErr w:type="spellStart"/>
      <w:r w:rsidR="00005B6E">
        <w:t>statewide</w:t>
      </w:r>
      <w:proofErr w:type="spellEnd"/>
      <w:r w:rsidR="00005B6E">
        <w:t xml:space="preserve"> across Victoria, representing 5 per cent of estimated local content, and </w:t>
      </w:r>
      <w:r w:rsidR="003E037A">
        <w:t>10</w:t>
      </w:r>
      <w:r w:rsidR="00005B6E">
        <w:t xml:space="preserve"> in metropolitan Melbourne, representing 6</w:t>
      </w:r>
      <w:r>
        <w:t>9 </w:t>
      </w:r>
      <w:r w:rsidR="00005B6E">
        <w:t>per cent of estimated local content.</w:t>
      </w:r>
    </w:p>
    <w:p w:rsidR="00005B6E" w:rsidRDefault="00005B6E" w:rsidP="00521279">
      <w:pPr>
        <w:pStyle w:val="ARbody"/>
      </w:pPr>
      <w:r>
        <w:t>The outcomes expe</w:t>
      </w:r>
      <w:r w:rsidR="003E037A">
        <w:t>cted from the implementation of </w:t>
      </w:r>
      <w:r>
        <w:t>the Local Jobs First</w:t>
      </w:r>
      <w:r w:rsidR="00C008D9">
        <w:t xml:space="preserve"> – </w:t>
      </w:r>
      <w:r>
        <w:t>VIPP to these projects</w:t>
      </w:r>
      <w:r w:rsidR="005A5D19">
        <w:t>,</w:t>
      </w:r>
      <w:r>
        <w:t xml:space="preserve"> where information was provided</w:t>
      </w:r>
      <w:r w:rsidR="005A5D19">
        <w:t>,</w:t>
      </w:r>
      <w:r>
        <w:t xml:space="preserve"> are as follows:</w:t>
      </w:r>
    </w:p>
    <w:p w:rsidR="00005B6E" w:rsidRDefault="00005B6E" w:rsidP="00521279">
      <w:pPr>
        <w:pStyle w:val="ARbullet1"/>
      </w:pPr>
      <w:r>
        <w:t>an average of 73 per cent of lo</w:t>
      </w:r>
      <w:r w:rsidR="003E037A">
        <w:t>cal content commitment was made</w:t>
      </w:r>
    </w:p>
    <w:p w:rsidR="00005B6E" w:rsidRDefault="00005B6E" w:rsidP="00521279">
      <w:pPr>
        <w:pStyle w:val="ARbullet1"/>
      </w:pPr>
      <w:r>
        <w:t>a total of 880 jobs (Annualised Employee Equivalent (AEE)</w:t>
      </w:r>
      <w:r w:rsidR="003E037A">
        <w:t>) were committed, including the </w:t>
      </w:r>
      <w:r>
        <w:t>creation of 183 new jobs and the retention</w:t>
      </w:r>
      <w:r w:rsidR="003E037A">
        <w:t xml:space="preserve"> of 697 existing jobs (AEE)</w:t>
      </w:r>
    </w:p>
    <w:p w:rsidR="00005B6E" w:rsidRDefault="00005B6E" w:rsidP="00521279">
      <w:pPr>
        <w:pStyle w:val="ARbullet1"/>
      </w:pPr>
      <w:r>
        <w:t>a total of 81 positions for apprentices/trainees were committe</w:t>
      </w:r>
      <w:r w:rsidR="003E037A">
        <w:t>d, including the creation of 22 </w:t>
      </w:r>
      <w:r>
        <w:t>new appren</w:t>
      </w:r>
      <w:r w:rsidR="003E037A">
        <w:t>ticeships/traineeships, and the </w:t>
      </w:r>
      <w:r>
        <w:t>retention of the remaining 59 existing apprenticeships/traineeships.</w:t>
      </w:r>
    </w:p>
    <w:p w:rsidR="00AA035A" w:rsidRDefault="003E037A" w:rsidP="003E037A">
      <w:pPr>
        <w:pStyle w:val="ARbodyafterbullets"/>
      </w:pPr>
      <w:r>
        <w:t>During 2016–</w:t>
      </w:r>
      <w:r w:rsidR="00005B6E">
        <w:t xml:space="preserve">17, the </w:t>
      </w:r>
      <w:r>
        <w:t>d</w:t>
      </w:r>
      <w:r w:rsidR="00005B6E">
        <w:t xml:space="preserve">epartment completed </w:t>
      </w:r>
      <w:r>
        <w:t>18 </w:t>
      </w:r>
      <w:r w:rsidR="00005B6E">
        <w:t>Local Jobs First</w:t>
      </w:r>
      <w:r w:rsidR="00C008D9">
        <w:t xml:space="preserve"> – </w:t>
      </w:r>
      <w:r w:rsidR="00005B6E">
        <w:t xml:space="preserve">VIPP applicable projects, collectively valued at about $1.17 billion. Of these projects, six were located in regional Victoria, representing 34 per cent of estimated local content, two were located </w:t>
      </w:r>
      <w:proofErr w:type="spellStart"/>
      <w:r w:rsidR="00005B6E">
        <w:t>statewide</w:t>
      </w:r>
      <w:proofErr w:type="spellEnd"/>
      <w:r w:rsidR="00005B6E">
        <w:t xml:space="preserve"> across Victoria, representing 11 per cent of estimated local content, and </w:t>
      </w:r>
      <w:r w:rsidR="005A5D19">
        <w:t>10</w:t>
      </w:r>
      <w:r w:rsidR="00005B6E">
        <w:t xml:space="preserve"> in metropo</w:t>
      </w:r>
      <w:r w:rsidR="005A5D19">
        <w:t>litan Melbourne representing 55 </w:t>
      </w:r>
      <w:r w:rsidR="00005B6E">
        <w:t>per cent of estimated local content.</w:t>
      </w:r>
    </w:p>
    <w:p w:rsidR="00AA035A" w:rsidRDefault="00E22175">
      <w:pPr>
        <w:pStyle w:val="ARbody"/>
      </w:pPr>
      <w:r>
        <w:br w:type="column"/>
      </w:r>
      <w:r w:rsidR="00005B6E">
        <w:lastRenderedPageBreak/>
        <w:t>The outcomes repo</w:t>
      </w:r>
      <w:r w:rsidR="005A5D19">
        <w:t>rted from the implementation of </w:t>
      </w:r>
      <w:r w:rsidR="00005B6E">
        <w:t>the policy</w:t>
      </w:r>
      <w:r w:rsidR="005A5D19">
        <w:t>,</w:t>
      </w:r>
      <w:r w:rsidR="00005B6E">
        <w:t xml:space="preserve"> where</w:t>
      </w:r>
      <w:r w:rsidR="005A5D19">
        <w:t xml:space="preserve"> information was provided, were </w:t>
      </w:r>
      <w:r w:rsidR="00005B6E">
        <w:t>as follows:</w:t>
      </w:r>
    </w:p>
    <w:p w:rsidR="00005B6E" w:rsidRDefault="00005B6E" w:rsidP="00521279">
      <w:pPr>
        <w:pStyle w:val="ARbullet1"/>
      </w:pPr>
      <w:r>
        <w:t>an average of 91 per cent of loc</w:t>
      </w:r>
      <w:r w:rsidR="005A5D19">
        <w:t>al content outcome was recorded</w:t>
      </w:r>
    </w:p>
    <w:p w:rsidR="00005B6E" w:rsidRDefault="00005B6E" w:rsidP="00521279">
      <w:pPr>
        <w:pStyle w:val="ARbullet1"/>
      </w:pPr>
      <w:r>
        <w:t>a total of 2,400 (AEE) positions were created and a furthe</w:t>
      </w:r>
      <w:r w:rsidR="005A5D19">
        <w:t>r 5,529 existing jobs retained</w:t>
      </w:r>
    </w:p>
    <w:p w:rsidR="00005B6E" w:rsidRDefault="00005B6E" w:rsidP="00521279">
      <w:pPr>
        <w:pStyle w:val="ARbullet1"/>
      </w:pPr>
      <w:r>
        <w:t>216 new apprenticeships/traineeships were created and 265 existing apprenticeships/</w:t>
      </w:r>
      <w:r w:rsidR="005A5D19">
        <w:br/>
      </w:r>
      <w:r>
        <w:t>traineeships retained.</w:t>
      </w:r>
    </w:p>
    <w:p w:rsidR="00005B6E" w:rsidRDefault="005A5D19" w:rsidP="005A5D19">
      <w:pPr>
        <w:pStyle w:val="ARbodyafterbullets"/>
      </w:pPr>
      <w:r>
        <w:t>During 2016–17, there were 21 small-to-medium-</w:t>
      </w:r>
      <w:r w:rsidR="00005B6E">
        <w:t>sized businesses that prepared a VIPP Plan or LIDP for contracts, wi</w:t>
      </w:r>
      <w:r w:rsidR="001D1B9A">
        <w:t>th the remaining prepared by </w:t>
      </w:r>
      <w:r w:rsidR="00005B6E">
        <w:t>large businesses.</w:t>
      </w:r>
    </w:p>
    <w:p w:rsidR="00AA035A" w:rsidRDefault="001D1B9A">
      <w:pPr>
        <w:pStyle w:val="ARbody"/>
      </w:pPr>
      <w:r>
        <w:t>During 2016–</w:t>
      </w:r>
      <w:r w:rsidR="00005B6E">
        <w:t>17, s</w:t>
      </w:r>
      <w:r>
        <w:t>ix projects, which commenced on </w:t>
      </w:r>
      <w:r w:rsidR="00005B6E">
        <w:t>or after 1 September, had the minimum formal weighting of 10 per cent applied for local content in the tender evaluation of the VIPP Plan or LIDP.</w:t>
      </w:r>
    </w:p>
    <w:p w:rsidR="00005B6E" w:rsidRDefault="00005B6E" w:rsidP="00FF3B53">
      <w:pPr>
        <w:pStyle w:val="ARbody"/>
      </w:pPr>
      <w:r>
        <w:t xml:space="preserve">The </w:t>
      </w:r>
      <w:r w:rsidR="001D1B9A">
        <w:t>d</w:t>
      </w:r>
      <w:r>
        <w:t xml:space="preserve">epartment commenced </w:t>
      </w:r>
      <w:r w:rsidR="001D1B9A">
        <w:t>17</w:t>
      </w:r>
      <w:r>
        <w:t xml:space="preserve"> contracts</w:t>
      </w:r>
      <w:r w:rsidR="001D1B9A">
        <w:t>,</w:t>
      </w:r>
      <w:r>
        <w:t xml:space="preserve"> with a total of 89 per cent estimated to be of local content to which a VIP</w:t>
      </w:r>
      <w:r w:rsidR="001D1B9A">
        <w:t>P Plan or LIDP was not required.</w:t>
      </w:r>
      <w:r>
        <w:t xml:space="preserve"> as the procurement activity was local by nature.</w:t>
      </w:r>
    </w:p>
    <w:p w:rsidR="00005B6E" w:rsidRDefault="00005B6E" w:rsidP="00FF3B53">
      <w:pPr>
        <w:pStyle w:val="ARbody"/>
      </w:pPr>
      <w:r>
        <w:t>For design contracts</w:t>
      </w:r>
      <w:r w:rsidR="001D1B9A">
        <w:t xml:space="preserve"> or grants provided during 2016–</w:t>
      </w:r>
      <w:r>
        <w:t>17, one interaction reference number was required, which entailed a conversation with the Industry Capability Network (Victoria) Ltd.</w:t>
      </w:r>
    </w:p>
    <w:p w:rsidR="0092299C" w:rsidRPr="00B23FC3" w:rsidRDefault="0092299C" w:rsidP="00FF3B53">
      <w:pPr>
        <w:pStyle w:val="Heading2"/>
      </w:pPr>
      <w:bookmarkStart w:id="52" w:name="_Ref492915509"/>
      <w:r w:rsidRPr="00B23FC3">
        <w:t>Department of Health and Human Services compliance with </w:t>
      </w:r>
      <w:proofErr w:type="spellStart"/>
      <w:r w:rsidRPr="00B23FC3">
        <w:t>DataVic</w:t>
      </w:r>
      <w:proofErr w:type="spellEnd"/>
      <w:r w:rsidRPr="00B23FC3">
        <w:t xml:space="preserve"> </w:t>
      </w:r>
      <w:r>
        <w:t>a</w:t>
      </w:r>
      <w:r w:rsidRPr="00B23FC3">
        <w:t xml:space="preserve">ccess </w:t>
      </w:r>
      <w:r>
        <w:t>p</w:t>
      </w:r>
      <w:r w:rsidRPr="00B23FC3">
        <w:t>olicy</w:t>
      </w:r>
      <w:bookmarkEnd w:id="52"/>
    </w:p>
    <w:p w:rsidR="0092299C" w:rsidRDefault="0092299C" w:rsidP="0092299C">
      <w:pPr>
        <w:pStyle w:val="ARbody"/>
      </w:pPr>
      <w:r>
        <w:t xml:space="preserve">Consistent with the </w:t>
      </w:r>
      <w:proofErr w:type="spellStart"/>
      <w:r>
        <w:t>DataVic</w:t>
      </w:r>
      <w:proofErr w:type="spellEnd"/>
      <w:r>
        <w:t xml:space="preserve"> access policy issued by the Victorian Government in 2012, the </w:t>
      </w:r>
      <w:hyperlink r:id="rId57" w:history="1">
        <w:r w:rsidRPr="00054D39">
          <w:rPr>
            <w:rStyle w:val="Hyperlink"/>
          </w:rPr>
          <w:t>information included in this annual report will be available in machine readable format</w:t>
        </w:r>
      </w:hyperlink>
      <w:r>
        <w:t xml:space="preserve"> &lt;</w:t>
      </w:r>
      <w:r w:rsidRPr="005D353C">
        <w:t>http://www.data.vic.gov.au</w:t>
      </w:r>
      <w:r>
        <w:t>&gt;.</w:t>
      </w:r>
    </w:p>
    <w:p w:rsidR="0092299C" w:rsidRDefault="0092299C" w:rsidP="0092299C">
      <w:pPr>
        <w:pStyle w:val="ARbody"/>
      </w:pPr>
      <w:r>
        <w:t xml:space="preserve">At the end of </w:t>
      </w:r>
      <w:r w:rsidRPr="006F0DB4">
        <w:t>2016–17</w:t>
      </w:r>
      <w:r>
        <w:t>, the department had approximately 1,400 datasets available on the Victorian Government Data Directory, some of which are new, and others which have been amended during the year.</w:t>
      </w:r>
    </w:p>
    <w:p w:rsidR="0092299C" w:rsidRDefault="0092299C" w:rsidP="0092299C">
      <w:pPr>
        <w:pStyle w:val="ARbody"/>
      </w:pPr>
      <w:r>
        <w:t>Summarised data published by the department is available on a range of different websites including:</w:t>
      </w:r>
    </w:p>
    <w:p w:rsidR="0092299C" w:rsidRPr="00C264AE" w:rsidRDefault="0092299C" w:rsidP="0092299C">
      <w:pPr>
        <w:pStyle w:val="ARbullet1"/>
        <w:numPr>
          <w:ilvl w:val="0"/>
          <w:numId w:val="19"/>
        </w:numPr>
      </w:pPr>
      <w:r>
        <w:t xml:space="preserve">for health – </w:t>
      </w:r>
      <w:hyperlink r:id="rId58" w:history="1">
        <w:r>
          <w:rPr>
            <w:rStyle w:val="Hyperlink"/>
          </w:rPr>
          <w:t>health home</w:t>
        </w:r>
      </w:hyperlink>
      <w:r>
        <w:t xml:space="preserve"> &lt;</w:t>
      </w:r>
      <w:hyperlink r:id="rId59" w:history="1">
        <w:r w:rsidRPr="00791C2D">
          <w:t>http://performance.health.vic.gov.au/</w:t>
        </w:r>
        <w:r w:rsidR="007F5011">
          <w:br/>
        </w:r>
        <w:r w:rsidRPr="00791C2D">
          <w:t>Home.aspx</w:t>
        </w:r>
      </w:hyperlink>
      <w:r w:rsidRPr="00791C2D">
        <w:t xml:space="preserve">&gt; </w:t>
      </w:r>
      <w:r>
        <w:t xml:space="preserve">and </w:t>
      </w:r>
      <w:hyperlink r:id="rId60" w:history="1">
        <w:r w:rsidRPr="00791C2D">
          <w:rPr>
            <w:rStyle w:val="Hyperlink"/>
          </w:rPr>
          <w:t>health reporting</w:t>
        </w:r>
      </w:hyperlink>
      <w:r>
        <w:t xml:space="preserve"> </w:t>
      </w:r>
      <w:r w:rsidRPr="00791C2D">
        <w:rPr>
          <w:color w:val="000000" w:themeColor="text1"/>
        </w:rPr>
        <w:t>&lt;https://www2.health.vic.gov.au/about/</w:t>
      </w:r>
      <w:r w:rsidR="007F5011">
        <w:rPr>
          <w:color w:val="000000" w:themeColor="text1"/>
        </w:rPr>
        <w:br/>
      </w:r>
      <w:r w:rsidRPr="00791C2D">
        <w:rPr>
          <w:color w:val="000000" w:themeColor="text1"/>
        </w:rPr>
        <w:t>reporting-planning-data</w:t>
      </w:r>
      <w:r w:rsidRPr="00C264AE">
        <w:t>&gt;</w:t>
      </w:r>
    </w:p>
    <w:p w:rsidR="0092299C" w:rsidRDefault="0092299C" w:rsidP="0092299C">
      <w:pPr>
        <w:pStyle w:val="ARbullet1"/>
        <w:numPr>
          <w:ilvl w:val="0"/>
          <w:numId w:val="19"/>
        </w:numPr>
      </w:pPr>
      <w:r>
        <w:t xml:space="preserve">for </w:t>
      </w:r>
      <w:hyperlink r:id="rId61" w:history="1">
        <w:r w:rsidRPr="00791C2D">
          <w:rPr>
            <w:rStyle w:val="Hyperlink"/>
          </w:rPr>
          <w:t>corporate and human services</w:t>
        </w:r>
      </w:hyperlink>
      <w:r>
        <w:t xml:space="preserve"> &lt;</w:t>
      </w:r>
      <w:r w:rsidRPr="00791C2D">
        <w:t>https://dhhs.vic.gov.au/publications/</w:t>
      </w:r>
      <w:r w:rsidR="007F5011">
        <w:br/>
      </w:r>
      <w:r w:rsidRPr="00791C2D">
        <w:t>reports-reviews-data</w:t>
      </w:r>
      <w:r>
        <w:t>&gt;</w:t>
      </w:r>
    </w:p>
    <w:p w:rsidR="0092299C" w:rsidRDefault="0092299C" w:rsidP="00F91CA3">
      <w:pPr>
        <w:pStyle w:val="ARbullet1"/>
      </w:pPr>
      <w:r>
        <w:lastRenderedPageBreak/>
        <w:t xml:space="preserve">an extract of the department’s </w:t>
      </w:r>
      <w:hyperlink r:id="rId62" w:history="1">
        <w:r w:rsidRPr="00791C2D">
          <w:rPr>
            <w:rStyle w:val="Hyperlink"/>
          </w:rPr>
          <w:t>information asset register</w:t>
        </w:r>
      </w:hyperlink>
      <w:r>
        <w:t xml:space="preserve"> &lt;</w:t>
      </w:r>
      <w:r w:rsidRPr="00791C2D">
        <w:t>https://www.dhhs.vic.gov.au/</w:t>
      </w:r>
      <w:r w:rsidR="00796E21">
        <w:br/>
      </w:r>
      <w:r w:rsidRPr="00791C2D">
        <w:t>department-health-and-human-services-information-asset-register-public</w:t>
      </w:r>
      <w:r>
        <w:t>&gt; (progressively being populated)</w:t>
      </w:r>
      <w:r w:rsidR="001C3DAF">
        <w:t>.</w:t>
      </w:r>
    </w:p>
    <w:p w:rsidR="0092299C" w:rsidRDefault="0092299C" w:rsidP="00F91CA3">
      <w:pPr>
        <w:pStyle w:val="ARbodyafterbullets"/>
      </w:pPr>
      <w:r>
        <w:t>The websites above include information about:</w:t>
      </w:r>
    </w:p>
    <w:p w:rsidR="0092299C" w:rsidRDefault="0092299C" w:rsidP="0092299C">
      <w:pPr>
        <w:pStyle w:val="ARbullet1"/>
        <w:numPr>
          <w:ilvl w:val="0"/>
          <w:numId w:val="19"/>
        </w:numPr>
      </w:pPr>
      <w:r>
        <w:t>service provision (including health service performance)</w:t>
      </w:r>
    </w:p>
    <w:p w:rsidR="0092299C" w:rsidRDefault="0092299C" w:rsidP="0092299C">
      <w:pPr>
        <w:pStyle w:val="ARbullet1"/>
        <w:numPr>
          <w:ilvl w:val="0"/>
          <w:numId w:val="19"/>
        </w:numPr>
      </w:pPr>
      <w:r>
        <w:t>public health indicators</w:t>
      </w:r>
    </w:p>
    <w:p w:rsidR="0092299C" w:rsidRDefault="0092299C" w:rsidP="0092299C">
      <w:pPr>
        <w:pStyle w:val="ARbullet1"/>
        <w:numPr>
          <w:ilvl w:val="0"/>
          <w:numId w:val="19"/>
        </w:numPr>
      </w:pPr>
      <w:r>
        <w:t>infectious disease surveillance</w:t>
      </w:r>
    </w:p>
    <w:p w:rsidR="0092299C" w:rsidRDefault="0092299C" w:rsidP="0092299C">
      <w:pPr>
        <w:pStyle w:val="ARbullet1"/>
        <w:numPr>
          <w:ilvl w:val="0"/>
          <w:numId w:val="19"/>
        </w:numPr>
      </w:pPr>
      <w:r>
        <w:t>birth and birth defects</w:t>
      </w:r>
    </w:p>
    <w:p w:rsidR="0092299C" w:rsidRDefault="0092299C" w:rsidP="0092299C">
      <w:pPr>
        <w:pStyle w:val="ARbullet1"/>
        <w:numPr>
          <w:ilvl w:val="0"/>
          <w:numId w:val="19"/>
        </w:numPr>
      </w:pPr>
      <w:r>
        <w:t>alcohol and drug services</w:t>
      </w:r>
    </w:p>
    <w:p w:rsidR="0092299C" w:rsidRDefault="0092299C" w:rsidP="0092299C">
      <w:pPr>
        <w:pStyle w:val="ARbullet1"/>
        <w:numPr>
          <w:ilvl w:val="0"/>
          <w:numId w:val="19"/>
        </w:numPr>
      </w:pPr>
      <w:r>
        <w:t>housing</w:t>
      </w:r>
    </w:p>
    <w:p w:rsidR="0092299C" w:rsidRDefault="0092299C" w:rsidP="0092299C">
      <w:pPr>
        <w:pStyle w:val="ARbullet1"/>
        <w:numPr>
          <w:ilvl w:val="0"/>
          <w:numId w:val="19"/>
        </w:numPr>
      </w:pPr>
      <w:r>
        <w:t>vulnerable children</w:t>
      </w:r>
    </w:p>
    <w:p w:rsidR="0092299C" w:rsidRDefault="0092299C" w:rsidP="00F91CA3">
      <w:pPr>
        <w:pStyle w:val="ARbullet1"/>
      </w:pPr>
      <w:r>
        <w:t>disability.</w:t>
      </w:r>
    </w:p>
    <w:p w:rsidR="0092299C" w:rsidRDefault="0092299C" w:rsidP="00F91CA3">
      <w:pPr>
        <w:pStyle w:val="ARbodyafterbullets"/>
      </w:pPr>
      <w:r>
        <w:t>As well as summarised data, the department maintains a number of de-identified datasets that researchers can access. These detailed datasets, which adhere to strict privacy guidelines, contain a wealth of information to support better understanding of Victorian’s health and human services.</w:t>
      </w:r>
    </w:p>
    <w:p w:rsidR="0092299C" w:rsidRDefault="0092299C" w:rsidP="0092299C">
      <w:pPr>
        <w:pStyle w:val="ARbody"/>
      </w:pPr>
      <w:r>
        <w:t>They include the:</w:t>
      </w:r>
    </w:p>
    <w:p w:rsidR="0092299C" w:rsidRDefault="0092299C" w:rsidP="0092299C">
      <w:pPr>
        <w:pStyle w:val="ARbullet1"/>
        <w:numPr>
          <w:ilvl w:val="0"/>
          <w:numId w:val="19"/>
        </w:numPr>
      </w:pPr>
      <w:r>
        <w:t>Victorian Admitted Episodes Dataset (VAED) which contains information about all patients admitted to Victorian hospitals</w:t>
      </w:r>
    </w:p>
    <w:p w:rsidR="0092299C" w:rsidRDefault="0092299C" w:rsidP="0092299C">
      <w:pPr>
        <w:pStyle w:val="ARbullet1"/>
        <w:numPr>
          <w:ilvl w:val="0"/>
          <w:numId w:val="19"/>
        </w:numPr>
      </w:pPr>
      <w:r>
        <w:t>Victorian Emergency Minimum Dataset (VEMD) which contains information about emergency presentations at Victorian public hospitals</w:t>
      </w:r>
    </w:p>
    <w:p w:rsidR="0092299C" w:rsidRDefault="0092299C" w:rsidP="0092299C">
      <w:pPr>
        <w:pStyle w:val="ARbullet1"/>
        <w:numPr>
          <w:ilvl w:val="0"/>
          <w:numId w:val="19"/>
        </w:numPr>
      </w:pPr>
      <w:r>
        <w:t>Elective Surgery Information System (ESIS) which contains information about elective surgery waiting list information from the major Victorian metropolitan and rural public hospitals</w:t>
      </w:r>
    </w:p>
    <w:p w:rsidR="0092299C" w:rsidRDefault="0092299C" w:rsidP="0092299C">
      <w:pPr>
        <w:pStyle w:val="ARbullet1"/>
        <w:numPr>
          <w:ilvl w:val="0"/>
          <w:numId w:val="19"/>
        </w:numPr>
      </w:pPr>
      <w:r>
        <w:t>Perinatal Data Collection which contains information about mothers and babies born in Victoria</w:t>
      </w:r>
    </w:p>
    <w:p w:rsidR="0092299C" w:rsidRDefault="0092299C" w:rsidP="0092299C">
      <w:pPr>
        <w:pStyle w:val="ARbullet1"/>
        <w:numPr>
          <w:ilvl w:val="0"/>
          <w:numId w:val="19"/>
        </w:numPr>
      </w:pPr>
      <w:r>
        <w:t>Alcohol and Drug Treatment Service Utilisation Data Collection which contains information about the clients and activity of government-funded alcohol and drug treatment services</w:t>
      </w:r>
    </w:p>
    <w:p w:rsidR="0092299C" w:rsidRDefault="00E22175" w:rsidP="0092299C">
      <w:pPr>
        <w:pStyle w:val="ARbullet1"/>
        <w:numPr>
          <w:ilvl w:val="0"/>
          <w:numId w:val="19"/>
        </w:numPr>
      </w:pPr>
      <w:r>
        <w:br w:type="column"/>
      </w:r>
      <w:r w:rsidR="0092299C">
        <w:lastRenderedPageBreak/>
        <w:t>Victorian Mental Health Data Collection which contains information about inpatient, residential, and ambulatory community care provided by gazetted mental health facilities, and associated legal diagnostic and outcome measurement information</w:t>
      </w:r>
    </w:p>
    <w:p w:rsidR="0092299C" w:rsidRDefault="0092299C" w:rsidP="0092299C">
      <w:pPr>
        <w:pStyle w:val="ARbullet1"/>
        <w:numPr>
          <w:ilvl w:val="0"/>
          <w:numId w:val="19"/>
        </w:numPr>
      </w:pPr>
      <w:r>
        <w:t>Victorian Integrated Non-Admitted Health (VINAH) dataset which contains information about the Family Choice Program, Hospital Admission Risk Program, Hospital-Based Palliative Care Consultancy Team, Palliative Care, Post-Acute Care, Residential In-Reach, Specialist Clinics (Outpatients), Subacute Ambulatory Care Services, Transition Care Program, Victorian HIV Service and the Victorian Respiratory Support Service</w:t>
      </w:r>
    </w:p>
    <w:p w:rsidR="0092299C" w:rsidRDefault="0092299C" w:rsidP="0092299C">
      <w:pPr>
        <w:pStyle w:val="ARbullet1"/>
        <w:numPr>
          <w:ilvl w:val="0"/>
          <w:numId w:val="19"/>
        </w:numPr>
      </w:pPr>
      <w:r>
        <w:t>Community Health Minimum Dataset which contains information about clients receiving government-funded community health services</w:t>
      </w:r>
    </w:p>
    <w:p w:rsidR="0092299C" w:rsidRDefault="0092299C" w:rsidP="0092299C">
      <w:pPr>
        <w:pStyle w:val="ARbullet1"/>
        <w:numPr>
          <w:ilvl w:val="0"/>
          <w:numId w:val="19"/>
        </w:numPr>
      </w:pPr>
      <w:r>
        <w:t>Dental Health Program Dataset which contains information about services provided by public dental agencies, including about clients, treatments, referrals, and waiting lists</w:t>
      </w:r>
    </w:p>
    <w:p w:rsidR="0092299C" w:rsidRDefault="0092299C" w:rsidP="00F91CA3">
      <w:pPr>
        <w:pStyle w:val="ARbullet1"/>
      </w:pPr>
      <w:r>
        <w:t xml:space="preserve">Notifiable Infectious Diseases Data on conditions that must be reported to the department under the </w:t>
      </w:r>
      <w:r w:rsidRPr="005D353C">
        <w:rPr>
          <w:i/>
        </w:rPr>
        <w:t>Public Health and Wellbeing Act 2008</w:t>
      </w:r>
      <w:r>
        <w:t>.</w:t>
      </w:r>
    </w:p>
    <w:p w:rsidR="0092299C" w:rsidRDefault="0092299C" w:rsidP="00F91CA3">
      <w:pPr>
        <w:pStyle w:val="ARbodyafterbullets"/>
      </w:pPr>
      <w:r>
        <w:t xml:space="preserve">Researchers can request access </w:t>
      </w:r>
      <w:r w:rsidR="004C38E9">
        <w:br/>
      </w:r>
      <w:r>
        <w:t xml:space="preserve">to linked de-identified </w:t>
      </w:r>
      <w:hyperlink r:id="rId63" w:history="1">
        <w:r w:rsidRPr="00002634">
          <w:rPr>
            <w:rStyle w:val="Hyperlink"/>
          </w:rPr>
          <w:t>data</w:t>
        </w:r>
      </w:hyperlink>
      <w:r>
        <w:t xml:space="preserve"> &lt;</w:t>
      </w:r>
      <w:r w:rsidRPr="00002634">
        <w:t>https://www2.health.vic.gov.au/about/</w:t>
      </w:r>
      <w:r w:rsidR="004C38E9">
        <w:br/>
      </w:r>
      <w:r w:rsidRPr="00002634">
        <w:t>reporting-planning-data/</w:t>
      </w:r>
      <w:proofErr w:type="spellStart"/>
      <w:r w:rsidRPr="00002634">
        <w:t>victorian</w:t>
      </w:r>
      <w:proofErr w:type="spellEnd"/>
      <w:r w:rsidRPr="00002634">
        <w:t>-data-linkages</w:t>
      </w:r>
      <w:r>
        <w:t>&gt;.</w:t>
      </w:r>
    </w:p>
    <w:p w:rsidR="0092299C" w:rsidRDefault="0092299C" w:rsidP="0092299C">
      <w:pPr>
        <w:pStyle w:val="ARbody"/>
      </w:pPr>
      <w:r>
        <w:t>Victorian health and human services data is also made available by a number of agencies including:</w:t>
      </w:r>
    </w:p>
    <w:p w:rsidR="0092299C" w:rsidRDefault="00EF589D" w:rsidP="00E02228">
      <w:pPr>
        <w:pStyle w:val="ARbullet1"/>
      </w:pPr>
      <w:hyperlink r:id="rId64" w:history="1">
        <w:r w:rsidR="0092299C" w:rsidRPr="00002634">
          <w:rPr>
            <w:rStyle w:val="Hyperlink"/>
          </w:rPr>
          <w:t>Cancer Council Victoria</w:t>
        </w:r>
      </w:hyperlink>
      <w:r w:rsidR="0092299C">
        <w:t xml:space="preserve"> &lt;</w:t>
      </w:r>
      <w:r w:rsidR="0092299C" w:rsidRPr="00002634">
        <w:t>http://www.cancervic.org.au/research/</w:t>
      </w:r>
      <w:r w:rsidR="004C38E9">
        <w:br/>
      </w:r>
      <w:r w:rsidR="0092299C" w:rsidRPr="00002634">
        <w:t>registry-statistics/statistics-data</w:t>
      </w:r>
      <w:r w:rsidR="0092299C">
        <w:t>&gt;</w:t>
      </w:r>
    </w:p>
    <w:p w:rsidR="0092299C" w:rsidRDefault="00EF589D" w:rsidP="00E02228">
      <w:pPr>
        <w:pStyle w:val="ARbullet1"/>
      </w:pPr>
      <w:hyperlink r:id="rId65" w:history="1">
        <w:r w:rsidR="0092299C" w:rsidRPr="00002634">
          <w:rPr>
            <w:rStyle w:val="Hyperlink"/>
          </w:rPr>
          <w:t>MyHospitals</w:t>
        </w:r>
      </w:hyperlink>
      <w:r w:rsidR="0092299C">
        <w:t xml:space="preserve"> &lt;</w:t>
      </w:r>
      <w:r w:rsidR="004A644F">
        <w:t>https://</w:t>
      </w:r>
      <w:r w:rsidR="0092299C" w:rsidRPr="00002634">
        <w:t>www.myhospitals.gov.au</w:t>
      </w:r>
      <w:r w:rsidR="0092299C">
        <w:t>&gt;</w:t>
      </w:r>
    </w:p>
    <w:p w:rsidR="00AA035A" w:rsidRDefault="00EF589D" w:rsidP="00E02228">
      <w:pPr>
        <w:pStyle w:val="ARbullet1"/>
      </w:pPr>
      <w:hyperlink r:id="rId66" w:history="1">
        <w:r w:rsidR="0092299C" w:rsidRPr="00002634">
          <w:rPr>
            <w:rStyle w:val="Hyperlink"/>
          </w:rPr>
          <w:t>Australian Institute of Health and Welfare</w:t>
        </w:r>
      </w:hyperlink>
      <w:r w:rsidR="0092299C">
        <w:t xml:space="preserve"> &lt;</w:t>
      </w:r>
      <w:r w:rsidR="0092299C" w:rsidRPr="00F34626">
        <w:t>http://www.aihw.gov.au/data/</w:t>
      </w:r>
      <w:r w:rsidR="0092299C">
        <w:t>&gt;</w:t>
      </w:r>
    </w:p>
    <w:p w:rsidR="0092299C" w:rsidRPr="001A12DB" w:rsidRDefault="0092299C" w:rsidP="00F91CA3">
      <w:pPr>
        <w:pStyle w:val="ARbullet1"/>
      </w:pPr>
      <w:r w:rsidRPr="001A12DB">
        <w:t xml:space="preserve">The Victorian Agency for Health Information was established as an </w:t>
      </w:r>
      <w:r>
        <w:t>a</w:t>
      </w:r>
      <w:r w:rsidRPr="001A12DB">
        <w:t xml:space="preserve">dministrative </w:t>
      </w:r>
      <w:r>
        <w:t>o</w:t>
      </w:r>
      <w:r w:rsidR="00825DA9">
        <w:t>ffice from 1 July 2017. In </w:t>
      </w:r>
      <w:r>
        <w:t>2017–18</w:t>
      </w:r>
      <w:r w:rsidRPr="001A12DB">
        <w:t xml:space="preserve"> the agency will assume responsibi</w:t>
      </w:r>
      <w:r w:rsidR="00825DA9">
        <w:t>lity for quarterly reporting of </w:t>
      </w:r>
      <w:r w:rsidRPr="001A12DB">
        <w:t>health service performance and for maintaining a number of de-identified datasets th</w:t>
      </w:r>
      <w:r w:rsidR="00825DA9">
        <w:t>at researchers can access (from </w:t>
      </w:r>
      <w:r w:rsidR="00796E21">
        <w:t>VAED to VINAH </w:t>
      </w:r>
      <w:r w:rsidRPr="001A12DB">
        <w:t>in the list above).</w:t>
      </w:r>
    </w:p>
    <w:p w:rsidR="0092299C" w:rsidRDefault="0092299C" w:rsidP="0092299C">
      <w:pPr>
        <w:pStyle w:val="Heading2"/>
      </w:pPr>
      <w:r>
        <w:lastRenderedPageBreak/>
        <w:t>Business Technology and Information Management Committee</w:t>
      </w:r>
    </w:p>
    <w:p w:rsidR="0092299C" w:rsidRDefault="0092299C" w:rsidP="0092299C">
      <w:pPr>
        <w:pStyle w:val="ARbody"/>
      </w:pPr>
      <w:r>
        <w:t>The Business Technology and Information Management (BTIM) subcommittee oversees the department's business technology and information management functions.</w:t>
      </w:r>
    </w:p>
    <w:p w:rsidR="0092299C" w:rsidRDefault="0092299C" w:rsidP="0092299C">
      <w:pPr>
        <w:pStyle w:val="ARbody"/>
      </w:pPr>
      <w:r>
        <w:t>The BTIM subcommittee</w:t>
      </w:r>
      <w:r w:rsidR="005F716F">
        <w:t>’</w:t>
      </w:r>
      <w:r>
        <w:t>s role includes:</w:t>
      </w:r>
    </w:p>
    <w:p w:rsidR="0092299C" w:rsidRDefault="0092299C" w:rsidP="0092299C">
      <w:pPr>
        <w:pStyle w:val="ARbullet1"/>
        <w:numPr>
          <w:ilvl w:val="0"/>
          <w:numId w:val="19"/>
        </w:numPr>
      </w:pPr>
      <w:r>
        <w:t>overseeing and directing the over-arching BTIM strategy and associated strategies and frameworks</w:t>
      </w:r>
    </w:p>
    <w:p w:rsidR="0092299C" w:rsidRDefault="0092299C" w:rsidP="0092299C">
      <w:pPr>
        <w:pStyle w:val="ARbullet1"/>
        <w:numPr>
          <w:ilvl w:val="0"/>
          <w:numId w:val="19"/>
        </w:numPr>
      </w:pPr>
      <w:r>
        <w:t>developing BTIM-related policy and standards</w:t>
      </w:r>
    </w:p>
    <w:p w:rsidR="0092299C" w:rsidRDefault="0092299C" w:rsidP="0092299C">
      <w:pPr>
        <w:pStyle w:val="ARbullet1"/>
        <w:numPr>
          <w:ilvl w:val="0"/>
          <w:numId w:val="19"/>
        </w:numPr>
      </w:pPr>
      <w:r>
        <w:t>advising and providing recommendations to the Executive Board on BTIM-related investments and projects</w:t>
      </w:r>
    </w:p>
    <w:p w:rsidR="0092299C" w:rsidRDefault="0092299C" w:rsidP="00F91CA3">
      <w:pPr>
        <w:pStyle w:val="ARbullet1"/>
      </w:pPr>
      <w:r>
        <w:t>monitoring the effectiveness of project assurance for sector-based projects and initiatives that expose the department to risk.</w:t>
      </w:r>
    </w:p>
    <w:p w:rsidR="0092299C" w:rsidRDefault="0092299C" w:rsidP="0092299C">
      <w:pPr>
        <w:pStyle w:val="ARbodyafterbullets"/>
      </w:pPr>
      <w:r>
        <w:t>The subcommittee comprises 10 members:</w:t>
      </w:r>
    </w:p>
    <w:p w:rsidR="0092299C" w:rsidRDefault="0092299C" w:rsidP="0092299C">
      <w:pPr>
        <w:pStyle w:val="ARbullet1"/>
        <w:numPr>
          <w:ilvl w:val="0"/>
          <w:numId w:val="19"/>
        </w:numPr>
      </w:pPr>
      <w:r>
        <w:t>Deputy Secretary, Corporate Services (Chair)</w:t>
      </w:r>
    </w:p>
    <w:p w:rsidR="0092299C" w:rsidRDefault="0092299C" w:rsidP="0092299C">
      <w:pPr>
        <w:pStyle w:val="ARbullet1"/>
        <w:numPr>
          <w:ilvl w:val="0"/>
          <w:numId w:val="19"/>
        </w:numPr>
      </w:pPr>
      <w:r>
        <w:t>Deputy Secretary, People, Capability and Oversight</w:t>
      </w:r>
    </w:p>
    <w:p w:rsidR="0092299C" w:rsidRDefault="0092299C" w:rsidP="0092299C">
      <w:pPr>
        <w:pStyle w:val="ARbullet1"/>
        <w:numPr>
          <w:ilvl w:val="0"/>
          <w:numId w:val="19"/>
        </w:numPr>
      </w:pPr>
      <w:r>
        <w:t>Deputy Secretary, Sport and Recreation, Infrastructure, International Engagement and Director of Housing</w:t>
      </w:r>
    </w:p>
    <w:p w:rsidR="0092299C" w:rsidRDefault="0092299C" w:rsidP="0092299C">
      <w:pPr>
        <w:pStyle w:val="ARbullet1"/>
        <w:numPr>
          <w:ilvl w:val="0"/>
          <w:numId w:val="19"/>
        </w:numPr>
      </w:pPr>
      <w:r>
        <w:t>Deputy Secretary, South Division, Operations</w:t>
      </w:r>
    </w:p>
    <w:p w:rsidR="0092299C" w:rsidRDefault="0092299C" w:rsidP="0092299C">
      <w:pPr>
        <w:pStyle w:val="ARbullet1"/>
        <w:numPr>
          <w:ilvl w:val="0"/>
          <w:numId w:val="19"/>
        </w:numPr>
      </w:pPr>
      <w:r>
        <w:t>Chief Information Officer, Corporate Services</w:t>
      </w:r>
    </w:p>
    <w:p w:rsidR="0092299C" w:rsidRDefault="0092299C" w:rsidP="0092299C">
      <w:pPr>
        <w:pStyle w:val="ARbullet1"/>
        <w:numPr>
          <w:ilvl w:val="0"/>
          <w:numId w:val="19"/>
        </w:numPr>
      </w:pPr>
      <w:r>
        <w:t>Health Chief Information Officer, Corporate Services</w:t>
      </w:r>
    </w:p>
    <w:p w:rsidR="0092299C" w:rsidRDefault="0092299C" w:rsidP="0092299C">
      <w:pPr>
        <w:pStyle w:val="ARbullet1"/>
        <w:numPr>
          <w:ilvl w:val="0"/>
          <w:numId w:val="19"/>
        </w:numPr>
      </w:pPr>
      <w:r>
        <w:t>Director, Corporate Services, East Divisions, Operations</w:t>
      </w:r>
    </w:p>
    <w:p w:rsidR="0092299C" w:rsidRDefault="0092299C" w:rsidP="0092299C">
      <w:pPr>
        <w:pStyle w:val="ARbullet1"/>
        <w:numPr>
          <w:ilvl w:val="0"/>
          <w:numId w:val="19"/>
        </w:numPr>
      </w:pPr>
      <w:r>
        <w:t>Director, Health Information and Reporting</w:t>
      </w:r>
    </w:p>
    <w:p w:rsidR="0092299C" w:rsidRDefault="0092299C" w:rsidP="0092299C">
      <w:pPr>
        <w:pStyle w:val="ARbullet1"/>
        <w:numPr>
          <w:ilvl w:val="0"/>
          <w:numId w:val="19"/>
        </w:numPr>
      </w:pPr>
      <w:r>
        <w:t>Director, Performance and Reporting, Operations</w:t>
      </w:r>
    </w:p>
    <w:p w:rsidR="0092299C" w:rsidRDefault="0092299C" w:rsidP="00F91CA3">
      <w:pPr>
        <w:pStyle w:val="ARbullet1"/>
      </w:pPr>
      <w:r>
        <w:t>Director, Service Implementation and Support, Operations.</w:t>
      </w:r>
    </w:p>
    <w:p w:rsidR="0092299C" w:rsidRPr="00596CA9" w:rsidRDefault="0092299C" w:rsidP="0092299C">
      <w:pPr>
        <w:pStyle w:val="Heading2"/>
      </w:pPr>
      <w:bookmarkStart w:id="53" w:name="_Ref492895200"/>
      <w:r w:rsidRPr="00596CA9">
        <w:t>Protected Disclosure Act 2012</w:t>
      </w:r>
      <w:bookmarkEnd w:id="53"/>
    </w:p>
    <w:p w:rsidR="0092299C" w:rsidRPr="009C11E4" w:rsidRDefault="0092299C" w:rsidP="0092299C">
      <w:pPr>
        <w:pStyle w:val="ARbody"/>
      </w:pPr>
      <w:r w:rsidRPr="009C11E4">
        <w:t xml:space="preserve">The </w:t>
      </w:r>
      <w:r w:rsidRPr="009C11E4">
        <w:rPr>
          <w:i/>
        </w:rPr>
        <w:t>Protected Disclosure Act 2012</w:t>
      </w:r>
      <w:r w:rsidRPr="009C11E4">
        <w:t xml:space="preserve"> encourages and facilitates disclosures of improper conduct by public officers, public bodies and other persons, and provides protection from detrimental action taken against a person making a disclosure, witnesses and persons subject to an investigation.</w:t>
      </w:r>
    </w:p>
    <w:p w:rsidR="0092299C" w:rsidRPr="009C11E4" w:rsidRDefault="0092299C" w:rsidP="0092299C">
      <w:pPr>
        <w:pStyle w:val="ARbody"/>
      </w:pPr>
      <w:r w:rsidRPr="009C11E4">
        <w:t xml:space="preserve">The department does not tolerate improper conduct by employees, or the taking of reprisals against those who disclose improper conduct. The department will support officers who disclose conduct involving the dishonest performance of public functions, knowingly </w:t>
      </w:r>
      <w:r w:rsidRPr="009C11E4">
        <w:lastRenderedPageBreak/>
        <w:t>or recklessly breaching public trust, misusing information obtained in an official capacity, substantially mismanaging public resources, or substantially risking public health, safety or the environment.</w:t>
      </w:r>
    </w:p>
    <w:p w:rsidR="0092299C" w:rsidRDefault="0092299C" w:rsidP="0092299C">
      <w:pPr>
        <w:pStyle w:val="ARbody"/>
        <w:rPr>
          <w:lang w:eastAsia="en-AU"/>
        </w:rPr>
      </w:pPr>
      <w:r w:rsidRPr="009C11E4">
        <w:rPr>
          <w:lang w:eastAsia="en-AU"/>
        </w:rPr>
        <w:t>The department will take all reasonable steps to ensure that any person involved in a disclosure is not subjected to detrimental action. It will also afford natural justice to a person who is the subject of a disclosure.</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2891"/>
        <w:gridCol w:w="851"/>
        <w:gridCol w:w="851"/>
      </w:tblGrid>
      <w:tr w:rsidR="0092299C" w:rsidRPr="009C11E4" w:rsidTr="007F2D72">
        <w:trPr>
          <w:cantSplit/>
          <w:tblHeader/>
        </w:trPr>
        <w:tc>
          <w:tcPr>
            <w:tcW w:w="2891" w:type="dxa"/>
            <w:shd w:val="clear" w:color="auto" w:fill="auto"/>
            <w:vAlign w:val="bottom"/>
          </w:tcPr>
          <w:p w:rsidR="0092299C" w:rsidRPr="009C11E4" w:rsidRDefault="0092299C" w:rsidP="0092299C">
            <w:pPr>
              <w:spacing w:before="80" w:after="60" w:line="216" w:lineRule="auto"/>
              <w:rPr>
                <w:rFonts w:eastAsia="Times" w:cs="Arial"/>
                <w:b/>
                <w:sz w:val="18"/>
                <w:szCs w:val="18"/>
              </w:rPr>
            </w:pPr>
            <w:r w:rsidRPr="009C11E4">
              <w:rPr>
                <w:rFonts w:eastAsia="Times" w:cs="Arial"/>
                <w:b/>
                <w:sz w:val="18"/>
                <w:szCs w:val="18"/>
              </w:rPr>
              <w:t xml:space="preserve">Disclosures under the </w:t>
            </w:r>
            <w:r w:rsidRPr="009C11E4">
              <w:rPr>
                <w:rFonts w:eastAsia="Times" w:cs="Arial"/>
                <w:b/>
                <w:i/>
                <w:sz w:val="18"/>
                <w:szCs w:val="18"/>
              </w:rPr>
              <w:t>Protected Disclosure Act 2012</w:t>
            </w:r>
          </w:p>
        </w:tc>
        <w:tc>
          <w:tcPr>
            <w:tcW w:w="851" w:type="dxa"/>
            <w:shd w:val="clear" w:color="auto" w:fill="auto"/>
            <w:vAlign w:val="bottom"/>
          </w:tcPr>
          <w:p w:rsidR="0092299C" w:rsidRPr="009C11E4" w:rsidRDefault="0092299C" w:rsidP="0092299C">
            <w:pPr>
              <w:spacing w:before="80" w:after="60" w:line="216" w:lineRule="auto"/>
              <w:jc w:val="right"/>
              <w:rPr>
                <w:rFonts w:eastAsia="Times" w:cs="Arial"/>
                <w:b/>
                <w:sz w:val="18"/>
                <w:szCs w:val="18"/>
              </w:rPr>
            </w:pPr>
            <w:r w:rsidRPr="009C11E4">
              <w:rPr>
                <w:rFonts w:eastAsia="Times" w:cs="Arial"/>
                <w:b/>
                <w:sz w:val="18"/>
                <w:szCs w:val="18"/>
              </w:rPr>
              <w:t>2015–16 number</w:t>
            </w:r>
          </w:p>
        </w:tc>
        <w:tc>
          <w:tcPr>
            <w:tcW w:w="851" w:type="dxa"/>
            <w:shd w:val="clear" w:color="auto" w:fill="auto"/>
            <w:vAlign w:val="bottom"/>
          </w:tcPr>
          <w:p w:rsidR="0092299C" w:rsidRPr="009C11E4" w:rsidRDefault="0092299C" w:rsidP="0092299C">
            <w:pPr>
              <w:spacing w:before="80" w:after="60" w:line="216" w:lineRule="auto"/>
              <w:jc w:val="right"/>
              <w:rPr>
                <w:rFonts w:eastAsia="Times" w:cs="Arial"/>
                <w:b/>
                <w:sz w:val="18"/>
                <w:szCs w:val="18"/>
              </w:rPr>
            </w:pPr>
            <w:r w:rsidRPr="009C11E4">
              <w:rPr>
                <w:rFonts w:eastAsia="Times" w:cs="Arial"/>
                <w:b/>
                <w:sz w:val="18"/>
                <w:szCs w:val="18"/>
              </w:rPr>
              <w:t>2016–17 number</w:t>
            </w:r>
          </w:p>
        </w:tc>
      </w:tr>
      <w:tr w:rsidR="0092299C" w:rsidRPr="009C11E4" w:rsidTr="007F2D72">
        <w:trPr>
          <w:cantSplit/>
        </w:trPr>
        <w:tc>
          <w:tcPr>
            <w:tcW w:w="2891" w:type="dxa"/>
            <w:shd w:val="clear" w:color="auto" w:fill="auto"/>
          </w:tcPr>
          <w:p w:rsidR="0092299C" w:rsidRPr="009C11E4" w:rsidRDefault="0092299C" w:rsidP="0092299C">
            <w:pPr>
              <w:spacing w:before="80" w:after="60"/>
              <w:rPr>
                <w:rFonts w:eastAsia="Times" w:cs="Arial"/>
                <w:sz w:val="18"/>
                <w:szCs w:val="18"/>
                <w:lang w:eastAsia="en-AU"/>
              </w:rPr>
            </w:pPr>
            <w:r w:rsidRPr="009C11E4">
              <w:rPr>
                <w:rFonts w:eastAsia="Times" w:cs="Arial"/>
                <w:sz w:val="18"/>
                <w:szCs w:val="18"/>
                <w:lang w:eastAsia="en-AU"/>
              </w:rPr>
              <w:t>The number of disclosures notified to the Independent Broad-based Anti-corruption Commission</w:t>
            </w:r>
          </w:p>
        </w:tc>
        <w:tc>
          <w:tcPr>
            <w:tcW w:w="851" w:type="dxa"/>
            <w:shd w:val="clear" w:color="auto" w:fill="auto"/>
          </w:tcPr>
          <w:p w:rsidR="0092299C" w:rsidRPr="009C11E4" w:rsidRDefault="0092299C" w:rsidP="0092299C">
            <w:pPr>
              <w:spacing w:before="80" w:after="60"/>
              <w:jc w:val="right"/>
              <w:rPr>
                <w:rFonts w:eastAsia="Times" w:cs="Arial"/>
                <w:sz w:val="18"/>
                <w:szCs w:val="18"/>
                <w:lang w:eastAsia="en-AU"/>
              </w:rPr>
            </w:pPr>
            <w:r w:rsidRPr="009C11E4">
              <w:rPr>
                <w:rFonts w:eastAsia="Times" w:cs="Arial"/>
                <w:sz w:val="18"/>
                <w:szCs w:val="18"/>
                <w:lang w:eastAsia="en-AU"/>
              </w:rPr>
              <w:t>6</w:t>
            </w:r>
          </w:p>
        </w:tc>
        <w:tc>
          <w:tcPr>
            <w:tcW w:w="851" w:type="dxa"/>
            <w:shd w:val="clear" w:color="auto" w:fill="auto"/>
          </w:tcPr>
          <w:p w:rsidR="0092299C" w:rsidRPr="009C11E4" w:rsidRDefault="0092299C" w:rsidP="0092299C">
            <w:pPr>
              <w:spacing w:before="80" w:after="60"/>
              <w:jc w:val="right"/>
              <w:rPr>
                <w:rFonts w:eastAsia="Times" w:cs="Arial"/>
                <w:sz w:val="18"/>
                <w:szCs w:val="18"/>
                <w:lang w:eastAsia="en-AU"/>
              </w:rPr>
            </w:pPr>
            <w:r w:rsidRPr="009C11E4">
              <w:rPr>
                <w:rFonts w:eastAsia="Times" w:cs="Arial"/>
                <w:sz w:val="18"/>
                <w:szCs w:val="18"/>
                <w:lang w:eastAsia="en-AU"/>
              </w:rPr>
              <w:t xml:space="preserve">5 </w:t>
            </w:r>
          </w:p>
        </w:tc>
      </w:tr>
    </w:tbl>
    <w:p w:rsidR="0092299C" w:rsidRPr="009C11E4" w:rsidRDefault="0092299C" w:rsidP="0092299C">
      <w:pPr>
        <w:pStyle w:val="Heading3"/>
      </w:pPr>
      <w:r w:rsidRPr="009C11E4">
        <w:t>Reporting procedures</w:t>
      </w:r>
    </w:p>
    <w:p w:rsidR="0092299C" w:rsidRPr="009C11E4" w:rsidRDefault="0092299C" w:rsidP="0092299C">
      <w:pPr>
        <w:pStyle w:val="ARbody"/>
      </w:pPr>
      <w:r w:rsidRPr="009C11E4">
        <w:t>Disclosures of improper conduct or detrimental action by the department or its employees may be made to the following officers:</w:t>
      </w:r>
    </w:p>
    <w:p w:rsidR="0092299C" w:rsidRPr="009C11E4" w:rsidRDefault="0092299C" w:rsidP="0092299C">
      <w:pPr>
        <w:pStyle w:val="ARbullet1"/>
        <w:numPr>
          <w:ilvl w:val="0"/>
          <w:numId w:val="19"/>
        </w:numPr>
      </w:pPr>
      <w:r w:rsidRPr="009C11E4">
        <w:t>Protected Disclosure Coordinator</w:t>
      </w:r>
    </w:p>
    <w:p w:rsidR="0092299C" w:rsidRPr="009C11E4" w:rsidRDefault="0092299C" w:rsidP="0092299C">
      <w:pPr>
        <w:pStyle w:val="ARbullet1"/>
        <w:numPr>
          <w:ilvl w:val="0"/>
          <w:numId w:val="19"/>
        </w:numPr>
      </w:pPr>
      <w:r w:rsidRPr="009C11E4">
        <w:t>the discloser’s manager or supervisor</w:t>
      </w:r>
    </w:p>
    <w:p w:rsidR="0092299C" w:rsidRPr="009C11E4" w:rsidRDefault="0092299C" w:rsidP="0092299C">
      <w:pPr>
        <w:pStyle w:val="ARbullet1"/>
        <w:numPr>
          <w:ilvl w:val="0"/>
          <w:numId w:val="19"/>
        </w:numPr>
      </w:pPr>
      <w:r w:rsidRPr="009C11E4">
        <w:t>the manager or supervisor of the person who is the subject of the disclosure</w:t>
      </w:r>
    </w:p>
    <w:p w:rsidR="0092299C" w:rsidRPr="009C11E4" w:rsidRDefault="0092299C" w:rsidP="0092299C">
      <w:pPr>
        <w:pStyle w:val="ARbullet1"/>
        <w:numPr>
          <w:ilvl w:val="0"/>
          <w:numId w:val="19"/>
        </w:numPr>
      </w:pPr>
      <w:r w:rsidRPr="009C11E4">
        <w:t>the Secretary</w:t>
      </w:r>
    </w:p>
    <w:p w:rsidR="0092299C" w:rsidRPr="009C11E4" w:rsidRDefault="0092299C" w:rsidP="00F91CA3">
      <w:pPr>
        <w:pStyle w:val="ARbullet1"/>
      </w:pPr>
      <w:r w:rsidRPr="009C11E4">
        <w:t xml:space="preserve">or by calling 1300 131 431 </w:t>
      </w:r>
      <w:r w:rsidRPr="009C11E4">
        <w:br/>
        <w:t>(toll free 24-hour answering service).</w:t>
      </w:r>
    </w:p>
    <w:p w:rsidR="0092299C" w:rsidRPr="009C11E4" w:rsidRDefault="0092299C" w:rsidP="00F91CA3">
      <w:pPr>
        <w:pStyle w:val="ARbodyafterbullets"/>
      </w:pPr>
      <w:r w:rsidRPr="009C11E4">
        <w:t>Alternatively, a person may make a disclosure of improper conduct or detrimental action by the department or its employees directly to the Independent Broad-based Anti-corruption Commission:</w:t>
      </w:r>
    </w:p>
    <w:p w:rsidR="0092299C" w:rsidRPr="00316C1C" w:rsidRDefault="0092299C" w:rsidP="009D4DE7">
      <w:pPr>
        <w:pStyle w:val="ARbodynospace"/>
      </w:pPr>
      <w:r w:rsidRPr="009C11E4">
        <w:t xml:space="preserve">Independent Broad-based Anti-corruption </w:t>
      </w:r>
      <w:r w:rsidRPr="00316C1C">
        <w:t>Commission</w:t>
      </w:r>
    </w:p>
    <w:p w:rsidR="0092299C" w:rsidRPr="00316C1C" w:rsidRDefault="0092299C" w:rsidP="009D4DE7">
      <w:pPr>
        <w:pStyle w:val="ARbodynospace"/>
      </w:pPr>
      <w:r w:rsidRPr="00316C1C">
        <w:t>Level 1, 459 Collins Street (North Tower)</w:t>
      </w:r>
    </w:p>
    <w:p w:rsidR="0092299C" w:rsidRPr="00316C1C" w:rsidRDefault="0092299C" w:rsidP="009D4DE7">
      <w:pPr>
        <w:pStyle w:val="ARbodynospace"/>
      </w:pPr>
      <w:r w:rsidRPr="00316C1C">
        <w:t>Melbourne V</w:t>
      </w:r>
      <w:r w:rsidR="001D1B9A">
        <w:t>IC</w:t>
      </w:r>
      <w:r w:rsidRPr="00316C1C">
        <w:t xml:space="preserve"> 3000</w:t>
      </w:r>
    </w:p>
    <w:p w:rsidR="0092299C" w:rsidRPr="00316C1C" w:rsidRDefault="0092299C" w:rsidP="009D4DE7">
      <w:pPr>
        <w:pStyle w:val="ARbodynospace"/>
      </w:pPr>
      <w:r w:rsidRPr="00316C1C">
        <w:t>Telephone: 03 9613 6222</w:t>
      </w:r>
    </w:p>
    <w:p w:rsidR="0092299C" w:rsidRPr="009C11E4" w:rsidRDefault="0092299C" w:rsidP="00B174C3">
      <w:pPr>
        <w:pStyle w:val="ARbody"/>
      </w:pPr>
      <w:r w:rsidRPr="009C11E4">
        <w:t>Toll free: 1300 735 135</w:t>
      </w:r>
    </w:p>
    <w:p w:rsidR="0092299C" w:rsidRPr="009C11E4" w:rsidRDefault="00EF589D" w:rsidP="0092299C">
      <w:pPr>
        <w:pStyle w:val="ARbody"/>
      </w:pPr>
      <w:hyperlink r:id="rId67" w:history="1">
        <w:r w:rsidR="0092299C" w:rsidRPr="0084694E">
          <w:rPr>
            <w:rStyle w:val="Hyperlink"/>
          </w:rPr>
          <w:t>Visit the website</w:t>
        </w:r>
      </w:hyperlink>
      <w:r w:rsidR="0092299C">
        <w:t xml:space="preserve"> &lt;http://www.ibac.vic.gov.au&gt; or </w:t>
      </w:r>
      <w:hyperlink r:id="rId68" w:history="1">
        <w:r w:rsidR="0092299C" w:rsidRPr="008E7F41">
          <w:rPr>
            <w:rStyle w:val="Hyperlink"/>
          </w:rPr>
          <w:t>contact via email</w:t>
        </w:r>
      </w:hyperlink>
      <w:r w:rsidR="0092299C">
        <w:t xml:space="preserve"> &lt;submit@ibac.vic.gov.au&gt;.</w:t>
      </w:r>
    </w:p>
    <w:p w:rsidR="0092299C" w:rsidRPr="009C11E4" w:rsidRDefault="0092299C" w:rsidP="0092299C">
      <w:pPr>
        <w:pStyle w:val="ARbody"/>
      </w:pPr>
      <w:r w:rsidRPr="009C11E4">
        <w:t xml:space="preserve">Written guidelines outlining the system for reporting disclosures of improper conduct or detrimental action by the department, its officers or other persons, are available on the department’s website and from the </w:t>
      </w:r>
      <w:hyperlink r:id="rId69" w:history="1">
        <w:r w:rsidRPr="008E7F41">
          <w:rPr>
            <w:rStyle w:val="Hyperlink"/>
          </w:rPr>
          <w:t>Protected Disclosure Coordinator</w:t>
        </w:r>
      </w:hyperlink>
      <w:r w:rsidRPr="009C11E4">
        <w:t xml:space="preserve"> </w:t>
      </w:r>
      <w:r>
        <w:t>&lt;</w:t>
      </w:r>
      <w:r w:rsidRPr="005D353C">
        <w:t>protected.disclosure@dhhs.vic.gov.au</w:t>
      </w:r>
      <w:r>
        <w:t>&gt;</w:t>
      </w:r>
      <w:r w:rsidRPr="00CE647E">
        <w:t>.</w:t>
      </w:r>
    </w:p>
    <w:p w:rsidR="009D4DE7" w:rsidRPr="009D4DE7" w:rsidRDefault="009D4DE7" w:rsidP="009D4DE7">
      <w:pPr>
        <w:pStyle w:val="ARbody"/>
      </w:pPr>
      <w:bookmarkStart w:id="54" w:name="_Ref492895162"/>
      <w:r w:rsidRPr="009D4DE7">
        <w:br w:type="page"/>
      </w:r>
    </w:p>
    <w:p w:rsidR="0092299C" w:rsidRPr="009C11E4" w:rsidRDefault="0092299C" w:rsidP="0092299C">
      <w:pPr>
        <w:pStyle w:val="Heading2"/>
      </w:pPr>
      <w:r w:rsidRPr="009C11E4">
        <w:lastRenderedPageBreak/>
        <w:t>Building Act 1993</w:t>
      </w:r>
      <w:bookmarkEnd w:id="54"/>
    </w:p>
    <w:p w:rsidR="0092299C" w:rsidRPr="009C11E4" w:rsidRDefault="0092299C" w:rsidP="0092299C">
      <w:pPr>
        <w:pStyle w:val="ARbody"/>
      </w:pPr>
      <w:r w:rsidRPr="009C11E4">
        <w:t xml:space="preserve">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 expected to have appropriate mechanisms in place to ensure compliance with the building and maintenance provisions of the </w:t>
      </w:r>
      <w:r w:rsidRPr="00C76C10">
        <w:rPr>
          <w:rStyle w:val="Emphasis"/>
        </w:rPr>
        <w:t>Building Act 1993</w:t>
      </w:r>
      <w:r w:rsidRPr="009C11E4">
        <w:t>.</w:t>
      </w:r>
    </w:p>
    <w:p w:rsidR="0092299C" w:rsidRPr="009C11E4" w:rsidRDefault="0092299C" w:rsidP="0092299C">
      <w:pPr>
        <w:pStyle w:val="ARbody"/>
      </w:pPr>
      <w:r w:rsidRPr="009C11E4">
        <w:t>In relation to existing buildings, the Asset Maintenance Unit is responsible for mandatory testing of emergency and exit lighting and lift equipment in accordance with relevant standards, monthly, quarterly and bi-annual inspection and prevent</w:t>
      </w:r>
      <w:r>
        <w:t>ive</w:t>
      </w:r>
      <w:r w:rsidRPr="009C11E4">
        <w:t xml:space="preserve"> maintenance routine of mechanical services and monthly and annual fire service audits. These inspections then inform the works program which is delivered annually through existing maintenance contracts.</w:t>
      </w:r>
    </w:p>
    <w:p w:rsidR="0092299C" w:rsidRPr="009C11E4" w:rsidRDefault="0092299C" w:rsidP="0092299C">
      <w:pPr>
        <w:pStyle w:val="ARbody"/>
      </w:pPr>
      <w:r w:rsidRPr="009C11E4">
        <w:t xml:space="preserve">The department undertook 126 major works projects in </w:t>
      </w:r>
      <w:r w:rsidRPr="006F0DB4">
        <w:t>2016–17</w:t>
      </w:r>
      <w:r w:rsidRPr="009C11E4">
        <w:t>, was</w:t>
      </w:r>
      <w:r>
        <w:t xml:space="preserve"> issued with five emergency orders and </w:t>
      </w:r>
      <w:r w:rsidRPr="009C11E4">
        <w:t>secured 122 building permits and 133 Certificates of Occupancy.</w:t>
      </w:r>
    </w:p>
    <w:p w:rsidR="0092299C" w:rsidRPr="009C11E4" w:rsidRDefault="0092299C" w:rsidP="0092299C">
      <w:pPr>
        <w:pStyle w:val="Heading2"/>
      </w:pPr>
      <w:bookmarkStart w:id="55" w:name="_Ref492895235"/>
      <w:r w:rsidRPr="009C11E4">
        <w:t>Compliance with the Carers Recognition Act 2012</w:t>
      </w:r>
      <w:bookmarkEnd w:id="55"/>
    </w:p>
    <w:p w:rsidR="0092299C" w:rsidRPr="009C11E4" w:rsidRDefault="0092299C" w:rsidP="0092299C">
      <w:pPr>
        <w:pStyle w:val="ARbody"/>
      </w:pPr>
      <w:r>
        <w:t>The d</w:t>
      </w:r>
      <w:r w:rsidRPr="009C11E4">
        <w:t>epartment has taken all practical measures to comply with its obligations under the Act. These include:</w:t>
      </w:r>
    </w:p>
    <w:p w:rsidR="0092299C" w:rsidRPr="009C11E4" w:rsidRDefault="0092299C" w:rsidP="0092299C">
      <w:pPr>
        <w:pStyle w:val="ARbullet1"/>
        <w:numPr>
          <w:ilvl w:val="0"/>
          <w:numId w:val="19"/>
        </w:numPr>
      </w:pPr>
      <w:r w:rsidRPr="009C11E4">
        <w:t>disseminating an updat</w:t>
      </w:r>
      <w:r>
        <w:t xml:space="preserve">ed information kit on the Act, </w:t>
      </w:r>
      <w:r w:rsidRPr="005D353C">
        <w:rPr>
          <w:i/>
        </w:rPr>
        <w:t>Supporting people in care relationships in Victoria</w:t>
      </w:r>
    </w:p>
    <w:p w:rsidR="0092299C" w:rsidRPr="009C11E4" w:rsidRDefault="0092299C" w:rsidP="0092299C">
      <w:pPr>
        <w:pStyle w:val="ARbullet1"/>
        <w:numPr>
          <w:ilvl w:val="0"/>
          <w:numId w:val="19"/>
        </w:numPr>
      </w:pPr>
      <w:r w:rsidRPr="009C11E4">
        <w:t xml:space="preserve">promoting the principles of the Act to people in care relationships who receive </w:t>
      </w:r>
      <w:r>
        <w:t>the department’s</w:t>
      </w:r>
      <w:r w:rsidRPr="009C11E4">
        <w:t xml:space="preserve"> services and to the wider community, such as distributing printed material about the Act at community events or service points; providing links to state government resource materials on </w:t>
      </w:r>
      <w:r>
        <w:t>the department’s</w:t>
      </w:r>
      <w:r w:rsidRPr="009C11E4">
        <w:t xml:space="preserve"> website; providing digital and/or printed information about the Act to </w:t>
      </w:r>
      <w:r>
        <w:t>the department’s</w:t>
      </w:r>
      <w:r w:rsidRPr="009C11E4">
        <w:t xml:space="preserve"> partner organisations</w:t>
      </w:r>
    </w:p>
    <w:p w:rsidR="0092299C" w:rsidRPr="009C11E4" w:rsidRDefault="0092299C" w:rsidP="0092299C">
      <w:pPr>
        <w:pStyle w:val="ARbullet1"/>
        <w:numPr>
          <w:ilvl w:val="0"/>
          <w:numId w:val="19"/>
        </w:numPr>
      </w:pPr>
      <w:r w:rsidRPr="009C11E4">
        <w:t xml:space="preserve">ensuring </w:t>
      </w:r>
      <w:r>
        <w:t>the department’s</w:t>
      </w:r>
      <w:r w:rsidRPr="009C11E4">
        <w:t xml:space="preserve"> staff have an awareness and understanding of the care relationship principles set out in the Act by developing and implementing a staff awareness strategy about the principles in the Act and what they mean for staff; induction and training programs offered by the organisation include discussion of the Act and the statement of principles therein</w:t>
      </w:r>
    </w:p>
    <w:p w:rsidR="0092299C" w:rsidRDefault="0092299C" w:rsidP="00F91CA3">
      <w:pPr>
        <w:pStyle w:val="ARbullet1"/>
      </w:pPr>
      <w:r w:rsidRPr="009C11E4">
        <w:lastRenderedPageBreak/>
        <w:t>considering the ca</w:t>
      </w:r>
      <w:r w:rsidR="00C76C10">
        <w:t>re relationships principles set </w:t>
      </w:r>
      <w:r w:rsidRPr="009C11E4">
        <w:t>out in the Act when setting policies and providing services. This is done by reviewing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p>
    <w:p w:rsidR="007F2D72" w:rsidRPr="007F2D72" w:rsidRDefault="007F2D72" w:rsidP="007F2D72">
      <w:pPr>
        <w:pStyle w:val="Heading2"/>
      </w:pPr>
      <w:bookmarkStart w:id="56" w:name="_Ref493159507"/>
      <w:r w:rsidRPr="007F2D72">
        <w:t>Registered DSP</w:t>
      </w:r>
      <w:r w:rsidR="009877BF">
        <w:t>s</w:t>
      </w:r>
      <w:r w:rsidRPr="007F2D72">
        <w:t xml:space="preserve"> and CSOs</w:t>
      </w:r>
      <w:bookmarkEnd w:id="56"/>
    </w:p>
    <w:p w:rsidR="007F2D72" w:rsidRPr="00902403" w:rsidRDefault="007F2D72" w:rsidP="007F2D72">
      <w:pPr>
        <w:pStyle w:val="ARbody"/>
      </w:pPr>
      <w:r w:rsidRPr="00902403">
        <w:t xml:space="preserve">Registration under the </w:t>
      </w:r>
      <w:r w:rsidRPr="009877BF">
        <w:rPr>
          <w:rStyle w:val="Emphasis"/>
        </w:rPr>
        <w:t>Disability Act 2006</w:t>
      </w:r>
      <w:r w:rsidRPr="00902403">
        <w:t xml:space="preserve"> and the </w:t>
      </w:r>
      <w:r w:rsidRPr="009877BF">
        <w:rPr>
          <w:rStyle w:val="Emphasis"/>
        </w:rPr>
        <w:t>Children, Youth and Families Act 2005</w:t>
      </w:r>
      <w:r w:rsidRPr="00902403">
        <w:t xml:space="preserve"> is managed by the Department of Health and Human Services’ (department) Standards and Regulation Unit which acts as an independent regulator within the department.</w:t>
      </w:r>
    </w:p>
    <w:p w:rsidR="007F2D72" w:rsidRPr="00902403" w:rsidRDefault="007F2D72" w:rsidP="007F2D72">
      <w:pPr>
        <w:pStyle w:val="ARbody"/>
      </w:pPr>
      <w:r w:rsidRPr="00902403">
        <w:t xml:space="preserve">The launch of the National Disability Insurance Scheme has seen an agreement between the Commonwealth and </w:t>
      </w:r>
      <w:r w:rsidR="009877BF">
        <w:t xml:space="preserve">the </w:t>
      </w:r>
      <w:r w:rsidRPr="00902403">
        <w:t>Victorian Government for the existing quality assurance and safeguards of the State of Victoria to remain in place during the launch, until a nationally consistent risk-based quality assurance approach is developed. Some organisations providing services for the National Disability Insurance Agency are required to be registered with the department and operate in accordance with the Disability Ac</w:t>
      </w:r>
      <w:r w:rsidR="007F5011">
        <w:t>t. This includes complying with </w:t>
      </w:r>
      <w:r w:rsidRPr="00902403">
        <w:t>the Human Services Standards (gazetted as the Department of Health and Human Services Standards) and where required, providing reports to the Disability Services Commissioner, Community Visitors, Off</w:t>
      </w:r>
      <w:r w:rsidR="007F5011">
        <w:t>ice of </w:t>
      </w:r>
      <w:r w:rsidRPr="00902403">
        <w:t>the Public Advocate and the Senior Practitioner.</w:t>
      </w:r>
    </w:p>
    <w:p w:rsidR="007F2D72" w:rsidRPr="00902403" w:rsidRDefault="007F2D72" w:rsidP="00F31B4D">
      <w:pPr>
        <w:pStyle w:val="Heading3"/>
      </w:pPr>
      <w:r w:rsidRPr="00902403">
        <w:t>Register of disability service providers</w:t>
      </w:r>
    </w:p>
    <w:p w:rsidR="007F2D72" w:rsidRPr="00902403" w:rsidRDefault="007F2D72" w:rsidP="007F2D72">
      <w:pPr>
        <w:pStyle w:val="ARbody"/>
      </w:pPr>
      <w:r w:rsidRPr="00902403">
        <w:t>Section 46 of the Disability Act requires the Secretary of the department to keep a register and make available for public inspection a list of disability service providers. Funded organisations that deliver disability services are required to be registered and comply with the Human Services Standards.</w:t>
      </w:r>
    </w:p>
    <w:p w:rsidR="007F2D72" w:rsidRPr="00902403" w:rsidRDefault="007F2D72" w:rsidP="007F2D72">
      <w:pPr>
        <w:pStyle w:val="ARbody"/>
      </w:pPr>
      <w:r w:rsidRPr="00902403">
        <w:t>The register can be found</w:t>
      </w:r>
      <w:r w:rsidR="00F54459">
        <w:t xml:space="preserve"> on the </w:t>
      </w:r>
      <w:hyperlink r:id="rId70" w:history="1">
        <w:r w:rsidR="00F54459" w:rsidRPr="00F54459">
          <w:rPr>
            <w:rStyle w:val="Hyperlink"/>
          </w:rPr>
          <w:t>department’s website</w:t>
        </w:r>
      </w:hyperlink>
      <w:r w:rsidR="00F54459">
        <w:t xml:space="preserve"> &lt;http://</w:t>
      </w:r>
      <w:r w:rsidRPr="00902403">
        <w:t>www.dhs.vic.gov.au/home</w:t>
      </w:r>
      <w:r w:rsidR="00F54459">
        <w:t>&gt;</w:t>
      </w:r>
      <w:r w:rsidRPr="00902403">
        <w:t xml:space="preserve"> (see For Service Providers &gt; Disability &gt; Service Quality and Improvement).</w:t>
      </w:r>
    </w:p>
    <w:p w:rsidR="009D4DE7" w:rsidRDefault="009D4DE7" w:rsidP="009D4DE7">
      <w:pPr>
        <w:pStyle w:val="ARbody"/>
      </w:pPr>
      <w:r>
        <w:br w:type="page"/>
      </w:r>
    </w:p>
    <w:p w:rsidR="007F2D72" w:rsidRPr="00902403" w:rsidRDefault="007F2D72" w:rsidP="00F31B4D">
      <w:pPr>
        <w:pStyle w:val="Heading3"/>
      </w:pPr>
      <w:r w:rsidRPr="00902403">
        <w:lastRenderedPageBreak/>
        <w:t>Register of community services</w:t>
      </w:r>
    </w:p>
    <w:p w:rsidR="007F2D72" w:rsidRPr="00902403" w:rsidRDefault="007F2D72" w:rsidP="007F2D72">
      <w:pPr>
        <w:pStyle w:val="ARbody"/>
      </w:pPr>
      <w:r w:rsidRPr="00902403">
        <w:t xml:space="preserve">The Children, </w:t>
      </w:r>
      <w:r w:rsidR="00796E21">
        <w:t>Youth and Families Act provides a </w:t>
      </w:r>
      <w:r w:rsidRPr="00902403">
        <w:t>strong focus on the quality of services delivered to children, young people and families. Funded organisations that deliver family and out-of-home care services are required to be</w:t>
      </w:r>
      <w:r w:rsidR="007F5011">
        <w:t xml:space="preserve"> registered and comply with the </w:t>
      </w:r>
      <w:r w:rsidRPr="00902403">
        <w:t>Human Services Standards.</w:t>
      </w:r>
    </w:p>
    <w:p w:rsidR="007F2D72" w:rsidRPr="00902403" w:rsidRDefault="007F2D72" w:rsidP="007F2D72">
      <w:pPr>
        <w:pStyle w:val="ARbody"/>
      </w:pPr>
      <w:r w:rsidRPr="00902403">
        <w:t>Section 54 of the Children, Youth and Families Act requires the Secretary of the department to keep a register of community services. Section 57 of the Act requires that the Secretary must make a copy of the register of community services available for inspection on the department’s internet site.</w:t>
      </w:r>
    </w:p>
    <w:p w:rsidR="007F2D72" w:rsidRPr="00902403" w:rsidRDefault="00796E21" w:rsidP="007F2D72">
      <w:pPr>
        <w:pStyle w:val="ARbody"/>
      </w:pPr>
      <w:r>
        <w:br w:type="column"/>
      </w:r>
      <w:r w:rsidR="007F2D72" w:rsidRPr="00902403">
        <w:lastRenderedPageBreak/>
        <w:t xml:space="preserve">The register can be found on the </w:t>
      </w:r>
      <w:hyperlink r:id="rId71" w:history="1">
        <w:r w:rsidR="00F54459" w:rsidRPr="00F54459">
          <w:rPr>
            <w:rStyle w:val="Hyperlink"/>
          </w:rPr>
          <w:t>department’s website</w:t>
        </w:r>
      </w:hyperlink>
      <w:r w:rsidR="00F54459">
        <w:t xml:space="preserve"> &lt;http://</w:t>
      </w:r>
      <w:r w:rsidR="00F54459" w:rsidRPr="00902403">
        <w:t>www.dhs.vic.gov.au/home</w:t>
      </w:r>
      <w:r w:rsidR="00F54459">
        <w:t>&gt;</w:t>
      </w:r>
      <w:r>
        <w:t xml:space="preserve"> (see </w:t>
      </w:r>
      <w:r w:rsidR="007F2D72" w:rsidRPr="00902403">
        <w:t>For Service Providers</w:t>
      </w:r>
      <w:r w:rsidR="007F5011">
        <w:t xml:space="preserve"> &gt; Children, Youth </w:t>
      </w:r>
      <w:r w:rsidR="007F2D72" w:rsidRPr="00902403">
        <w:t>and Families &gt; Community Service Organisations).</w:t>
      </w:r>
    </w:p>
    <w:p w:rsidR="007F2D72" w:rsidRPr="00902403" w:rsidRDefault="007F2D72" w:rsidP="00F31B4D">
      <w:pPr>
        <w:pStyle w:val="Heading3"/>
      </w:pPr>
      <w:r w:rsidRPr="00902403">
        <w:t>Registration activity</w:t>
      </w:r>
    </w:p>
    <w:p w:rsidR="007F2D72" w:rsidRPr="00902403" w:rsidRDefault="007F2D72" w:rsidP="007F2D72">
      <w:pPr>
        <w:pStyle w:val="ARbody"/>
      </w:pPr>
      <w:r w:rsidRPr="00902403">
        <w:t>During 2016–1</w:t>
      </w:r>
      <w:r w:rsidR="007F5011">
        <w:t>7, while the department did not </w:t>
      </w:r>
      <w:r w:rsidRPr="00902403">
        <w:t>refuse to re</w:t>
      </w:r>
      <w:r w:rsidR="007F5011">
        <w:t>gister any organisations on the </w:t>
      </w:r>
      <w:r w:rsidRPr="00902403">
        <w:t>grounds they w</w:t>
      </w:r>
      <w:r w:rsidR="00796E21">
        <w:t>ere unable to demonstrate their </w:t>
      </w:r>
      <w:r w:rsidRPr="00902403">
        <w:t xml:space="preserve">capacity to meet the Human Services Standards, a large </w:t>
      </w:r>
      <w:r w:rsidR="00796E21">
        <w:t>number of NDIA applications for </w:t>
      </w:r>
      <w:r w:rsidRPr="00902403">
        <w:t>initial registration are outstanding as additional information is required to be provided by the organisations. The following registration activities occurred.</w:t>
      </w:r>
    </w:p>
    <w:p w:rsidR="007F2D72" w:rsidRDefault="007F2D72" w:rsidP="008201AC">
      <w:pPr>
        <w:pStyle w:val="ARbody"/>
      </w:pPr>
    </w:p>
    <w:p w:rsidR="009D4DE7" w:rsidRDefault="009D4DE7" w:rsidP="008201AC">
      <w:pPr>
        <w:pStyle w:val="ARtablecolhead"/>
        <w:sectPr w:rsidR="009D4DE7" w:rsidSect="009D4DE7">
          <w:type w:val="nextColumn"/>
          <w:pgSz w:w="11906" w:h="16838"/>
          <w:pgMar w:top="1531" w:right="851" w:bottom="680" w:left="1418" w:header="510" w:footer="340" w:gutter="0"/>
          <w:cols w:num="2" w:space="454"/>
          <w:docGrid w:linePitch="360"/>
        </w:sectPr>
      </w:pP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3071"/>
        <w:gridCol w:w="948"/>
        <w:gridCol w:w="1804"/>
        <w:gridCol w:w="1205"/>
        <w:gridCol w:w="1351"/>
        <w:gridCol w:w="1371"/>
      </w:tblGrid>
      <w:tr w:rsidR="007F2D72" w:rsidTr="00825DA9">
        <w:trPr>
          <w:cantSplit/>
        </w:trPr>
        <w:tc>
          <w:tcPr>
            <w:tcW w:w="1575" w:type="pct"/>
            <w:vAlign w:val="bottom"/>
          </w:tcPr>
          <w:p w:rsidR="007F2D72" w:rsidRPr="008201AC" w:rsidRDefault="007F2D72" w:rsidP="008201AC">
            <w:pPr>
              <w:pStyle w:val="ARtablecolhead"/>
            </w:pPr>
            <w:r>
              <w:lastRenderedPageBreak/>
              <w:t>Registration</w:t>
            </w:r>
            <w:r w:rsidRPr="007D1A49">
              <w:rPr>
                <w:spacing w:val="-6"/>
              </w:rPr>
              <w:t xml:space="preserve"> </w:t>
            </w:r>
            <w:r>
              <w:t>type</w:t>
            </w:r>
          </w:p>
        </w:tc>
        <w:tc>
          <w:tcPr>
            <w:tcW w:w="1411" w:type="pct"/>
            <w:gridSpan w:val="2"/>
            <w:vAlign w:val="bottom"/>
          </w:tcPr>
          <w:p w:rsidR="007F2D72" w:rsidRDefault="007F2D72" w:rsidP="00825DA9">
            <w:pPr>
              <w:pStyle w:val="ARtablecolhead"/>
              <w:jc w:val="right"/>
            </w:pPr>
            <w:r>
              <w:t xml:space="preserve">New registrations </w:t>
            </w:r>
            <w:r>
              <w:br/>
              <w:t xml:space="preserve">processed </w:t>
            </w:r>
            <w:r>
              <w:br/>
              <w:t>2016-17</w:t>
            </w:r>
          </w:p>
        </w:tc>
        <w:tc>
          <w:tcPr>
            <w:tcW w:w="618" w:type="pct"/>
            <w:vAlign w:val="bottom"/>
          </w:tcPr>
          <w:p w:rsidR="007F2D72" w:rsidRDefault="007F2D72" w:rsidP="00825DA9">
            <w:pPr>
              <w:pStyle w:val="ARtablecolhead"/>
              <w:jc w:val="right"/>
            </w:pPr>
            <w:r>
              <w:t>Renewals processed 2016-17</w:t>
            </w:r>
          </w:p>
        </w:tc>
        <w:tc>
          <w:tcPr>
            <w:tcW w:w="693" w:type="pct"/>
            <w:vAlign w:val="bottom"/>
          </w:tcPr>
          <w:p w:rsidR="007F2D72" w:rsidRDefault="007F2D72" w:rsidP="00825DA9">
            <w:pPr>
              <w:pStyle w:val="ARtablecolhead"/>
              <w:jc w:val="right"/>
            </w:pPr>
            <w:r w:rsidRPr="00BA26D8">
              <w:t>Registrations</w:t>
            </w:r>
            <w:r>
              <w:t xml:space="preserve"> l</w:t>
            </w:r>
            <w:r w:rsidRPr="00BA26D8">
              <w:t xml:space="preserve">apsed/ revoked </w:t>
            </w:r>
            <w:r w:rsidRPr="00BA26D8">
              <w:br/>
            </w:r>
            <w:r>
              <w:t>2016-17</w:t>
            </w:r>
          </w:p>
        </w:tc>
        <w:tc>
          <w:tcPr>
            <w:tcW w:w="703" w:type="pct"/>
            <w:vAlign w:val="bottom"/>
          </w:tcPr>
          <w:p w:rsidR="007F2D72" w:rsidRDefault="007F2D72" w:rsidP="00825DA9">
            <w:pPr>
              <w:pStyle w:val="ARtablecolhead"/>
              <w:jc w:val="right"/>
            </w:pPr>
            <w:r w:rsidRPr="007D1A49">
              <w:rPr>
                <w:spacing w:val="-15"/>
              </w:rPr>
              <w:t>T</w:t>
            </w:r>
            <w:r>
              <w:t>otal</w:t>
            </w:r>
            <w:r w:rsidRPr="007D1A49">
              <w:rPr>
                <w:spacing w:val="-5"/>
              </w:rPr>
              <w:t xml:space="preserve"> </w:t>
            </w:r>
            <w:r>
              <w:t>number</w:t>
            </w:r>
            <w:r w:rsidRPr="007D1A49">
              <w:rPr>
                <w:w w:val="99"/>
              </w:rPr>
              <w:t xml:space="preserve"> </w:t>
            </w:r>
            <w:r>
              <w:t>registered</w:t>
            </w:r>
            <w:r w:rsidRPr="007D1A49">
              <w:rPr>
                <w:spacing w:val="4"/>
              </w:rPr>
              <w:t xml:space="preserve"> </w:t>
            </w:r>
            <w:r>
              <w:t>at</w:t>
            </w:r>
            <w:r w:rsidRPr="007D1A49">
              <w:rPr>
                <w:spacing w:val="2"/>
              </w:rPr>
              <w:t xml:space="preserve"> </w:t>
            </w:r>
            <w:r w:rsidRPr="007D1A49">
              <w:rPr>
                <w:spacing w:val="2"/>
              </w:rPr>
              <w:br/>
            </w:r>
            <w:r>
              <w:t>30</w:t>
            </w:r>
            <w:r w:rsidRPr="007D1A49">
              <w:rPr>
                <w:spacing w:val="3"/>
              </w:rPr>
              <w:t xml:space="preserve"> </w:t>
            </w:r>
            <w:r>
              <w:t>June 2017</w:t>
            </w:r>
          </w:p>
        </w:tc>
      </w:tr>
      <w:tr w:rsidR="007F2D72" w:rsidTr="009D4DE7">
        <w:trPr>
          <w:cantSplit/>
        </w:trPr>
        <w:tc>
          <w:tcPr>
            <w:tcW w:w="2061" w:type="pct"/>
            <w:gridSpan w:val="2"/>
          </w:tcPr>
          <w:p w:rsidR="007F2D72" w:rsidRPr="008201AC" w:rsidRDefault="007F2D72" w:rsidP="008201AC">
            <w:pPr>
              <w:pStyle w:val="ARtabletext"/>
              <w:rPr>
                <w:i/>
              </w:rPr>
            </w:pPr>
            <w:r w:rsidRPr="00FD7E78">
              <w:t xml:space="preserve">Registration under the </w:t>
            </w:r>
            <w:r w:rsidRPr="00FD7E78">
              <w:rPr>
                <w:i/>
              </w:rPr>
              <w:t>Disability Act 2006</w:t>
            </w:r>
          </w:p>
        </w:tc>
        <w:tc>
          <w:tcPr>
            <w:tcW w:w="925" w:type="pct"/>
          </w:tcPr>
          <w:p w:rsidR="007F2D72" w:rsidRPr="00954328" w:rsidRDefault="007F2D72" w:rsidP="00825DA9">
            <w:pPr>
              <w:pStyle w:val="ARtabletextright"/>
            </w:pPr>
            <w:r>
              <w:t>120</w:t>
            </w:r>
          </w:p>
        </w:tc>
        <w:tc>
          <w:tcPr>
            <w:tcW w:w="618" w:type="pct"/>
          </w:tcPr>
          <w:p w:rsidR="007F2D72" w:rsidRPr="00954328" w:rsidRDefault="007F2D72" w:rsidP="00825DA9">
            <w:pPr>
              <w:pStyle w:val="ARtabletextright"/>
            </w:pPr>
            <w:r>
              <w:t>14</w:t>
            </w:r>
          </w:p>
        </w:tc>
        <w:tc>
          <w:tcPr>
            <w:tcW w:w="693" w:type="pct"/>
          </w:tcPr>
          <w:p w:rsidR="007F2D72" w:rsidRPr="00954328" w:rsidRDefault="007F2D72" w:rsidP="00825DA9">
            <w:pPr>
              <w:pStyle w:val="ARtabletextright"/>
            </w:pPr>
            <w:r>
              <w:t>12</w:t>
            </w:r>
          </w:p>
        </w:tc>
        <w:tc>
          <w:tcPr>
            <w:tcW w:w="703" w:type="pct"/>
          </w:tcPr>
          <w:p w:rsidR="007F2D72" w:rsidRPr="00954328" w:rsidRDefault="007F2D72" w:rsidP="00825DA9">
            <w:pPr>
              <w:pStyle w:val="ARtabletextright"/>
            </w:pPr>
            <w:r>
              <w:t>424</w:t>
            </w:r>
          </w:p>
        </w:tc>
      </w:tr>
      <w:tr w:rsidR="007F2D72" w:rsidRPr="00954328" w:rsidTr="009D4DE7">
        <w:trPr>
          <w:cantSplit/>
        </w:trPr>
        <w:tc>
          <w:tcPr>
            <w:tcW w:w="2061" w:type="pct"/>
            <w:gridSpan w:val="2"/>
          </w:tcPr>
          <w:p w:rsidR="007F2D72" w:rsidRPr="008201AC" w:rsidRDefault="007F2D72" w:rsidP="008201AC">
            <w:pPr>
              <w:pStyle w:val="ARtabletext"/>
              <w:rPr>
                <w:i/>
              </w:rPr>
            </w:pPr>
            <w:r w:rsidRPr="00FD7E78">
              <w:t xml:space="preserve">Registration under the </w:t>
            </w:r>
            <w:r w:rsidRPr="00FD7E78">
              <w:rPr>
                <w:i/>
              </w:rPr>
              <w:t xml:space="preserve">Children, Youth and </w:t>
            </w:r>
            <w:r w:rsidRPr="00FD7E78">
              <w:rPr>
                <w:i/>
                <w:color w:val="231F20"/>
              </w:rPr>
              <w:t>Families Act 2005</w:t>
            </w:r>
          </w:p>
        </w:tc>
        <w:tc>
          <w:tcPr>
            <w:tcW w:w="925" w:type="pct"/>
          </w:tcPr>
          <w:p w:rsidR="007F2D72" w:rsidRPr="00954328" w:rsidRDefault="007F2D72" w:rsidP="00825DA9">
            <w:pPr>
              <w:pStyle w:val="ARtabletextright"/>
            </w:pPr>
            <w:r>
              <w:t>14</w:t>
            </w:r>
          </w:p>
        </w:tc>
        <w:tc>
          <w:tcPr>
            <w:tcW w:w="618" w:type="pct"/>
          </w:tcPr>
          <w:p w:rsidR="007F2D72" w:rsidRPr="00954328" w:rsidRDefault="007F2D72" w:rsidP="00825DA9">
            <w:pPr>
              <w:pStyle w:val="ARtabletextright"/>
            </w:pPr>
            <w:r>
              <w:t>4</w:t>
            </w:r>
          </w:p>
        </w:tc>
        <w:tc>
          <w:tcPr>
            <w:tcW w:w="693" w:type="pct"/>
          </w:tcPr>
          <w:p w:rsidR="007F2D72" w:rsidRPr="00954328" w:rsidRDefault="007F2D72" w:rsidP="00825DA9">
            <w:pPr>
              <w:pStyle w:val="ARtabletextright"/>
            </w:pPr>
            <w:r>
              <w:t>1</w:t>
            </w:r>
          </w:p>
        </w:tc>
        <w:tc>
          <w:tcPr>
            <w:tcW w:w="703" w:type="pct"/>
          </w:tcPr>
          <w:p w:rsidR="007F2D72" w:rsidRPr="00954328" w:rsidRDefault="007F2D72" w:rsidP="00825DA9">
            <w:pPr>
              <w:pStyle w:val="ARtabletextright"/>
            </w:pPr>
            <w:r>
              <w:t>149</w:t>
            </w:r>
          </w:p>
        </w:tc>
      </w:tr>
    </w:tbl>
    <w:p w:rsidR="007F2D72" w:rsidRDefault="007F2D72" w:rsidP="007F2D72">
      <w:pPr>
        <w:sectPr w:rsidR="007F2D72" w:rsidSect="009D4DE7">
          <w:type w:val="continuous"/>
          <w:pgSz w:w="11906" w:h="16838"/>
          <w:pgMar w:top="1531" w:right="851" w:bottom="680" w:left="1418" w:header="510" w:footer="340" w:gutter="0"/>
          <w:cols w:space="708"/>
          <w:docGrid w:linePitch="360"/>
        </w:sectPr>
      </w:pPr>
    </w:p>
    <w:p w:rsidR="004A41A9" w:rsidRPr="009C11E4" w:rsidRDefault="004A41A9" w:rsidP="00B62091">
      <w:pPr>
        <w:pStyle w:val="Heading2"/>
        <w:spacing w:before="0"/>
      </w:pPr>
      <w:bookmarkStart w:id="57" w:name="_Ref492895171"/>
      <w:r w:rsidRPr="009C11E4">
        <w:lastRenderedPageBreak/>
        <w:t>National Competition Policy</w:t>
      </w:r>
      <w:bookmarkEnd w:id="57"/>
    </w:p>
    <w:p w:rsidR="004A41A9" w:rsidRPr="009C11E4" w:rsidRDefault="004A41A9" w:rsidP="004A41A9">
      <w:pPr>
        <w:pStyle w:val="ARbody"/>
      </w:pPr>
      <w:r w:rsidRPr="009C11E4">
        <w:t xml:space="preserve">Under the National Competition Policy (NCP), the guiding legislative principle is that legislation, including future legislative </w:t>
      </w:r>
      <w:r w:rsidRPr="00316C1C">
        <w:t>proposals</w:t>
      </w:r>
      <w:r w:rsidRPr="009C11E4">
        <w:t>, should not restrict competition unless it can be demonstrated that:</w:t>
      </w:r>
    </w:p>
    <w:p w:rsidR="004A41A9" w:rsidRPr="009C11E4" w:rsidRDefault="004A41A9" w:rsidP="004A41A9">
      <w:pPr>
        <w:pStyle w:val="ARbullet1"/>
      </w:pPr>
      <w:r w:rsidRPr="009C11E4">
        <w:t>the benefits of the restriction to the community as a whole outweigh the costs</w:t>
      </w:r>
    </w:p>
    <w:p w:rsidR="004A41A9" w:rsidRPr="009C11E4" w:rsidRDefault="004A41A9" w:rsidP="004A41A9">
      <w:pPr>
        <w:pStyle w:val="ARbullet1"/>
      </w:pPr>
      <w:r w:rsidRPr="009C11E4">
        <w:t>the objectives of the legislation can only be achieved by restricting competition.</w:t>
      </w:r>
    </w:p>
    <w:p w:rsidR="004A41A9" w:rsidRPr="009C11E4" w:rsidRDefault="004A41A9" w:rsidP="004A41A9">
      <w:pPr>
        <w:pStyle w:val="ARbodyafterbullets"/>
      </w:pPr>
      <w:r>
        <w:t>The d</w:t>
      </w:r>
      <w:r w:rsidRPr="009C11E4">
        <w:t>epartment continues to comply with the requirements of the NCP.</w:t>
      </w:r>
    </w:p>
    <w:p w:rsidR="004A41A9" w:rsidRPr="009C11E4" w:rsidRDefault="004A41A9" w:rsidP="004A41A9">
      <w:pPr>
        <w:pStyle w:val="ARbody"/>
      </w:pPr>
      <w:r w:rsidRPr="009C11E4">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completion between public and private businesses and provides government businesses with a tool to enhance decisions on resource allocation. This policy does not override other policy objectives of government and focuses on efficiency in the provision of service.</w:t>
      </w:r>
    </w:p>
    <w:p w:rsidR="004A41A9" w:rsidRPr="009C11E4" w:rsidRDefault="004A41A9" w:rsidP="004A41A9">
      <w:pPr>
        <w:pStyle w:val="ARbody"/>
      </w:pPr>
      <w:r>
        <w:t>The d</w:t>
      </w:r>
      <w:r w:rsidRPr="009C11E4">
        <w:t>epartment is working to ensure that Victoria fulfils its requirements on competitive neutrality reporting for technological based businesses against the enhanced principles as required under the Competition and Infrastructure Reform Agreement.</w:t>
      </w:r>
    </w:p>
    <w:p w:rsidR="0092299C" w:rsidRDefault="0092299C" w:rsidP="00B62091">
      <w:pPr>
        <w:pStyle w:val="Heading2"/>
        <w:rPr>
          <w:rStyle w:val="Heading2Char"/>
        </w:rPr>
      </w:pPr>
      <w:r w:rsidRPr="000843EE">
        <w:rPr>
          <w:rStyle w:val="Heading2Char"/>
        </w:rPr>
        <w:t>Details of consultancies</w:t>
      </w:r>
    </w:p>
    <w:p w:rsidR="0092299C" w:rsidRPr="00EA6BA0" w:rsidRDefault="0092299C" w:rsidP="0092299C">
      <w:pPr>
        <w:pStyle w:val="ARbody"/>
      </w:pPr>
      <w:r w:rsidRPr="00646B3C">
        <w:t xml:space="preserve">In </w:t>
      </w:r>
      <w:r w:rsidRPr="006F0DB4">
        <w:t>2016–17</w:t>
      </w:r>
      <w:r w:rsidRPr="00646B3C">
        <w:t>, there were 330 consultancies where the total fees payable to the consultants were $10</w:t>
      </w:r>
      <w:r>
        <w:t>,</w:t>
      </w:r>
      <w:r w:rsidRPr="00646B3C">
        <w:t xml:space="preserve">000 or greater. The total expenditure incurred during </w:t>
      </w:r>
      <w:r w:rsidRPr="006F0DB4">
        <w:t>2016–17</w:t>
      </w:r>
      <w:r w:rsidRPr="00646B3C">
        <w:t xml:space="preserve"> in relation to these consultancies is $30.26 million (excluding GST). Details of individual consultancies are outlined below.</w:t>
      </w:r>
    </w:p>
    <w:p w:rsidR="0092299C" w:rsidRPr="002B74D7" w:rsidRDefault="00B62091" w:rsidP="0092299C">
      <w:pPr>
        <w:pStyle w:val="Heading3"/>
      </w:pPr>
      <w:bookmarkStart w:id="58" w:name="_Ref492895256"/>
      <w:r>
        <w:br w:type="column"/>
      </w:r>
      <w:r w:rsidR="0092299C" w:rsidRPr="002B74D7">
        <w:lastRenderedPageBreak/>
        <w:t>Details of consultancies under $10,000</w:t>
      </w:r>
      <w:bookmarkEnd w:id="58"/>
    </w:p>
    <w:p w:rsidR="0092299C" w:rsidRPr="002B74D7" w:rsidRDefault="0092299C" w:rsidP="0092299C">
      <w:pPr>
        <w:pStyle w:val="ARbody"/>
      </w:pPr>
      <w:r w:rsidRPr="00646B3C">
        <w:t xml:space="preserve">In </w:t>
      </w:r>
      <w:r w:rsidRPr="006F0DB4">
        <w:t>2016–17</w:t>
      </w:r>
      <w:r w:rsidRPr="00646B3C">
        <w:t>, there were 14 consultancies engaged during the year, where the total fees payable to the individual consultancies was less than $10</w:t>
      </w:r>
      <w:r>
        <w:t>,</w:t>
      </w:r>
      <w:r w:rsidRPr="00646B3C">
        <w:t xml:space="preserve">000. The total expenditure incurred during </w:t>
      </w:r>
      <w:r w:rsidRPr="006F0DB4">
        <w:t>2016–17</w:t>
      </w:r>
      <w:r w:rsidRPr="00646B3C">
        <w:t xml:space="preserve"> in relation to these consultancies was $64,166 (excl. GST).</w:t>
      </w:r>
    </w:p>
    <w:p w:rsidR="0092299C" w:rsidRDefault="0092299C" w:rsidP="0092299C">
      <w:pPr>
        <w:pStyle w:val="Heading3"/>
      </w:pPr>
      <w:bookmarkStart w:id="59" w:name="_Ref492894715"/>
      <w:r w:rsidRPr="002B74D7">
        <w:t>Disclosure of major contracts</w:t>
      </w:r>
      <w:bookmarkEnd w:id="59"/>
    </w:p>
    <w:p w:rsidR="00A07039" w:rsidRDefault="0092299C" w:rsidP="0092299C">
      <w:pPr>
        <w:pStyle w:val="ARbody"/>
      </w:pPr>
      <w:r w:rsidRPr="00646B3C">
        <w:t xml:space="preserve">The </w:t>
      </w:r>
      <w:r>
        <w:t>d</w:t>
      </w:r>
      <w:r w:rsidRPr="00646B3C">
        <w:t>epartment has disclosed, in accordance with the requirements of government policy and accompanying guidelines, all contracts greater than $10 million in value entered into during the year ended 30 June 201</w:t>
      </w:r>
      <w:r w:rsidR="00A57C78">
        <w:t>7</w:t>
      </w:r>
      <w:r w:rsidRPr="00646B3C">
        <w:t xml:space="preserve">. Details of contracts that have been disclosed in the Victorian Government contracts publishing system can be viewed </w:t>
      </w:r>
      <w:r>
        <w:t xml:space="preserve">on the </w:t>
      </w:r>
      <w:hyperlink r:id="rId72" w:history="1">
        <w:r w:rsidRPr="008E7F41">
          <w:rPr>
            <w:rStyle w:val="Hyperlink"/>
          </w:rPr>
          <w:t>procurement website</w:t>
        </w:r>
      </w:hyperlink>
      <w:r>
        <w:t xml:space="preserve"> &lt;</w:t>
      </w:r>
      <w:r w:rsidR="004A644F">
        <w:t>http://</w:t>
      </w:r>
      <w:r w:rsidRPr="005D353C">
        <w:t>www.procurement.</w:t>
      </w:r>
      <w:r w:rsidR="00117B25">
        <w:br/>
      </w:r>
      <w:r w:rsidRPr="005D353C">
        <w:t>vic.gov.au</w:t>
      </w:r>
      <w:r>
        <w:t>&gt;</w:t>
      </w:r>
      <w:r w:rsidRPr="00891EAA">
        <w:t>.</w:t>
      </w:r>
    </w:p>
    <w:p w:rsidR="00A07039" w:rsidRPr="00A07039" w:rsidRDefault="00A07039" w:rsidP="00A07039">
      <w:pPr>
        <w:pStyle w:val="Heading3"/>
      </w:pPr>
      <w:r w:rsidRPr="00A07039">
        <w:t>Improving procurement practice</w:t>
      </w:r>
    </w:p>
    <w:p w:rsidR="00A07039" w:rsidRPr="00A07039" w:rsidRDefault="00A07039" w:rsidP="00A07039">
      <w:pPr>
        <w:pStyle w:val="ARbody"/>
      </w:pPr>
      <w:r w:rsidRPr="00A07039">
        <w:t xml:space="preserve">The department is undertaking a number of activities to </w:t>
      </w:r>
      <w:r w:rsidRPr="00A87DEC">
        <w:t>reduce relian</w:t>
      </w:r>
      <w:r w:rsidRPr="00DC3CFB">
        <w:t xml:space="preserve">ce on consultancies, including </w:t>
      </w:r>
      <w:r w:rsidR="00B83BE7">
        <w:t>building</w:t>
      </w:r>
      <w:r w:rsidRPr="00DC3CFB">
        <w:t xml:space="preserve"> to internal capabilities and </w:t>
      </w:r>
      <w:r w:rsidR="00B83BE7">
        <w:t xml:space="preserve">improvements to </w:t>
      </w:r>
      <w:r w:rsidRPr="00A07039">
        <w:t>procurement processes.</w:t>
      </w:r>
    </w:p>
    <w:p w:rsidR="00A07039" w:rsidRPr="00DC3CFB" w:rsidRDefault="00971C4E" w:rsidP="00A07039">
      <w:pPr>
        <w:pStyle w:val="ARbody"/>
      </w:pPr>
      <w:r>
        <w:t>Expansion during 2016–</w:t>
      </w:r>
      <w:r w:rsidR="00A07039" w:rsidRPr="00A07039">
        <w:t>17</w:t>
      </w:r>
      <w:r w:rsidR="00A07039">
        <w:t xml:space="preserve"> </w:t>
      </w:r>
      <w:r w:rsidR="00A07039" w:rsidRPr="00A07039">
        <w:t>of the role of the Centre</w:t>
      </w:r>
      <w:r w:rsidR="00A07039" w:rsidRPr="00A87DEC">
        <w:t xml:space="preserve"> for Evaluation and Research is progressively improving the quality of outcomes and utility of consult</w:t>
      </w:r>
      <w:r w:rsidR="00A07039" w:rsidRPr="00DC3CFB">
        <w:t xml:space="preserve">ancy reports, through better specification of requirements, </w:t>
      </w:r>
      <w:r w:rsidR="00B83BE7">
        <w:t>as well as</w:t>
      </w:r>
      <w:r w:rsidR="00A07039" w:rsidRPr="00DC3CFB">
        <w:t xml:space="preserve"> making better linkages between different projects to avoid the potential for overlapping objectives in project specification.</w:t>
      </w:r>
    </w:p>
    <w:p w:rsidR="00AA035A" w:rsidRDefault="00A07039" w:rsidP="00A87DEC">
      <w:pPr>
        <w:pStyle w:val="ARbody"/>
      </w:pPr>
      <w:r w:rsidRPr="00DC3CFB">
        <w:t xml:space="preserve">Improvements to procurement processes are designed to ensure </w:t>
      </w:r>
      <w:r w:rsidRPr="000B3F86">
        <w:t>contr</w:t>
      </w:r>
      <w:r w:rsidRPr="00B83BE7">
        <w:t xml:space="preserve">acted solutions are competitive, </w:t>
      </w:r>
      <w:r w:rsidR="00B83BE7">
        <w:t>use</w:t>
      </w:r>
      <w:r w:rsidRPr="00B83BE7">
        <w:t xml:space="preserve"> government and department panel contracts</w:t>
      </w:r>
      <w:r w:rsidRPr="00DA6046">
        <w:t xml:space="preserve"> where appropriate</w:t>
      </w:r>
      <w:r w:rsidRPr="00453B10">
        <w:t>, and undertake meaningful contract review processes to inform decisions on future engagements</w:t>
      </w:r>
      <w:r w:rsidRPr="00CC6367">
        <w:t>.</w:t>
      </w:r>
    </w:p>
    <w:p w:rsidR="00A07039" w:rsidRPr="00891EAA" w:rsidRDefault="00A07039" w:rsidP="0092299C">
      <w:pPr>
        <w:pStyle w:val="ARbody"/>
      </w:pPr>
      <w:r w:rsidRPr="00CC6367">
        <w:t xml:space="preserve">All of these improvements are driving value for money, with a focus on ensuring </w:t>
      </w:r>
      <w:r w:rsidRPr="00C30F4E">
        <w:t>the department uses consultants and contracts appropriately and effectively.</w:t>
      </w:r>
    </w:p>
    <w:p w:rsidR="0092299C" w:rsidRDefault="0092299C" w:rsidP="0092299C">
      <w:pPr>
        <w:pStyle w:val="ARbody"/>
      </w:pPr>
    </w:p>
    <w:p w:rsidR="0092299C" w:rsidRDefault="0092299C" w:rsidP="0092299C">
      <w:pPr>
        <w:pStyle w:val="ARbody"/>
        <w:rPr>
          <w:rStyle w:val="Heading3Char"/>
        </w:rPr>
        <w:sectPr w:rsidR="0092299C" w:rsidSect="005C3EA7">
          <w:headerReference w:type="default" r:id="rId73"/>
          <w:type w:val="nextColumn"/>
          <w:pgSz w:w="11906" w:h="16838" w:code="9"/>
          <w:pgMar w:top="1531" w:right="851" w:bottom="680" w:left="1418" w:header="510" w:footer="340" w:gutter="0"/>
          <w:cols w:num="2" w:space="454"/>
          <w:docGrid w:linePitch="360"/>
        </w:sectPr>
      </w:pPr>
    </w:p>
    <w:p w:rsidR="0092299C" w:rsidRPr="00FB2C11" w:rsidRDefault="0092299C" w:rsidP="00B174C3">
      <w:pPr>
        <w:pStyle w:val="Heading3"/>
        <w:spacing w:before="0"/>
      </w:pPr>
      <w:bookmarkStart w:id="60" w:name="_Ref492895249"/>
      <w:r w:rsidRPr="00FB2C11">
        <w:lastRenderedPageBreak/>
        <w:t>Consultancies (valued at $10,000 or greater)</w:t>
      </w:r>
      <w:bookmarkEnd w:id="60"/>
    </w:p>
    <w:tbl>
      <w:tblPr>
        <w:tblStyle w:val="TableGrid"/>
        <w:tblW w:w="9639" w:type="dxa"/>
        <w:tblLayout w:type="fixed"/>
        <w:tblLook w:val="06A0" w:firstRow="1" w:lastRow="0" w:firstColumn="1" w:lastColumn="0" w:noHBand="1" w:noVBand="1"/>
      </w:tblPr>
      <w:tblGrid>
        <w:gridCol w:w="2159"/>
        <w:gridCol w:w="3710"/>
        <w:gridCol w:w="1256"/>
        <w:gridCol w:w="1257"/>
        <w:gridCol w:w="1257"/>
      </w:tblGrid>
      <w:tr w:rsidR="0092299C" w:rsidRPr="00FB2C11" w:rsidTr="0084694E">
        <w:trPr>
          <w:cnfStyle w:val="100000000000" w:firstRow="1" w:lastRow="0" w:firstColumn="0" w:lastColumn="0" w:oddVBand="0" w:evenVBand="0" w:oddHBand="0" w:evenHBand="0" w:firstRowFirstColumn="0" w:firstRowLastColumn="0" w:lastRowFirstColumn="0" w:lastRowLastColumn="0"/>
          <w:tblHeader/>
        </w:trPr>
        <w:tc>
          <w:tcPr>
            <w:tcW w:w="2194" w:type="dxa"/>
          </w:tcPr>
          <w:p w:rsidR="0092299C" w:rsidRPr="00FB2C11" w:rsidRDefault="0092299C" w:rsidP="0092299C">
            <w:pPr>
              <w:pStyle w:val="ARtablecolhead"/>
            </w:pPr>
            <w:r w:rsidRPr="00FB2C11">
              <w:t>Consultant</w:t>
            </w:r>
          </w:p>
        </w:tc>
        <w:tc>
          <w:tcPr>
            <w:tcW w:w="3771" w:type="dxa"/>
          </w:tcPr>
          <w:p w:rsidR="0092299C" w:rsidRPr="00FB2C11" w:rsidRDefault="0092299C" w:rsidP="0092299C">
            <w:pPr>
              <w:pStyle w:val="ARtablecolhead"/>
              <w:cnfStyle w:val="000000000000" w:firstRow="0" w:lastRow="0" w:firstColumn="0" w:lastColumn="0" w:oddVBand="0" w:evenVBand="0" w:oddHBand="0" w:evenHBand="0" w:firstRowFirstColumn="0" w:firstRowLastColumn="0" w:lastRowFirstColumn="0" w:lastRowLastColumn="0"/>
            </w:pPr>
            <w:r w:rsidRPr="00FB2C11">
              <w:t xml:space="preserve">Purpose of </w:t>
            </w:r>
            <w:r w:rsidRPr="00FB2C11">
              <w:br/>
              <w:t>consultancy</w:t>
            </w:r>
          </w:p>
        </w:tc>
        <w:tc>
          <w:tcPr>
            <w:tcW w:w="1275" w:type="dxa"/>
          </w:tcPr>
          <w:p w:rsidR="0092299C" w:rsidRPr="00FB2C11"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pPr>
            <w:r w:rsidRPr="00FB2C11">
              <w:t>Total approved project fee excl. GST</w:t>
            </w:r>
          </w:p>
        </w:tc>
        <w:tc>
          <w:tcPr>
            <w:tcW w:w="1276" w:type="dxa"/>
          </w:tcPr>
          <w:p w:rsidR="0092299C" w:rsidRPr="00FB2C11"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pPr>
            <w:r>
              <w:t>Expenditure 2016–</w:t>
            </w:r>
            <w:r w:rsidRPr="00FB2C11">
              <w:t>1</w:t>
            </w:r>
            <w:r>
              <w:t>7</w:t>
            </w:r>
            <w:r w:rsidRPr="00FB2C11">
              <w:t xml:space="preserve"> excl. GST</w:t>
            </w:r>
          </w:p>
        </w:tc>
        <w:tc>
          <w:tcPr>
            <w:tcW w:w="1276" w:type="dxa"/>
          </w:tcPr>
          <w:p w:rsidR="0092299C" w:rsidRPr="00FB2C11"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pPr>
            <w:r w:rsidRPr="00FB2C11">
              <w:t>Future expenditure excl. GST</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Develop information tools and operational plan, business continuity, East division</w:t>
            </w:r>
          </w:p>
        </w:tc>
        <w:tc>
          <w:tcPr>
            <w:tcW w:w="1275" w:type="dxa"/>
            <w:noWrap/>
            <w:hideMark/>
          </w:tcPr>
          <w:p w:rsidR="0092299C" w:rsidRPr="00FB2C11" w:rsidRDefault="0092299C" w:rsidP="0092299C">
            <w:pPr>
              <w:pStyle w:val="ARtabletextright"/>
            </w:pPr>
            <w:r w:rsidRPr="00FB2C11">
              <w:t>$30,650</w:t>
            </w:r>
          </w:p>
        </w:tc>
        <w:tc>
          <w:tcPr>
            <w:tcW w:w="1276" w:type="dxa"/>
            <w:noWrap/>
            <w:hideMark/>
          </w:tcPr>
          <w:p w:rsidR="0092299C" w:rsidRPr="00FB2C11" w:rsidRDefault="0092299C" w:rsidP="0092299C">
            <w:pPr>
              <w:pStyle w:val="ARtabletextright"/>
            </w:pPr>
            <w:r w:rsidRPr="00FB2C11">
              <w:t>$23,263</w:t>
            </w:r>
          </w:p>
        </w:tc>
        <w:tc>
          <w:tcPr>
            <w:tcW w:w="1276" w:type="dxa"/>
            <w:noWrap/>
            <w:hideMark/>
          </w:tcPr>
          <w:p w:rsidR="0092299C" w:rsidRPr="00FB2C11" w:rsidRDefault="0092299C" w:rsidP="0092299C">
            <w:pPr>
              <w:pStyle w:val="ARtabletextright"/>
            </w:pPr>
            <w:r w:rsidRPr="00FB2C11">
              <w:t>$7,387</w:t>
            </w:r>
          </w:p>
        </w:tc>
      </w:tr>
      <w:tr w:rsidR="0092299C" w:rsidRPr="00FB2C11" w:rsidTr="0084694E">
        <w:tc>
          <w:tcPr>
            <w:tcW w:w="2194" w:type="dxa"/>
            <w:noWrap/>
            <w:hideMark/>
          </w:tcPr>
          <w:p w:rsidR="0092299C" w:rsidRPr="00FB2C11" w:rsidRDefault="0092299C" w:rsidP="0092299C">
            <w:pPr>
              <w:pStyle w:val="ARtabletext"/>
            </w:pPr>
            <w:proofErr w:type="spellStart"/>
            <w:r w:rsidRPr="00FB2C11">
              <w:t>Maddocks</w:t>
            </w:r>
            <w:proofErr w:type="spellEnd"/>
          </w:p>
        </w:tc>
        <w:tc>
          <w:tcPr>
            <w:tcW w:w="3771" w:type="dxa"/>
            <w:noWrap/>
            <w:hideMark/>
          </w:tcPr>
          <w:p w:rsidR="0092299C" w:rsidRPr="00FB2C11" w:rsidRDefault="0092299C" w:rsidP="0092299C">
            <w:pPr>
              <w:pStyle w:val="ARtabletext"/>
            </w:pPr>
            <w:r w:rsidRPr="00FB2C11">
              <w:t>Review, Adare supported residential service</w:t>
            </w:r>
          </w:p>
        </w:tc>
        <w:tc>
          <w:tcPr>
            <w:tcW w:w="1275" w:type="dxa"/>
            <w:noWrap/>
            <w:hideMark/>
          </w:tcPr>
          <w:p w:rsidR="0092299C" w:rsidRPr="00FB2C11" w:rsidRDefault="0092299C" w:rsidP="0092299C">
            <w:pPr>
              <w:pStyle w:val="ARtabletextright"/>
            </w:pPr>
            <w:r w:rsidRPr="00FB2C11">
              <w:t>$25,466</w:t>
            </w:r>
          </w:p>
        </w:tc>
        <w:tc>
          <w:tcPr>
            <w:tcW w:w="1276" w:type="dxa"/>
            <w:noWrap/>
            <w:hideMark/>
          </w:tcPr>
          <w:p w:rsidR="0092299C" w:rsidRPr="00FB2C11" w:rsidRDefault="0092299C" w:rsidP="0092299C">
            <w:pPr>
              <w:pStyle w:val="ARtabletextright"/>
            </w:pPr>
            <w:r w:rsidRPr="00FB2C11">
              <w:t>$25,466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Develop service plan, Alfred health</w:t>
            </w:r>
          </w:p>
        </w:tc>
        <w:tc>
          <w:tcPr>
            <w:tcW w:w="1275" w:type="dxa"/>
            <w:noWrap/>
            <w:hideMark/>
          </w:tcPr>
          <w:p w:rsidR="0092299C" w:rsidRPr="00FB2C11" w:rsidRDefault="0092299C" w:rsidP="0092299C">
            <w:pPr>
              <w:pStyle w:val="ARtabletextright"/>
            </w:pPr>
            <w:r w:rsidRPr="00FB2C11">
              <w:t>$135,829</w:t>
            </w:r>
          </w:p>
        </w:tc>
        <w:tc>
          <w:tcPr>
            <w:tcW w:w="1276" w:type="dxa"/>
            <w:noWrap/>
            <w:hideMark/>
          </w:tcPr>
          <w:p w:rsidR="0092299C" w:rsidRPr="00FB2C11" w:rsidRDefault="0092299C" w:rsidP="0092299C">
            <w:pPr>
              <w:pStyle w:val="ARtabletextright"/>
            </w:pPr>
            <w:r w:rsidRPr="00FB2C11">
              <w:t>$33,957</w:t>
            </w:r>
          </w:p>
        </w:tc>
        <w:tc>
          <w:tcPr>
            <w:tcW w:w="1276" w:type="dxa"/>
            <w:noWrap/>
            <w:hideMark/>
          </w:tcPr>
          <w:p w:rsidR="0092299C" w:rsidRPr="00FB2C11" w:rsidRDefault="0092299C" w:rsidP="0092299C">
            <w:pPr>
              <w:pStyle w:val="ARtabletextright"/>
            </w:pPr>
            <w:r w:rsidRPr="00FB2C11">
              <w:t>$101,872</w:t>
            </w:r>
          </w:p>
        </w:tc>
      </w:tr>
      <w:tr w:rsidR="0092299C" w:rsidRPr="00FB2C11" w:rsidTr="0084694E">
        <w:tc>
          <w:tcPr>
            <w:tcW w:w="2194" w:type="dxa"/>
            <w:noWrap/>
            <w:hideMark/>
          </w:tcPr>
          <w:p w:rsidR="0092299C" w:rsidRPr="00FB2C11" w:rsidRDefault="0092299C" w:rsidP="0092299C">
            <w:pPr>
              <w:pStyle w:val="ARtabletext"/>
            </w:pPr>
            <w:r w:rsidRPr="00FB2C11">
              <w:t xml:space="preserve">Jackie </w:t>
            </w:r>
            <w:proofErr w:type="spellStart"/>
            <w:r w:rsidRPr="00FB2C11">
              <w:t>Moden</w:t>
            </w:r>
            <w:proofErr w:type="spellEnd"/>
            <w:r w:rsidRPr="00FB2C11">
              <w:t xml:space="preserve"> Consulting</w:t>
            </w:r>
          </w:p>
        </w:tc>
        <w:tc>
          <w:tcPr>
            <w:tcW w:w="3771" w:type="dxa"/>
            <w:noWrap/>
            <w:hideMark/>
          </w:tcPr>
          <w:p w:rsidR="0092299C" w:rsidRPr="00FB2C11" w:rsidRDefault="0092299C" w:rsidP="0092299C">
            <w:pPr>
              <w:pStyle w:val="ARtabletext"/>
            </w:pPr>
            <w:r w:rsidRPr="00FB2C11">
              <w:t xml:space="preserve">Service review, Housing for the Aged </w:t>
            </w:r>
            <w:r>
              <w:t>A</w:t>
            </w:r>
            <w:r w:rsidRPr="00FB2C11">
              <w:t xml:space="preserve">ction </w:t>
            </w:r>
            <w:r>
              <w:t>G</w:t>
            </w:r>
            <w:r w:rsidRPr="00FB2C11">
              <w:t>roup</w:t>
            </w:r>
          </w:p>
        </w:tc>
        <w:tc>
          <w:tcPr>
            <w:tcW w:w="1275" w:type="dxa"/>
            <w:noWrap/>
            <w:hideMark/>
          </w:tcPr>
          <w:p w:rsidR="0092299C" w:rsidRPr="00FB2C11" w:rsidRDefault="0092299C" w:rsidP="0092299C">
            <w:pPr>
              <w:pStyle w:val="ARtabletextright"/>
            </w:pPr>
            <w:r w:rsidRPr="00FB2C11">
              <w:t>$39,345</w:t>
            </w:r>
          </w:p>
        </w:tc>
        <w:tc>
          <w:tcPr>
            <w:tcW w:w="1276" w:type="dxa"/>
            <w:noWrap/>
            <w:hideMark/>
          </w:tcPr>
          <w:p w:rsidR="0092299C" w:rsidRPr="00FB2C11" w:rsidRDefault="0092299C" w:rsidP="0092299C">
            <w:pPr>
              <w:pStyle w:val="ARtabletextright"/>
            </w:pPr>
            <w:r w:rsidRPr="00FB2C11">
              <w:t>$1,833</w:t>
            </w:r>
          </w:p>
        </w:tc>
        <w:tc>
          <w:tcPr>
            <w:tcW w:w="1276" w:type="dxa"/>
            <w:noWrap/>
            <w:hideMark/>
          </w:tcPr>
          <w:p w:rsidR="0092299C" w:rsidRPr="00FB2C11" w:rsidRDefault="0092299C" w:rsidP="0092299C">
            <w:pPr>
              <w:pStyle w:val="ARtabletextright"/>
            </w:pPr>
            <w:r w:rsidRPr="00FB2C11">
              <w:t>$37,512</w:t>
            </w:r>
          </w:p>
        </w:tc>
      </w:tr>
      <w:tr w:rsidR="0092299C" w:rsidRPr="00FB2C11" w:rsidTr="0084694E">
        <w:tc>
          <w:tcPr>
            <w:tcW w:w="2194" w:type="dxa"/>
            <w:noWrap/>
            <w:hideMark/>
          </w:tcPr>
          <w:p w:rsidR="0092299C" w:rsidRPr="00FB2C11" w:rsidRDefault="0092299C" w:rsidP="0092299C">
            <w:pPr>
              <w:pStyle w:val="ARtabletext"/>
            </w:pPr>
            <w:proofErr w:type="spellStart"/>
            <w:r w:rsidRPr="00FB2C11">
              <w:t>Healthconsult</w:t>
            </w:r>
            <w:proofErr w:type="spellEnd"/>
            <w:r w:rsidRPr="00FB2C11">
              <w:t xml:space="preserve"> Pty Ltd</w:t>
            </w:r>
          </w:p>
        </w:tc>
        <w:tc>
          <w:tcPr>
            <w:tcW w:w="3771" w:type="dxa"/>
            <w:noWrap/>
            <w:hideMark/>
          </w:tcPr>
          <w:p w:rsidR="0092299C" w:rsidRPr="00FB2C11" w:rsidRDefault="0092299C" w:rsidP="0092299C">
            <w:pPr>
              <w:pStyle w:val="ARtabletext"/>
            </w:pPr>
            <w:r w:rsidRPr="00FB2C11">
              <w:t>Develop and administer, Mental health workforce innovation grants program</w:t>
            </w:r>
          </w:p>
        </w:tc>
        <w:tc>
          <w:tcPr>
            <w:tcW w:w="1275" w:type="dxa"/>
            <w:noWrap/>
            <w:hideMark/>
          </w:tcPr>
          <w:p w:rsidR="0092299C" w:rsidRPr="00FB2C11" w:rsidRDefault="0092299C" w:rsidP="0092299C">
            <w:pPr>
              <w:pStyle w:val="ARtabletextright"/>
            </w:pPr>
            <w:r w:rsidRPr="00FB2C11">
              <w:t>$111,635</w:t>
            </w:r>
          </w:p>
        </w:tc>
        <w:tc>
          <w:tcPr>
            <w:tcW w:w="1276" w:type="dxa"/>
            <w:noWrap/>
            <w:hideMark/>
          </w:tcPr>
          <w:p w:rsidR="0092299C" w:rsidRPr="00FB2C11" w:rsidRDefault="0092299C" w:rsidP="0092299C">
            <w:pPr>
              <w:pStyle w:val="ARtabletextright"/>
            </w:pPr>
            <w:r w:rsidRPr="00FB2C11">
              <w:t>$33,491</w:t>
            </w:r>
          </w:p>
        </w:tc>
        <w:tc>
          <w:tcPr>
            <w:tcW w:w="1276" w:type="dxa"/>
            <w:noWrap/>
            <w:hideMark/>
          </w:tcPr>
          <w:p w:rsidR="0092299C" w:rsidRPr="00FB2C11" w:rsidRDefault="0092299C" w:rsidP="0092299C">
            <w:pPr>
              <w:pStyle w:val="ARtabletextright"/>
            </w:pPr>
            <w:r w:rsidRPr="00FB2C11">
              <w:t>$78,144</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Review, high performance athlete programs</w:t>
            </w:r>
          </w:p>
        </w:tc>
        <w:tc>
          <w:tcPr>
            <w:tcW w:w="1275" w:type="dxa"/>
            <w:noWrap/>
            <w:hideMark/>
          </w:tcPr>
          <w:p w:rsidR="0092299C" w:rsidRPr="00FB2C11" w:rsidRDefault="0092299C" w:rsidP="0092299C">
            <w:pPr>
              <w:pStyle w:val="ARtabletextright"/>
            </w:pPr>
            <w:r w:rsidRPr="00FB2C11">
              <w:t>$129,128</w:t>
            </w:r>
          </w:p>
        </w:tc>
        <w:tc>
          <w:tcPr>
            <w:tcW w:w="1276" w:type="dxa"/>
            <w:noWrap/>
            <w:hideMark/>
          </w:tcPr>
          <w:p w:rsidR="0092299C" w:rsidRPr="00FB2C11" w:rsidRDefault="0092299C" w:rsidP="0092299C">
            <w:pPr>
              <w:pStyle w:val="ARtabletextright"/>
            </w:pPr>
            <w:r w:rsidRPr="00FB2C11">
              <w:t>$6,456</w:t>
            </w:r>
          </w:p>
        </w:tc>
        <w:tc>
          <w:tcPr>
            <w:tcW w:w="1276" w:type="dxa"/>
            <w:noWrap/>
            <w:hideMark/>
          </w:tcPr>
          <w:p w:rsidR="0092299C" w:rsidRPr="00FB2C11" w:rsidRDefault="0092299C" w:rsidP="0092299C">
            <w:pPr>
              <w:pStyle w:val="ARtabletextright"/>
            </w:pPr>
            <w:r w:rsidRPr="00FB2C11">
              <w:t>$122,672</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t>C</w:t>
            </w:r>
            <w:r w:rsidRPr="00FB2C11">
              <w:t>ost-benefit analysis, centralised registration system, Food Act</w:t>
            </w:r>
          </w:p>
        </w:tc>
        <w:tc>
          <w:tcPr>
            <w:tcW w:w="1275" w:type="dxa"/>
            <w:noWrap/>
            <w:hideMark/>
          </w:tcPr>
          <w:p w:rsidR="0092299C" w:rsidRPr="00FB2C11" w:rsidRDefault="0092299C" w:rsidP="0092299C">
            <w:pPr>
              <w:pStyle w:val="ARtabletextright"/>
            </w:pPr>
            <w:r w:rsidRPr="00FB2C11">
              <w:t>$68,909</w:t>
            </w:r>
          </w:p>
        </w:tc>
        <w:tc>
          <w:tcPr>
            <w:tcW w:w="1276" w:type="dxa"/>
            <w:noWrap/>
            <w:hideMark/>
          </w:tcPr>
          <w:p w:rsidR="0092299C" w:rsidRPr="00FB2C11" w:rsidRDefault="0092299C" w:rsidP="0092299C">
            <w:pPr>
              <w:pStyle w:val="ARtabletextright"/>
            </w:pPr>
            <w:r w:rsidRPr="00FB2C11">
              <w:t>$49,000</w:t>
            </w:r>
          </w:p>
        </w:tc>
        <w:tc>
          <w:tcPr>
            <w:tcW w:w="1276" w:type="dxa"/>
            <w:noWrap/>
            <w:hideMark/>
          </w:tcPr>
          <w:p w:rsidR="0092299C" w:rsidRPr="00FB2C11" w:rsidRDefault="0092299C" w:rsidP="0092299C">
            <w:pPr>
              <w:pStyle w:val="ARtabletextright"/>
            </w:pPr>
            <w:r w:rsidRPr="00FB2C11">
              <w:t>$19,909</w:t>
            </w:r>
          </w:p>
        </w:tc>
      </w:tr>
      <w:tr w:rsidR="0092299C" w:rsidRPr="00FB2C11" w:rsidTr="0084694E">
        <w:tc>
          <w:tcPr>
            <w:tcW w:w="2194" w:type="dxa"/>
            <w:noWrap/>
            <w:hideMark/>
          </w:tcPr>
          <w:p w:rsidR="0092299C" w:rsidRPr="00FB2C11" w:rsidRDefault="0092299C" w:rsidP="0092299C">
            <w:pPr>
              <w:pStyle w:val="ARtabletext"/>
            </w:pPr>
            <w:r w:rsidRPr="00FB2C11">
              <w:t>SGS Economics &amp; Planning Pty Ltd</w:t>
            </w:r>
          </w:p>
        </w:tc>
        <w:tc>
          <w:tcPr>
            <w:tcW w:w="3771" w:type="dxa"/>
            <w:noWrap/>
            <w:hideMark/>
          </w:tcPr>
          <w:p w:rsidR="0092299C" w:rsidRPr="00FB2C11" w:rsidRDefault="0092299C" w:rsidP="0092299C">
            <w:pPr>
              <w:pStyle w:val="ARtabletext"/>
            </w:pPr>
            <w:r w:rsidRPr="00FB2C11">
              <w:t>Data cleansing and validation, Housing register</w:t>
            </w:r>
          </w:p>
        </w:tc>
        <w:tc>
          <w:tcPr>
            <w:tcW w:w="1275" w:type="dxa"/>
            <w:noWrap/>
            <w:hideMark/>
          </w:tcPr>
          <w:p w:rsidR="0092299C" w:rsidRPr="00FB2C11" w:rsidRDefault="0092299C" w:rsidP="0092299C">
            <w:pPr>
              <w:pStyle w:val="ARtabletextright"/>
            </w:pPr>
            <w:r w:rsidRPr="00FB2C11">
              <w:t>$59,606</w:t>
            </w:r>
          </w:p>
        </w:tc>
        <w:tc>
          <w:tcPr>
            <w:tcW w:w="1276" w:type="dxa"/>
            <w:noWrap/>
            <w:hideMark/>
          </w:tcPr>
          <w:p w:rsidR="0092299C" w:rsidRPr="00FB2C11" w:rsidRDefault="0092299C" w:rsidP="0092299C">
            <w:pPr>
              <w:pStyle w:val="ARtabletextright"/>
            </w:pPr>
            <w:r w:rsidRPr="00FB2C11">
              <w:t>$21,100</w:t>
            </w:r>
          </w:p>
        </w:tc>
        <w:tc>
          <w:tcPr>
            <w:tcW w:w="1276" w:type="dxa"/>
            <w:noWrap/>
            <w:hideMark/>
          </w:tcPr>
          <w:p w:rsidR="0092299C" w:rsidRPr="00FB2C11" w:rsidRDefault="0092299C" w:rsidP="0092299C">
            <w:pPr>
              <w:pStyle w:val="ARtabletextright"/>
            </w:pPr>
            <w:r w:rsidRPr="00FB2C11">
              <w:t>$38,506</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 xml:space="preserve">Health check, sport and recreation grant management </w:t>
            </w:r>
          </w:p>
        </w:tc>
        <w:tc>
          <w:tcPr>
            <w:tcW w:w="1275" w:type="dxa"/>
            <w:noWrap/>
            <w:hideMark/>
          </w:tcPr>
          <w:p w:rsidR="0092299C" w:rsidRPr="00FB2C11" w:rsidRDefault="0092299C" w:rsidP="0092299C">
            <w:pPr>
              <w:pStyle w:val="ARtabletextright"/>
            </w:pPr>
            <w:r w:rsidRPr="00FB2C11">
              <w:t>$31,473</w:t>
            </w:r>
          </w:p>
        </w:tc>
        <w:tc>
          <w:tcPr>
            <w:tcW w:w="1276" w:type="dxa"/>
            <w:noWrap/>
            <w:hideMark/>
          </w:tcPr>
          <w:p w:rsidR="0092299C" w:rsidRPr="00FB2C11" w:rsidRDefault="0092299C" w:rsidP="0092299C">
            <w:pPr>
              <w:pStyle w:val="ARtabletextright"/>
            </w:pPr>
            <w:r w:rsidRPr="00FB2C11">
              <w:t>$7,800</w:t>
            </w:r>
          </w:p>
        </w:tc>
        <w:tc>
          <w:tcPr>
            <w:tcW w:w="1276" w:type="dxa"/>
            <w:noWrap/>
            <w:hideMark/>
          </w:tcPr>
          <w:p w:rsidR="0092299C" w:rsidRPr="00FB2C11" w:rsidRDefault="0092299C" w:rsidP="0092299C">
            <w:pPr>
              <w:pStyle w:val="ARtabletextright"/>
            </w:pPr>
            <w:r w:rsidRPr="00FB2C11">
              <w:t>$23,673</w:t>
            </w:r>
          </w:p>
        </w:tc>
      </w:tr>
      <w:tr w:rsidR="0092299C" w:rsidRPr="00FB2C11" w:rsidTr="0084694E">
        <w:tc>
          <w:tcPr>
            <w:tcW w:w="2194" w:type="dxa"/>
            <w:noWrap/>
            <w:hideMark/>
          </w:tcPr>
          <w:p w:rsidR="0092299C" w:rsidRPr="00FB2C11" w:rsidRDefault="0092299C" w:rsidP="0092299C">
            <w:pPr>
              <w:pStyle w:val="ARtabletext"/>
            </w:pPr>
            <w:r w:rsidRPr="00FB2C11">
              <w:t>Data Agility Pty Ltd</w:t>
            </w:r>
          </w:p>
        </w:tc>
        <w:tc>
          <w:tcPr>
            <w:tcW w:w="3771" w:type="dxa"/>
            <w:noWrap/>
            <w:hideMark/>
          </w:tcPr>
          <w:p w:rsidR="0092299C" w:rsidRPr="00FB2C11" w:rsidRDefault="0092299C" w:rsidP="0092299C">
            <w:pPr>
              <w:pStyle w:val="ARtabletext"/>
            </w:pPr>
            <w:r w:rsidRPr="00FB2C11">
              <w:t>Develop supporting materials, Community based health streamlining pilot project</w:t>
            </w:r>
          </w:p>
        </w:tc>
        <w:tc>
          <w:tcPr>
            <w:tcW w:w="1275" w:type="dxa"/>
            <w:noWrap/>
            <w:hideMark/>
          </w:tcPr>
          <w:p w:rsidR="0092299C" w:rsidRPr="00FB2C11" w:rsidRDefault="0092299C" w:rsidP="0092299C">
            <w:pPr>
              <w:pStyle w:val="ARtabletextright"/>
            </w:pPr>
            <w:r w:rsidRPr="00FB2C11">
              <w:t>$60,527</w:t>
            </w:r>
          </w:p>
        </w:tc>
        <w:tc>
          <w:tcPr>
            <w:tcW w:w="1276" w:type="dxa"/>
            <w:noWrap/>
            <w:hideMark/>
          </w:tcPr>
          <w:p w:rsidR="0092299C" w:rsidRPr="00FB2C11" w:rsidRDefault="0092299C" w:rsidP="0092299C">
            <w:pPr>
              <w:pStyle w:val="ARtabletextright"/>
            </w:pPr>
            <w:r w:rsidRPr="00FB2C11">
              <w:t>$12,000</w:t>
            </w:r>
          </w:p>
        </w:tc>
        <w:tc>
          <w:tcPr>
            <w:tcW w:w="1276" w:type="dxa"/>
            <w:noWrap/>
            <w:hideMark/>
          </w:tcPr>
          <w:p w:rsidR="0092299C" w:rsidRPr="00FB2C11" w:rsidRDefault="0092299C" w:rsidP="0092299C">
            <w:pPr>
              <w:pStyle w:val="ARtabletextright"/>
            </w:pPr>
            <w:r w:rsidRPr="00FB2C11">
              <w:t>$48,527</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Evaluate, Latrobe Health Innovation Zone, Assembly and Advocate, Hazelwood Mine Fire C5700/1058322</w:t>
            </w:r>
          </w:p>
        </w:tc>
        <w:tc>
          <w:tcPr>
            <w:tcW w:w="1275" w:type="dxa"/>
            <w:noWrap/>
            <w:hideMark/>
          </w:tcPr>
          <w:p w:rsidR="0092299C" w:rsidRPr="00FB2C11" w:rsidRDefault="0092299C" w:rsidP="0092299C">
            <w:pPr>
              <w:pStyle w:val="ARtabletextright"/>
            </w:pPr>
            <w:r w:rsidRPr="00FB2C11">
              <w:t>$726,850</w:t>
            </w:r>
          </w:p>
        </w:tc>
        <w:tc>
          <w:tcPr>
            <w:tcW w:w="1276" w:type="dxa"/>
            <w:noWrap/>
            <w:hideMark/>
          </w:tcPr>
          <w:p w:rsidR="0092299C" w:rsidRPr="00FB2C11" w:rsidRDefault="0092299C" w:rsidP="0092299C">
            <w:pPr>
              <w:pStyle w:val="ARtabletextright"/>
            </w:pPr>
            <w:r w:rsidRPr="00FB2C11">
              <w:t>$64,838</w:t>
            </w:r>
          </w:p>
        </w:tc>
        <w:tc>
          <w:tcPr>
            <w:tcW w:w="1276" w:type="dxa"/>
            <w:noWrap/>
            <w:hideMark/>
          </w:tcPr>
          <w:p w:rsidR="0092299C" w:rsidRPr="00FB2C11" w:rsidRDefault="0092299C" w:rsidP="0092299C">
            <w:pPr>
              <w:pStyle w:val="ARtabletextright"/>
            </w:pPr>
            <w:r w:rsidRPr="00FB2C11">
              <w:t>$662,012</w:t>
            </w:r>
          </w:p>
        </w:tc>
      </w:tr>
      <w:tr w:rsidR="0092299C" w:rsidRPr="00FB2C11" w:rsidTr="0084694E">
        <w:tc>
          <w:tcPr>
            <w:tcW w:w="2194" w:type="dxa"/>
            <w:noWrap/>
            <w:hideMark/>
          </w:tcPr>
          <w:p w:rsidR="0092299C" w:rsidRPr="00FB2C11" w:rsidRDefault="0092299C" w:rsidP="0092299C">
            <w:pPr>
              <w:pStyle w:val="ARtabletext"/>
            </w:pPr>
            <w:proofErr w:type="spellStart"/>
            <w:r w:rsidRPr="00FB2C11">
              <w:t>Crondar</w:t>
            </w:r>
            <w:proofErr w:type="spellEnd"/>
            <w:r w:rsidRPr="00FB2C11">
              <w:t xml:space="preserve"> Pty Ltd</w:t>
            </w:r>
          </w:p>
        </w:tc>
        <w:tc>
          <w:tcPr>
            <w:tcW w:w="3771" w:type="dxa"/>
            <w:noWrap/>
            <w:hideMark/>
          </w:tcPr>
          <w:p w:rsidR="0092299C" w:rsidRPr="00FB2C11" w:rsidRDefault="0092299C" w:rsidP="0092299C">
            <w:pPr>
              <w:pStyle w:val="ARtabletext"/>
            </w:pPr>
            <w:r w:rsidRPr="00FB2C11">
              <w:t>Define progress measures, public health and wellbeing plan</w:t>
            </w:r>
          </w:p>
        </w:tc>
        <w:tc>
          <w:tcPr>
            <w:tcW w:w="1275" w:type="dxa"/>
            <w:noWrap/>
            <w:hideMark/>
          </w:tcPr>
          <w:p w:rsidR="0092299C" w:rsidRPr="00FB2C11" w:rsidRDefault="0092299C" w:rsidP="0092299C">
            <w:pPr>
              <w:pStyle w:val="ARtabletextright"/>
            </w:pPr>
            <w:r w:rsidRPr="00FB2C11">
              <w:t>$248,053</w:t>
            </w:r>
          </w:p>
        </w:tc>
        <w:tc>
          <w:tcPr>
            <w:tcW w:w="1276" w:type="dxa"/>
            <w:noWrap/>
            <w:hideMark/>
          </w:tcPr>
          <w:p w:rsidR="0092299C" w:rsidRPr="00FB2C11" w:rsidRDefault="0092299C" w:rsidP="0092299C">
            <w:pPr>
              <w:pStyle w:val="ARtabletextright"/>
            </w:pPr>
            <w:r w:rsidRPr="00FB2C11">
              <w:t>$149,149</w:t>
            </w:r>
          </w:p>
        </w:tc>
        <w:tc>
          <w:tcPr>
            <w:tcW w:w="1276" w:type="dxa"/>
            <w:noWrap/>
            <w:hideMark/>
          </w:tcPr>
          <w:p w:rsidR="0092299C" w:rsidRPr="00FB2C11" w:rsidRDefault="0092299C" w:rsidP="0092299C">
            <w:pPr>
              <w:pStyle w:val="ARtabletextright"/>
            </w:pPr>
            <w:r w:rsidRPr="00FB2C11">
              <w:t>$98,904</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Develop statutory body governance framework</w:t>
            </w:r>
          </w:p>
        </w:tc>
        <w:tc>
          <w:tcPr>
            <w:tcW w:w="1275" w:type="dxa"/>
            <w:noWrap/>
            <w:hideMark/>
          </w:tcPr>
          <w:p w:rsidR="0092299C" w:rsidRPr="00FB2C11" w:rsidRDefault="0092299C" w:rsidP="0092299C">
            <w:pPr>
              <w:pStyle w:val="ARtabletextright"/>
            </w:pPr>
            <w:r w:rsidRPr="00FB2C11">
              <w:t>$74,545</w:t>
            </w:r>
          </w:p>
        </w:tc>
        <w:tc>
          <w:tcPr>
            <w:tcW w:w="1276" w:type="dxa"/>
            <w:noWrap/>
            <w:hideMark/>
          </w:tcPr>
          <w:p w:rsidR="0092299C" w:rsidRPr="00FB2C11" w:rsidRDefault="0092299C" w:rsidP="0092299C">
            <w:pPr>
              <w:pStyle w:val="ARtabletextright"/>
            </w:pPr>
            <w:r w:rsidRPr="00FB2C11">
              <w:t>$13,042</w:t>
            </w:r>
          </w:p>
        </w:tc>
        <w:tc>
          <w:tcPr>
            <w:tcW w:w="1276" w:type="dxa"/>
            <w:noWrap/>
            <w:hideMark/>
          </w:tcPr>
          <w:p w:rsidR="0092299C" w:rsidRPr="00FB2C11" w:rsidRDefault="0092299C" w:rsidP="0092299C">
            <w:pPr>
              <w:pStyle w:val="ARtabletextright"/>
            </w:pPr>
            <w:r w:rsidRPr="00FB2C11">
              <w:t>$61,503</w:t>
            </w:r>
          </w:p>
        </w:tc>
      </w:tr>
      <w:tr w:rsidR="0092299C" w:rsidRPr="00FB2C11" w:rsidTr="0084694E">
        <w:tc>
          <w:tcPr>
            <w:tcW w:w="2194" w:type="dxa"/>
            <w:noWrap/>
            <w:hideMark/>
          </w:tcPr>
          <w:p w:rsidR="0092299C" w:rsidRPr="00FB2C11" w:rsidRDefault="0092299C" w:rsidP="0092299C">
            <w:pPr>
              <w:pStyle w:val="ARtabletext"/>
            </w:pPr>
            <w:r w:rsidRPr="00FB2C11">
              <w:t>M21 Advisory</w:t>
            </w:r>
          </w:p>
        </w:tc>
        <w:tc>
          <w:tcPr>
            <w:tcW w:w="3771" w:type="dxa"/>
            <w:noWrap/>
            <w:hideMark/>
          </w:tcPr>
          <w:p w:rsidR="0092299C" w:rsidRPr="00FB2C11" w:rsidRDefault="0092299C" w:rsidP="0092299C">
            <w:pPr>
              <w:pStyle w:val="ARtabletext"/>
            </w:pPr>
            <w:r w:rsidRPr="00FB2C11">
              <w:t>Investment, social hosing</w:t>
            </w:r>
          </w:p>
        </w:tc>
        <w:tc>
          <w:tcPr>
            <w:tcW w:w="1275" w:type="dxa"/>
            <w:noWrap/>
            <w:hideMark/>
          </w:tcPr>
          <w:p w:rsidR="0092299C" w:rsidRPr="00FB2C11" w:rsidRDefault="0092299C" w:rsidP="0092299C">
            <w:pPr>
              <w:pStyle w:val="ARtabletextright"/>
            </w:pPr>
            <w:r w:rsidRPr="00FB2C11">
              <w:t>$46,200</w:t>
            </w:r>
          </w:p>
        </w:tc>
        <w:tc>
          <w:tcPr>
            <w:tcW w:w="1276" w:type="dxa"/>
            <w:noWrap/>
            <w:hideMark/>
          </w:tcPr>
          <w:p w:rsidR="0092299C" w:rsidRPr="00FB2C11" w:rsidRDefault="0092299C" w:rsidP="0092299C">
            <w:pPr>
              <w:pStyle w:val="ARtabletextright"/>
            </w:pPr>
            <w:r w:rsidRPr="00FB2C11">
              <w:t>$11,497</w:t>
            </w:r>
          </w:p>
        </w:tc>
        <w:tc>
          <w:tcPr>
            <w:tcW w:w="1276" w:type="dxa"/>
            <w:noWrap/>
            <w:hideMark/>
          </w:tcPr>
          <w:p w:rsidR="0092299C" w:rsidRPr="00FB2C11" w:rsidRDefault="0092299C" w:rsidP="0092299C">
            <w:pPr>
              <w:pStyle w:val="ARtabletextright"/>
            </w:pPr>
            <w:r w:rsidRPr="00FB2C11">
              <w:t>$34,703</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 xml:space="preserve">Review, </w:t>
            </w:r>
            <w:r>
              <w:t>o</w:t>
            </w:r>
            <w:r w:rsidRPr="00FB2C11">
              <w:t>ut</w:t>
            </w:r>
            <w:r>
              <w:t>-o</w:t>
            </w:r>
            <w:r w:rsidRPr="00FB2C11">
              <w:t>f</w:t>
            </w:r>
            <w:r>
              <w:t>-h</w:t>
            </w:r>
            <w:r w:rsidRPr="00FB2C11">
              <w:t>ome Care funding reform</w:t>
            </w:r>
          </w:p>
        </w:tc>
        <w:tc>
          <w:tcPr>
            <w:tcW w:w="1275" w:type="dxa"/>
            <w:noWrap/>
            <w:hideMark/>
          </w:tcPr>
          <w:p w:rsidR="0092299C" w:rsidRPr="00FB2C11" w:rsidRDefault="0092299C" w:rsidP="0092299C">
            <w:pPr>
              <w:pStyle w:val="ARtabletextright"/>
            </w:pPr>
            <w:r w:rsidRPr="00FB2C11">
              <w:t>$80,289</w:t>
            </w:r>
          </w:p>
        </w:tc>
        <w:tc>
          <w:tcPr>
            <w:tcW w:w="1276" w:type="dxa"/>
            <w:noWrap/>
            <w:hideMark/>
          </w:tcPr>
          <w:p w:rsidR="0092299C" w:rsidRPr="00FB2C11" w:rsidRDefault="0092299C" w:rsidP="0092299C">
            <w:pPr>
              <w:pStyle w:val="ARtabletextright"/>
            </w:pPr>
            <w:r w:rsidRPr="00FB2C11">
              <w:t>$80,564</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Third Horizon Consulting Pty Ltd</w:t>
            </w:r>
          </w:p>
        </w:tc>
        <w:tc>
          <w:tcPr>
            <w:tcW w:w="3771" w:type="dxa"/>
            <w:noWrap/>
            <w:hideMark/>
          </w:tcPr>
          <w:p w:rsidR="0092299C" w:rsidRPr="00FB2C11" w:rsidRDefault="0092299C" w:rsidP="0092299C">
            <w:pPr>
              <w:pStyle w:val="ARtabletext"/>
            </w:pPr>
            <w:r w:rsidRPr="00FB2C11">
              <w:t xml:space="preserve">Develop </w:t>
            </w:r>
            <w:r>
              <w:t>m</w:t>
            </w:r>
            <w:r w:rsidRPr="00FB2C11">
              <w:t>anagement reporting framework, performance against reform objectives</w:t>
            </w:r>
          </w:p>
        </w:tc>
        <w:tc>
          <w:tcPr>
            <w:tcW w:w="1275" w:type="dxa"/>
            <w:noWrap/>
            <w:hideMark/>
          </w:tcPr>
          <w:p w:rsidR="0092299C" w:rsidRPr="00FB2C11" w:rsidRDefault="0092299C" w:rsidP="0092299C">
            <w:pPr>
              <w:pStyle w:val="ARtabletextright"/>
            </w:pPr>
            <w:r w:rsidRPr="00FB2C11">
              <w:t>$88,830</w:t>
            </w:r>
          </w:p>
        </w:tc>
        <w:tc>
          <w:tcPr>
            <w:tcW w:w="1276" w:type="dxa"/>
            <w:noWrap/>
            <w:hideMark/>
          </w:tcPr>
          <w:p w:rsidR="0092299C" w:rsidRPr="00FB2C11" w:rsidRDefault="0092299C" w:rsidP="0092299C">
            <w:pPr>
              <w:pStyle w:val="ARtabletextright"/>
            </w:pPr>
            <w:r w:rsidRPr="00FB2C11">
              <w:t>$94,739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Aither</w:t>
            </w:r>
            <w:proofErr w:type="spellEnd"/>
            <w:r w:rsidRPr="00FB2C11">
              <w:t xml:space="preserve"> Pty Ltd</w:t>
            </w:r>
          </w:p>
        </w:tc>
        <w:tc>
          <w:tcPr>
            <w:tcW w:w="3771" w:type="dxa"/>
            <w:noWrap/>
            <w:hideMark/>
          </w:tcPr>
          <w:p w:rsidR="0092299C" w:rsidRPr="00FB2C11" w:rsidRDefault="0092299C" w:rsidP="0092299C">
            <w:pPr>
              <w:pStyle w:val="ARtabletext"/>
            </w:pPr>
            <w:r w:rsidRPr="00FB2C11">
              <w:t xml:space="preserve">Review, </w:t>
            </w:r>
            <w:r>
              <w:t>S</w:t>
            </w:r>
            <w:r w:rsidRPr="00FB2C11">
              <w:t xml:space="preserve">afe </w:t>
            </w:r>
            <w:r>
              <w:t>D</w:t>
            </w:r>
            <w:r w:rsidRPr="00FB2C11">
              <w:t xml:space="preserve">rinking </w:t>
            </w:r>
            <w:r>
              <w:t>W</w:t>
            </w:r>
            <w:r w:rsidRPr="00FB2C11">
              <w:t xml:space="preserve">ater </w:t>
            </w:r>
            <w:r>
              <w:t>A</w:t>
            </w:r>
            <w:r w:rsidRPr="00FB2C11">
              <w:t>ct administration levy</w:t>
            </w:r>
          </w:p>
        </w:tc>
        <w:tc>
          <w:tcPr>
            <w:tcW w:w="1275" w:type="dxa"/>
            <w:noWrap/>
            <w:hideMark/>
          </w:tcPr>
          <w:p w:rsidR="0092299C" w:rsidRPr="00FB2C11" w:rsidRDefault="0092299C" w:rsidP="0092299C">
            <w:pPr>
              <w:pStyle w:val="ARtabletextright"/>
            </w:pPr>
            <w:r w:rsidRPr="00FB2C11">
              <w:t>$47,034</w:t>
            </w:r>
          </w:p>
        </w:tc>
        <w:tc>
          <w:tcPr>
            <w:tcW w:w="1276" w:type="dxa"/>
            <w:noWrap/>
            <w:hideMark/>
          </w:tcPr>
          <w:p w:rsidR="0092299C" w:rsidRPr="00FB2C11" w:rsidRDefault="0092299C" w:rsidP="0092299C">
            <w:pPr>
              <w:pStyle w:val="ARtabletextright"/>
            </w:pPr>
            <w:r w:rsidRPr="00FB2C11">
              <w:t>$9,091</w:t>
            </w:r>
          </w:p>
        </w:tc>
        <w:tc>
          <w:tcPr>
            <w:tcW w:w="1276" w:type="dxa"/>
            <w:noWrap/>
            <w:hideMark/>
          </w:tcPr>
          <w:p w:rsidR="0092299C" w:rsidRPr="00FB2C11" w:rsidRDefault="0092299C" w:rsidP="0092299C">
            <w:pPr>
              <w:pStyle w:val="ARtabletextright"/>
            </w:pPr>
            <w:r w:rsidRPr="00FB2C11">
              <w:t>$37,943</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Develop strategy, management of unallocated child protection cases</w:t>
            </w:r>
          </w:p>
        </w:tc>
        <w:tc>
          <w:tcPr>
            <w:tcW w:w="1275" w:type="dxa"/>
            <w:noWrap/>
            <w:hideMark/>
          </w:tcPr>
          <w:p w:rsidR="0092299C" w:rsidRPr="00FB2C11" w:rsidRDefault="0092299C" w:rsidP="0092299C">
            <w:pPr>
              <w:pStyle w:val="ARtabletextright"/>
            </w:pPr>
            <w:r w:rsidRPr="00FB2C11">
              <w:t>$131,300</w:t>
            </w:r>
          </w:p>
        </w:tc>
        <w:tc>
          <w:tcPr>
            <w:tcW w:w="1276" w:type="dxa"/>
            <w:noWrap/>
            <w:hideMark/>
          </w:tcPr>
          <w:p w:rsidR="0092299C" w:rsidRPr="00FB2C11" w:rsidRDefault="0092299C" w:rsidP="0092299C">
            <w:pPr>
              <w:pStyle w:val="ARtabletextright"/>
            </w:pPr>
            <w:r w:rsidRPr="00FB2C11">
              <w:t>$87,500</w:t>
            </w:r>
          </w:p>
        </w:tc>
        <w:tc>
          <w:tcPr>
            <w:tcW w:w="1276" w:type="dxa"/>
            <w:noWrap/>
            <w:hideMark/>
          </w:tcPr>
          <w:p w:rsidR="0092299C" w:rsidRPr="00FB2C11" w:rsidRDefault="0092299C" w:rsidP="0092299C">
            <w:pPr>
              <w:pStyle w:val="ARtabletextright"/>
            </w:pPr>
            <w:r w:rsidRPr="00FB2C11">
              <w:t>$43,800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Beca</w:t>
            </w:r>
            <w:proofErr w:type="spellEnd"/>
            <w:r w:rsidRPr="00FB2C11">
              <w:t xml:space="preserve"> Pty Ltd</w:t>
            </w:r>
          </w:p>
        </w:tc>
        <w:tc>
          <w:tcPr>
            <w:tcW w:w="3771" w:type="dxa"/>
            <w:noWrap/>
            <w:hideMark/>
          </w:tcPr>
          <w:p w:rsidR="0092299C" w:rsidRPr="00FB2C11" w:rsidRDefault="0092299C" w:rsidP="0092299C">
            <w:pPr>
              <w:pStyle w:val="ARtabletext"/>
            </w:pPr>
            <w:r w:rsidRPr="00FB2C11">
              <w:t>Review, code of practice for fluoridation of drinking water supplies 2009</w:t>
            </w:r>
          </w:p>
        </w:tc>
        <w:tc>
          <w:tcPr>
            <w:tcW w:w="1275" w:type="dxa"/>
            <w:noWrap/>
            <w:hideMark/>
          </w:tcPr>
          <w:p w:rsidR="0092299C" w:rsidRPr="00FB2C11" w:rsidRDefault="0092299C" w:rsidP="0092299C">
            <w:pPr>
              <w:pStyle w:val="ARtabletextright"/>
            </w:pPr>
            <w:r w:rsidRPr="00FB2C11">
              <w:t>$29,500</w:t>
            </w:r>
          </w:p>
        </w:tc>
        <w:tc>
          <w:tcPr>
            <w:tcW w:w="1276" w:type="dxa"/>
            <w:noWrap/>
            <w:hideMark/>
          </w:tcPr>
          <w:p w:rsidR="0092299C" w:rsidRPr="00FB2C11" w:rsidRDefault="0092299C" w:rsidP="0092299C">
            <w:pPr>
              <w:pStyle w:val="ARtabletextright"/>
            </w:pPr>
            <w:r w:rsidRPr="00FB2C11">
              <w:t>$29,500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Assist in developing, strategic framework for transforming health and human services workforce</w:t>
            </w:r>
          </w:p>
        </w:tc>
        <w:tc>
          <w:tcPr>
            <w:tcW w:w="1275" w:type="dxa"/>
            <w:noWrap/>
            <w:hideMark/>
          </w:tcPr>
          <w:p w:rsidR="0092299C" w:rsidRPr="00FB2C11" w:rsidRDefault="0092299C" w:rsidP="0092299C">
            <w:pPr>
              <w:pStyle w:val="ARtabletextright"/>
            </w:pPr>
            <w:r w:rsidRPr="00FB2C11">
              <w:t>$134,214</w:t>
            </w:r>
          </w:p>
        </w:tc>
        <w:tc>
          <w:tcPr>
            <w:tcW w:w="1276" w:type="dxa"/>
            <w:noWrap/>
            <w:hideMark/>
          </w:tcPr>
          <w:p w:rsidR="0092299C" w:rsidRPr="00FB2C11" w:rsidRDefault="0092299C" w:rsidP="0092299C">
            <w:pPr>
              <w:pStyle w:val="ARtabletextright"/>
            </w:pPr>
            <w:r w:rsidRPr="00FB2C11">
              <w:t>$40,239</w:t>
            </w:r>
          </w:p>
        </w:tc>
        <w:tc>
          <w:tcPr>
            <w:tcW w:w="1276" w:type="dxa"/>
            <w:noWrap/>
            <w:hideMark/>
          </w:tcPr>
          <w:p w:rsidR="0092299C" w:rsidRPr="00FB2C11" w:rsidRDefault="0092299C" w:rsidP="0092299C">
            <w:pPr>
              <w:pStyle w:val="ARtabletextright"/>
            </w:pPr>
            <w:r w:rsidRPr="00FB2C11">
              <w:t>$93,975</w:t>
            </w:r>
          </w:p>
        </w:tc>
      </w:tr>
      <w:tr w:rsidR="0092299C" w:rsidRPr="00FB2C11" w:rsidTr="0084694E">
        <w:tc>
          <w:tcPr>
            <w:tcW w:w="2194" w:type="dxa"/>
            <w:noWrap/>
            <w:hideMark/>
          </w:tcPr>
          <w:p w:rsidR="0092299C" w:rsidRPr="00FB2C11" w:rsidRDefault="0092299C" w:rsidP="0092299C">
            <w:pPr>
              <w:pStyle w:val="ARtabletext"/>
            </w:pPr>
            <w:r w:rsidRPr="00FB2C11">
              <w:t>Customer Management Consulting</w:t>
            </w:r>
          </w:p>
        </w:tc>
        <w:tc>
          <w:tcPr>
            <w:tcW w:w="3771" w:type="dxa"/>
            <w:noWrap/>
            <w:hideMark/>
          </w:tcPr>
          <w:p w:rsidR="0092299C" w:rsidRPr="00FB2C11" w:rsidRDefault="0092299C" w:rsidP="0092299C">
            <w:pPr>
              <w:pStyle w:val="ARtabletext"/>
            </w:pPr>
            <w:r w:rsidRPr="00FB2C11">
              <w:t>Project management and governance support, Victorian Authority for Health Information</w:t>
            </w:r>
          </w:p>
        </w:tc>
        <w:tc>
          <w:tcPr>
            <w:tcW w:w="1275" w:type="dxa"/>
            <w:noWrap/>
            <w:hideMark/>
          </w:tcPr>
          <w:p w:rsidR="0092299C" w:rsidRPr="00FB2C11" w:rsidRDefault="0092299C" w:rsidP="0092299C">
            <w:pPr>
              <w:pStyle w:val="ARtabletextright"/>
            </w:pPr>
            <w:r w:rsidRPr="00FB2C11">
              <w:t>$57,273</w:t>
            </w:r>
          </w:p>
        </w:tc>
        <w:tc>
          <w:tcPr>
            <w:tcW w:w="1276" w:type="dxa"/>
            <w:noWrap/>
            <w:hideMark/>
          </w:tcPr>
          <w:p w:rsidR="0092299C" w:rsidRPr="00FB2C11" w:rsidRDefault="0092299C" w:rsidP="0092299C">
            <w:pPr>
              <w:pStyle w:val="ARtabletextright"/>
            </w:pPr>
            <w:r w:rsidRPr="00FB2C11">
              <w:t>$43,432</w:t>
            </w:r>
          </w:p>
        </w:tc>
        <w:tc>
          <w:tcPr>
            <w:tcW w:w="1276" w:type="dxa"/>
            <w:noWrap/>
            <w:hideMark/>
          </w:tcPr>
          <w:p w:rsidR="0092299C" w:rsidRPr="00FB2C11" w:rsidRDefault="0092299C" w:rsidP="0092299C">
            <w:pPr>
              <w:pStyle w:val="ARtabletextright"/>
            </w:pPr>
            <w:r w:rsidRPr="00FB2C11">
              <w:t>$13,841</w:t>
            </w:r>
          </w:p>
        </w:tc>
      </w:tr>
      <w:tr w:rsidR="0092299C" w:rsidRPr="00FB2C11" w:rsidTr="0084694E">
        <w:tc>
          <w:tcPr>
            <w:tcW w:w="2194" w:type="dxa"/>
            <w:noWrap/>
            <w:hideMark/>
          </w:tcPr>
          <w:p w:rsidR="0092299C" w:rsidRPr="00FB2C11" w:rsidRDefault="0092299C" w:rsidP="0092299C">
            <w:pPr>
              <w:pStyle w:val="ARtabletext"/>
              <w:keepNext/>
              <w:keepLines/>
            </w:pPr>
            <w:r w:rsidRPr="00FB2C11">
              <w:t xml:space="preserve">Centre for Excellence In Child and Family Welfare </w:t>
            </w:r>
            <w:proofErr w:type="spellStart"/>
            <w:r w:rsidRPr="00FB2C11">
              <w:t>Inc</w:t>
            </w:r>
            <w:proofErr w:type="spellEnd"/>
          </w:p>
        </w:tc>
        <w:tc>
          <w:tcPr>
            <w:tcW w:w="3771" w:type="dxa"/>
            <w:noWrap/>
            <w:hideMark/>
          </w:tcPr>
          <w:p w:rsidR="0092299C" w:rsidRPr="00FB2C11" w:rsidRDefault="0092299C" w:rsidP="0092299C">
            <w:pPr>
              <w:pStyle w:val="ARtabletext"/>
              <w:keepNext/>
              <w:keepLines/>
            </w:pPr>
            <w:r w:rsidRPr="00FB2C11">
              <w:t>Develop support and materials, Loddon Children and Youth Area Partnership member agencies</w:t>
            </w:r>
          </w:p>
        </w:tc>
        <w:tc>
          <w:tcPr>
            <w:tcW w:w="1275" w:type="dxa"/>
            <w:noWrap/>
            <w:hideMark/>
          </w:tcPr>
          <w:p w:rsidR="0092299C" w:rsidRPr="00FB2C11" w:rsidRDefault="0092299C" w:rsidP="0092299C">
            <w:pPr>
              <w:pStyle w:val="ARtabletextright"/>
            </w:pPr>
            <w:r w:rsidRPr="00FB2C11">
              <w:t>$46,780</w:t>
            </w:r>
          </w:p>
        </w:tc>
        <w:tc>
          <w:tcPr>
            <w:tcW w:w="1276" w:type="dxa"/>
            <w:noWrap/>
            <w:hideMark/>
          </w:tcPr>
          <w:p w:rsidR="0092299C" w:rsidRPr="00FB2C11" w:rsidRDefault="0092299C" w:rsidP="0092299C">
            <w:pPr>
              <w:pStyle w:val="ARtabletextright"/>
            </w:pPr>
            <w:r w:rsidRPr="00FB2C11">
              <w:t>$9,356</w:t>
            </w:r>
          </w:p>
        </w:tc>
        <w:tc>
          <w:tcPr>
            <w:tcW w:w="1276" w:type="dxa"/>
            <w:noWrap/>
            <w:hideMark/>
          </w:tcPr>
          <w:p w:rsidR="0092299C" w:rsidRPr="00FB2C11" w:rsidRDefault="0092299C" w:rsidP="0092299C">
            <w:pPr>
              <w:pStyle w:val="ARtabletextright"/>
            </w:pPr>
            <w:r w:rsidRPr="00FB2C11">
              <w:t>$37,424</w:t>
            </w:r>
          </w:p>
        </w:tc>
      </w:tr>
      <w:tr w:rsidR="0092299C" w:rsidRPr="00FB2C11" w:rsidTr="0084694E">
        <w:tc>
          <w:tcPr>
            <w:tcW w:w="2194" w:type="dxa"/>
            <w:noWrap/>
            <w:hideMark/>
          </w:tcPr>
          <w:p w:rsidR="0092299C" w:rsidRPr="00FB2C11" w:rsidRDefault="0092299C" w:rsidP="0092299C">
            <w:pPr>
              <w:pStyle w:val="ARtabletext"/>
            </w:pPr>
            <w:proofErr w:type="spellStart"/>
            <w:r w:rsidRPr="00FB2C11">
              <w:t>Crondar</w:t>
            </w:r>
            <w:proofErr w:type="spellEnd"/>
            <w:r w:rsidRPr="00FB2C11">
              <w:t xml:space="preserve"> Pty Ltd</w:t>
            </w:r>
          </w:p>
        </w:tc>
        <w:tc>
          <w:tcPr>
            <w:tcW w:w="3771" w:type="dxa"/>
            <w:noWrap/>
            <w:hideMark/>
          </w:tcPr>
          <w:p w:rsidR="0092299C" w:rsidRPr="00FB2C11" w:rsidRDefault="0092299C" w:rsidP="0092299C">
            <w:pPr>
              <w:pStyle w:val="ARtabletext"/>
            </w:pPr>
            <w:r w:rsidRPr="00FB2C11">
              <w:t>Develop measures, Victorian Cancer Plan monitoring and evaluation framework</w:t>
            </w:r>
          </w:p>
        </w:tc>
        <w:tc>
          <w:tcPr>
            <w:tcW w:w="1275" w:type="dxa"/>
            <w:noWrap/>
            <w:hideMark/>
          </w:tcPr>
          <w:p w:rsidR="0092299C" w:rsidRPr="00FB2C11" w:rsidRDefault="0092299C" w:rsidP="0092299C">
            <w:pPr>
              <w:pStyle w:val="ARtabletextright"/>
            </w:pPr>
            <w:r w:rsidRPr="00FB2C11">
              <w:t>$149,344</w:t>
            </w:r>
          </w:p>
        </w:tc>
        <w:tc>
          <w:tcPr>
            <w:tcW w:w="1276" w:type="dxa"/>
            <w:noWrap/>
            <w:hideMark/>
          </w:tcPr>
          <w:p w:rsidR="0092299C" w:rsidRPr="00FB2C11" w:rsidRDefault="0092299C" w:rsidP="0092299C">
            <w:pPr>
              <w:pStyle w:val="ARtabletextright"/>
            </w:pPr>
            <w:r w:rsidRPr="00FB2C11">
              <w:t>$81,989</w:t>
            </w:r>
          </w:p>
        </w:tc>
        <w:tc>
          <w:tcPr>
            <w:tcW w:w="1276" w:type="dxa"/>
            <w:noWrap/>
            <w:hideMark/>
          </w:tcPr>
          <w:p w:rsidR="0092299C" w:rsidRPr="00FB2C11" w:rsidRDefault="0092299C" w:rsidP="0092299C">
            <w:pPr>
              <w:pStyle w:val="ARtabletextright"/>
            </w:pPr>
            <w:r w:rsidRPr="00FB2C11">
              <w:t>$67,355</w:t>
            </w:r>
          </w:p>
        </w:tc>
      </w:tr>
      <w:tr w:rsidR="0092299C" w:rsidRPr="00FB2C11" w:rsidTr="0084694E">
        <w:tc>
          <w:tcPr>
            <w:tcW w:w="2194" w:type="dxa"/>
            <w:noWrap/>
            <w:hideMark/>
          </w:tcPr>
          <w:p w:rsidR="0092299C" w:rsidRPr="00FB2C11" w:rsidRDefault="0092299C" w:rsidP="0092299C">
            <w:pPr>
              <w:pStyle w:val="ARtabletext"/>
            </w:pPr>
            <w:r w:rsidRPr="00FB2C11">
              <w:lastRenderedPageBreak/>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Provide financial modelling and advice, medicinal cannabis and hardship scheme</w:t>
            </w:r>
          </w:p>
        </w:tc>
        <w:tc>
          <w:tcPr>
            <w:tcW w:w="1275" w:type="dxa"/>
            <w:noWrap/>
            <w:hideMark/>
          </w:tcPr>
          <w:p w:rsidR="0092299C" w:rsidRPr="00FB2C11" w:rsidRDefault="0092299C" w:rsidP="0092299C">
            <w:pPr>
              <w:pStyle w:val="ARtabletextright"/>
            </w:pPr>
            <w:r w:rsidRPr="00FB2C11">
              <w:t>$133,306</w:t>
            </w:r>
          </w:p>
        </w:tc>
        <w:tc>
          <w:tcPr>
            <w:tcW w:w="1276" w:type="dxa"/>
            <w:noWrap/>
            <w:hideMark/>
          </w:tcPr>
          <w:p w:rsidR="0092299C" w:rsidRPr="00FB2C11" w:rsidRDefault="0092299C" w:rsidP="0092299C">
            <w:pPr>
              <w:pStyle w:val="ARtabletextright"/>
            </w:pPr>
            <w:r w:rsidRPr="00FB2C11">
              <w:t>$99,980</w:t>
            </w:r>
          </w:p>
        </w:tc>
        <w:tc>
          <w:tcPr>
            <w:tcW w:w="1276" w:type="dxa"/>
            <w:noWrap/>
            <w:hideMark/>
          </w:tcPr>
          <w:p w:rsidR="0092299C" w:rsidRPr="00FB2C11" w:rsidRDefault="0092299C" w:rsidP="0092299C">
            <w:pPr>
              <w:pStyle w:val="ARtabletextright"/>
            </w:pPr>
            <w:r w:rsidRPr="00FB2C11">
              <w:t>$33,326</w:t>
            </w:r>
          </w:p>
        </w:tc>
      </w:tr>
      <w:tr w:rsidR="0092299C" w:rsidRPr="00FB2C11" w:rsidTr="0084694E">
        <w:tc>
          <w:tcPr>
            <w:tcW w:w="2194" w:type="dxa"/>
            <w:noWrap/>
            <w:hideMark/>
          </w:tcPr>
          <w:p w:rsidR="0092299C" w:rsidRPr="00FB2C11" w:rsidRDefault="0092299C" w:rsidP="0092299C">
            <w:pPr>
              <w:pStyle w:val="ARtabletext"/>
            </w:pPr>
            <w:r w:rsidRPr="00FB2C11">
              <w:t>Victoria University</w:t>
            </w:r>
          </w:p>
        </w:tc>
        <w:tc>
          <w:tcPr>
            <w:tcW w:w="3771" w:type="dxa"/>
            <w:noWrap/>
            <w:hideMark/>
          </w:tcPr>
          <w:p w:rsidR="0092299C" w:rsidRPr="00FB2C11" w:rsidRDefault="0092299C" w:rsidP="0092299C">
            <w:pPr>
              <w:pStyle w:val="ARtabletext"/>
            </w:pPr>
            <w:r w:rsidRPr="00FB2C11">
              <w:t>Undertake study, health co-benefits</w:t>
            </w:r>
          </w:p>
        </w:tc>
        <w:tc>
          <w:tcPr>
            <w:tcW w:w="1275" w:type="dxa"/>
            <w:noWrap/>
            <w:hideMark/>
          </w:tcPr>
          <w:p w:rsidR="0092299C" w:rsidRPr="00FB2C11" w:rsidRDefault="0092299C" w:rsidP="0092299C">
            <w:pPr>
              <w:pStyle w:val="ARtabletextright"/>
            </w:pPr>
            <w:r w:rsidRPr="00FB2C11">
              <w:t>$179,599</w:t>
            </w:r>
          </w:p>
        </w:tc>
        <w:tc>
          <w:tcPr>
            <w:tcW w:w="1276" w:type="dxa"/>
            <w:noWrap/>
            <w:hideMark/>
          </w:tcPr>
          <w:p w:rsidR="0092299C" w:rsidRPr="00FB2C11" w:rsidRDefault="0092299C" w:rsidP="0092299C">
            <w:pPr>
              <w:pStyle w:val="ARtabletextright"/>
            </w:pPr>
            <w:r w:rsidRPr="00FB2C11">
              <w:t>$1,355</w:t>
            </w:r>
          </w:p>
        </w:tc>
        <w:tc>
          <w:tcPr>
            <w:tcW w:w="1276" w:type="dxa"/>
            <w:noWrap/>
            <w:hideMark/>
          </w:tcPr>
          <w:p w:rsidR="0092299C" w:rsidRPr="00FB2C11" w:rsidRDefault="0092299C" w:rsidP="0092299C">
            <w:pPr>
              <w:pStyle w:val="ARtabletextright"/>
            </w:pPr>
            <w:r w:rsidRPr="00FB2C11">
              <w:t>$178,244</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Develop change management and communication plan</w:t>
            </w:r>
          </w:p>
        </w:tc>
        <w:tc>
          <w:tcPr>
            <w:tcW w:w="1275" w:type="dxa"/>
            <w:noWrap/>
            <w:hideMark/>
          </w:tcPr>
          <w:p w:rsidR="0092299C" w:rsidRPr="00FB2C11" w:rsidRDefault="0092299C" w:rsidP="0092299C">
            <w:pPr>
              <w:pStyle w:val="ARtabletextright"/>
            </w:pPr>
            <w:r w:rsidRPr="00FB2C11">
              <w:t>$85,000</w:t>
            </w:r>
          </w:p>
        </w:tc>
        <w:tc>
          <w:tcPr>
            <w:tcW w:w="1276" w:type="dxa"/>
            <w:noWrap/>
            <w:hideMark/>
          </w:tcPr>
          <w:p w:rsidR="0092299C" w:rsidRPr="00FB2C11" w:rsidRDefault="0092299C" w:rsidP="0092299C">
            <w:pPr>
              <w:pStyle w:val="ARtabletextright"/>
            </w:pPr>
            <w:r w:rsidRPr="00FB2C11">
              <w:t>$68,000</w:t>
            </w:r>
          </w:p>
        </w:tc>
        <w:tc>
          <w:tcPr>
            <w:tcW w:w="1276" w:type="dxa"/>
            <w:noWrap/>
            <w:hideMark/>
          </w:tcPr>
          <w:p w:rsidR="0092299C" w:rsidRPr="00FB2C11" w:rsidRDefault="0092299C" w:rsidP="0092299C">
            <w:pPr>
              <w:pStyle w:val="ARtabletextright"/>
            </w:pPr>
            <w:r w:rsidRPr="00FB2C11">
              <w:t>$17,000</w:t>
            </w:r>
          </w:p>
        </w:tc>
      </w:tr>
      <w:tr w:rsidR="0092299C" w:rsidRPr="00FB2C11" w:rsidTr="0084694E">
        <w:tc>
          <w:tcPr>
            <w:tcW w:w="2194" w:type="dxa"/>
            <w:noWrap/>
            <w:hideMark/>
          </w:tcPr>
          <w:p w:rsidR="0092299C" w:rsidRPr="00FB2C11" w:rsidRDefault="0092299C" w:rsidP="0092299C">
            <w:pPr>
              <w:pStyle w:val="ARtabletext"/>
            </w:pPr>
            <w:r w:rsidRPr="00FB2C11">
              <w:t>Australian Sports Medicine Association</w:t>
            </w:r>
          </w:p>
        </w:tc>
        <w:tc>
          <w:tcPr>
            <w:tcW w:w="3771" w:type="dxa"/>
            <w:noWrap/>
            <w:hideMark/>
          </w:tcPr>
          <w:p w:rsidR="0092299C" w:rsidRPr="00FB2C11" w:rsidRDefault="0092299C" w:rsidP="0092299C">
            <w:pPr>
              <w:pStyle w:val="ARtabletext"/>
            </w:pPr>
            <w:r w:rsidRPr="00FB2C11">
              <w:t>Develop good practice guide, contestant safety, professional boxing and combat sports</w:t>
            </w:r>
          </w:p>
        </w:tc>
        <w:tc>
          <w:tcPr>
            <w:tcW w:w="1275" w:type="dxa"/>
            <w:noWrap/>
            <w:hideMark/>
          </w:tcPr>
          <w:p w:rsidR="0092299C" w:rsidRPr="00FB2C11" w:rsidRDefault="0092299C" w:rsidP="0092299C">
            <w:pPr>
              <w:pStyle w:val="ARtabletextright"/>
            </w:pPr>
            <w:r w:rsidRPr="00FB2C11">
              <w:t>$20,000</w:t>
            </w:r>
          </w:p>
        </w:tc>
        <w:tc>
          <w:tcPr>
            <w:tcW w:w="1276" w:type="dxa"/>
            <w:noWrap/>
            <w:hideMark/>
          </w:tcPr>
          <w:p w:rsidR="0092299C" w:rsidRPr="00FB2C11" w:rsidRDefault="0092299C" w:rsidP="0092299C">
            <w:pPr>
              <w:pStyle w:val="ARtabletextright"/>
            </w:pPr>
            <w:r w:rsidRPr="00FB2C11">
              <w:t>$10,909</w:t>
            </w:r>
          </w:p>
        </w:tc>
        <w:tc>
          <w:tcPr>
            <w:tcW w:w="1276" w:type="dxa"/>
            <w:noWrap/>
            <w:hideMark/>
          </w:tcPr>
          <w:p w:rsidR="0092299C" w:rsidRPr="00FB2C11" w:rsidRDefault="0092299C" w:rsidP="0092299C">
            <w:pPr>
              <w:pStyle w:val="ARtabletextright"/>
            </w:pPr>
            <w:r w:rsidRPr="00FB2C11">
              <w:t>$9,091</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Review, Victorian public sector residential aged care model</w:t>
            </w:r>
          </w:p>
        </w:tc>
        <w:tc>
          <w:tcPr>
            <w:tcW w:w="1275" w:type="dxa"/>
            <w:noWrap/>
            <w:hideMark/>
          </w:tcPr>
          <w:p w:rsidR="0092299C" w:rsidRPr="00FB2C11" w:rsidRDefault="0092299C" w:rsidP="0092299C">
            <w:pPr>
              <w:pStyle w:val="ARtabletextright"/>
            </w:pPr>
            <w:r w:rsidRPr="00FB2C11">
              <w:t>$256,364</w:t>
            </w:r>
          </w:p>
        </w:tc>
        <w:tc>
          <w:tcPr>
            <w:tcW w:w="1276" w:type="dxa"/>
            <w:noWrap/>
            <w:hideMark/>
          </w:tcPr>
          <w:p w:rsidR="0092299C" w:rsidRPr="00FB2C11" w:rsidRDefault="0092299C" w:rsidP="0092299C">
            <w:pPr>
              <w:pStyle w:val="ARtabletextright"/>
            </w:pPr>
            <w:r w:rsidRPr="00FB2C11">
              <w:t>$42,045</w:t>
            </w:r>
          </w:p>
        </w:tc>
        <w:tc>
          <w:tcPr>
            <w:tcW w:w="1276" w:type="dxa"/>
            <w:noWrap/>
            <w:hideMark/>
          </w:tcPr>
          <w:p w:rsidR="0092299C" w:rsidRPr="00FB2C11" w:rsidRDefault="0092299C" w:rsidP="0092299C">
            <w:pPr>
              <w:pStyle w:val="ARtabletextright"/>
            </w:pPr>
            <w:r w:rsidRPr="00FB2C11">
              <w:t>$214,319</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 xml:space="preserve">Service review, disability agency </w:t>
            </w:r>
          </w:p>
        </w:tc>
        <w:tc>
          <w:tcPr>
            <w:tcW w:w="1275" w:type="dxa"/>
            <w:noWrap/>
            <w:hideMark/>
          </w:tcPr>
          <w:p w:rsidR="0092299C" w:rsidRPr="00FB2C11" w:rsidRDefault="0092299C" w:rsidP="0092299C">
            <w:pPr>
              <w:pStyle w:val="ARtabletextright"/>
            </w:pPr>
            <w:r w:rsidRPr="00FB2C11">
              <w:t>$178,208</w:t>
            </w:r>
          </w:p>
        </w:tc>
        <w:tc>
          <w:tcPr>
            <w:tcW w:w="1276" w:type="dxa"/>
            <w:noWrap/>
            <w:hideMark/>
          </w:tcPr>
          <w:p w:rsidR="0092299C" w:rsidRPr="00FB2C11" w:rsidRDefault="0092299C" w:rsidP="0092299C">
            <w:pPr>
              <w:pStyle w:val="ARtabletextright"/>
            </w:pPr>
            <w:r w:rsidRPr="00FB2C11">
              <w:t>$182,704</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Develop operating model, human centred design and out</w:t>
            </w:r>
            <w:r>
              <w:t>-</w:t>
            </w:r>
            <w:r w:rsidRPr="00FB2C11">
              <w:t>of</w:t>
            </w:r>
            <w:r>
              <w:t>-</w:t>
            </w:r>
            <w:r w:rsidRPr="00FB2C11">
              <w:t>home care system</w:t>
            </w:r>
          </w:p>
        </w:tc>
        <w:tc>
          <w:tcPr>
            <w:tcW w:w="1275" w:type="dxa"/>
            <w:noWrap/>
            <w:hideMark/>
          </w:tcPr>
          <w:p w:rsidR="0092299C" w:rsidRPr="00FB2C11" w:rsidRDefault="0092299C" w:rsidP="0092299C">
            <w:pPr>
              <w:pStyle w:val="ARtabletextright"/>
            </w:pPr>
            <w:r w:rsidRPr="00FB2C11">
              <w:t>$164,095</w:t>
            </w:r>
          </w:p>
        </w:tc>
        <w:tc>
          <w:tcPr>
            <w:tcW w:w="1276" w:type="dxa"/>
            <w:noWrap/>
            <w:hideMark/>
          </w:tcPr>
          <w:p w:rsidR="0092299C" w:rsidRPr="00FB2C11" w:rsidRDefault="0092299C" w:rsidP="0092299C">
            <w:pPr>
              <w:pStyle w:val="ARtabletextright"/>
            </w:pPr>
            <w:r w:rsidRPr="00FB2C11">
              <w:t>$164,660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Navigating Outcomes</w:t>
            </w:r>
          </w:p>
        </w:tc>
        <w:tc>
          <w:tcPr>
            <w:tcW w:w="3771" w:type="dxa"/>
            <w:noWrap/>
            <w:hideMark/>
          </w:tcPr>
          <w:p w:rsidR="0092299C" w:rsidRPr="00FB2C11" w:rsidRDefault="0092299C" w:rsidP="0092299C">
            <w:pPr>
              <w:pStyle w:val="ARtabletext"/>
            </w:pPr>
            <w:r w:rsidRPr="00FB2C11">
              <w:t>Develop data collection guidelines and training materials, outcomes measurement in community services</w:t>
            </w:r>
          </w:p>
        </w:tc>
        <w:tc>
          <w:tcPr>
            <w:tcW w:w="1275" w:type="dxa"/>
            <w:noWrap/>
            <w:hideMark/>
          </w:tcPr>
          <w:p w:rsidR="0092299C" w:rsidRPr="00FB2C11" w:rsidRDefault="0092299C" w:rsidP="0092299C">
            <w:pPr>
              <w:pStyle w:val="ARtabletextright"/>
            </w:pPr>
            <w:r w:rsidRPr="00FB2C11">
              <w:t>$42,900</w:t>
            </w:r>
          </w:p>
        </w:tc>
        <w:tc>
          <w:tcPr>
            <w:tcW w:w="1276" w:type="dxa"/>
            <w:noWrap/>
            <w:hideMark/>
          </w:tcPr>
          <w:p w:rsidR="0092299C" w:rsidRPr="00FB2C11" w:rsidRDefault="0092299C" w:rsidP="0092299C">
            <w:pPr>
              <w:pStyle w:val="ARtabletextright"/>
            </w:pPr>
            <w:r w:rsidRPr="00FB2C11">
              <w:t>$21,595</w:t>
            </w:r>
          </w:p>
        </w:tc>
        <w:tc>
          <w:tcPr>
            <w:tcW w:w="1276" w:type="dxa"/>
            <w:noWrap/>
            <w:hideMark/>
          </w:tcPr>
          <w:p w:rsidR="0092299C" w:rsidRPr="00FB2C11" w:rsidRDefault="0092299C" w:rsidP="0092299C">
            <w:pPr>
              <w:pStyle w:val="ARtabletextright"/>
            </w:pPr>
            <w:r w:rsidRPr="00FB2C11">
              <w:t>$21,305</w:t>
            </w:r>
          </w:p>
        </w:tc>
      </w:tr>
      <w:tr w:rsidR="0092299C" w:rsidRPr="00FB2C11" w:rsidTr="0084694E">
        <w:tc>
          <w:tcPr>
            <w:tcW w:w="2194" w:type="dxa"/>
            <w:noWrap/>
            <w:hideMark/>
          </w:tcPr>
          <w:p w:rsidR="0092299C" w:rsidRPr="00FB2C11" w:rsidRDefault="0092299C" w:rsidP="0092299C">
            <w:pPr>
              <w:pStyle w:val="ARtabletext"/>
            </w:pPr>
            <w:proofErr w:type="spellStart"/>
            <w:r w:rsidRPr="00FB2C11">
              <w:t>Thinkplace</w:t>
            </w:r>
            <w:proofErr w:type="spellEnd"/>
            <w:r w:rsidRPr="00FB2C11">
              <w:t xml:space="preserve"> Trust</w:t>
            </w:r>
          </w:p>
        </w:tc>
        <w:tc>
          <w:tcPr>
            <w:tcW w:w="3771" w:type="dxa"/>
            <w:noWrap/>
            <w:hideMark/>
          </w:tcPr>
          <w:p w:rsidR="0092299C" w:rsidRPr="00FB2C11" w:rsidRDefault="0092299C" w:rsidP="0092299C">
            <w:pPr>
              <w:pStyle w:val="ARtabletext"/>
            </w:pPr>
            <w:r w:rsidRPr="00FB2C11">
              <w:t>Co-design, out</w:t>
            </w:r>
            <w:r>
              <w:t>-</w:t>
            </w:r>
            <w:r w:rsidRPr="00FB2C11">
              <w:t>of</w:t>
            </w:r>
            <w:r>
              <w:t>-</w:t>
            </w:r>
            <w:r w:rsidRPr="00FB2C11">
              <w:t>home care system architecture</w:t>
            </w:r>
          </w:p>
        </w:tc>
        <w:tc>
          <w:tcPr>
            <w:tcW w:w="1275" w:type="dxa"/>
            <w:noWrap/>
            <w:hideMark/>
          </w:tcPr>
          <w:p w:rsidR="0092299C" w:rsidRPr="00FB2C11" w:rsidRDefault="0092299C" w:rsidP="0092299C">
            <w:pPr>
              <w:pStyle w:val="ARtabletextright"/>
            </w:pPr>
            <w:r w:rsidRPr="00FB2C11">
              <w:t>$194,163</w:t>
            </w:r>
          </w:p>
        </w:tc>
        <w:tc>
          <w:tcPr>
            <w:tcW w:w="1276" w:type="dxa"/>
            <w:noWrap/>
            <w:hideMark/>
          </w:tcPr>
          <w:p w:rsidR="0092299C" w:rsidRPr="00FB2C11" w:rsidRDefault="0092299C" w:rsidP="0092299C">
            <w:pPr>
              <w:pStyle w:val="ARtabletextright"/>
            </w:pPr>
            <w:r w:rsidRPr="00FB2C11">
              <w:t>$195,355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Escient</w:t>
            </w:r>
            <w:proofErr w:type="spellEnd"/>
            <w:r w:rsidRPr="00FB2C11">
              <w:t xml:space="preserve"> Pty Ltd</w:t>
            </w:r>
          </w:p>
        </w:tc>
        <w:tc>
          <w:tcPr>
            <w:tcW w:w="3771" w:type="dxa"/>
            <w:noWrap/>
            <w:hideMark/>
          </w:tcPr>
          <w:p w:rsidR="0092299C" w:rsidRPr="00FB2C11" w:rsidRDefault="0092299C" w:rsidP="0092299C">
            <w:pPr>
              <w:pStyle w:val="ARtabletext"/>
            </w:pPr>
            <w:r w:rsidRPr="00FB2C11">
              <w:t xml:space="preserve">Change management services, Corporate Services organisational restructure </w:t>
            </w:r>
          </w:p>
        </w:tc>
        <w:tc>
          <w:tcPr>
            <w:tcW w:w="1275" w:type="dxa"/>
            <w:noWrap/>
            <w:hideMark/>
          </w:tcPr>
          <w:p w:rsidR="0092299C" w:rsidRPr="00FB2C11" w:rsidRDefault="0092299C" w:rsidP="0092299C">
            <w:pPr>
              <w:pStyle w:val="ARtabletextright"/>
            </w:pPr>
            <w:r w:rsidRPr="00FB2C11">
              <w:t>$272,727</w:t>
            </w:r>
          </w:p>
        </w:tc>
        <w:tc>
          <w:tcPr>
            <w:tcW w:w="1276" w:type="dxa"/>
            <w:noWrap/>
            <w:hideMark/>
          </w:tcPr>
          <w:p w:rsidR="0092299C" w:rsidRPr="00FB2C11" w:rsidRDefault="0092299C" w:rsidP="0092299C">
            <w:pPr>
              <w:pStyle w:val="ARtabletextright"/>
            </w:pPr>
            <w:r w:rsidRPr="00FB2C11">
              <w:t>$136,953</w:t>
            </w:r>
          </w:p>
        </w:tc>
        <w:tc>
          <w:tcPr>
            <w:tcW w:w="1276" w:type="dxa"/>
            <w:noWrap/>
            <w:hideMark/>
          </w:tcPr>
          <w:p w:rsidR="0092299C" w:rsidRPr="00FB2C11" w:rsidRDefault="0092299C" w:rsidP="0092299C">
            <w:pPr>
              <w:pStyle w:val="ARtabletextright"/>
            </w:pPr>
            <w:r w:rsidRPr="00FB2C11">
              <w:t>$135,774</w:t>
            </w:r>
          </w:p>
        </w:tc>
      </w:tr>
      <w:tr w:rsidR="0092299C" w:rsidRPr="00FB2C11" w:rsidTr="0084694E">
        <w:tc>
          <w:tcPr>
            <w:tcW w:w="2194" w:type="dxa"/>
            <w:noWrap/>
            <w:hideMark/>
          </w:tcPr>
          <w:p w:rsidR="0092299C" w:rsidRPr="00FB2C11" w:rsidRDefault="0092299C" w:rsidP="0092299C">
            <w:pPr>
              <w:pStyle w:val="ARtabletext"/>
            </w:pPr>
            <w:r w:rsidRPr="00FB2C11">
              <w:t>Urbis Pty Ltd</w:t>
            </w:r>
          </w:p>
        </w:tc>
        <w:tc>
          <w:tcPr>
            <w:tcW w:w="3771" w:type="dxa"/>
            <w:noWrap/>
            <w:hideMark/>
          </w:tcPr>
          <w:p w:rsidR="0092299C" w:rsidRPr="00FB2C11" w:rsidRDefault="0092299C" w:rsidP="0092299C">
            <w:pPr>
              <w:pStyle w:val="ARtabletext"/>
            </w:pPr>
            <w:r w:rsidRPr="00FB2C11">
              <w:t xml:space="preserve">Undertake 'as if' project, Bendigo and district </w:t>
            </w:r>
            <w:r>
              <w:t>A</w:t>
            </w:r>
            <w:r w:rsidRPr="00FB2C11">
              <w:t>boriginal cooperative</w:t>
            </w:r>
          </w:p>
        </w:tc>
        <w:tc>
          <w:tcPr>
            <w:tcW w:w="1275" w:type="dxa"/>
            <w:noWrap/>
            <w:hideMark/>
          </w:tcPr>
          <w:p w:rsidR="0092299C" w:rsidRPr="00FB2C11" w:rsidRDefault="0092299C" w:rsidP="0092299C">
            <w:pPr>
              <w:pStyle w:val="ARtabletextright"/>
            </w:pPr>
            <w:r w:rsidRPr="00FB2C11">
              <w:t>$65,240</w:t>
            </w:r>
          </w:p>
        </w:tc>
        <w:tc>
          <w:tcPr>
            <w:tcW w:w="1276" w:type="dxa"/>
            <w:noWrap/>
            <w:hideMark/>
          </w:tcPr>
          <w:p w:rsidR="0092299C" w:rsidRPr="00FB2C11" w:rsidRDefault="0092299C" w:rsidP="0092299C">
            <w:pPr>
              <w:pStyle w:val="ARtabletextright"/>
            </w:pPr>
            <w:r w:rsidRPr="00FB2C11">
              <w:t>$36,364</w:t>
            </w:r>
          </w:p>
        </w:tc>
        <w:tc>
          <w:tcPr>
            <w:tcW w:w="1276" w:type="dxa"/>
            <w:noWrap/>
            <w:hideMark/>
          </w:tcPr>
          <w:p w:rsidR="0092299C" w:rsidRPr="00FB2C11" w:rsidRDefault="0092299C" w:rsidP="0092299C">
            <w:pPr>
              <w:pStyle w:val="ARtabletextright"/>
            </w:pPr>
            <w:r w:rsidRPr="00FB2C11">
              <w:t>$28,876</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 xml:space="preserve">Develop strategy, </w:t>
            </w:r>
            <w:r>
              <w:t>d</w:t>
            </w:r>
            <w:r w:rsidRPr="00FB2C11">
              <w:t>epartment cloud enablement</w:t>
            </w:r>
          </w:p>
        </w:tc>
        <w:tc>
          <w:tcPr>
            <w:tcW w:w="1275" w:type="dxa"/>
            <w:noWrap/>
            <w:hideMark/>
          </w:tcPr>
          <w:p w:rsidR="0092299C" w:rsidRPr="00FB2C11" w:rsidRDefault="0092299C" w:rsidP="0092299C">
            <w:pPr>
              <w:pStyle w:val="ARtabletextright"/>
            </w:pPr>
            <w:r w:rsidRPr="00FB2C11">
              <w:t>$159,091</w:t>
            </w:r>
          </w:p>
        </w:tc>
        <w:tc>
          <w:tcPr>
            <w:tcW w:w="1276" w:type="dxa"/>
            <w:noWrap/>
            <w:hideMark/>
          </w:tcPr>
          <w:p w:rsidR="0092299C" w:rsidRPr="00FB2C11" w:rsidRDefault="0092299C" w:rsidP="0092299C">
            <w:pPr>
              <w:pStyle w:val="ARtabletextright"/>
            </w:pPr>
            <w:r w:rsidRPr="00FB2C11">
              <w:t>$159,091</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 xml:space="preserve">Provide advice, </w:t>
            </w:r>
            <w:r>
              <w:t>p</w:t>
            </w:r>
            <w:r w:rsidRPr="00FB2C11">
              <w:t>roperty and assets restructure</w:t>
            </w:r>
          </w:p>
        </w:tc>
        <w:tc>
          <w:tcPr>
            <w:tcW w:w="1275" w:type="dxa"/>
            <w:noWrap/>
            <w:hideMark/>
          </w:tcPr>
          <w:p w:rsidR="0092299C" w:rsidRPr="00FB2C11" w:rsidRDefault="0092299C" w:rsidP="0092299C">
            <w:pPr>
              <w:pStyle w:val="ARtabletextright"/>
            </w:pPr>
            <w:r w:rsidRPr="00FB2C11">
              <w:t>$21,340</w:t>
            </w:r>
          </w:p>
        </w:tc>
        <w:tc>
          <w:tcPr>
            <w:tcW w:w="1276" w:type="dxa"/>
            <w:noWrap/>
            <w:hideMark/>
          </w:tcPr>
          <w:p w:rsidR="0092299C" w:rsidRPr="00FB2C11" w:rsidRDefault="0092299C" w:rsidP="0092299C">
            <w:pPr>
              <w:pStyle w:val="ARtabletextright"/>
            </w:pPr>
            <w:r w:rsidRPr="00FB2C11">
              <w:t>$2,280</w:t>
            </w:r>
          </w:p>
        </w:tc>
        <w:tc>
          <w:tcPr>
            <w:tcW w:w="1276" w:type="dxa"/>
            <w:noWrap/>
            <w:hideMark/>
          </w:tcPr>
          <w:p w:rsidR="0092299C" w:rsidRPr="00FB2C11" w:rsidRDefault="0092299C" w:rsidP="0092299C">
            <w:pPr>
              <w:pStyle w:val="ARtabletextright"/>
            </w:pPr>
            <w:r w:rsidRPr="00FB2C11">
              <w:t>$19,060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Undertake community and social services futures project</w:t>
            </w:r>
          </w:p>
        </w:tc>
        <w:tc>
          <w:tcPr>
            <w:tcW w:w="1275" w:type="dxa"/>
            <w:noWrap/>
            <w:hideMark/>
          </w:tcPr>
          <w:p w:rsidR="0092299C" w:rsidRPr="00FB2C11" w:rsidRDefault="0092299C" w:rsidP="0092299C">
            <w:pPr>
              <w:pStyle w:val="ARtabletextright"/>
            </w:pPr>
            <w:r w:rsidRPr="00FB2C11">
              <w:t>$135,535</w:t>
            </w:r>
          </w:p>
        </w:tc>
        <w:tc>
          <w:tcPr>
            <w:tcW w:w="1276" w:type="dxa"/>
            <w:noWrap/>
            <w:hideMark/>
          </w:tcPr>
          <w:p w:rsidR="0092299C" w:rsidRPr="00FB2C11" w:rsidRDefault="0092299C" w:rsidP="0092299C">
            <w:pPr>
              <w:pStyle w:val="ARtabletextright"/>
            </w:pPr>
            <w:r w:rsidRPr="00FB2C11">
              <w:t>$122,463</w:t>
            </w:r>
          </w:p>
        </w:tc>
        <w:tc>
          <w:tcPr>
            <w:tcW w:w="1276" w:type="dxa"/>
            <w:noWrap/>
            <w:hideMark/>
          </w:tcPr>
          <w:p w:rsidR="0092299C" w:rsidRPr="00FB2C11" w:rsidRDefault="0092299C" w:rsidP="0092299C">
            <w:pPr>
              <w:pStyle w:val="ARtabletextright"/>
            </w:pPr>
            <w:r w:rsidRPr="00FB2C11">
              <w:t>$13,072</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Operation review, complaints management</w:t>
            </w:r>
          </w:p>
        </w:tc>
        <w:tc>
          <w:tcPr>
            <w:tcW w:w="1275" w:type="dxa"/>
            <w:noWrap/>
            <w:hideMark/>
          </w:tcPr>
          <w:p w:rsidR="0092299C" w:rsidRPr="00FB2C11" w:rsidRDefault="0092299C" w:rsidP="0092299C">
            <w:pPr>
              <w:pStyle w:val="ARtabletextright"/>
            </w:pPr>
            <w:r w:rsidRPr="00FB2C11">
              <w:t>$66,309</w:t>
            </w:r>
          </w:p>
        </w:tc>
        <w:tc>
          <w:tcPr>
            <w:tcW w:w="1276" w:type="dxa"/>
            <w:noWrap/>
            <w:hideMark/>
          </w:tcPr>
          <w:p w:rsidR="0092299C" w:rsidRPr="00FB2C11" w:rsidRDefault="0092299C" w:rsidP="0092299C">
            <w:pPr>
              <w:pStyle w:val="ARtabletextright"/>
            </w:pPr>
            <w:r w:rsidRPr="00FB2C11">
              <w:t>$45,533</w:t>
            </w:r>
          </w:p>
        </w:tc>
        <w:tc>
          <w:tcPr>
            <w:tcW w:w="1276" w:type="dxa"/>
            <w:noWrap/>
            <w:hideMark/>
          </w:tcPr>
          <w:p w:rsidR="0092299C" w:rsidRPr="00FB2C11" w:rsidRDefault="0092299C" w:rsidP="0092299C">
            <w:pPr>
              <w:pStyle w:val="ARtabletextright"/>
            </w:pPr>
            <w:r w:rsidRPr="00FB2C11">
              <w:t>$20,776</w:t>
            </w:r>
          </w:p>
        </w:tc>
      </w:tr>
      <w:tr w:rsidR="0092299C" w:rsidRPr="00FB2C11" w:rsidTr="0084694E">
        <w:tc>
          <w:tcPr>
            <w:tcW w:w="2194" w:type="dxa"/>
            <w:noWrap/>
            <w:hideMark/>
          </w:tcPr>
          <w:p w:rsidR="0092299C" w:rsidRPr="00FB2C11" w:rsidRDefault="0092299C" w:rsidP="0092299C">
            <w:pPr>
              <w:pStyle w:val="ARtabletext"/>
            </w:pPr>
            <w:r w:rsidRPr="00FB2C11">
              <w:t>La Trobe University</w:t>
            </w:r>
          </w:p>
        </w:tc>
        <w:tc>
          <w:tcPr>
            <w:tcW w:w="3771" w:type="dxa"/>
            <w:noWrap/>
            <w:hideMark/>
          </w:tcPr>
          <w:p w:rsidR="0092299C" w:rsidRPr="00FB2C11" w:rsidRDefault="0092299C" w:rsidP="0092299C">
            <w:pPr>
              <w:pStyle w:val="ARtabletext"/>
            </w:pPr>
            <w:r w:rsidRPr="00FB2C11">
              <w:t>Review, residents with complex care requirements and barriers to supporting behaviourally challenging residents</w:t>
            </w:r>
          </w:p>
        </w:tc>
        <w:tc>
          <w:tcPr>
            <w:tcW w:w="1275" w:type="dxa"/>
            <w:noWrap/>
            <w:hideMark/>
          </w:tcPr>
          <w:p w:rsidR="0092299C" w:rsidRPr="00FB2C11" w:rsidRDefault="0092299C" w:rsidP="0092299C">
            <w:pPr>
              <w:pStyle w:val="ARtabletextright"/>
            </w:pPr>
            <w:r w:rsidRPr="00FB2C11">
              <w:t>$158,440</w:t>
            </w:r>
          </w:p>
        </w:tc>
        <w:tc>
          <w:tcPr>
            <w:tcW w:w="1276" w:type="dxa"/>
            <w:noWrap/>
            <w:hideMark/>
          </w:tcPr>
          <w:p w:rsidR="0092299C" w:rsidRPr="00FB2C11" w:rsidRDefault="0092299C" w:rsidP="0092299C">
            <w:pPr>
              <w:pStyle w:val="ARtabletextright"/>
            </w:pPr>
            <w:r w:rsidRPr="00FB2C11">
              <w:t>$35,945</w:t>
            </w:r>
          </w:p>
        </w:tc>
        <w:tc>
          <w:tcPr>
            <w:tcW w:w="1276" w:type="dxa"/>
            <w:noWrap/>
            <w:hideMark/>
          </w:tcPr>
          <w:p w:rsidR="0092299C" w:rsidRPr="00FB2C11" w:rsidRDefault="0092299C" w:rsidP="0092299C">
            <w:pPr>
              <w:pStyle w:val="ARtabletextright"/>
            </w:pPr>
            <w:r w:rsidRPr="00FB2C11">
              <w:t>$122,495</w:t>
            </w:r>
          </w:p>
        </w:tc>
      </w:tr>
      <w:tr w:rsidR="0092299C" w:rsidRPr="00FB2C11" w:rsidTr="0084694E">
        <w:tc>
          <w:tcPr>
            <w:tcW w:w="2194" w:type="dxa"/>
            <w:noWrap/>
            <w:hideMark/>
          </w:tcPr>
          <w:p w:rsidR="0092299C" w:rsidRPr="00FB2C11" w:rsidRDefault="0092299C" w:rsidP="0092299C">
            <w:pPr>
              <w:pStyle w:val="ARtabletext"/>
            </w:pPr>
            <w:r w:rsidRPr="00FB2C11">
              <w:t>RMIT University</w:t>
            </w:r>
          </w:p>
        </w:tc>
        <w:tc>
          <w:tcPr>
            <w:tcW w:w="3771" w:type="dxa"/>
            <w:noWrap/>
            <w:hideMark/>
          </w:tcPr>
          <w:p w:rsidR="0092299C" w:rsidRPr="00FB2C11" w:rsidRDefault="0092299C" w:rsidP="0092299C">
            <w:pPr>
              <w:pStyle w:val="ARtabletext"/>
            </w:pPr>
            <w:r w:rsidRPr="00FB2C11">
              <w:t>Develop profile, victims of family violence requiring crisis supported response</w:t>
            </w:r>
          </w:p>
        </w:tc>
        <w:tc>
          <w:tcPr>
            <w:tcW w:w="1275" w:type="dxa"/>
            <w:noWrap/>
            <w:hideMark/>
          </w:tcPr>
          <w:p w:rsidR="0092299C" w:rsidRPr="00FB2C11" w:rsidRDefault="0092299C" w:rsidP="0092299C">
            <w:pPr>
              <w:pStyle w:val="ARtabletextright"/>
            </w:pPr>
            <w:r w:rsidRPr="00FB2C11">
              <w:t>$149,600</w:t>
            </w:r>
          </w:p>
        </w:tc>
        <w:tc>
          <w:tcPr>
            <w:tcW w:w="1276" w:type="dxa"/>
            <w:noWrap/>
            <w:hideMark/>
          </w:tcPr>
          <w:p w:rsidR="0092299C" w:rsidRPr="00FB2C11" w:rsidRDefault="0092299C" w:rsidP="0092299C">
            <w:pPr>
              <w:pStyle w:val="ARtabletextright"/>
            </w:pPr>
            <w:r w:rsidRPr="00FB2C11">
              <w:t>$11,000</w:t>
            </w:r>
          </w:p>
        </w:tc>
        <w:tc>
          <w:tcPr>
            <w:tcW w:w="1276" w:type="dxa"/>
            <w:noWrap/>
            <w:hideMark/>
          </w:tcPr>
          <w:p w:rsidR="0092299C" w:rsidRPr="00FB2C11" w:rsidRDefault="0092299C" w:rsidP="0092299C">
            <w:pPr>
              <w:pStyle w:val="ARtabletextright"/>
            </w:pPr>
            <w:r w:rsidRPr="00FB2C11">
              <w:t>$138,600</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Review, support for carers program</w:t>
            </w:r>
          </w:p>
        </w:tc>
        <w:tc>
          <w:tcPr>
            <w:tcW w:w="1275" w:type="dxa"/>
            <w:noWrap/>
            <w:hideMark/>
          </w:tcPr>
          <w:p w:rsidR="0092299C" w:rsidRPr="00FB2C11" w:rsidRDefault="0092299C" w:rsidP="0092299C">
            <w:pPr>
              <w:pStyle w:val="ARtabletextright"/>
            </w:pPr>
            <w:r w:rsidRPr="00FB2C11">
              <w:t>$93,177</w:t>
            </w:r>
          </w:p>
        </w:tc>
        <w:tc>
          <w:tcPr>
            <w:tcW w:w="1276" w:type="dxa"/>
            <w:noWrap/>
            <w:hideMark/>
          </w:tcPr>
          <w:p w:rsidR="0092299C" w:rsidRPr="00FB2C11" w:rsidRDefault="0092299C" w:rsidP="0092299C">
            <w:pPr>
              <w:pStyle w:val="ARtabletextright"/>
            </w:pPr>
            <w:r w:rsidRPr="00FB2C11">
              <w:t>$90,830</w:t>
            </w:r>
          </w:p>
        </w:tc>
        <w:tc>
          <w:tcPr>
            <w:tcW w:w="1276" w:type="dxa"/>
            <w:noWrap/>
            <w:hideMark/>
          </w:tcPr>
          <w:p w:rsidR="0092299C" w:rsidRPr="00FB2C11" w:rsidRDefault="0092299C" w:rsidP="0092299C">
            <w:pPr>
              <w:pStyle w:val="ARtabletextright"/>
            </w:pPr>
            <w:r w:rsidRPr="00FB2C11">
              <w:t>$2,347</w:t>
            </w:r>
          </w:p>
        </w:tc>
      </w:tr>
      <w:tr w:rsidR="0092299C" w:rsidRPr="00FB2C11" w:rsidTr="0084694E">
        <w:tc>
          <w:tcPr>
            <w:tcW w:w="2194" w:type="dxa"/>
            <w:noWrap/>
            <w:hideMark/>
          </w:tcPr>
          <w:p w:rsidR="0092299C" w:rsidRPr="00FB2C11" w:rsidRDefault="0092299C" w:rsidP="0092299C">
            <w:pPr>
              <w:pStyle w:val="ARtabletext"/>
            </w:pPr>
            <w:r w:rsidRPr="00FB2C11">
              <w:t>Open Advisory Pty Ltd</w:t>
            </w:r>
          </w:p>
        </w:tc>
        <w:tc>
          <w:tcPr>
            <w:tcW w:w="3771" w:type="dxa"/>
            <w:noWrap/>
            <w:hideMark/>
          </w:tcPr>
          <w:p w:rsidR="0092299C" w:rsidRPr="00FB2C11" w:rsidRDefault="0092299C" w:rsidP="0092299C">
            <w:pPr>
              <w:pStyle w:val="ARtabletext"/>
            </w:pPr>
            <w:r w:rsidRPr="00FB2C11">
              <w:t>Advice, renal transplantation in Victoria</w:t>
            </w:r>
          </w:p>
        </w:tc>
        <w:tc>
          <w:tcPr>
            <w:tcW w:w="1275" w:type="dxa"/>
            <w:noWrap/>
            <w:hideMark/>
          </w:tcPr>
          <w:p w:rsidR="0092299C" w:rsidRPr="00FB2C11" w:rsidRDefault="0092299C" w:rsidP="0092299C">
            <w:pPr>
              <w:pStyle w:val="ARtabletextright"/>
            </w:pPr>
            <w:r w:rsidRPr="00FB2C11">
              <w:t>$14,250</w:t>
            </w:r>
          </w:p>
        </w:tc>
        <w:tc>
          <w:tcPr>
            <w:tcW w:w="1276" w:type="dxa"/>
            <w:noWrap/>
            <w:hideMark/>
          </w:tcPr>
          <w:p w:rsidR="0092299C" w:rsidRPr="00FB2C11" w:rsidRDefault="0092299C" w:rsidP="0092299C">
            <w:pPr>
              <w:pStyle w:val="ARtabletextright"/>
            </w:pPr>
            <w:r w:rsidRPr="00FB2C11">
              <w:t>$14,016</w:t>
            </w:r>
          </w:p>
        </w:tc>
        <w:tc>
          <w:tcPr>
            <w:tcW w:w="1276" w:type="dxa"/>
            <w:noWrap/>
            <w:hideMark/>
          </w:tcPr>
          <w:p w:rsidR="0092299C" w:rsidRPr="00FB2C11" w:rsidRDefault="0092299C" w:rsidP="0092299C">
            <w:pPr>
              <w:pStyle w:val="ARtabletextright"/>
            </w:pPr>
            <w:r w:rsidRPr="00FB2C11">
              <w:t>$234</w:t>
            </w:r>
          </w:p>
        </w:tc>
      </w:tr>
      <w:tr w:rsidR="0092299C" w:rsidRPr="00FB2C11" w:rsidTr="0084694E">
        <w:tc>
          <w:tcPr>
            <w:tcW w:w="2194" w:type="dxa"/>
            <w:noWrap/>
            <w:hideMark/>
          </w:tcPr>
          <w:p w:rsidR="0092299C" w:rsidRPr="00FB2C11" w:rsidRDefault="0092299C" w:rsidP="0092299C">
            <w:pPr>
              <w:pStyle w:val="ARtabletext"/>
            </w:pPr>
            <w:r w:rsidRPr="00FB2C11">
              <w:t>Just Forensic</w:t>
            </w:r>
          </w:p>
        </w:tc>
        <w:tc>
          <w:tcPr>
            <w:tcW w:w="3771" w:type="dxa"/>
            <w:noWrap/>
            <w:hideMark/>
          </w:tcPr>
          <w:p w:rsidR="0092299C" w:rsidRPr="00FB2C11" w:rsidRDefault="0092299C" w:rsidP="0092299C">
            <w:pPr>
              <w:pStyle w:val="ARtabletext"/>
            </w:pPr>
            <w:r w:rsidRPr="00FB2C11">
              <w:t>Quality review, behaviour support service client files</w:t>
            </w:r>
          </w:p>
        </w:tc>
        <w:tc>
          <w:tcPr>
            <w:tcW w:w="1275" w:type="dxa"/>
            <w:noWrap/>
            <w:hideMark/>
          </w:tcPr>
          <w:p w:rsidR="0092299C" w:rsidRPr="00FB2C11" w:rsidRDefault="0092299C" w:rsidP="0092299C">
            <w:pPr>
              <w:pStyle w:val="ARtabletextright"/>
            </w:pPr>
            <w:r w:rsidRPr="00FB2C11">
              <w:t>$29,000</w:t>
            </w:r>
          </w:p>
        </w:tc>
        <w:tc>
          <w:tcPr>
            <w:tcW w:w="1276" w:type="dxa"/>
            <w:noWrap/>
            <w:hideMark/>
          </w:tcPr>
          <w:p w:rsidR="0092299C" w:rsidRPr="00FB2C11" w:rsidRDefault="0092299C" w:rsidP="0092299C">
            <w:pPr>
              <w:pStyle w:val="ARtabletextright"/>
            </w:pPr>
            <w:r w:rsidRPr="00FB2C11">
              <w:t>$4,600</w:t>
            </w:r>
          </w:p>
        </w:tc>
        <w:tc>
          <w:tcPr>
            <w:tcW w:w="1276" w:type="dxa"/>
            <w:noWrap/>
            <w:hideMark/>
          </w:tcPr>
          <w:p w:rsidR="0092299C" w:rsidRPr="00FB2C11" w:rsidRDefault="0092299C" w:rsidP="0092299C">
            <w:pPr>
              <w:pStyle w:val="ARtabletextright"/>
            </w:pPr>
            <w:r w:rsidRPr="00FB2C11">
              <w:t>$24,400</w:t>
            </w:r>
          </w:p>
        </w:tc>
      </w:tr>
      <w:tr w:rsidR="0092299C" w:rsidRPr="00FB2C11" w:rsidTr="0084694E">
        <w:tc>
          <w:tcPr>
            <w:tcW w:w="2194" w:type="dxa"/>
            <w:noWrap/>
            <w:hideMark/>
          </w:tcPr>
          <w:p w:rsidR="0092299C" w:rsidRPr="00FB2C11" w:rsidRDefault="0092299C" w:rsidP="0092299C">
            <w:pPr>
              <w:pStyle w:val="ARtabletext"/>
            </w:pPr>
            <w:r w:rsidRPr="00FB2C11">
              <w:t>James McDougall</w:t>
            </w:r>
          </w:p>
        </w:tc>
        <w:tc>
          <w:tcPr>
            <w:tcW w:w="3771" w:type="dxa"/>
            <w:noWrap/>
            <w:hideMark/>
          </w:tcPr>
          <w:p w:rsidR="0092299C" w:rsidRPr="00FB2C11" w:rsidRDefault="0092299C" w:rsidP="0092299C">
            <w:pPr>
              <w:pStyle w:val="ARtabletext"/>
            </w:pPr>
            <w:r w:rsidRPr="00FB2C11">
              <w:t>Review papers and provide reports, Council of Australian Governments, family violence</w:t>
            </w:r>
          </w:p>
        </w:tc>
        <w:tc>
          <w:tcPr>
            <w:tcW w:w="1275" w:type="dxa"/>
            <w:noWrap/>
            <w:hideMark/>
          </w:tcPr>
          <w:p w:rsidR="0092299C" w:rsidRPr="00FB2C11" w:rsidRDefault="0092299C" w:rsidP="0092299C">
            <w:pPr>
              <w:pStyle w:val="ARtabletextright"/>
            </w:pPr>
            <w:r w:rsidRPr="00FB2C11">
              <w:t>$13,364</w:t>
            </w:r>
          </w:p>
        </w:tc>
        <w:tc>
          <w:tcPr>
            <w:tcW w:w="1276" w:type="dxa"/>
            <w:noWrap/>
            <w:hideMark/>
          </w:tcPr>
          <w:p w:rsidR="0092299C" w:rsidRPr="00FB2C11" w:rsidRDefault="0092299C" w:rsidP="0092299C">
            <w:pPr>
              <w:pStyle w:val="ARtabletextright"/>
            </w:pPr>
            <w:r w:rsidRPr="00FB2C11">
              <w:t>$9,091</w:t>
            </w:r>
          </w:p>
        </w:tc>
        <w:tc>
          <w:tcPr>
            <w:tcW w:w="1276" w:type="dxa"/>
            <w:noWrap/>
            <w:hideMark/>
          </w:tcPr>
          <w:p w:rsidR="0092299C" w:rsidRPr="00FB2C11" w:rsidRDefault="0092299C" w:rsidP="0092299C">
            <w:pPr>
              <w:pStyle w:val="ARtabletextright"/>
            </w:pPr>
            <w:r w:rsidRPr="00FB2C11">
              <w:t>$4,273</w:t>
            </w:r>
          </w:p>
        </w:tc>
      </w:tr>
      <w:tr w:rsidR="0092299C" w:rsidRPr="00FB2C11" w:rsidTr="0084694E">
        <w:tc>
          <w:tcPr>
            <w:tcW w:w="2194" w:type="dxa"/>
            <w:noWrap/>
            <w:hideMark/>
          </w:tcPr>
          <w:p w:rsidR="0092299C" w:rsidRPr="00FB2C11" w:rsidRDefault="0092299C" w:rsidP="0092299C">
            <w:pPr>
              <w:pStyle w:val="ARtabletext"/>
            </w:pPr>
            <w:proofErr w:type="spellStart"/>
            <w:r w:rsidRPr="00FB2C11">
              <w:t>Changeworks</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 xml:space="preserve">Develop change management strategy, </w:t>
            </w:r>
            <w:r>
              <w:t>c</w:t>
            </w:r>
            <w:r w:rsidRPr="00FB2C11">
              <w:t>lient incident management system</w:t>
            </w:r>
          </w:p>
        </w:tc>
        <w:tc>
          <w:tcPr>
            <w:tcW w:w="1275" w:type="dxa"/>
            <w:noWrap/>
            <w:hideMark/>
          </w:tcPr>
          <w:p w:rsidR="0092299C" w:rsidRPr="00FB2C11" w:rsidRDefault="0092299C" w:rsidP="0092299C">
            <w:pPr>
              <w:pStyle w:val="ARtabletextright"/>
            </w:pPr>
            <w:r w:rsidRPr="00FB2C11">
              <w:t>$224,423</w:t>
            </w:r>
          </w:p>
        </w:tc>
        <w:tc>
          <w:tcPr>
            <w:tcW w:w="1276" w:type="dxa"/>
            <w:noWrap/>
            <w:hideMark/>
          </w:tcPr>
          <w:p w:rsidR="0092299C" w:rsidRPr="00FB2C11" w:rsidRDefault="0092299C" w:rsidP="0092299C">
            <w:pPr>
              <w:pStyle w:val="ARtabletextright"/>
            </w:pPr>
            <w:r w:rsidRPr="00FB2C11">
              <w:t>$98,500</w:t>
            </w:r>
          </w:p>
        </w:tc>
        <w:tc>
          <w:tcPr>
            <w:tcW w:w="1276" w:type="dxa"/>
            <w:noWrap/>
            <w:hideMark/>
          </w:tcPr>
          <w:p w:rsidR="0092299C" w:rsidRPr="00FB2C11" w:rsidRDefault="0092299C" w:rsidP="0092299C">
            <w:pPr>
              <w:pStyle w:val="ARtabletextright"/>
            </w:pPr>
            <w:r w:rsidRPr="00FB2C11">
              <w:t>$125,923</w:t>
            </w:r>
          </w:p>
        </w:tc>
      </w:tr>
      <w:tr w:rsidR="0092299C" w:rsidRPr="00FB2C11" w:rsidTr="0084694E">
        <w:tc>
          <w:tcPr>
            <w:tcW w:w="2194" w:type="dxa"/>
            <w:noWrap/>
            <w:hideMark/>
          </w:tcPr>
          <w:p w:rsidR="0092299C" w:rsidRPr="00FB2C11" w:rsidRDefault="0092299C" w:rsidP="0092299C">
            <w:pPr>
              <w:pStyle w:val="ARtabletext"/>
            </w:pPr>
            <w:r w:rsidRPr="00FB2C11">
              <w:t>La Trobe University</w:t>
            </w:r>
          </w:p>
        </w:tc>
        <w:tc>
          <w:tcPr>
            <w:tcW w:w="3771" w:type="dxa"/>
            <w:noWrap/>
            <w:hideMark/>
          </w:tcPr>
          <w:p w:rsidR="0092299C" w:rsidRPr="00FB2C11" w:rsidRDefault="0092299C" w:rsidP="0092299C">
            <w:pPr>
              <w:pStyle w:val="ARtabletext"/>
            </w:pPr>
            <w:r w:rsidRPr="00FB2C11">
              <w:t>Rapid literature review and situational analysis, family violence and mental health</w:t>
            </w:r>
          </w:p>
        </w:tc>
        <w:tc>
          <w:tcPr>
            <w:tcW w:w="1275" w:type="dxa"/>
            <w:noWrap/>
            <w:hideMark/>
          </w:tcPr>
          <w:p w:rsidR="0092299C" w:rsidRPr="00FB2C11" w:rsidRDefault="0092299C" w:rsidP="0092299C">
            <w:pPr>
              <w:pStyle w:val="ARtabletextright"/>
            </w:pPr>
            <w:r w:rsidRPr="00FB2C11">
              <w:t>$90,000</w:t>
            </w:r>
          </w:p>
        </w:tc>
        <w:tc>
          <w:tcPr>
            <w:tcW w:w="1276" w:type="dxa"/>
            <w:noWrap/>
            <w:hideMark/>
          </w:tcPr>
          <w:p w:rsidR="0092299C" w:rsidRPr="00FB2C11" w:rsidRDefault="0092299C" w:rsidP="0092299C">
            <w:pPr>
              <w:pStyle w:val="ARtabletextright"/>
            </w:pPr>
            <w:r w:rsidRPr="00FB2C11">
              <w:t>$30,250</w:t>
            </w:r>
          </w:p>
        </w:tc>
        <w:tc>
          <w:tcPr>
            <w:tcW w:w="1276" w:type="dxa"/>
            <w:noWrap/>
            <w:hideMark/>
          </w:tcPr>
          <w:p w:rsidR="0092299C" w:rsidRPr="00FB2C11" w:rsidRDefault="0092299C" w:rsidP="0092299C">
            <w:pPr>
              <w:pStyle w:val="ARtabletextright"/>
            </w:pPr>
            <w:r w:rsidRPr="00FB2C11">
              <w:t>$59,750</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Advice, payroll preparedness for NDIS, separation of employment</w:t>
            </w:r>
          </w:p>
        </w:tc>
        <w:tc>
          <w:tcPr>
            <w:tcW w:w="1275" w:type="dxa"/>
            <w:noWrap/>
            <w:hideMark/>
          </w:tcPr>
          <w:p w:rsidR="0092299C" w:rsidRPr="00FB2C11" w:rsidRDefault="0092299C" w:rsidP="0092299C">
            <w:pPr>
              <w:pStyle w:val="ARtabletextright"/>
            </w:pPr>
            <w:r w:rsidRPr="00FB2C11">
              <w:t>$31,346</w:t>
            </w:r>
          </w:p>
        </w:tc>
        <w:tc>
          <w:tcPr>
            <w:tcW w:w="1276" w:type="dxa"/>
            <w:noWrap/>
            <w:hideMark/>
          </w:tcPr>
          <w:p w:rsidR="0092299C" w:rsidRPr="00FB2C11" w:rsidRDefault="0092299C" w:rsidP="0092299C">
            <w:pPr>
              <w:pStyle w:val="ARtabletextright"/>
            </w:pPr>
            <w:r w:rsidRPr="00FB2C11">
              <w:t>$31,289</w:t>
            </w:r>
          </w:p>
        </w:tc>
        <w:tc>
          <w:tcPr>
            <w:tcW w:w="1276" w:type="dxa"/>
            <w:noWrap/>
            <w:hideMark/>
          </w:tcPr>
          <w:p w:rsidR="0092299C" w:rsidRPr="00FB2C11" w:rsidRDefault="0092299C" w:rsidP="0092299C">
            <w:pPr>
              <w:pStyle w:val="ARtabletextright"/>
            </w:pPr>
            <w:r w:rsidRPr="00FB2C11">
              <w:t>$57</w:t>
            </w:r>
          </w:p>
        </w:tc>
      </w:tr>
      <w:tr w:rsidR="0092299C" w:rsidRPr="00FB2C11" w:rsidTr="0084694E">
        <w:tc>
          <w:tcPr>
            <w:tcW w:w="2194" w:type="dxa"/>
            <w:noWrap/>
            <w:hideMark/>
          </w:tcPr>
          <w:p w:rsidR="0092299C" w:rsidRPr="00FB2C11" w:rsidRDefault="0092299C" w:rsidP="0092299C">
            <w:pPr>
              <w:pStyle w:val="ARtabletext"/>
            </w:pPr>
            <w:r w:rsidRPr="00FB2C11">
              <w:lastRenderedPageBreak/>
              <w:t>CDM Smith Australia Pty Ltd</w:t>
            </w:r>
          </w:p>
        </w:tc>
        <w:tc>
          <w:tcPr>
            <w:tcW w:w="3771" w:type="dxa"/>
            <w:noWrap/>
            <w:hideMark/>
          </w:tcPr>
          <w:p w:rsidR="0092299C" w:rsidRPr="00FB2C11" w:rsidRDefault="0092299C" w:rsidP="0092299C">
            <w:pPr>
              <w:pStyle w:val="ARtabletext"/>
            </w:pPr>
            <w:r w:rsidRPr="00FB2C11">
              <w:t>Peer review, Testing and analysis of brown coal ash residue in roof cavities report</w:t>
            </w:r>
          </w:p>
        </w:tc>
        <w:tc>
          <w:tcPr>
            <w:tcW w:w="1275" w:type="dxa"/>
            <w:noWrap/>
            <w:hideMark/>
          </w:tcPr>
          <w:p w:rsidR="0092299C" w:rsidRPr="00FB2C11" w:rsidRDefault="0092299C" w:rsidP="0092299C">
            <w:pPr>
              <w:pStyle w:val="ARtabletextright"/>
            </w:pPr>
            <w:r w:rsidRPr="00FB2C11">
              <w:t>$10,000</w:t>
            </w:r>
          </w:p>
        </w:tc>
        <w:tc>
          <w:tcPr>
            <w:tcW w:w="1276" w:type="dxa"/>
            <w:noWrap/>
            <w:hideMark/>
          </w:tcPr>
          <w:p w:rsidR="0092299C" w:rsidRPr="00FB2C11" w:rsidRDefault="0092299C" w:rsidP="0092299C">
            <w:pPr>
              <w:pStyle w:val="ARtabletextright"/>
            </w:pPr>
            <w:r w:rsidRPr="00FB2C11">
              <w:t>$9,560</w:t>
            </w:r>
          </w:p>
        </w:tc>
        <w:tc>
          <w:tcPr>
            <w:tcW w:w="1276" w:type="dxa"/>
            <w:noWrap/>
            <w:hideMark/>
          </w:tcPr>
          <w:p w:rsidR="0092299C" w:rsidRPr="00FB2C11" w:rsidRDefault="0092299C" w:rsidP="0092299C">
            <w:pPr>
              <w:pStyle w:val="ARtabletextright"/>
            </w:pPr>
            <w:r w:rsidRPr="00FB2C11">
              <w:t>$440</w:t>
            </w:r>
          </w:p>
        </w:tc>
      </w:tr>
      <w:tr w:rsidR="0092299C" w:rsidRPr="00FB2C11" w:rsidTr="0084694E">
        <w:tc>
          <w:tcPr>
            <w:tcW w:w="2194" w:type="dxa"/>
            <w:noWrap/>
            <w:hideMark/>
          </w:tcPr>
          <w:p w:rsidR="0092299C" w:rsidRPr="00FB2C11" w:rsidRDefault="0092299C" w:rsidP="0092299C">
            <w:pPr>
              <w:pStyle w:val="ARtabletext"/>
            </w:pPr>
            <w:r w:rsidRPr="00FB2C11">
              <w:t>Kate Shannon Mc</w:t>
            </w:r>
            <w:r>
              <w:t>C</w:t>
            </w:r>
            <w:r w:rsidRPr="00FB2C11">
              <w:t>ready</w:t>
            </w:r>
          </w:p>
        </w:tc>
        <w:tc>
          <w:tcPr>
            <w:tcW w:w="3771" w:type="dxa"/>
            <w:noWrap/>
            <w:hideMark/>
          </w:tcPr>
          <w:p w:rsidR="0092299C" w:rsidRPr="00FB2C11" w:rsidRDefault="0092299C" w:rsidP="0092299C">
            <w:pPr>
              <w:pStyle w:val="ARtabletext"/>
            </w:pPr>
            <w:r w:rsidRPr="00FB2C11">
              <w:t>Support and develop, co-design operating model</w:t>
            </w:r>
          </w:p>
        </w:tc>
        <w:tc>
          <w:tcPr>
            <w:tcW w:w="1275" w:type="dxa"/>
            <w:noWrap/>
            <w:hideMark/>
          </w:tcPr>
          <w:p w:rsidR="0092299C" w:rsidRPr="00FB2C11" w:rsidRDefault="0092299C" w:rsidP="0092299C">
            <w:pPr>
              <w:pStyle w:val="ARtabletextright"/>
            </w:pPr>
            <w:r w:rsidRPr="00FB2C11">
              <w:t>$45,435</w:t>
            </w:r>
          </w:p>
        </w:tc>
        <w:tc>
          <w:tcPr>
            <w:tcW w:w="1276" w:type="dxa"/>
            <w:noWrap/>
            <w:hideMark/>
          </w:tcPr>
          <w:p w:rsidR="0092299C" w:rsidRPr="00FB2C11" w:rsidRDefault="0092299C" w:rsidP="0092299C">
            <w:pPr>
              <w:pStyle w:val="ARtabletextright"/>
            </w:pPr>
            <w:r w:rsidRPr="00FB2C11">
              <w:t>$46,862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language services arrangements</w:t>
            </w:r>
          </w:p>
        </w:tc>
        <w:tc>
          <w:tcPr>
            <w:tcW w:w="1275" w:type="dxa"/>
            <w:noWrap/>
            <w:hideMark/>
          </w:tcPr>
          <w:p w:rsidR="0092299C" w:rsidRPr="00FB2C11" w:rsidRDefault="0092299C" w:rsidP="0092299C">
            <w:pPr>
              <w:pStyle w:val="ARtabletextright"/>
            </w:pPr>
            <w:r w:rsidRPr="00FB2C11">
              <w:t>$116,100</w:t>
            </w:r>
          </w:p>
        </w:tc>
        <w:tc>
          <w:tcPr>
            <w:tcW w:w="1276" w:type="dxa"/>
            <w:noWrap/>
            <w:hideMark/>
          </w:tcPr>
          <w:p w:rsidR="0092299C" w:rsidRPr="00FB2C11" w:rsidRDefault="0092299C" w:rsidP="0092299C">
            <w:pPr>
              <w:pStyle w:val="ARtabletextright"/>
            </w:pPr>
            <w:r w:rsidRPr="00FB2C11">
              <w:t>$116,100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Jackie </w:t>
            </w:r>
            <w:proofErr w:type="spellStart"/>
            <w:r w:rsidRPr="00FB2C11">
              <w:t>Moden</w:t>
            </w:r>
            <w:proofErr w:type="spellEnd"/>
            <w:r w:rsidRPr="00FB2C11">
              <w:t xml:space="preserve"> Consulting</w:t>
            </w:r>
          </w:p>
        </w:tc>
        <w:tc>
          <w:tcPr>
            <w:tcW w:w="3771" w:type="dxa"/>
            <w:noWrap/>
            <w:hideMark/>
          </w:tcPr>
          <w:p w:rsidR="0092299C" w:rsidRPr="00FB2C11" w:rsidRDefault="0092299C" w:rsidP="0092299C">
            <w:pPr>
              <w:pStyle w:val="ARtabletext"/>
            </w:pPr>
            <w:r w:rsidRPr="00FB2C11">
              <w:t xml:space="preserve">Review, Salvation Army </w:t>
            </w:r>
            <w:proofErr w:type="spellStart"/>
            <w:r w:rsidRPr="00FB2C11">
              <w:t>Westcare</w:t>
            </w:r>
            <w:proofErr w:type="spellEnd"/>
          </w:p>
        </w:tc>
        <w:tc>
          <w:tcPr>
            <w:tcW w:w="1275" w:type="dxa"/>
            <w:noWrap/>
            <w:hideMark/>
          </w:tcPr>
          <w:p w:rsidR="0092299C" w:rsidRPr="00FB2C11" w:rsidRDefault="0092299C" w:rsidP="0092299C">
            <w:pPr>
              <w:pStyle w:val="ARtabletextright"/>
            </w:pPr>
            <w:r w:rsidRPr="00FB2C11">
              <w:t>$46,250</w:t>
            </w:r>
          </w:p>
        </w:tc>
        <w:tc>
          <w:tcPr>
            <w:tcW w:w="1276" w:type="dxa"/>
            <w:noWrap/>
            <w:hideMark/>
          </w:tcPr>
          <w:p w:rsidR="0092299C" w:rsidRPr="00FB2C11" w:rsidRDefault="0092299C" w:rsidP="0092299C">
            <w:pPr>
              <w:pStyle w:val="ARtabletextright"/>
            </w:pPr>
            <w:r w:rsidRPr="00FB2C11">
              <w:t>$21,363</w:t>
            </w:r>
          </w:p>
        </w:tc>
        <w:tc>
          <w:tcPr>
            <w:tcW w:w="1276" w:type="dxa"/>
            <w:noWrap/>
            <w:hideMark/>
          </w:tcPr>
          <w:p w:rsidR="0092299C" w:rsidRPr="00FB2C11" w:rsidRDefault="0092299C" w:rsidP="0092299C">
            <w:pPr>
              <w:pStyle w:val="ARtabletextright"/>
            </w:pPr>
            <w:r w:rsidRPr="00FB2C11">
              <w:t>$24,887</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Update of service plan, Goulburn valley health cancer services</w:t>
            </w:r>
          </w:p>
        </w:tc>
        <w:tc>
          <w:tcPr>
            <w:tcW w:w="1275" w:type="dxa"/>
            <w:noWrap/>
            <w:hideMark/>
          </w:tcPr>
          <w:p w:rsidR="0092299C" w:rsidRPr="00FB2C11" w:rsidRDefault="0092299C" w:rsidP="0092299C">
            <w:pPr>
              <w:pStyle w:val="ARtabletextright"/>
            </w:pPr>
            <w:r w:rsidRPr="00FB2C11">
              <w:t>$33,477</w:t>
            </w:r>
          </w:p>
        </w:tc>
        <w:tc>
          <w:tcPr>
            <w:tcW w:w="1276" w:type="dxa"/>
            <w:noWrap/>
            <w:hideMark/>
          </w:tcPr>
          <w:p w:rsidR="0092299C" w:rsidRPr="00FB2C11" w:rsidRDefault="0092299C" w:rsidP="0092299C">
            <w:pPr>
              <w:pStyle w:val="ARtabletextright"/>
            </w:pPr>
            <w:r w:rsidRPr="00FB2C11">
              <w:t>$33,477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Healthconsult</w:t>
            </w:r>
            <w:proofErr w:type="spellEnd"/>
            <w:r w:rsidRPr="00FB2C11">
              <w:t xml:space="preserve"> Pty Ltd</w:t>
            </w:r>
          </w:p>
        </w:tc>
        <w:tc>
          <w:tcPr>
            <w:tcW w:w="3771" w:type="dxa"/>
            <w:noWrap/>
            <w:hideMark/>
          </w:tcPr>
          <w:p w:rsidR="0092299C" w:rsidRPr="00FB2C11" w:rsidRDefault="0092299C" w:rsidP="0092299C">
            <w:pPr>
              <w:pStyle w:val="ARtabletext"/>
            </w:pPr>
            <w:r w:rsidRPr="00FB2C11">
              <w:t>Review, Victorian tuberculosis program</w:t>
            </w:r>
          </w:p>
        </w:tc>
        <w:tc>
          <w:tcPr>
            <w:tcW w:w="1275" w:type="dxa"/>
            <w:noWrap/>
            <w:hideMark/>
          </w:tcPr>
          <w:p w:rsidR="0092299C" w:rsidRPr="00FB2C11" w:rsidRDefault="0092299C" w:rsidP="0092299C">
            <w:pPr>
              <w:pStyle w:val="ARtabletextright"/>
            </w:pPr>
            <w:r w:rsidRPr="00FB2C11">
              <w:t>$63,596</w:t>
            </w:r>
          </w:p>
        </w:tc>
        <w:tc>
          <w:tcPr>
            <w:tcW w:w="1276" w:type="dxa"/>
            <w:noWrap/>
            <w:hideMark/>
          </w:tcPr>
          <w:p w:rsidR="0092299C" w:rsidRPr="00FB2C11" w:rsidRDefault="0092299C" w:rsidP="0092299C">
            <w:pPr>
              <w:pStyle w:val="ARtabletextright"/>
            </w:pPr>
            <w:r w:rsidRPr="00FB2C11">
              <w:t>$63,395</w:t>
            </w:r>
          </w:p>
        </w:tc>
        <w:tc>
          <w:tcPr>
            <w:tcW w:w="1276" w:type="dxa"/>
            <w:noWrap/>
            <w:hideMark/>
          </w:tcPr>
          <w:p w:rsidR="0092299C" w:rsidRPr="00FB2C11" w:rsidRDefault="0092299C" w:rsidP="0092299C">
            <w:pPr>
              <w:pStyle w:val="ARtabletextright"/>
            </w:pPr>
            <w:r w:rsidRPr="00FB2C11">
              <w:t>$201</w:t>
            </w:r>
          </w:p>
        </w:tc>
      </w:tr>
      <w:tr w:rsidR="0092299C" w:rsidRPr="00FB2C11" w:rsidTr="0084694E">
        <w:tc>
          <w:tcPr>
            <w:tcW w:w="2194" w:type="dxa"/>
            <w:noWrap/>
            <w:hideMark/>
          </w:tcPr>
          <w:p w:rsidR="0092299C" w:rsidRPr="00FB2C11" w:rsidRDefault="0092299C" w:rsidP="0092299C">
            <w:pPr>
              <w:pStyle w:val="ARtabletext"/>
            </w:pPr>
            <w:r w:rsidRPr="00FB2C11">
              <w:t>Just Anna</w:t>
            </w:r>
          </w:p>
        </w:tc>
        <w:tc>
          <w:tcPr>
            <w:tcW w:w="3771" w:type="dxa"/>
            <w:noWrap/>
            <w:hideMark/>
          </w:tcPr>
          <w:p w:rsidR="0092299C" w:rsidRPr="00FB2C11" w:rsidRDefault="0092299C" w:rsidP="0092299C">
            <w:pPr>
              <w:pStyle w:val="ARtabletext"/>
            </w:pPr>
            <w:r w:rsidRPr="00FB2C11">
              <w:t xml:space="preserve">Strategy development, social housing </w:t>
            </w:r>
            <w:r>
              <w:t>and</w:t>
            </w:r>
            <w:r w:rsidRPr="00FB2C11">
              <w:t xml:space="preserve"> homelessness engagement </w:t>
            </w:r>
          </w:p>
        </w:tc>
        <w:tc>
          <w:tcPr>
            <w:tcW w:w="1275" w:type="dxa"/>
            <w:noWrap/>
            <w:hideMark/>
          </w:tcPr>
          <w:p w:rsidR="0092299C" w:rsidRPr="00FB2C11" w:rsidRDefault="0092299C" w:rsidP="0092299C">
            <w:pPr>
              <w:pStyle w:val="ARtabletextright"/>
            </w:pPr>
            <w:r w:rsidRPr="00FB2C11">
              <w:t>$19,500</w:t>
            </w:r>
          </w:p>
        </w:tc>
        <w:tc>
          <w:tcPr>
            <w:tcW w:w="1276" w:type="dxa"/>
            <w:noWrap/>
            <w:hideMark/>
          </w:tcPr>
          <w:p w:rsidR="0092299C" w:rsidRPr="00FB2C11" w:rsidRDefault="0092299C" w:rsidP="0092299C">
            <w:pPr>
              <w:pStyle w:val="ARtabletextright"/>
            </w:pPr>
            <w:r w:rsidRPr="00FB2C11">
              <w:t>$19,500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Review, state health emergency response arrangements</w:t>
            </w:r>
          </w:p>
        </w:tc>
        <w:tc>
          <w:tcPr>
            <w:tcW w:w="1275" w:type="dxa"/>
            <w:noWrap/>
            <w:hideMark/>
          </w:tcPr>
          <w:p w:rsidR="0092299C" w:rsidRPr="00FB2C11" w:rsidRDefault="0092299C" w:rsidP="0092299C">
            <w:pPr>
              <w:pStyle w:val="ARtabletextright"/>
            </w:pPr>
            <w:r w:rsidRPr="00FB2C11">
              <w:t>$374,338</w:t>
            </w:r>
          </w:p>
        </w:tc>
        <w:tc>
          <w:tcPr>
            <w:tcW w:w="1276" w:type="dxa"/>
            <w:noWrap/>
            <w:hideMark/>
          </w:tcPr>
          <w:p w:rsidR="0092299C" w:rsidRPr="00FB2C11" w:rsidRDefault="0092299C" w:rsidP="0092299C">
            <w:pPr>
              <w:pStyle w:val="ARtabletextright"/>
            </w:pPr>
            <w:r w:rsidRPr="00FB2C11">
              <w:t>$312,319</w:t>
            </w:r>
          </w:p>
        </w:tc>
        <w:tc>
          <w:tcPr>
            <w:tcW w:w="1276" w:type="dxa"/>
            <w:noWrap/>
            <w:hideMark/>
          </w:tcPr>
          <w:p w:rsidR="0092299C" w:rsidRPr="00FB2C11" w:rsidRDefault="0092299C" w:rsidP="0092299C">
            <w:pPr>
              <w:pStyle w:val="ARtabletextright"/>
            </w:pPr>
            <w:r w:rsidRPr="00FB2C11">
              <w:t>$62,019</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 xml:space="preserve">Develop operating model, emergency management response, relief and recovery </w:t>
            </w:r>
          </w:p>
        </w:tc>
        <w:tc>
          <w:tcPr>
            <w:tcW w:w="1275" w:type="dxa"/>
            <w:noWrap/>
            <w:hideMark/>
          </w:tcPr>
          <w:p w:rsidR="0092299C" w:rsidRPr="00FB2C11" w:rsidRDefault="0092299C" w:rsidP="0092299C">
            <w:pPr>
              <w:pStyle w:val="ARtabletextright"/>
            </w:pPr>
            <w:r w:rsidRPr="00FB2C11">
              <w:t>$172,200</w:t>
            </w:r>
          </w:p>
        </w:tc>
        <w:tc>
          <w:tcPr>
            <w:tcW w:w="1276" w:type="dxa"/>
            <w:noWrap/>
            <w:hideMark/>
          </w:tcPr>
          <w:p w:rsidR="0092299C" w:rsidRPr="00FB2C11" w:rsidRDefault="0092299C" w:rsidP="0092299C">
            <w:pPr>
              <w:pStyle w:val="ARtabletextright"/>
            </w:pPr>
            <w:r w:rsidRPr="00FB2C11">
              <w:t>$172,200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Develop service plan, Central Goldfields Shire</w:t>
            </w:r>
          </w:p>
        </w:tc>
        <w:tc>
          <w:tcPr>
            <w:tcW w:w="1275" w:type="dxa"/>
            <w:noWrap/>
            <w:hideMark/>
          </w:tcPr>
          <w:p w:rsidR="0092299C" w:rsidRPr="00FB2C11" w:rsidRDefault="0092299C" w:rsidP="0092299C">
            <w:pPr>
              <w:pStyle w:val="ARtabletextright"/>
            </w:pPr>
            <w:r w:rsidRPr="00FB2C11">
              <w:t>$100,995</w:t>
            </w:r>
          </w:p>
        </w:tc>
        <w:tc>
          <w:tcPr>
            <w:tcW w:w="1276" w:type="dxa"/>
            <w:noWrap/>
            <w:hideMark/>
          </w:tcPr>
          <w:p w:rsidR="0092299C" w:rsidRPr="00FB2C11" w:rsidRDefault="0092299C" w:rsidP="0092299C">
            <w:pPr>
              <w:pStyle w:val="ARtabletextright"/>
            </w:pPr>
            <w:r w:rsidRPr="00FB2C11">
              <w:t>$60,597</w:t>
            </w:r>
          </w:p>
        </w:tc>
        <w:tc>
          <w:tcPr>
            <w:tcW w:w="1276" w:type="dxa"/>
            <w:noWrap/>
            <w:hideMark/>
          </w:tcPr>
          <w:p w:rsidR="0092299C" w:rsidRPr="00FB2C11" w:rsidRDefault="0092299C" w:rsidP="0092299C">
            <w:pPr>
              <w:pStyle w:val="ARtabletextright"/>
            </w:pPr>
            <w:r w:rsidRPr="00FB2C11">
              <w:t>$40,398</w:t>
            </w:r>
          </w:p>
        </w:tc>
      </w:tr>
      <w:tr w:rsidR="0092299C" w:rsidRPr="00FB2C11" w:rsidTr="0084694E">
        <w:tc>
          <w:tcPr>
            <w:tcW w:w="2194" w:type="dxa"/>
            <w:noWrap/>
            <w:hideMark/>
          </w:tcPr>
          <w:p w:rsidR="0092299C" w:rsidRPr="00FB2C11" w:rsidRDefault="0092299C" w:rsidP="0092299C">
            <w:pPr>
              <w:pStyle w:val="ARtabletext"/>
            </w:pPr>
            <w:r w:rsidRPr="00FB2C11">
              <w:t>RSM</w:t>
            </w:r>
          </w:p>
        </w:tc>
        <w:tc>
          <w:tcPr>
            <w:tcW w:w="3771" w:type="dxa"/>
            <w:noWrap/>
            <w:hideMark/>
          </w:tcPr>
          <w:p w:rsidR="0092299C" w:rsidRPr="00FB2C11" w:rsidRDefault="0092299C" w:rsidP="0092299C">
            <w:pPr>
              <w:pStyle w:val="ARtabletext"/>
            </w:pPr>
            <w:r w:rsidRPr="00FB2C11">
              <w:t>Financial support, housing system and reporting</w:t>
            </w:r>
          </w:p>
        </w:tc>
        <w:tc>
          <w:tcPr>
            <w:tcW w:w="1275" w:type="dxa"/>
            <w:noWrap/>
            <w:hideMark/>
          </w:tcPr>
          <w:p w:rsidR="0092299C" w:rsidRPr="00FB2C11" w:rsidRDefault="0092299C" w:rsidP="0092299C">
            <w:pPr>
              <w:pStyle w:val="ARtabletextright"/>
            </w:pPr>
            <w:r w:rsidRPr="00FB2C11">
              <w:t>$78,750</w:t>
            </w:r>
          </w:p>
        </w:tc>
        <w:tc>
          <w:tcPr>
            <w:tcW w:w="1276" w:type="dxa"/>
            <w:noWrap/>
            <w:hideMark/>
          </w:tcPr>
          <w:p w:rsidR="0092299C" w:rsidRPr="00FB2C11" w:rsidRDefault="0092299C" w:rsidP="0092299C">
            <w:pPr>
              <w:pStyle w:val="ARtabletextright"/>
            </w:pPr>
            <w:r w:rsidRPr="00FB2C11">
              <w:t>$57,479</w:t>
            </w:r>
          </w:p>
        </w:tc>
        <w:tc>
          <w:tcPr>
            <w:tcW w:w="1276" w:type="dxa"/>
            <w:noWrap/>
            <w:hideMark/>
          </w:tcPr>
          <w:p w:rsidR="0092299C" w:rsidRPr="00FB2C11" w:rsidRDefault="0092299C" w:rsidP="0092299C">
            <w:pPr>
              <w:pStyle w:val="ARtabletextright"/>
            </w:pPr>
            <w:r w:rsidRPr="00FB2C11">
              <w:t>$21,271</w:t>
            </w:r>
          </w:p>
        </w:tc>
      </w:tr>
      <w:tr w:rsidR="0092299C" w:rsidRPr="00FB2C11" w:rsidTr="0084694E">
        <w:tc>
          <w:tcPr>
            <w:tcW w:w="2194" w:type="dxa"/>
            <w:noWrap/>
            <w:hideMark/>
          </w:tcPr>
          <w:p w:rsidR="0092299C" w:rsidRPr="00FB2C11" w:rsidRDefault="0092299C" w:rsidP="0092299C">
            <w:pPr>
              <w:pStyle w:val="ARtabletext"/>
            </w:pPr>
            <w:r w:rsidRPr="00FB2C11">
              <w:t>Oakton Services Pty Ltd</w:t>
            </w:r>
          </w:p>
        </w:tc>
        <w:tc>
          <w:tcPr>
            <w:tcW w:w="3771" w:type="dxa"/>
            <w:noWrap/>
            <w:hideMark/>
          </w:tcPr>
          <w:p w:rsidR="0092299C" w:rsidRPr="00FB2C11" w:rsidRDefault="0092299C" w:rsidP="0092299C">
            <w:pPr>
              <w:pStyle w:val="ARtabletext"/>
            </w:pPr>
            <w:r w:rsidRPr="00FB2C11">
              <w:t>Develop digital strategy, delivering services to clients</w:t>
            </w:r>
          </w:p>
        </w:tc>
        <w:tc>
          <w:tcPr>
            <w:tcW w:w="1275" w:type="dxa"/>
            <w:noWrap/>
            <w:hideMark/>
          </w:tcPr>
          <w:p w:rsidR="0092299C" w:rsidRPr="00FB2C11" w:rsidRDefault="0092299C" w:rsidP="0092299C">
            <w:pPr>
              <w:pStyle w:val="ARtabletextright"/>
            </w:pPr>
            <w:r w:rsidRPr="00FB2C11">
              <w:t>$49,550</w:t>
            </w:r>
          </w:p>
        </w:tc>
        <w:tc>
          <w:tcPr>
            <w:tcW w:w="1276" w:type="dxa"/>
            <w:noWrap/>
            <w:hideMark/>
          </w:tcPr>
          <w:p w:rsidR="0092299C" w:rsidRPr="00FB2C11" w:rsidRDefault="0092299C" w:rsidP="0092299C">
            <w:pPr>
              <w:pStyle w:val="ARtabletextright"/>
            </w:pPr>
            <w:r w:rsidRPr="00FB2C11">
              <w:t>$49,550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Pitcher Partners</w:t>
            </w:r>
          </w:p>
        </w:tc>
        <w:tc>
          <w:tcPr>
            <w:tcW w:w="3771" w:type="dxa"/>
            <w:noWrap/>
            <w:hideMark/>
          </w:tcPr>
          <w:p w:rsidR="0092299C" w:rsidRPr="00FB2C11" w:rsidRDefault="0092299C" w:rsidP="0092299C">
            <w:pPr>
              <w:pStyle w:val="ARtabletext"/>
            </w:pPr>
            <w:r w:rsidRPr="00FB2C11">
              <w:t>Review, Community Chef food production operation</w:t>
            </w:r>
          </w:p>
        </w:tc>
        <w:tc>
          <w:tcPr>
            <w:tcW w:w="1275" w:type="dxa"/>
            <w:noWrap/>
            <w:hideMark/>
          </w:tcPr>
          <w:p w:rsidR="0092299C" w:rsidRPr="00FB2C11" w:rsidRDefault="0092299C" w:rsidP="0092299C">
            <w:pPr>
              <w:pStyle w:val="ARtabletextright"/>
            </w:pPr>
            <w:r w:rsidRPr="00FB2C11">
              <w:t>$79,091</w:t>
            </w:r>
          </w:p>
        </w:tc>
        <w:tc>
          <w:tcPr>
            <w:tcW w:w="1276" w:type="dxa"/>
            <w:noWrap/>
            <w:hideMark/>
          </w:tcPr>
          <w:p w:rsidR="0092299C" w:rsidRPr="00FB2C11" w:rsidRDefault="0092299C" w:rsidP="0092299C">
            <w:pPr>
              <w:pStyle w:val="ARtabletextright"/>
            </w:pPr>
            <w:r w:rsidRPr="00FB2C11">
              <w:t>$78,350</w:t>
            </w:r>
          </w:p>
        </w:tc>
        <w:tc>
          <w:tcPr>
            <w:tcW w:w="1276" w:type="dxa"/>
            <w:noWrap/>
            <w:hideMark/>
          </w:tcPr>
          <w:p w:rsidR="0092299C" w:rsidRPr="00FB2C11" w:rsidRDefault="0092299C" w:rsidP="0092299C">
            <w:pPr>
              <w:pStyle w:val="ARtabletextright"/>
            </w:pPr>
            <w:r w:rsidRPr="00FB2C11">
              <w:t>$741</w:t>
            </w:r>
          </w:p>
        </w:tc>
      </w:tr>
      <w:tr w:rsidR="0092299C" w:rsidRPr="00FB2C11" w:rsidTr="0084694E">
        <w:tc>
          <w:tcPr>
            <w:tcW w:w="2194" w:type="dxa"/>
            <w:noWrap/>
            <w:hideMark/>
          </w:tcPr>
          <w:p w:rsidR="0092299C" w:rsidRPr="00FB2C11" w:rsidRDefault="0092299C" w:rsidP="0092299C">
            <w:pPr>
              <w:pStyle w:val="ARtabletext"/>
            </w:pPr>
            <w:r w:rsidRPr="00FB2C11">
              <w:t>Workforce Planning Global Pty Ltd</w:t>
            </w:r>
          </w:p>
        </w:tc>
        <w:tc>
          <w:tcPr>
            <w:tcW w:w="3771" w:type="dxa"/>
            <w:noWrap/>
            <w:hideMark/>
          </w:tcPr>
          <w:p w:rsidR="0092299C" w:rsidRPr="00FB2C11" w:rsidRDefault="0092299C" w:rsidP="0092299C">
            <w:pPr>
              <w:pStyle w:val="ARtabletext"/>
            </w:pPr>
            <w:r w:rsidRPr="00FB2C11">
              <w:t>Review, workforce planning</w:t>
            </w:r>
          </w:p>
        </w:tc>
        <w:tc>
          <w:tcPr>
            <w:tcW w:w="1275" w:type="dxa"/>
            <w:noWrap/>
            <w:hideMark/>
          </w:tcPr>
          <w:p w:rsidR="0092299C" w:rsidRPr="00FB2C11" w:rsidRDefault="0092299C" w:rsidP="0092299C">
            <w:pPr>
              <w:pStyle w:val="ARtabletextright"/>
            </w:pPr>
            <w:r w:rsidRPr="00FB2C11">
              <w:t>$18,050</w:t>
            </w:r>
          </w:p>
        </w:tc>
        <w:tc>
          <w:tcPr>
            <w:tcW w:w="1276" w:type="dxa"/>
            <w:noWrap/>
            <w:hideMark/>
          </w:tcPr>
          <w:p w:rsidR="0092299C" w:rsidRPr="00FB2C11" w:rsidRDefault="0092299C" w:rsidP="0092299C">
            <w:pPr>
              <w:pStyle w:val="ARtabletextright"/>
            </w:pPr>
            <w:r w:rsidRPr="00FB2C11">
              <w:t>$18,050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Sefton Management Consulting</w:t>
            </w:r>
          </w:p>
        </w:tc>
        <w:tc>
          <w:tcPr>
            <w:tcW w:w="3771" w:type="dxa"/>
            <w:noWrap/>
            <w:hideMark/>
          </w:tcPr>
          <w:p w:rsidR="0092299C" w:rsidRPr="00FB2C11" w:rsidRDefault="0092299C" w:rsidP="0092299C">
            <w:pPr>
              <w:pStyle w:val="ARtabletext"/>
            </w:pPr>
            <w:r w:rsidRPr="00FB2C11">
              <w:t>Review, North East Melbourne area front end services</w:t>
            </w:r>
          </w:p>
        </w:tc>
        <w:tc>
          <w:tcPr>
            <w:tcW w:w="1275" w:type="dxa"/>
            <w:noWrap/>
            <w:hideMark/>
          </w:tcPr>
          <w:p w:rsidR="0092299C" w:rsidRPr="00FB2C11" w:rsidRDefault="0092299C" w:rsidP="0092299C">
            <w:pPr>
              <w:pStyle w:val="ARtabletextright"/>
            </w:pPr>
            <w:r w:rsidRPr="00FB2C11">
              <w:t>$43,636</w:t>
            </w:r>
          </w:p>
        </w:tc>
        <w:tc>
          <w:tcPr>
            <w:tcW w:w="1276" w:type="dxa"/>
            <w:noWrap/>
            <w:hideMark/>
          </w:tcPr>
          <w:p w:rsidR="0092299C" w:rsidRPr="00FB2C11" w:rsidRDefault="0092299C" w:rsidP="0092299C">
            <w:pPr>
              <w:pStyle w:val="ARtabletextright"/>
            </w:pPr>
            <w:r w:rsidRPr="00FB2C11">
              <w:t>$43,636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Anam</w:t>
            </w:r>
            <w:proofErr w:type="spellEnd"/>
            <w:r w:rsidRPr="00FB2C11">
              <w:t xml:space="preserve"> Cara House Geelong Pty Ltd</w:t>
            </w:r>
          </w:p>
        </w:tc>
        <w:tc>
          <w:tcPr>
            <w:tcW w:w="3771" w:type="dxa"/>
            <w:noWrap/>
            <w:hideMark/>
          </w:tcPr>
          <w:p w:rsidR="0092299C" w:rsidRPr="00FB2C11" w:rsidRDefault="0092299C" w:rsidP="0092299C">
            <w:pPr>
              <w:pStyle w:val="ARtabletext"/>
            </w:pPr>
            <w:r w:rsidRPr="00FB2C11">
              <w:t xml:space="preserve">Identify options to </w:t>
            </w:r>
            <w:r>
              <w:t>i</w:t>
            </w:r>
            <w:r w:rsidRPr="00FB2C11">
              <w:t>mprove respite services in Barwon South West</w:t>
            </w:r>
          </w:p>
        </w:tc>
        <w:tc>
          <w:tcPr>
            <w:tcW w:w="1275" w:type="dxa"/>
            <w:noWrap/>
            <w:hideMark/>
          </w:tcPr>
          <w:p w:rsidR="0092299C" w:rsidRPr="00FB2C11" w:rsidRDefault="0092299C" w:rsidP="0092299C">
            <w:pPr>
              <w:pStyle w:val="ARtabletextright"/>
            </w:pPr>
            <w:r w:rsidRPr="00FB2C11">
              <w:t>$109,091</w:t>
            </w:r>
          </w:p>
        </w:tc>
        <w:tc>
          <w:tcPr>
            <w:tcW w:w="1276" w:type="dxa"/>
            <w:noWrap/>
            <w:hideMark/>
          </w:tcPr>
          <w:p w:rsidR="0092299C" w:rsidRPr="00FB2C11" w:rsidRDefault="0092299C" w:rsidP="0092299C">
            <w:pPr>
              <w:pStyle w:val="ARtabletextright"/>
            </w:pPr>
            <w:r w:rsidRPr="00FB2C11">
              <w:t>$18,182</w:t>
            </w:r>
          </w:p>
        </w:tc>
        <w:tc>
          <w:tcPr>
            <w:tcW w:w="1276" w:type="dxa"/>
            <w:noWrap/>
            <w:hideMark/>
          </w:tcPr>
          <w:p w:rsidR="0092299C" w:rsidRPr="00FB2C11" w:rsidRDefault="0092299C" w:rsidP="0092299C">
            <w:pPr>
              <w:pStyle w:val="ARtabletextright"/>
            </w:pPr>
            <w:r w:rsidRPr="00FB2C11">
              <w:t>$90,909</w:t>
            </w:r>
          </w:p>
        </w:tc>
      </w:tr>
      <w:tr w:rsidR="0092299C" w:rsidRPr="00FB2C11" w:rsidTr="0084694E">
        <w:tc>
          <w:tcPr>
            <w:tcW w:w="2194" w:type="dxa"/>
            <w:noWrap/>
            <w:hideMark/>
          </w:tcPr>
          <w:p w:rsidR="0092299C" w:rsidRPr="00FB2C11" w:rsidRDefault="0092299C" w:rsidP="0092299C">
            <w:pPr>
              <w:pStyle w:val="ARtabletext"/>
            </w:pPr>
            <w:r w:rsidRPr="00FB2C11">
              <w:t xml:space="preserve">Centre for Excellence in Child and Family Welfare </w:t>
            </w:r>
            <w:proofErr w:type="spellStart"/>
            <w:r w:rsidRPr="00FB2C11">
              <w:t>Inc</w:t>
            </w:r>
            <w:proofErr w:type="spellEnd"/>
          </w:p>
        </w:tc>
        <w:tc>
          <w:tcPr>
            <w:tcW w:w="3771" w:type="dxa"/>
            <w:noWrap/>
            <w:hideMark/>
          </w:tcPr>
          <w:p w:rsidR="0092299C" w:rsidRPr="00FB2C11" w:rsidRDefault="0092299C" w:rsidP="0092299C">
            <w:pPr>
              <w:pStyle w:val="ARtabletext"/>
            </w:pPr>
            <w:r w:rsidRPr="00FB2C11">
              <w:t xml:space="preserve">Coordinate production of 2017 good practice </w:t>
            </w:r>
            <w:proofErr w:type="spellStart"/>
            <w:r w:rsidRPr="00FB2C11">
              <w:t>statewide</w:t>
            </w:r>
            <w:proofErr w:type="spellEnd"/>
            <w:r w:rsidRPr="00FB2C11">
              <w:t xml:space="preserve"> snapshot publication agreement</w:t>
            </w:r>
          </w:p>
        </w:tc>
        <w:tc>
          <w:tcPr>
            <w:tcW w:w="1275" w:type="dxa"/>
            <w:noWrap/>
            <w:hideMark/>
          </w:tcPr>
          <w:p w:rsidR="0092299C" w:rsidRPr="00FB2C11" w:rsidRDefault="0092299C" w:rsidP="0092299C">
            <w:pPr>
              <w:pStyle w:val="ARtabletextright"/>
            </w:pPr>
            <w:r w:rsidRPr="00FB2C11">
              <w:t>$40,500</w:t>
            </w:r>
          </w:p>
        </w:tc>
        <w:tc>
          <w:tcPr>
            <w:tcW w:w="1276" w:type="dxa"/>
            <w:noWrap/>
            <w:hideMark/>
          </w:tcPr>
          <w:p w:rsidR="0092299C" w:rsidRPr="00FB2C11" w:rsidRDefault="0092299C" w:rsidP="0092299C">
            <w:pPr>
              <w:pStyle w:val="ARtabletextright"/>
            </w:pPr>
            <w:r w:rsidRPr="00FB2C11">
              <w:t>$36,900</w:t>
            </w:r>
          </w:p>
        </w:tc>
        <w:tc>
          <w:tcPr>
            <w:tcW w:w="1276" w:type="dxa"/>
            <w:noWrap/>
            <w:hideMark/>
          </w:tcPr>
          <w:p w:rsidR="0092299C" w:rsidRPr="00FB2C11" w:rsidRDefault="0092299C" w:rsidP="0092299C">
            <w:pPr>
              <w:pStyle w:val="ARtabletextright"/>
            </w:pPr>
            <w:r w:rsidRPr="00FB2C11">
              <w:t>$3,600</w:t>
            </w:r>
          </w:p>
        </w:tc>
      </w:tr>
      <w:tr w:rsidR="0092299C" w:rsidRPr="00FB2C11" w:rsidTr="0084694E">
        <w:tc>
          <w:tcPr>
            <w:tcW w:w="2194" w:type="dxa"/>
            <w:noWrap/>
            <w:hideMark/>
          </w:tcPr>
          <w:p w:rsidR="0092299C" w:rsidRPr="00FB2C11" w:rsidRDefault="0092299C" w:rsidP="0092299C">
            <w:pPr>
              <w:pStyle w:val="ARtabletext"/>
            </w:pPr>
            <w:r w:rsidRPr="00FB2C11">
              <w:t>Monash University</w:t>
            </w:r>
          </w:p>
        </w:tc>
        <w:tc>
          <w:tcPr>
            <w:tcW w:w="3771" w:type="dxa"/>
            <w:noWrap/>
            <w:hideMark/>
          </w:tcPr>
          <w:p w:rsidR="0092299C" w:rsidRPr="00FB2C11" w:rsidRDefault="0092299C" w:rsidP="0092299C">
            <w:pPr>
              <w:pStyle w:val="ARtabletext"/>
            </w:pPr>
            <w:r w:rsidRPr="00FB2C11">
              <w:t>Review, men's behaviour change minimum standards</w:t>
            </w:r>
          </w:p>
        </w:tc>
        <w:tc>
          <w:tcPr>
            <w:tcW w:w="1275" w:type="dxa"/>
            <w:noWrap/>
            <w:hideMark/>
          </w:tcPr>
          <w:p w:rsidR="0092299C" w:rsidRPr="00FB2C11" w:rsidRDefault="0092299C" w:rsidP="0092299C">
            <w:pPr>
              <w:pStyle w:val="ARtabletextright"/>
            </w:pPr>
            <w:r w:rsidRPr="00FB2C11">
              <w:t>$89,619</w:t>
            </w:r>
          </w:p>
        </w:tc>
        <w:tc>
          <w:tcPr>
            <w:tcW w:w="1276" w:type="dxa"/>
            <w:noWrap/>
            <w:hideMark/>
          </w:tcPr>
          <w:p w:rsidR="0092299C" w:rsidRPr="00FB2C11" w:rsidRDefault="0092299C" w:rsidP="0092299C">
            <w:pPr>
              <w:pStyle w:val="ARtabletextright"/>
            </w:pPr>
            <w:r w:rsidRPr="00FB2C11">
              <w:t>$68,098</w:t>
            </w:r>
          </w:p>
        </w:tc>
        <w:tc>
          <w:tcPr>
            <w:tcW w:w="1276" w:type="dxa"/>
            <w:noWrap/>
            <w:hideMark/>
          </w:tcPr>
          <w:p w:rsidR="0092299C" w:rsidRPr="00FB2C11" w:rsidRDefault="0092299C" w:rsidP="0092299C">
            <w:pPr>
              <w:pStyle w:val="ARtabletextright"/>
            </w:pPr>
            <w:r w:rsidRPr="00FB2C11">
              <w:t>$21,521</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Develop compliance framework for providers of men's behaviour change programs</w:t>
            </w:r>
          </w:p>
        </w:tc>
        <w:tc>
          <w:tcPr>
            <w:tcW w:w="1275" w:type="dxa"/>
            <w:noWrap/>
            <w:hideMark/>
          </w:tcPr>
          <w:p w:rsidR="0092299C" w:rsidRPr="00FB2C11" w:rsidRDefault="0092299C" w:rsidP="0092299C">
            <w:pPr>
              <w:pStyle w:val="ARtabletextright"/>
            </w:pPr>
            <w:r w:rsidRPr="00FB2C11">
              <w:t>$75,545</w:t>
            </w:r>
          </w:p>
        </w:tc>
        <w:tc>
          <w:tcPr>
            <w:tcW w:w="1276" w:type="dxa"/>
            <w:noWrap/>
            <w:hideMark/>
          </w:tcPr>
          <w:p w:rsidR="0092299C" w:rsidRPr="00FB2C11" w:rsidRDefault="0092299C" w:rsidP="0092299C">
            <w:pPr>
              <w:pStyle w:val="ARtabletextright"/>
            </w:pPr>
            <w:r w:rsidRPr="00FB2C11">
              <w:t>$53,184</w:t>
            </w:r>
          </w:p>
        </w:tc>
        <w:tc>
          <w:tcPr>
            <w:tcW w:w="1276" w:type="dxa"/>
            <w:noWrap/>
            <w:hideMark/>
          </w:tcPr>
          <w:p w:rsidR="0092299C" w:rsidRPr="00FB2C11" w:rsidRDefault="0092299C" w:rsidP="0092299C">
            <w:pPr>
              <w:pStyle w:val="ARtabletextright"/>
            </w:pPr>
            <w:r w:rsidRPr="00FB2C11">
              <w:t>$22,361</w:t>
            </w:r>
          </w:p>
        </w:tc>
      </w:tr>
      <w:tr w:rsidR="0092299C" w:rsidRPr="00FB2C11" w:rsidTr="0084694E">
        <w:tc>
          <w:tcPr>
            <w:tcW w:w="2194" w:type="dxa"/>
            <w:noWrap/>
            <w:hideMark/>
          </w:tcPr>
          <w:p w:rsidR="0092299C" w:rsidRPr="00FB2C11" w:rsidRDefault="0092299C" w:rsidP="0092299C">
            <w:pPr>
              <w:pStyle w:val="ARtabletext"/>
            </w:pPr>
            <w:r w:rsidRPr="00FB2C11">
              <w:t>Bainbridge Associates Pty Ltd</w:t>
            </w:r>
          </w:p>
        </w:tc>
        <w:tc>
          <w:tcPr>
            <w:tcW w:w="3771" w:type="dxa"/>
            <w:noWrap/>
            <w:hideMark/>
          </w:tcPr>
          <w:p w:rsidR="0092299C" w:rsidRPr="00FB2C11" w:rsidRDefault="0092299C" w:rsidP="0092299C">
            <w:pPr>
              <w:pStyle w:val="ARtabletext"/>
            </w:pPr>
            <w:r w:rsidRPr="00FB2C11">
              <w:t>Advice, real-time prescription monitoring project</w:t>
            </w:r>
          </w:p>
        </w:tc>
        <w:tc>
          <w:tcPr>
            <w:tcW w:w="1275" w:type="dxa"/>
            <w:noWrap/>
            <w:hideMark/>
          </w:tcPr>
          <w:p w:rsidR="0092299C" w:rsidRPr="00FB2C11" w:rsidRDefault="0092299C" w:rsidP="0092299C">
            <w:pPr>
              <w:pStyle w:val="ARtabletextright"/>
            </w:pPr>
            <w:r w:rsidRPr="00FB2C11">
              <w:t>$38,250</w:t>
            </w:r>
          </w:p>
        </w:tc>
        <w:tc>
          <w:tcPr>
            <w:tcW w:w="1276" w:type="dxa"/>
            <w:noWrap/>
            <w:hideMark/>
          </w:tcPr>
          <w:p w:rsidR="0092299C" w:rsidRPr="00FB2C11" w:rsidRDefault="0092299C" w:rsidP="0092299C">
            <w:pPr>
              <w:pStyle w:val="ARtabletextright"/>
            </w:pPr>
            <w:r w:rsidRPr="00FB2C11">
              <w:t>$38,250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Larter</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Develop mentoring support services, community health agencies</w:t>
            </w:r>
          </w:p>
        </w:tc>
        <w:tc>
          <w:tcPr>
            <w:tcW w:w="1275" w:type="dxa"/>
            <w:noWrap/>
            <w:hideMark/>
          </w:tcPr>
          <w:p w:rsidR="0092299C" w:rsidRPr="00FB2C11" w:rsidRDefault="0092299C" w:rsidP="0092299C">
            <w:pPr>
              <w:pStyle w:val="ARtabletextright"/>
            </w:pPr>
            <w:r w:rsidRPr="00FB2C11">
              <w:t>$13,038</w:t>
            </w:r>
          </w:p>
        </w:tc>
        <w:tc>
          <w:tcPr>
            <w:tcW w:w="1276" w:type="dxa"/>
            <w:noWrap/>
            <w:hideMark/>
          </w:tcPr>
          <w:p w:rsidR="0092299C" w:rsidRPr="00FB2C11" w:rsidRDefault="0092299C" w:rsidP="0092299C">
            <w:pPr>
              <w:pStyle w:val="ARtabletextright"/>
            </w:pPr>
            <w:r w:rsidRPr="00FB2C11">
              <w:t>$13,038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Bevington</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Lean improvement event, executive office processes</w:t>
            </w:r>
          </w:p>
        </w:tc>
        <w:tc>
          <w:tcPr>
            <w:tcW w:w="1275" w:type="dxa"/>
            <w:noWrap/>
            <w:hideMark/>
          </w:tcPr>
          <w:p w:rsidR="0092299C" w:rsidRPr="00FB2C11" w:rsidRDefault="0092299C" w:rsidP="0092299C">
            <w:pPr>
              <w:pStyle w:val="ARtabletextright"/>
            </w:pPr>
            <w:r w:rsidRPr="00FB2C11">
              <w:t>$14,468</w:t>
            </w:r>
          </w:p>
        </w:tc>
        <w:tc>
          <w:tcPr>
            <w:tcW w:w="1276" w:type="dxa"/>
            <w:noWrap/>
            <w:hideMark/>
          </w:tcPr>
          <w:p w:rsidR="0092299C" w:rsidRPr="00FB2C11" w:rsidRDefault="0092299C" w:rsidP="0092299C">
            <w:pPr>
              <w:pStyle w:val="ARtabletextright"/>
            </w:pPr>
            <w:r w:rsidRPr="00FB2C11">
              <w:t>$14,468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Review, cash position of selected health services</w:t>
            </w:r>
          </w:p>
        </w:tc>
        <w:tc>
          <w:tcPr>
            <w:tcW w:w="1275" w:type="dxa"/>
            <w:noWrap/>
            <w:hideMark/>
          </w:tcPr>
          <w:p w:rsidR="0092299C" w:rsidRPr="00FB2C11" w:rsidRDefault="0092299C" w:rsidP="0092299C">
            <w:pPr>
              <w:pStyle w:val="ARtabletextright"/>
            </w:pPr>
            <w:r w:rsidRPr="00FB2C11">
              <w:t>$196,327</w:t>
            </w:r>
          </w:p>
        </w:tc>
        <w:tc>
          <w:tcPr>
            <w:tcW w:w="1276" w:type="dxa"/>
            <w:noWrap/>
            <w:hideMark/>
          </w:tcPr>
          <w:p w:rsidR="0092299C" w:rsidRPr="00FB2C11" w:rsidRDefault="0092299C" w:rsidP="0092299C">
            <w:pPr>
              <w:pStyle w:val="ARtabletextright"/>
            </w:pPr>
            <w:r w:rsidRPr="00FB2C11">
              <w:t>$196,542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Nucleus Consulting Group Pty Ltd</w:t>
            </w:r>
          </w:p>
        </w:tc>
        <w:tc>
          <w:tcPr>
            <w:tcW w:w="3771" w:type="dxa"/>
            <w:noWrap/>
            <w:hideMark/>
          </w:tcPr>
          <w:p w:rsidR="0092299C" w:rsidRPr="00FB2C11" w:rsidRDefault="0092299C" w:rsidP="0092299C">
            <w:pPr>
              <w:pStyle w:val="ARtabletext"/>
            </w:pPr>
            <w:r w:rsidRPr="00FB2C11">
              <w:t>Service review, golden city support service</w:t>
            </w:r>
          </w:p>
        </w:tc>
        <w:tc>
          <w:tcPr>
            <w:tcW w:w="1275" w:type="dxa"/>
            <w:noWrap/>
            <w:hideMark/>
          </w:tcPr>
          <w:p w:rsidR="0092299C" w:rsidRPr="00FB2C11" w:rsidRDefault="0092299C" w:rsidP="0092299C">
            <w:pPr>
              <w:pStyle w:val="ARtabletextright"/>
            </w:pPr>
            <w:r w:rsidRPr="00FB2C11">
              <w:t>$39,891</w:t>
            </w:r>
          </w:p>
        </w:tc>
        <w:tc>
          <w:tcPr>
            <w:tcW w:w="1276" w:type="dxa"/>
            <w:noWrap/>
            <w:hideMark/>
          </w:tcPr>
          <w:p w:rsidR="0092299C" w:rsidRPr="00FB2C11" w:rsidRDefault="0092299C" w:rsidP="0092299C">
            <w:pPr>
              <w:pStyle w:val="ARtabletextright"/>
            </w:pPr>
            <w:r w:rsidRPr="00FB2C11">
              <w:t>$40,630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Heather Michaels and Associates</w:t>
            </w:r>
          </w:p>
        </w:tc>
        <w:tc>
          <w:tcPr>
            <w:tcW w:w="3771" w:type="dxa"/>
            <w:noWrap/>
            <w:hideMark/>
          </w:tcPr>
          <w:p w:rsidR="0092299C" w:rsidRPr="00FB2C11" w:rsidRDefault="0092299C" w:rsidP="0092299C">
            <w:pPr>
              <w:pStyle w:val="ARtabletext"/>
            </w:pPr>
            <w:r w:rsidRPr="00FB2C11">
              <w:t>Review, lifestyle solutions service</w:t>
            </w:r>
          </w:p>
        </w:tc>
        <w:tc>
          <w:tcPr>
            <w:tcW w:w="1275" w:type="dxa"/>
            <w:noWrap/>
            <w:hideMark/>
          </w:tcPr>
          <w:p w:rsidR="0092299C" w:rsidRPr="00FB2C11" w:rsidRDefault="0092299C" w:rsidP="0092299C">
            <w:pPr>
              <w:pStyle w:val="ARtabletextright"/>
            </w:pPr>
            <w:r w:rsidRPr="00FB2C11">
              <w:t>$25,200</w:t>
            </w:r>
          </w:p>
        </w:tc>
        <w:tc>
          <w:tcPr>
            <w:tcW w:w="1276" w:type="dxa"/>
            <w:noWrap/>
            <w:hideMark/>
          </w:tcPr>
          <w:p w:rsidR="0092299C" w:rsidRPr="00FB2C11" w:rsidRDefault="0092299C" w:rsidP="0092299C">
            <w:pPr>
              <w:pStyle w:val="ARtabletextright"/>
            </w:pPr>
            <w:r w:rsidRPr="00FB2C11">
              <w:t>$25,200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lastRenderedPageBreak/>
              <w:t>Ernst &amp; Young</w:t>
            </w:r>
          </w:p>
        </w:tc>
        <w:tc>
          <w:tcPr>
            <w:tcW w:w="3771" w:type="dxa"/>
            <w:noWrap/>
            <w:hideMark/>
          </w:tcPr>
          <w:p w:rsidR="0092299C" w:rsidRPr="00FB2C11" w:rsidRDefault="0092299C" w:rsidP="0092299C">
            <w:pPr>
              <w:pStyle w:val="ARtabletext"/>
            </w:pPr>
            <w:r w:rsidRPr="00FB2C11">
              <w:t xml:space="preserve">Provide advice on coherent framework to support quantitative evaluation of housing interventions </w:t>
            </w:r>
          </w:p>
        </w:tc>
        <w:tc>
          <w:tcPr>
            <w:tcW w:w="1275" w:type="dxa"/>
            <w:noWrap/>
            <w:hideMark/>
          </w:tcPr>
          <w:p w:rsidR="0092299C" w:rsidRPr="00FB2C11" w:rsidRDefault="0092299C" w:rsidP="0092299C">
            <w:pPr>
              <w:pStyle w:val="ARtabletextright"/>
            </w:pPr>
            <w:r w:rsidRPr="00FB2C11">
              <w:t>$207,657</w:t>
            </w:r>
          </w:p>
        </w:tc>
        <w:tc>
          <w:tcPr>
            <w:tcW w:w="1276" w:type="dxa"/>
            <w:noWrap/>
            <w:hideMark/>
          </w:tcPr>
          <w:p w:rsidR="0092299C" w:rsidRPr="00FB2C11" w:rsidRDefault="0092299C" w:rsidP="0092299C">
            <w:pPr>
              <w:pStyle w:val="ARtabletextright"/>
            </w:pPr>
            <w:r w:rsidRPr="00FB2C11">
              <w:t>$83,063</w:t>
            </w:r>
          </w:p>
        </w:tc>
        <w:tc>
          <w:tcPr>
            <w:tcW w:w="1276" w:type="dxa"/>
            <w:noWrap/>
            <w:hideMark/>
          </w:tcPr>
          <w:p w:rsidR="0092299C" w:rsidRPr="00FB2C11" w:rsidRDefault="0092299C" w:rsidP="0092299C">
            <w:pPr>
              <w:pStyle w:val="ARtabletextright"/>
            </w:pPr>
            <w:r w:rsidRPr="00FB2C11">
              <w:t>$124,594</w:t>
            </w:r>
          </w:p>
        </w:tc>
      </w:tr>
      <w:tr w:rsidR="0092299C" w:rsidRPr="00FB2C11" w:rsidTr="0084694E">
        <w:tc>
          <w:tcPr>
            <w:tcW w:w="2194" w:type="dxa"/>
            <w:noWrap/>
            <w:hideMark/>
          </w:tcPr>
          <w:p w:rsidR="0092299C" w:rsidRPr="00FB2C11" w:rsidRDefault="0092299C" w:rsidP="0092299C">
            <w:pPr>
              <w:pStyle w:val="ARtabletext"/>
            </w:pPr>
            <w:r w:rsidRPr="00FB2C11">
              <w:t>Data Agility Pty Ltd</w:t>
            </w:r>
          </w:p>
        </w:tc>
        <w:tc>
          <w:tcPr>
            <w:tcW w:w="3771" w:type="dxa"/>
            <w:noWrap/>
            <w:hideMark/>
          </w:tcPr>
          <w:p w:rsidR="0092299C" w:rsidRPr="00FB2C11" w:rsidRDefault="0092299C" w:rsidP="0092299C">
            <w:pPr>
              <w:pStyle w:val="ARtabletext"/>
            </w:pPr>
            <w:r w:rsidRPr="00FB2C11">
              <w:t>Undertake phase 1, information management and analytics strategy project</w:t>
            </w:r>
          </w:p>
        </w:tc>
        <w:tc>
          <w:tcPr>
            <w:tcW w:w="1275" w:type="dxa"/>
            <w:noWrap/>
            <w:hideMark/>
          </w:tcPr>
          <w:p w:rsidR="0092299C" w:rsidRPr="00FB2C11" w:rsidRDefault="0092299C" w:rsidP="0092299C">
            <w:pPr>
              <w:pStyle w:val="ARtabletextright"/>
            </w:pPr>
            <w:r w:rsidRPr="00FB2C11">
              <w:t>$134,740</w:t>
            </w:r>
          </w:p>
        </w:tc>
        <w:tc>
          <w:tcPr>
            <w:tcW w:w="1276" w:type="dxa"/>
            <w:noWrap/>
            <w:hideMark/>
          </w:tcPr>
          <w:p w:rsidR="0092299C" w:rsidRPr="00FB2C11" w:rsidRDefault="0092299C" w:rsidP="0092299C">
            <w:pPr>
              <w:pStyle w:val="ARtabletextright"/>
            </w:pPr>
            <w:r w:rsidRPr="00FB2C11">
              <w:t>$125,814</w:t>
            </w:r>
          </w:p>
        </w:tc>
        <w:tc>
          <w:tcPr>
            <w:tcW w:w="1276" w:type="dxa"/>
            <w:noWrap/>
            <w:hideMark/>
          </w:tcPr>
          <w:p w:rsidR="0092299C" w:rsidRPr="00FB2C11" w:rsidRDefault="0092299C" w:rsidP="0092299C">
            <w:pPr>
              <w:pStyle w:val="ARtabletextright"/>
            </w:pPr>
            <w:r w:rsidRPr="00FB2C11">
              <w:t>$8,926</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 xml:space="preserve">Governance review, committee arrangements </w:t>
            </w:r>
          </w:p>
        </w:tc>
        <w:tc>
          <w:tcPr>
            <w:tcW w:w="1275" w:type="dxa"/>
            <w:noWrap/>
            <w:hideMark/>
          </w:tcPr>
          <w:p w:rsidR="0092299C" w:rsidRPr="00FB2C11" w:rsidRDefault="0092299C" w:rsidP="0092299C">
            <w:pPr>
              <w:pStyle w:val="ARtabletextright"/>
            </w:pPr>
            <w:r w:rsidRPr="00FB2C11">
              <w:t>$69,800</w:t>
            </w:r>
          </w:p>
        </w:tc>
        <w:tc>
          <w:tcPr>
            <w:tcW w:w="1276" w:type="dxa"/>
            <w:noWrap/>
            <w:hideMark/>
          </w:tcPr>
          <w:p w:rsidR="0092299C" w:rsidRPr="00FB2C11" w:rsidRDefault="0092299C" w:rsidP="0092299C">
            <w:pPr>
              <w:pStyle w:val="ARtabletextright"/>
            </w:pPr>
            <w:r w:rsidRPr="00FB2C11">
              <w:t>$70,968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AOD design, service and infrastructure plan</w:t>
            </w:r>
          </w:p>
        </w:tc>
        <w:tc>
          <w:tcPr>
            <w:tcW w:w="1275" w:type="dxa"/>
            <w:noWrap/>
            <w:hideMark/>
          </w:tcPr>
          <w:p w:rsidR="0092299C" w:rsidRPr="00FB2C11" w:rsidRDefault="0092299C" w:rsidP="0092299C">
            <w:pPr>
              <w:pStyle w:val="ARtabletextright"/>
            </w:pPr>
            <w:r w:rsidRPr="00FB2C11">
              <w:t>$311,845</w:t>
            </w:r>
          </w:p>
        </w:tc>
        <w:tc>
          <w:tcPr>
            <w:tcW w:w="1276" w:type="dxa"/>
            <w:noWrap/>
            <w:hideMark/>
          </w:tcPr>
          <w:p w:rsidR="0092299C" w:rsidRPr="00FB2C11" w:rsidRDefault="0092299C" w:rsidP="0092299C">
            <w:pPr>
              <w:pStyle w:val="ARtabletextright"/>
            </w:pPr>
            <w:r w:rsidRPr="00FB2C11">
              <w:t>$226,610</w:t>
            </w:r>
          </w:p>
        </w:tc>
        <w:tc>
          <w:tcPr>
            <w:tcW w:w="1276" w:type="dxa"/>
            <w:noWrap/>
            <w:hideMark/>
          </w:tcPr>
          <w:p w:rsidR="0092299C" w:rsidRPr="00FB2C11" w:rsidRDefault="0092299C" w:rsidP="0092299C">
            <w:pPr>
              <w:pStyle w:val="ARtabletextright"/>
            </w:pPr>
            <w:r w:rsidRPr="00FB2C11">
              <w:t>$85,235</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Develop and implement, Victoria</w:t>
            </w:r>
            <w:r>
              <w:t>’</w:t>
            </w:r>
            <w:r w:rsidRPr="00FB2C11">
              <w:t>s disability abused prevention strategy</w:t>
            </w:r>
          </w:p>
        </w:tc>
        <w:tc>
          <w:tcPr>
            <w:tcW w:w="1275" w:type="dxa"/>
            <w:noWrap/>
            <w:hideMark/>
          </w:tcPr>
          <w:p w:rsidR="0092299C" w:rsidRPr="00FB2C11" w:rsidRDefault="0092299C" w:rsidP="0092299C">
            <w:pPr>
              <w:pStyle w:val="ARtabletextright"/>
            </w:pPr>
            <w:r w:rsidRPr="00FB2C11">
              <w:t>$138,490</w:t>
            </w:r>
          </w:p>
        </w:tc>
        <w:tc>
          <w:tcPr>
            <w:tcW w:w="1276" w:type="dxa"/>
            <w:noWrap/>
            <w:hideMark/>
          </w:tcPr>
          <w:p w:rsidR="0092299C" w:rsidRPr="00FB2C11" w:rsidRDefault="0092299C" w:rsidP="0092299C">
            <w:pPr>
              <w:pStyle w:val="ARtabletextright"/>
            </w:pPr>
            <w:r w:rsidRPr="00FB2C11">
              <w:t>$138,490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Silverpod</w:t>
            </w:r>
            <w:proofErr w:type="spellEnd"/>
            <w:r w:rsidRPr="00FB2C11">
              <w:t xml:space="preserve"> Productions Pty Ltd</w:t>
            </w:r>
          </w:p>
        </w:tc>
        <w:tc>
          <w:tcPr>
            <w:tcW w:w="3771" w:type="dxa"/>
            <w:noWrap/>
            <w:hideMark/>
          </w:tcPr>
          <w:p w:rsidR="0092299C" w:rsidRPr="00FB2C11" w:rsidRDefault="0092299C" w:rsidP="0092299C">
            <w:pPr>
              <w:pStyle w:val="ARtabletext"/>
            </w:pPr>
            <w:r w:rsidRPr="00FB2C11">
              <w:t>Develop community awareness education campaign, Aboriginal family violence</w:t>
            </w:r>
          </w:p>
        </w:tc>
        <w:tc>
          <w:tcPr>
            <w:tcW w:w="1275" w:type="dxa"/>
            <w:noWrap/>
            <w:hideMark/>
          </w:tcPr>
          <w:p w:rsidR="0092299C" w:rsidRPr="00FB2C11" w:rsidRDefault="0092299C" w:rsidP="0092299C">
            <w:pPr>
              <w:pStyle w:val="ARtabletextright"/>
            </w:pPr>
            <w:r w:rsidRPr="00FB2C11">
              <w:t>$199,287</w:t>
            </w:r>
          </w:p>
        </w:tc>
        <w:tc>
          <w:tcPr>
            <w:tcW w:w="1276" w:type="dxa"/>
            <w:noWrap/>
            <w:hideMark/>
          </w:tcPr>
          <w:p w:rsidR="0092299C" w:rsidRPr="00FB2C11" w:rsidRDefault="0092299C" w:rsidP="0092299C">
            <w:pPr>
              <w:pStyle w:val="ARtabletextright"/>
            </w:pPr>
            <w:r w:rsidRPr="00FB2C11">
              <w:t>$74,545</w:t>
            </w:r>
          </w:p>
        </w:tc>
        <w:tc>
          <w:tcPr>
            <w:tcW w:w="1276" w:type="dxa"/>
            <w:noWrap/>
            <w:hideMark/>
          </w:tcPr>
          <w:p w:rsidR="0092299C" w:rsidRPr="00FB2C11" w:rsidRDefault="0092299C" w:rsidP="0092299C">
            <w:pPr>
              <w:pStyle w:val="ARtabletextright"/>
            </w:pPr>
            <w:r w:rsidRPr="00FB2C11">
              <w:t>$124,742</w:t>
            </w:r>
          </w:p>
        </w:tc>
      </w:tr>
      <w:tr w:rsidR="0092299C" w:rsidRPr="00FB2C11" w:rsidTr="0084694E">
        <w:tc>
          <w:tcPr>
            <w:tcW w:w="2194" w:type="dxa"/>
            <w:noWrap/>
            <w:hideMark/>
          </w:tcPr>
          <w:p w:rsidR="0092299C" w:rsidRPr="00FB2C11" w:rsidRDefault="0092299C" w:rsidP="0092299C">
            <w:pPr>
              <w:pStyle w:val="ARtabletext"/>
            </w:pPr>
            <w:proofErr w:type="spellStart"/>
            <w:r w:rsidRPr="00FB2C11">
              <w:t>Larter</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Develop pilot and evaluate service planning and inclusive practice tools and resources, community health services</w:t>
            </w:r>
          </w:p>
        </w:tc>
        <w:tc>
          <w:tcPr>
            <w:tcW w:w="1275" w:type="dxa"/>
            <w:noWrap/>
            <w:hideMark/>
          </w:tcPr>
          <w:p w:rsidR="0092299C" w:rsidRPr="00FB2C11" w:rsidRDefault="0092299C" w:rsidP="0092299C">
            <w:pPr>
              <w:pStyle w:val="ARtabletextright"/>
            </w:pPr>
            <w:r w:rsidRPr="00FB2C11">
              <w:t>$95,043</w:t>
            </w:r>
          </w:p>
        </w:tc>
        <w:tc>
          <w:tcPr>
            <w:tcW w:w="1276" w:type="dxa"/>
            <w:noWrap/>
            <w:hideMark/>
          </w:tcPr>
          <w:p w:rsidR="0092299C" w:rsidRPr="00FB2C11" w:rsidRDefault="0092299C" w:rsidP="0092299C">
            <w:pPr>
              <w:pStyle w:val="ARtabletextright"/>
            </w:pPr>
            <w:r w:rsidRPr="00FB2C11">
              <w:t>$14,375</w:t>
            </w:r>
          </w:p>
        </w:tc>
        <w:tc>
          <w:tcPr>
            <w:tcW w:w="1276" w:type="dxa"/>
            <w:noWrap/>
            <w:hideMark/>
          </w:tcPr>
          <w:p w:rsidR="0092299C" w:rsidRPr="00FB2C11" w:rsidRDefault="0092299C" w:rsidP="0092299C">
            <w:pPr>
              <w:pStyle w:val="ARtabletextright"/>
            </w:pPr>
            <w:r w:rsidRPr="00FB2C11">
              <w:t>$80,668</w:t>
            </w:r>
          </w:p>
        </w:tc>
      </w:tr>
      <w:tr w:rsidR="0092299C" w:rsidRPr="00FB2C11" w:rsidTr="0084694E">
        <w:tc>
          <w:tcPr>
            <w:tcW w:w="2194" w:type="dxa"/>
            <w:noWrap/>
            <w:hideMark/>
          </w:tcPr>
          <w:p w:rsidR="0092299C" w:rsidRPr="00FB2C11" w:rsidRDefault="0092299C" w:rsidP="0092299C">
            <w:pPr>
              <w:pStyle w:val="ARtabletext"/>
            </w:pPr>
            <w:proofErr w:type="spellStart"/>
            <w:r w:rsidRPr="00FB2C11">
              <w:t>Healthconsult</w:t>
            </w:r>
            <w:proofErr w:type="spellEnd"/>
            <w:r w:rsidRPr="00FB2C11">
              <w:t xml:space="preserve"> Pty Ltd</w:t>
            </w:r>
          </w:p>
        </w:tc>
        <w:tc>
          <w:tcPr>
            <w:tcW w:w="3771" w:type="dxa"/>
            <w:noWrap/>
            <w:hideMark/>
          </w:tcPr>
          <w:p w:rsidR="0092299C" w:rsidRPr="00FB2C11" w:rsidRDefault="0092299C" w:rsidP="0092299C">
            <w:pPr>
              <w:pStyle w:val="ARtabletext"/>
            </w:pPr>
            <w:r w:rsidRPr="00FB2C11">
              <w:t>Evaluate, pharmacist</w:t>
            </w:r>
            <w:r>
              <w:t xml:space="preserve"> </w:t>
            </w:r>
            <w:r w:rsidRPr="00FB2C11">
              <w:t>vaccination program</w:t>
            </w:r>
          </w:p>
        </w:tc>
        <w:tc>
          <w:tcPr>
            <w:tcW w:w="1275" w:type="dxa"/>
            <w:noWrap/>
            <w:hideMark/>
          </w:tcPr>
          <w:p w:rsidR="0092299C" w:rsidRPr="00FB2C11" w:rsidRDefault="0092299C" w:rsidP="0092299C">
            <w:pPr>
              <w:pStyle w:val="ARtabletextright"/>
            </w:pPr>
            <w:r w:rsidRPr="00FB2C11">
              <w:t>$210,700</w:t>
            </w:r>
          </w:p>
        </w:tc>
        <w:tc>
          <w:tcPr>
            <w:tcW w:w="1276" w:type="dxa"/>
            <w:noWrap/>
            <w:hideMark/>
          </w:tcPr>
          <w:p w:rsidR="0092299C" w:rsidRPr="00FB2C11" w:rsidRDefault="0092299C" w:rsidP="0092299C">
            <w:pPr>
              <w:pStyle w:val="ARtabletextright"/>
            </w:pPr>
            <w:r w:rsidRPr="00FB2C11">
              <w:t>$119,490</w:t>
            </w:r>
          </w:p>
        </w:tc>
        <w:tc>
          <w:tcPr>
            <w:tcW w:w="1276" w:type="dxa"/>
            <w:noWrap/>
            <w:hideMark/>
          </w:tcPr>
          <w:p w:rsidR="0092299C" w:rsidRPr="00FB2C11" w:rsidRDefault="0092299C" w:rsidP="0092299C">
            <w:pPr>
              <w:pStyle w:val="ARtabletextright"/>
            </w:pPr>
            <w:r w:rsidRPr="00FB2C11">
              <w:t>$91,210</w:t>
            </w:r>
          </w:p>
        </w:tc>
      </w:tr>
      <w:tr w:rsidR="0092299C" w:rsidRPr="00FB2C11" w:rsidTr="0084694E">
        <w:tc>
          <w:tcPr>
            <w:tcW w:w="2194" w:type="dxa"/>
            <w:noWrap/>
            <w:hideMark/>
          </w:tcPr>
          <w:p w:rsidR="0092299C" w:rsidRPr="00FB2C11" w:rsidRDefault="0092299C" w:rsidP="0092299C">
            <w:pPr>
              <w:pStyle w:val="ARtabletext"/>
            </w:pPr>
            <w:r w:rsidRPr="00FB2C11">
              <w:t>Applied Aged Care Solutions</w:t>
            </w:r>
          </w:p>
        </w:tc>
        <w:tc>
          <w:tcPr>
            <w:tcW w:w="3771" w:type="dxa"/>
            <w:noWrap/>
            <w:hideMark/>
          </w:tcPr>
          <w:p w:rsidR="0092299C" w:rsidRPr="00FB2C11" w:rsidRDefault="0092299C" w:rsidP="0092299C">
            <w:pPr>
              <w:pStyle w:val="ARtabletext"/>
            </w:pPr>
            <w:r w:rsidRPr="00FB2C11">
              <w:t>Undertake study, resident complexity in public sector aged care</w:t>
            </w:r>
          </w:p>
        </w:tc>
        <w:tc>
          <w:tcPr>
            <w:tcW w:w="1275" w:type="dxa"/>
            <w:noWrap/>
            <w:hideMark/>
          </w:tcPr>
          <w:p w:rsidR="0092299C" w:rsidRPr="00FB2C11" w:rsidRDefault="0092299C" w:rsidP="0092299C">
            <w:pPr>
              <w:pStyle w:val="ARtabletextright"/>
            </w:pPr>
            <w:r w:rsidRPr="00FB2C11">
              <w:t>$135,600</w:t>
            </w:r>
          </w:p>
        </w:tc>
        <w:tc>
          <w:tcPr>
            <w:tcW w:w="1276" w:type="dxa"/>
            <w:noWrap/>
            <w:hideMark/>
          </w:tcPr>
          <w:p w:rsidR="0092299C" w:rsidRPr="00FB2C11" w:rsidRDefault="0092299C" w:rsidP="0092299C">
            <w:pPr>
              <w:pStyle w:val="ARtabletextright"/>
            </w:pPr>
            <w:r w:rsidRPr="00FB2C11">
              <w:t>$94,920</w:t>
            </w:r>
          </w:p>
        </w:tc>
        <w:tc>
          <w:tcPr>
            <w:tcW w:w="1276" w:type="dxa"/>
            <w:noWrap/>
            <w:hideMark/>
          </w:tcPr>
          <w:p w:rsidR="0092299C" w:rsidRPr="00FB2C11" w:rsidRDefault="0092299C" w:rsidP="0092299C">
            <w:pPr>
              <w:pStyle w:val="ARtabletextright"/>
            </w:pPr>
            <w:r w:rsidRPr="00FB2C11">
              <w:t>$40,680</w:t>
            </w:r>
          </w:p>
        </w:tc>
      </w:tr>
      <w:tr w:rsidR="0092299C" w:rsidRPr="00FB2C11" w:rsidTr="0084694E">
        <w:tc>
          <w:tcPr>
            <w:tcW w:w="2194" w:type="dxa"/>
            <w:noWrap/>
            <w:hideMark/>
          </w:tcPr>
          <w:p w:rsidR="0092299C" w:rsidRPr="00FB2C11" w:rsidRDefault="0092299C" w:rsidP="0092299C">
            <w:pPr>
              <w:pStyle w:val="ARtabletext"/>
            </w:pPr>
            <w:r w:rsidRPr="00FB2C11">
              <w:t xml:space="preserve">Isabelle </w:t>
            </w:r>
            <w:proofErr w:type="spellStart"/>
            <w:r w:rsidRPr="00FB2C11">
              <w:t>Woodin</w:t>
            </w:r>
            <w:proofErr w:type="spellEnd"/>
            <w:r w:rsidRPr="00FB2C11">
              <w:t xml:space="preserve"> Consulting &amp; Training Services Pty Ltd</w:t>
            </w:r>
          </w:p>
        </w:tc>
        <w:tc>
          <w:tcPr>
            <w:tcW w:w="3771" w:type="dxa"/>
            <w:noWrap/>
            <w:hideMark/>
          </w:tcPr>
          <w:p w:rsidR="0092299C" w:rsidRPr="00FB2C11" w:rsidRDefault="0092299C" w:rsidP="0092299C">
            <w:pPr>
              <w:pStyle w:val="ARtabletext"/>
            </w:pPr>
            <w:r w:rsidRPr="00FB2C11">
              <w:t>Review, governance and engagement, child protection</w:t>
            </w:r>
          </w:p>
        </w:tc>
        <w:tc>
          <w:tcPr>
            <w:tcW w:w="1275" w:type="dxa"/>
            <w:noWrap/>
            <w:hideMark/>
          </w:tcPr>
          <w:p w:rsidR="0092299C" w:rsidRPr="00FB2C11" w:rsidRDefault="0092299C" w:rsidP="0092299C">
            <w:pPr>
              <w:pStyle w:val="ARtabletextright"/>
            </w:pPr>
            <w:r w:rsidRPr="00FB2C11">
              <w:t>$14,400</w:t>
            </w:r>
          </w:p>
        </w:tc>
        <w:tc>
          <w:tcPr>
            <w:tcW w:w="1276" w:type="dxa"/>
            <w:noWrap/>
            <w:hideMark/>
          </w:tcPr>
          <w:p w:rsidR="0092299C" w:rsidRPr="00FB2C11" w:rsidRDefault="0092299C" w:rsidP="0092299C">
            <w:pPr>
              <w:pStyle w:val="ARtabletextright"/>
            </w:pPr>
            <w:r w:rsidRPr="00FB2C11">
              <w:t>$14,410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G R Smith &amp; Associates</w:t>
            </w:r>
          </w:p>
        </w:tc>
        <w:tc>
          <w:tcPr>
            <w:tcW w:w="3771" w:type="dxa"/>
            <w:noWrap/>
            <w:hideMark/>
          </w:tcPr>
          <w:p w:rsidR="0092299C" w:rsidRPr="00FB2C11" w:rsidRDefault="0092299C" w:rsidP="0092299C">
            <w:pPr>
              <w:pStyle w:val="ARtabletext"/>
            </w:pPr>
            <w:r w:rsidRPr="00FB2C11">
              <w:t xml:space="preserve">Mediation service, enterprise agreement at Southern </w:t>
            </w:r>
            <w:r>
              <w:t>M</w:t>
            </w:r>
            <w:r w:rsidRPr="00FB2C11">
              <w:t xml:space="preserve">etropolitan Cemetery </w:t>
            </w:r>
            <w:r>
              <w:t>T</w:t>
            </w:r>
            <w:r w:rsidRPr="00FB2C11">
              <w:t>rust</w:t>
            </w:r>
          </w:p>
        </w:tc>
        <w:tc>
          <w:tcPr>
            <w:tcW w:w="1275" w:type="dxa"/>
            <w:noWrap/>
            <w:hideMark/>
          </w:tcPr>
          <w:p w:rsidR="0092299C" w:rsidRPr="00FB2C11" w:rsidRDefault="0092299C" w:rsidP="0092299C">
            <w:pPr>
              <w:pStyle w:val="ARtabletextright"/>
            </w:pPr>
            <w:r w:rsidRPr="00FB2C11">
              <w:t>$21,000</w:t>
            </w:r>
          </w:p>
        </w:tc>
        <w:tc>
          <w:tcPr>
            <w:tcW w:w="1276" w:type="dxa"/>
            <w:noWrap/>
            <w:hideMark/>
          </w:tcPr>
          <w:p w:rsidR="0092299C" w:rsidRPr="00FB2C11" w:rsidRDefault="0092299C" w:rsidP="0092299C">
            <w:pPr>
              <w:pStyle w:val="ARtabletextright"/>
            </w:pPr>
            <w:r w:rsidRPr="00FB2C11">
              <w:t>$7,500</w:t>
            </w:r>
          </w:p>
        </w:tc>
        <w:tc>
          <w:tcPr>
            <w:tcW w:w="1276" w:type="dxa"/>
            <w:noWrap/>
            <w:hideMark/>
          </w:tcPr>
          <w:p w:rsidR="0092299C" w:rsidRPr="00FB2C11" w:rsidRDefault="0092299C" w:rsidP="0092299C">
            <w:pPr>
              <w:pStyle w:val="ARtabletextright"/>
            </w:pPr>
            <w:r w:rsidRPr="00FB2C11">
              <w:t>$13,500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Mapping, safeguarding pathways</w:t>
            </w:r>
          </w:p>
        </w:tc>
        <w:tc>
          <w:tcPr>
            <w:tcW w:w="1275" w:type="dxa"/>
            <w:noWrap/>
            <w:hideMark/>
          </w:tcPr>
          <w:p w:rsidR="0092299C" w:rsidRPr="00FB2C11" w:rsidRDefault="0092299C" w:rsidP="0092299C">
            <w:pPr>
              <w:pStyle w:val="ARtabletextright"/>
            </w:pPr>
            <w:r w:rsidRPr="00FB2C11">
              <w:t>$50,277</w:t>
            </w:r>
          </w:p>
        </w:tc>
        <w:tc>
          <w:tcPr>
            <w:tcW w:w="1276" w:type="dxa"/>
            <w:noWrap/>
            <w:hideMark/>
          </w:tcPr>
          <w:p w:rsidR="0092299C" w:rsidRPr="00FB2C11" w:rsidRDefault="0092299C" w:rsidP="0092299C">
            <w:pPr>
              <w:pStyle w:val="ARtabletextright"/>
            </w:pPr>
            <w:r w:rsidRPr="00FB2C11">
              <w:t>$50,721</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ACIL Allen Consulting Pty Ltd</w:t>
            </w:r>
          </w:p>
        </w:tc>
        <w:tc>
          <w:tcPr>
            <w:tcW w:w="3771" w:type="dxa"/>
            <w:noWrap/>
            <w:hideMark/>
          </w:tcPr>
          <w:p w:rsidR="0092299C" w:rsidRPr="00FB2C11" w:rsidRDefault="0092299C" w:rsidP="0092299C">
            <w:pPr>
              <w:pStyle w:val="ARtabletext"/>
            </w:pPr>
            <w:r w:rsidRPr="00FB2C11">
              <w:t>Evaluate, family violence housing assistance</w:t>
            </w:r>
          </w:p>
        </w:tc>
        <w:tc>
          <w:tcPr>
            <w:tcW w:w="1275" w:type="dxa"/>
            <w:noWrap/>
            <w:hideMark/>
          </w:tcPr>
          <w:p w:rsidR="0092299C" w:rsidRPr="00FB2C11" w:rsidRDefault="0092299C" w:rsidP="0092299C">
            <w:pPr>
              <w:pStyle w:val="ARtabletextright"/>
            </w:pPr>
            <w:r w:rsidRPr="00FB2C11">
              <w:t>$393,765</w:t>
            </w:r>
          </w:p>
        </w:tc>
        <w:tc>
          <w:tcPr>
            <w:tcW w:w="1276" w:type="dxa"/>
            <w:noWrap/>
            <w:hideMark/>
          </w:tcPr>
          <w:p w:rsidR="0092299C" w:rsidRPr="00FB2C11" w:rsidRDefault="0092299C" w:rsidP="0092299C">
            <w:pPr>
              <w:pStyle w:val="ARtabletextright"/>
            </w:pPr>
            <w:r w:rsidRPr="00FB2C11">
              <w:t>$73,211</w:t>
            </w:r>
          </w:p>
        </w:tc>
        <w:tc>
          <w:tcPr>
            <w:tcW w:w="1276" w:type="dxa"/>
            <w:noWrap/>
            <w:hideMark/>
          </w:tcPr>
          <w:p w:rsidR="0092299C" w:rsidRPr="00FB2C11" w:rsidRDefault="0092299C" w:rsidP="0092299C">
            <w:pPr>
              <w:pStyle w:val="ARtabletextright"/>
            </w:pPr>
            <w:r w:rsidRPr="00FB2C11">
              <w:t>$320,554</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Advise and support, communications and media restructure</w:t>
            </w:r>
          </w:p>
        </w:tc>
        <w:tc>
          <w:tcPr>
            <w:tcW w:w="1275" w:type="dxa"/>
            <w:noWrap/>
            <w:hideMark/>
          </w:tcPr>
          <w:p w:rsidR="0092299C" w:rsidRPr="00FB2C11" w:rsidRDefault="0092299C" w:rsidP="0092299C">
            <w:pPr>
              <w:pStyle w:val="ARtabletextright"/>
            </w:pPr>
            <w:r w:rsidRPr="00FB2C11">
              <w:t>$68,759</w:t>
            </w:r>
          </w:p>
        </w:tc>
        <w:tc>
          <w:tcPr>
            <w:tcW w:w="1276" w:type="dxa"/>
            <w:noWrap/>
            <w:hideMark/>
          </w:tcPr>
          <w:p w:rsidR="0092299C" w:rsidRPr="00FB2C11" w:rsidRDefault="0092299C" w:rsidP="0092299C">
            <w:pPr>
              <w:pStyle w:val="ARtabletextright"/>
            </w:pPr>
            <w:r w:rsidRPr="00FB2C11">
              <w:t>$54,029</w:t>
            </w:r>
          </w:p>
        </w:tc>
        <w:tc>
          <w:tcPr>
            <w:tcW w:w="1276" w:type="dxa"/>
            <w:noWrap/>
            <w:hideMark/>
          </w:tcPr>
          <w:p w:rsidR="0092299C" w:rsidRPr="00FB2C11" w:rsidRDefault="0092299C" w:rsidP="0092299C">
            <w:pPr>
              <w:pStyle w:val="ARtabletextright"/>
            </w:pPr>
            <w:r w:rsidRPr="00FB2C11">
              <w:t>$14,730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Children and Families Service System Analytics</w:t>
            </w:r>
          </w:p>
        </w:tc>
        <w:tc>
          <w:tcPr>
            <w:tcW w:w="1275" w:type="dxa"/>
            <w:noWrap/>
            <w:hideMark/>
          </w:tcPr>
          <w:p w:rsidR="0092299C" w:rsidRPr="00FB2C11" w:rsidRDefault="0092299C" w:rsidP="0092299C">
            <w:pPr>
              <w:pStyle w:val="ARtabletextright"/>
            </w:pPr>
            <w:r w:rsidRPr="00FB2C11">
              <w:t>$16,381</w:t>
            </w:r>
          </w:p>
        </w:tc>
        <w:tc>
          <w:tcPr>
            <w:tcW w:w="1276" w:type="dxa"/>
            <w:noWrap/>
            <w:hideMark/>
          </w:tcPr>
          <w:p w:rsidR="0092299C" w:rsidRPr="00FB2C11" w:rsidRDefault="0092299C" w:rsidP="0092299C">
            <w:pPr>
              <w:pStyle w:val="ARtabletextright"/>
            </w:pPr>
            <w:r w:rsidRPr="00FB2C11">
              <w:t>$15,608</w:t>
            </w:r>
          </w:p>
        </w:tc>
        <w:tc>
          <w:tcPr>
            <w:tcW w:w="1276" w:type="dxa"/>
            <w:noWrap/>
            <w:hideMark/>
          </w:tcPr>
          <w:p w:rsidR="0092299C" w:rsidRPr="00FB2C11" w:rsidRDefault="0092299C" w:rsidP="0092299C">
            <w:pPr>
              <w:pStyle w:val="ARtabletextright"/>
            </w:pPr>
            <w:r w:rsidRPr="00FB2C11">
              <w:t>$773</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 xml:space="preserve">Develop strategic service plan, Rural City of Swan Hill </w:t>
            </w:r>
          </w:p>
        </w:tc>
        <w:tc>
          <w:tcPr>
            <w:tcW w:w="1275" w:type="dxa"/>
            <w:noWrap/>
            <w:hideMark/>
          </w:tcPr>
          <w:p w:rsidR="0092299C" w:rsidRPr="00FB2C11" w:rsidRDefault="0092299C" w:rsidP="0092299C">
            <w:pPr>
              <w:pStyle w:val="ARtabletextright"/>
            </w:pPr>
            <w:r w:rsidRPr="00FB2C11">
              <w:t>$108,883</w:t>
            </w:r>
          </w:p>
        </w:tc>
        <w:tc>
          <w:tcPr>
            <w:tcW w:w="1276" w:type="dxa"/>
            <w:noWrap/>
            <w:hideMark/>
          </w:tcPr>
          <w:p w:rsidR="0092299C" w:rsidRPr="00FB2C11" w:rsidRDefault="0092299C" w:rsidP="0092299C">
            <w:pPr>
              <w:pStyle w:val="ARtabletextright"/>
            </w:pPr>
            <w:r w:rsidRPr="00FB2C11">
              <w:t>$74,030</w:t>
            </w:r>
          </w:p>
        </w:tc>
        <w:tc>
          <w:tcPr>
            <w:tcW w:w="1276" w:type="dxa"/>
            <w:noWrap/>
            <w:hideMark/>
          </w:tcPr>
          <w:p w:rsidR="0092299C" w:rsidRPr="00FB2C11" w:rsidRDefault="0092299C" w:rsidP="0092299C">
            <w:pPr>
              <w:pStyle w:val="ARtabletextright"/>
            </w:pPr>
            <w:r w:rsidRPr="00FB2C11">
              <w:t>$34,853</w:t>
            </w:r>
          </w:p>
        </w:tc>
      </w:tr>
      <w:tr w:rsidR="0092299C" w:rsidRPr="00FB2C11" w:rsidTr="0084694E">
        <w:tc>
          <w:tcPr>
            <w:tcW w:w="2194" w:type="dxa"/>
            <w:noWrap/>
            <w:hideMark/>
          </w:tcPr>
          <w:p w:rsidR="0092299C" w:rsidRPr="00FB2C11" w:rsidRDefault="0092299C" w:rsidP="0092299C">
            <w:pPr>
              <w:pStyle w:val="ARtabletext"/>
            </w:pPr>
            <w:r w:rsidRPr="00FB2C11">
              <w:t>Precision Consultancy Pty Ltd</w:t>
            </w:r>
          </w:p>
        </w:tc>
        <w:tc>
          <w:tcPr>
            <w:tcW w:w="3771" w:type="dxa"/>
            <w:noWrap/>
            <w:hideMark/>
          </w:tcPr>
          <w:p w:rsidR="0092299C" w:rsidRPr="00FB2C11" w:rsidRDefault="0092299C" w:rsidP="0092299C">
            <w:pPr>
              <w:pStyle w:val="ARtabletext"/>
            </w:pPr>
            <w:r w:rsidRPr="00FB2C11">
              <w:t>Develop workforce plan, National Disability Insurance Scheme</w:t>
            </w:r>
          </w:p>
        </w:tc>
        <w:tc>
          <w:tcPr>
            <w:tcW w:w="1275" w:type="dxa"/>
            <w:noWrap/>
            <w:hideMark/>
          </w:tcPr>
          <w:p w:rsidR="0092299C" w:rsidRPr="00FB2C11" w:rsidRDefault="0092299C" w:rsidP="0092299C">
            <w:pPr>
              <w:pStyle w:val="ARtabletextright"/>
            </w:pPr>
            <w:r w:rsidRPr="00FB2C11">
              <w:t>$73,545</w:t>
            </w:r>
          </w:p>
        </w:tc>
        <w:tc>
          <w:tcPr>
            <w:tcW w:w="1276" w:type="dxa"/>
            <w:noWrap/>
            <w:hideMark/>
          </w:tcPr>
          <w:p w:rsidR="0092299C" w:rsidRPr="00FB2C11" w:rsidRDefault="0092299C" w:rsidP="0092299C">
            <w:pPr>
              <w:pStyle w:val="ARtabletextright"/>
            </w:pPr>
            <w:r w:rsidRPr="00FB2C11">
              <w:t>$64,500</w:t>
            </w:r>
          </w:p>
        </w:tc>
        <w:tc>
          <w:tcPr>
            <w:tcW w:w="1276" w:type="dxa"/>
            <w:noWrap/>
            <w:hideMark/>
          </w:tcPr>
          <w:p w:rsidR="0092299C" w:rsidRPr="00FB2C11" w:rsidRDefault="0092299C" w:rsidP="0092299C">
            <w:pPr>
              <w:pStyle w:val="ARtabletextright"/>
            </w:pPr>
            <w:r w:rsidRPr="00FB2C11">
              <w:t>$9,045</w:t>
            </w:r>
          </w:p>
        </w:tc>
      </w:tr>
      <w:tr w:rsidR="0092299C" w:rsidRPr="00FB2C11" w:rsidTr="0084694E">
        <w:tc>
          <w:tcPr>
            <w:tcW w:w="2194" w:type="dxa"/>
            <w:noWrap/>
            <w:hideMark/>
          </w:tcPr>
          <w:p w:rsidR="0092299C" w:rsidRPr="00FB2C11" w:rsidRDefault="0092299C" w:rsidP="0092299C">
            <w:pPr>
              <w:pStyle w:val="ARtabletext"/>
            </w:pPr>
            <w:r w:rsidRPr="00FB2C11">
              <w:t>XVT Solutions Pty Ltd</w:t>
            </w:r>
          </w:p>
        </w:tc>
        <w:tc>
          <w:tcPr>
            <w:tcW w:w="3771" w:type="dxa"/>
            <w:noWrap/>
            <w:hideMark/>
          </w:tcPr>
          <w:p w:rsidR="0092299C" w:rsidRPr="00FB2C11" w:rsidRDefault="0092299C" w:rsidP="0092299C">
            <w:pPr>
              <w:pStyle w:val="ARtabletext"/>
            </w:pPr>
            <w:r w:rsidRPr="00FB2C11">
              <w:t>Scoping work, real</w:t>
            </w:r>
            <w:r>
              <w:t>-</w:t>
            </w:r>
            <w:r w:rsidRPr="00FB2C11">
              <w:t>time prescription monitoring system</w:t>
            </w:r>
          </w:p>
        </w:tc>
        <w:tc>
          <w:tcPr>
            <w:tcW w:w="1275" w:type="dxa"/>
            <w:noWrap/>
            <w:hideMark/>
          </w:tcPr>
          <w:p w:rsidR="0092299C" w:rsidRPr="00FB2C11" w:rsidRDefault="0092299C" w:rsidP="0092299C">
            <w:pPr>
              <w:pStyle w:val="ARtabletextright"/>
            </w:pPr>
            <w:r w:rsidRPr="00FB2C11">
              <w:t>$70,138</w:t>
            </w:r>
          </w:p>
        </w:tc>
        <w:tc>
          <w:tcPr>
            <w:tcW w:w="1276" w:type="dxa"/>
            <w:noWrap/>
            <w:hideMark/>
          </w:tcPr>
          <w:p w:rsidR="0092299C" w:rsidRPr="00FB2C11" w:rsidRDefault="0092299C" w:rsidP="0092299C">
            <w:pPr>
              <w:pStyle w:val="ARtabletextright"/>
            </w:pPr>
            <w:r w:rsidRPr="00FB2C11">
              <w:t>$70,138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Develop framework, community services industry planning</w:t>
            </w:r>
          </w:p>
        </w:tc>
        <w:tc>
          <w:tcPr>
            <w:tcW w:w="1275" w:type="dxa"/>
            <w:noWrap/>
            <w:hideMark/>
          </w:tcPr>
          <w:p w:rsidR="0092299C" w:rsidRPr="00FB2C11" w:rsidRDefault="0092299C" w:rsidP="0092299C">
            <w:pPr>
              <w:pStyle w:val="ARtabletextright"/>
            </w:pPr>
            <w:r w:rsidRPr="00FB2C11">
              <w:t>$44,182</w:t>
            </w:r>
          </w:p>
        </w:tc>
        <w:tc>
          <w:tcPr>
            <w:tcW w:w="1276" w:type="dxa"/>
            <w:noWrap/>
            <w:hideMark/>
          </w:tcPr>
          <w:p w:rsidR="0092299C" w:rsidRPr="00FB2C11" w:rsidRDefault="0092299C" w:rsidP="0092299C">
            <w:pPr>
              <w:pStyle w:val="ARtabletextright"/>
            </w:pPr>
            <w:r w:rsidRPr="00FB2C11">
              <w:t>$44,356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Financial and operating models, National Disability Insurance Scheme</w:t>
            </w:r>
          </w:p>
        </w:tc>
        <w:tc>
          <w:tcPr>
            <w:tcW w:w="1275" w:type="dxa"/>
            <w:noWrap/>
            <w:hideMark/>
          </w:tcPr>
          <w:p w:rsidR="0092299C" w:rsidRPr="00FB2C11" w:rsidRDefault="0092299C" w:rsidP="0092299C">
            <w:pPr>
              <w:pStyle w:val="ARtabletextright"/>
            </w:pPr>
            <w:r w:rsidRPr="00FB2C11">
              <w:t>$4,698,508</w:t>
            </w:r>
          </w:p>
        </w:tc>
        <w:tc>
          <w:tcPr>
            <w:tcW w:w="1276" w:type="dxa"/>
            <w:noWrap/>
            <w:hideMark/>
          </w:tcPr>
          <w:p w:rsidR="0092299C" w:rsidRPr="00FB2C11" w:rsidRDefault="0092299C" w:rsidP="0092299C">
            <w:pPr>
              <w:pStyle w:val="ARtabletextright"/>
            </w:pPr>
            <w:r w:rsidRPr="00FB2C11">
              <w:t>$673,636</w:t>
            </w:r>
          </w:p>
        </w:tc>
        <w:tc>
          <w:tcPr>
            <w:tcW w:w="1276" w:type="dxa"/>
            <w:noWrap/>
            <w:hideMark/>
          </w:tcPr>
          <w:p w:rsidR="0092299C" w:rsidRPr="00FB2C11" w:rsidRDefault="0092299C" w:rsidP="0092299C">
            <w:pPr>
              <w:pStyle w:val="ARtabletextright"/>
            </w:pPr>
            <w:r w:rsidRPr="00FB2C11">
              <w:t>$4,024,872</w:t>
            </w:r>
          </w:p>
        </w:tc>
      </w:tr>
      <w:tr w:rsidR="0092299C" w:rsidRPr="00FB2C11" w:rsidTr="0084694E">
        <w:tc>
          <w:tcPr>
            <w:tcW w:w="2194" w:type="dxa"/>
            <w:noWrap/>
            <w:hideMark/>
          </w:tcPr>
          <w:p w:rsidR="0092299C" w:rsidRPr="00FB2C11" w:rsidRDefault="0092299C" w:rsidP="0092299C">
            <w:pPr>
              <w:pStyle w:val="ARtabletext"/>
            </w:pPr>
            <w:r w:rsidRPr="00FB2C11">
              <w:t>Marsden Jacob Associates</w:t>
            </w:r>
          </w:p>
        </w:tc>
        <w:tc>
          <w:tcPr>
            <w:tcW w:w="3771" w:type="dxa"/>
            <w:noWrap/>
            <w:hideMark/>
          </w:tcPr>
          <w:p w:rsidR="0092299C" w:rsidRPr="00FB2C11" w:rsidRDefault="0092299C" w:rsidP="0092299C">
            <w:pPr>
              <w:pStyle w:val="ARtabletext"/>
            </w:pPr>
            <w:r w:rsidRPr="00FB2C11">
              <w:t>Social and economic cost</w:t>
            </w:r>
            <w:r>
              <w:t>-</w:t>
            </w:r>
            <w:r w:rsidRPr="00FB2C11">
              <w:t>benefit analysis, value of sport to Victoria</w:t>
            </w:r>
          </w:p>
        </w:tc>
        <w:tc>
          <w:tcPr>
            <w:tcW w:w="1275" w:type="dxa"/>
            <w:noWrap/>
            <w:hideMark/>
          </w:tcPr>
          <w:p w:rsidR="0092299C" w:rsidRPr="00FB2C11" w:rsidRDefault="0092299C" w:rsidP="0092299C">
            <w:pPr>
              <w:pStyle w:val="ARtabletextright"/>
            </w:pPr>
            <w:r w:rsidRPr="00FB2C11">
              <w:t>$104,218</w:t>
            </w:r>
          </w:p>
        </w:tc>
        <w:tc>
          <w:tcPr>
            <w:tcW w:w="1276" w:type="dxa"/>
            <w:noWrap/>
            <w:hideMark/>
          </w:tcPr>
          <w:p w:rsidR="0092299C" w:rsidRPr="00FB2C11" w:rsidRDefault="0092299C" w:rsidP="0092299C">
            <w:pPr>
              <w:pStyle w:val="ARtabletextright"/>
            </w:pPr>
            <w:r w:rsidRPr="00FB2C11">
              <w:t>$83,375</w:t>
            </w:r>
          </w:p>
        </w:tc>
        <w:tc>
          <w:tcPr>
            <w:tcW w:w="1276" w:type="dxa"/>
            <w:noWrap/>
            <w:hideMark/>
          </w:tcPr>
          <w:p w:rsidR="0092299C" w:rsidRPr="00FB2C11" w:rsidRDefault="0092299C" w:rsidP="0092299C">
            <w:pPr>
              <w:pStyle w:val="ARtabletextright"/>
            </w:pPr>
            <w:r w:rsidRPr="00FB2C11">
              <w:t>$20,843</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Review, patient waiting list</w:t>
            </w:r>
          </w:p>
        </w:tc>
        <w:tc>
          <w:tcPr>
            <w:tcW w:w="1275" w:type="dxa"/>
            <w:noWrap/>
            <w:hideMark/>
          </w:tcPr>
          <w:p w:rsidR="0092299C" w:rsidRPr="00FB2C11" w:rsidRDefault="0092299C" w:rsidP="0092299C">
            <w:pPr>
              <w:pStyle w:val="ARtabletextright"/>
            </w:pPr>
            <w:r w:rsidRPr="00FB2C11">
              <w:t>$454,545</w:t>
            </w:r>
          </w:p>
        </w:tc>
        <w:tc>
          <w:tcPr>
            <w:tcW w:w="1276" w:type="dxa"/>
            <w:noWrap/>
            <w:hideMark/>
          </w:tcPr>
          <w:p w:rsidR="0092299C" w:rsidRPr="00FB2C11" w:rsidRDefault="0092299C" w:rsidP="0092299C">
            <w:pPr>
              <w:pStyle w:val="ARtabletextright"/>
            </w:pPr>
            <w:r w:rsidRPr="00FB2C11">
              <w:t>$334,560</w:t>
            </w:r>
          </w:p>
        </w:tc>
        <w:tc>
          <w:tcPr>
            <w:tcW w:w="1276" w:type="dxa"/>
            <w:noWrap/>
            <w:hideMark/>
          </w:tcPr>
          <w:p w:rsidR="0092299C" w:rsidRPr="00FB2C11" w:rsidRDefault="0092299C" w:rsidP="0092299C">
            <w:pPr>
              <w:pStyle w:val="ARtabletextright"/>
            </w:pPr>
            <w:r w:rsidRPr="00FB2C11">
              <w:t>$119,985</w:t>
            </w:r>
          </w:p>
        </w:tc>
      </w:tr>
      <w:tr w:rsidR="0092299C" w:rsidRPr="00FB2C11" w:rsidTr="0084694E">
        <w:tc>
          <w:tcPr>
            <w:tcW w:w="2194" w:type="dxa"/>
            <w:noWrap/>
            <w:hideMark/>
          </w:tcPr>
          <w:p w:rsidR="0092299C" w:rsidRPr="00FB2C11" w:rsidRDefault="0092299C" w:rsidP="0092299C">
            <w:pPr>
              <w:pStyle w:val="ARtabletext"/>
            </w:pPr>
            <w:r w:rsidRPr="00FB2C11">
              <w:t>Studio Thick</w:t>
            </w:r>
          </w:p>
        </w:tc>
        <w:tc>
          <w:tcPr>
            <w:tcW w:w="3771" w:type="dxa"/>
            <w:noWrap/>
            <w:hideMark/>
          </w:tcPr>
          <w:p w:rsidR="0092299C" w:rsidRPr="00FB2C11" w:rsidRDefault="0092299C" w:rsidP="0092299C">
            <w:pPr>
              <w:pStyle w:val="ARtabletext"/>
            </w:pPr>
            <w:r w:rsidRPr="00FB2C11">
              <w:t>Redesign, youth refuge service model</w:t>
            </w:r>
          </w:p>
        </w:tc>
        <w:tc>
          <w:tcPr>
            <w:tcW w:w="1275" w:type="dxa"/>
            <w:noWrap/>
            <w:hideMark/>
          </w:tcPr>
          <w:p w:rsidR="0092299C" w:rsidRPr="00FB2C11" w:rsidRDefault="0092299C" w:rsidP="0092299C">
            <w:pPr>
              <w:pStyle w:val="ARtabletextright"/>
            </w:pPr>
            <w:r w:rsidRPr="00FB2C11">
              <w:t>$118,006</w:t>
            </w:r>
          </w:p>
        </w:tc>
        <w:tc>
          <w:tcPr>
            <w:tcW w:w="1276" w:type="dxa"/>
            <w:noWrap/>
            <w:hideMark/>
          </w:tcPr>
          <w:p w:rsidR="0092299C" w:rsidRPr="00FB2C11" w:rsidRDefault="0092299C" w:rsidP="0092299C">
            <w:pPr>
              <w:pStyle w:val="ARtabletextright"/>
            </w:pPr>
            <w:r w:rsidRPr="00FB2C11">
              <w:t>$80,658</w:t>
            </w:r>
          </w:p>
        </w:tc>
        <w:tc>
          <w:tcPr>
            <w:tcW w:w="1276" w:type="dxa"/>
            <w:noWrap/>
            <w:hideMark/>
          </w:tcPr>
          <w:p w:rsidR="0092299C" w:rsidRPr="00FB2C11" w:rsidRDefault="0092299C" w:rsidP="0092299C">
            <w:pPr>
              <w:pStyle w:val="ARtabletextright"/>
            </w:pPr>
            <w:r w:rsidRPr="00FB2C11">
              <w:t>$37,348</w:t>
            </w:r>
          </w:p>
        </w:tc>
      </w:tr>
      <w:tr w:rsidR="0092299C" w:rsidRPr="00FB2C11" w:rsidTr="0084694E">
        <w:tc>
          <w:tcPr>
            <w:tcW w:w="2194" w:type="dxa"/>
            <w:noWrap/>
            <w:hideMark/>
          </w:tcPr>
          <w:p w:rsidR="0092299C" w:rsidRPr="00FB2C11" w:rsidRDefault="0092299C" w:rsidP="0092299C">
            <w:pPr>
              <w:pStyle w:val="ARtabletext"/>
            </w:pPr>
            <w:r w:rsidRPr="00FB2C11">
              <w:t>CEB Global Limited</w:t>
            </w:r>
          </w:p>
        </w:tc>
        <w:tc>
          <w:tcPr>
            <w:tcW w:w="3771" w:type="dxa"/>
            <w:noWrap/>
            <w:hideMark/>
          </w:tcPr>
          <w:p w:rsidR="0092299C" w:rsidRPr="00FB2C11" w:rsidRDefault="0092299C" w:rsidP="0092299C">
            <w:pPr>
              <w:pStyle w:val="ARtabletext"/>
            </w:pPr>
            <w:r w:rsidRPr="00FB2C11">
              <w:t>Strategy, business engagement, information technology services</w:t>
            </w:r>
          </w:p>
        </w:tc>
        <w:tc>
          <w:tcPr>
            <w:tcW w:w="1275" w:type="dxa"/>
            <w:noWrap/>
            <w:hideMark/>
          </w:tcPr>
          <w:p w:rsidR="0092299C" w:rsidRPr="00FB2C11" w:rsidRDefault="0092299C" w:rsidP="0092299C">
            <w:pPr>
              <w:pStyle w:val="ARtabletextright"/>
            </w:pPr>
            <w:r w:rsidRPr="00FB2C11">
              <w:t>$17,273</w:t>
            </w:r>
          </w:p>
        </w:tc>
        <w:tc>
          <w:tcPr>
            <w:tcW w:w="1276" w:type="dxa"/>
            <w:noWrap/>
            <w:hideMark/>
          </w:tcPr>
          <w:p w:rsidR="0092299C" w:rsidRPr="00FB2C11" w:rsidRDefault="0092299C" w:rsidP="0092299C">
            <w:pPr>
              <w:pStyle w:val="ARtabletextright"/>
            </w:pPr>
            <w:r w:rsidRPr="00FB2C11">
              <w:t>$13,964</w:t>
            </w:r>
          </w:p>
        </w:tc>
        <w:tc>
          <w:tcPr>
            <w:tcW w:w="1276" w:type="dxa"/>
            <w:noWrap/>
            <w:hideMark/>
          </w:tcPr>
          <w:p w:rsidR="0092299C" w:rsidRPr="00FB2C11" w:rsidRDefault="0092299C" w:rsidP="0092299C">
            <w:pPr>
              <w:pStyle w:val="ARtabletextright"/>
            </w:pPr>
            <w:r w:rsidRPr="00FB2C11">
              <w:t>$3,309</w:t>
            </w:r>
          </w:p>
        </w:tc>
      </w:tr>
      <w:tr w:rsidR="0092299C" w:rsidRPr="00FB2C11" w:rsidTr="0084694E">
        <w:tc>
          <w:tcPr>
            <w:tcW w:w="2194" w:type="dxa"/>
            <w:noWrap/>
            <w:hideMark/>
          </w:tcPr>
          <w:p w:rsidR="0092299C" w:rsidRPr="00FB2C11" w:rsidRDefault="0092299C" w:rsidP="0092299C">
            <w:pPr>
              <w:pStyle w:val="ARtabletext"/>
            </w:pPr>
            <w:r w:rsidRPr="00FB2C11">
              <w:t>Social Ventures Australia</w:t>
            </w:r>
          </w:p>
        </w:tc>
        <w:tc>
          <w:tcPr>
            <w:tcW w:w="3771" w:type="dxa"/>
            <w:noWrap/>
            <w:hideMark/>
          </w:tcPr>
          <w:p w:rsidR="0092299C" w:rsidRPr="00FB2C11" w:rsidRDefault="0092299C" w:rsidP="0092299C">
            <w:pPr>
              <w:pStyle w:val="ARtabletext"/>
            </w:pPr>
            <w:r w:rsidRPr="00FB2C11">
              <w:t>Review of literature, outcomes monitoring and management</w:t>
            </w:r>
          </w:p>
        </w:tc>
        <w:tc>
          <w:tcPr>
            <w:tcW w:w="1275" w:type="dxa"/>
            <w:noWrap/>
            <w:hideMark/>
          </w:tcPr>
          <w:p w:rsidR="0092299C" w:rsidRPr="00FB2C11" w:rsidRDefault="0092299C" w:rsidP="0092299C">
            <w:pPr>
              <w:pStyle w:val="ARtabletextright"/>
            </w:pPr>
            <w:r w:rsidRPr="00FB2C11">
              <w:t>$26,160</w:t>
            </w:r>
          </w:p>
        </w:tc>
        <w:tc>
          <w:tcPr>
            <w:tcW w:w="1276" w:type="dxa"/>
            <w:noWrap/>
            <w:hideMark/>
          </w:tcPr>
          <w:p w:rsidR="0092299C" w:rsidRPr="00FB2C11" w:rsidRDefault="0092299C" w:rsidP="0092299C">
            <w:pPr>
              <w:pStyle w:val="ARtabletextright"/>
            </w:pPr>
            <w:r w:rsidRPr="00FB2C11">
              <w:t>$26,289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lastRenderedPageBreak/>
              <w:t>Third Horizon Consulting Pty Ltd</w:t>
            </w:r>
          </w:p>
        </w:tc>
        <w:tc>
          <w:tcPr>
            <w:tcW w:w="3771" w:type="dxa"/>
            <w:noWrap/>
            <w:hideMark/>
          </w:tcPr>
          <w:p w:rsidR="0092299C" w:rsidRPr="00FB2C11" w:rsidRDefault="0092299C" w:rsidP="0092299C">
            <w:pPr>
              <w:pStyle w:val="ARtabletext"/>
            </w:pPr>
            <w:r w:rsidRPr="00FB2C11">
              <w:t>Design, validation and implementation planning, organisational redesign, phase two</w:t>
            </w:r>
          </w:p>
        </w:tc>
        <w:tc>
          <w:tcPr>
            <w:tcW w:w="1275" w:type="dxa"/>
            <w:noWrap/>
            <w:hideMark/>
          </w:tcPr>
          <w:p w:rsidR="0092299C" w:rsidRPr="00FB2C11" w:rsidRDefault="0092299C" w:rsidP="0092299C">
            <w:pPr>
              <w:pStyle w:val="ARtabletextright"/>
            </w:pPr>
            <w:r w:rsidRPr="00FB2C11">
              <w:t>$1,318,441</w:t>
            </w:r>
          </w:p>
        </w:tc>
        <w:tc>
          <w:tcPr>
            <w:tcW w:w="1276" w:type="dxa"/>
            <w:noWrap/>
            <w:hideMark/>
          </w:tcPr>
          <w:p w:rsidR="0092299C" w:rsidRPr="00FB2C11" w:rsidRDefault="0092299C" w:rsidP="0092299C">
            <w:pPr>
              <w:pStyle w:val="ARtabletextright"/>
            </w:pPr>
            <w:r w:rsidRPr="00FB2C11">
              <w:t>$568,865</w:t>
            </w:r>
          </w:p>
        </w:tc>
        <w:tc>
          <w:tcPr>
            <w:tcW w:w="1276" w:type="dxa"/>
            <w:noWrap/>
            <w:hideMark/>
          </w:tcPr>
          <w:p w:rsidR="0092299C" w:rsidRPr="00FB2C11" w:rsidRDefault="0092299C" w:rsidP="0092299C">
            <w:pPr>
              <w:pStyle w:val="ARtabletextright"/>
            </w:pPr>
            <w:r w:rsidRPr="00FB2C11">
              <w:t>$749,576</w:t>
            </w:r>
          </w:p>
        </w:tc>
      </w:tr>
      <w:tr w:rsidR="0092299C" w:rsidRPr="00FB2C11" w:rsidTr="0084694E">
        <w:tc>
          <w:tcPr>
            <w:tcW w:w="2194" w:type="dxa"/>
            <w:noWrap/>
            <w:hideMark/>
          </w:tcPr>
          <w:p w:rsidR="0092299C" w:rsidRPr="00FB2C11" w:rsidRDefault="0092299C" w:rsidP="0092299C">
            <w:pPr>
              <w:pStyle w:val="ARtabletext"/>
            </w:pPr>
            <w:r w:rsidRPr="00FB2C11">
              <w:t xml:space="preserve">Murray Neil </w:t>
            </w:r>
            <w:proofErr w:type="spellStart"/>
            <w:r w:rsidRPr="00FB2C11">
              <w:t>Comrie</w:t>
            </w:r>
            <w:proofErr w:type="spellEnd"/>
          </w:p>
        </w:tc>
        <w:tc>
          <w:tcPr>
            <w:tcW w:w="3771" w:type="dxa"/>
            <w:noWrap/>
            <w:hideMark/>
          </w:tcPr>
          <w:p w:rsidR="0092299C" w:rsidRPr="00FB2C11" w:rsidRDefault="0092299C" w:rsidP="0092299C">
            <w:pPr>
              <w:pStyle w:val="ARtabletext"/>
            </w:pPr>
            <w:r w:rsidRPr="00FB2C11">
              <w:t>Review, escape at Malmsbury Youth Justice Centre</w:t>
            </w:r>
          </w:p>
        </w:tc>
        <w:tc>
          <w:tcPr>
            <w:tcW w:w="1275" w:type="dxa"/>
            <w:noWrap/>
            <w:hideMark/>
          </w:tcPr>
          <w:p w:rsidR="0092299C" w:rsidRPr="00FB2C11" w:rsidRDefault="0092299C" w:rsidP="0092299C">
            <w:pPr>
              <w:pStyle w:val="ARtabletextright"/>
            </w:pPr>
            <w:r w:rsidRPr="00FB2C11">
              <w:t>$42,120</w:t>
            </w:r>
          </w:p>
        </w:tc>
        <w:tc>
          <w:tcPr>
            <w:tcW w:w="1276" w:type="dxa"/>
            <w:noWrap/>
            <w:hideMark/>
          </w:tcPr>
          <w:p w:rsidR="0092299C" w:rsidRPr="00FB2C11" w:rsidRDefault="0092299C" w:rsidP="0092299C">
            <w:pPr>
              <w:pStyle w:val="ARtabletextright"/>
            </w:pPr>
            <w:r w:rsidRPr="00FB2C11">
              <w:t>$41,341</w:t>
            </w:r>
          </w:p>
        </w:tc>
        <w:tc>
          <w:tcPr>
            <w:tcW w:w="1276" w:type="dxa"/>
            <w:noWrap/>
            <w:hideMark/>
          </w:tcPr>
          <w:p w:rsidR="0092299C" w:rsidRPr="00FB2C11" w:rsidRDefault="0092299C" w:rsidP="0092299C">
            <w:pPr>
              <w:pStyle w:val="ARtabletextright"/>
            </w:pPr>
            <w:r w:rsidRPr="00FB2C11">
              <w:t>$779</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 xml:space="preserve">Develop framework, central business district rough sleeper client coordination </w:t>
            </w:r>
          </w:p>
        </w:tc>
        <w:tc>
          <w:tcPr>
            <w:tcW w:w="1275" w:type="dxa"/>
            <w:noWrap/>
            <w:hideMark/>
          </w:tcPr>
          <w:p w:rsidR="0092299C" w:rsidRPr="00FB2C11" w:rsidRDefault="0092299C" w:rsidP="0092299C">
            <w:pPr>
              <w:pStyle w:val="ARtabletextright"/>
            </w:pPr>
            <w:r w:rsidRPr="00FB2C11">
              <w:t>$140,970</w:t>
            </w:r>
          </w:p>
        </w:tc>
        <w:tc>
          <w:tcPr>
            <w:tcW w:w="1276" w:type="dxa"/>
            <w:noWrap/>
            <w:hideMark/>
          </w:tcPr>
          <w:p w:rsidR="0092299C" w:rsidRPr="00FB2C11" w:rsidRDefault="0092299C" w:rsidP="0092299C">
            <w:pPr>
              <w:pStyle w:val="ARtabletextright"/>
            </w:pPr>
            <w:r w:rsidRPr="00FB2C11">
              <w:t>$140,765</w:t>
            </w:r>
          </w:p>
        </w:tc>
        <w:tc>
          <w:tcPr>
            <w:tcW w:w="1276" w:type="dxa"/>
            <w:noWrap/>
            <w:hideMark/>
          </w:tcPr>
          <w:p w:rsidR="0092299C" w:rsidRPr="00FB2C11" w:rsidRDefault="0092299C" w:rsidP="0092299C">
            <w:pPr>
              <w:pStyle w:val="ARtabletextright"/>
            </w:pPr>
            <w:r w:rsidRPr="00FB2C11">
              <w:t>$205</w:t>
            </w:r>
          </w:p>
        </w:tc>
      </w:tr>
      <w:tr w:rsidR="0092299C" w:rsidRPr="00FB2C11" w:rsidTr="0084694E">
        <w:tc>
          <w:tcPr>
            <w:tcW w:w="2194" w:type="dxa"/>
            <w:noWrap/>
            <w:hideMark/>
          </w:tcPr>
          <w:p w:rsidR="0092299C" w:rsidRPr="00FB2C11" w:rsidRDefault="0092299C" w:rsidP="0092299C">
            <w:pPr>
              <w:pStyle w:val="ARtabletext"/>
            </w:pPr>
            <w:proofErr w:type="spellStart"/>
            <w:r w:rsidRPr="00FB2C11">
              <w:t>Protiviti</w:t>
            </w:r>
            <w:proofErr w:type="spellEnd"/>
            <w:r w:rsidRPr="00FB2C11">
              <w:t xml:space="preserve"> Pty Ltd</w:t>
            </w:r>
          </w:p>
        </w:tc>
        <w:tc>
          <w:tcPr>
            <w:tcW w:w="3771" w:type="dxa"/>
            <w:noWrap/>
            <w:hideMark/>
          </w:tcPr>
          <w:p w:rsidR="0092299C" w:rsidRPr="00FB2C11" w:rsidRDefault="0092299C" w:rsidP="0092299C">
            <w:pPr>
              <w:pStyle w:val="ARtabletext"/>
            </w:pPr>
            <w:r w:rsidRPr="00FB2C11">
              <w:t xml:space="preserve">Advisor, </w:t>
            </w:r>
            <w:r>
              <w:t>c</w:t>
            </w:r>
            <w:r w:rsidRPr="00FB2C11">
              <w:t>oncessions audit program</w:t>
            </w:r>
          </w:p>
        </w:tc>
        <w:tc>
          <w:tcPr>
            <w:tcW w:w="1275" w:type="dxa"/>
            <w:noWrap/>
            <w:hideMark/>
          </w:tcPr>
          <w:p w:rsidR="0092299C" w:rsidRPr="00FB2C11" w:rsidRDefault="0092299C" w:rsidP="0092299C">
            <w:pPr>
              <w:pStyle w:val="ARtabletextright"/>
            </w:pPr>
            <w:r w:rsidRPr="00FB2C11">
              <w:t>$282,182</w:t>
            </w:r>
          </w:p>
        </w:tc>
        <w:tc>
          <w:tcPr>
            <w:tcW w:w="1276" w:type="dxa"/>
            <w:noWrap/>
            <w:hideMark/>
          </w:tcPr>
          <w:p w:rsidR="0092299C" w:rsidRPr="00FB2C11" w:rsidRDefault="0092299C" w:rsidP="0092299C">
            <w:pPr>
              <w:pStyle w:val="ARtabletextright"/>
            </w:pPr>
            <w:r w:rsidRPr="00FB2C11">
              <w:t>$48,280</w:t>
            </w:r>
          </w:p>
        </w:tc>
        <w:tc>
          <w:tcPr>
            <w:tcW w:w="1276" w:type="dxa"/>
            <w:noWrap/>
            <w:hideMark/>
          </w:tcPr>
          <w:p w:rsidR="0092299C" w:rsidRPr="00FB2C11" w:rsidRDefault="0092299C" w:rsidP="0092299C">
            <w:pPr>
              <w:pStyle w:val="ARtabletextright"/>
            </w:pPr>
            <w:r w:rsidRPr="00FB2C11">
              <w:t>$233,902</w:t>
            </w:r>
          </w:p>
        </w:tc>
      </w:tr>
      <w:tr w:rsidR="0092299C" w:rsidRPr="00FB2C11" w:rsidTr="0084694E">
        <w:tc>
          <w:tcPr>
            <w:tcW w:w="2194" w:type="dxa"/>
            <w:noWrap/>
            <w:hideMark/>
          </w:tcPr>
          <w:p w:rsidR="0092299C" w:rsidRPr="00FB2C11" w:rsidRDefault="0092299C" w:rsidP="0092299C">
            <w:pPr>
              <w:pStyle w:val="ARtabletext"/>
            </w:pPr>
            <w:r w:rsidRPr="00FB2C11">
              <w:t>Corporate Capability Pty Ltd</w:t>
            </w:r>
          </w:p>
        </w:tc>
        <w:tc>
          <w:tcPr>
            <w:tcW w:w="3771" w:type="dxa"/>
            <w:noWrap/>
            <w:hideMark/>
          </w:tcPr>
          <w:p w:rsidR="0092299C" w:rsidRPr="00FB2C11" w:rsidRDefault="0092299C" w:rsidP="0092299C">
            <w:pPr>
              <w:pStyle w:val="ARtabletext"/>
            </w:pPr>
            <w:r w:rsidRPr="00FB2C11">
              <w:t>Provide advice, Commission for Children and Young People restructure 2017</w:t>
            </w:r>
          </w:p>
        </w:tc>
        <w:tc>
          <w:tcPr>
            <w:tcW w:w="1275" w:type="dxa"/>
            <w:noWrap/>
            <w:hideMark/>
          </w:tcPr>
          <w:p w:rsidR="0092299C" w:rsidRPr="00FB2C11" w:rsidRDefault="0092299C" w:rsidP="0092299C">
            <w:pPr>
              <w:pStyle w:val="ARtabletextright"/>
            </w:pPr>
            <w:r w:rsidRPr="00FB2C11">
              <w:t>$45,455</w:t>
            </w:r>
          </w:p>
        </w:tc>
        <w:tc>
          <w:tcPr>
            <w:tcW w:w="1276" w:type="dxa"/>
            <w:noWrap/>
            <w:hideMark/>
          </w:tcPr>
          <w:p w:rsidR="0092299C" w:rsidRPr="00FB2C11" w:rsidRDefault="0092299C" w:rsidP="0092299C">
            <w:pPr>
              <w:pStyle w:val="ARtabletextright"/>
            </w:pPr>
            <w:r w:rsidRPr="00FB2C11">
              <w:t>$2,500</w:t>
            </w:r>
          </w:p>
        </w:tc>
        <w:tc>
          <w:tcPr>
            <w:tcW w:w="1276" w:type="dxa"/>
            <w:noWrap/>
            <w:hideMark/>
          </w:tcPr>
          <w:p w:rsidR="0092299C" w:rsidRPr="00FB2C11" w:rsidRDefault="0092299C" w:rsidP="0092299C">
            <w:pPr>
              <w:pStyle w:val="ARtabletextright"/>
            </w:pPr>
            <w:r w:rsidRPr="00FB2C11">
              <w:t>$42,955</w:t>
            </w:r>
          </w:p>
        </w:tc>
      </w:tr>
      <w:tr w:rsidR="0092299C" w:rsidRPr="00FB2C11" w:rsidTr="0084694E">
        <w:tc>
          <w:tcPr>
            <w:tcW w:w="2194" w:type="dxa"/>
            <w:noWrap/>
            <w:hideMark/>
          </w:tcPr>
          <w:p w:rsidR="0092299C" w:rsidRPr="00FB2C11" w:rsidRDefault="0092299C" w:rsidP="0092299C">
            <w:pPr>
              <w:pStyle w:val="ARtabletext"/>
            </w:pPr>
            <w:r w:rsidRPr="00FB2C11">
              <w:t>NSW Health Pathology</w:t>
            </w:r>
          </w:p>
        </w:tc>
        <w:tc>
          <w:tcPr>
            <w:tcW w:w="3771" w:type="dxa"/>
            <w:noWrap/>
            <w:hideMark/>
          </w:tcPr>
          <w:p w:rsidR="0092299C" w:rsidRPr="00FB2C11" w:rsidRDefault="0092299C" w:rsidP="0092299C">
            <w:pPr>
              <w:pStyle w:val="ARtabletext"/>
            </w:pPr>
            <w:r w:rsidRPr="00FB2C11">
              <w:t>Review, Victorian public health mosquito-borne disease control activities</w:t>
            </w:r>
          </w:p>
        </w:tc>
        <w:tc>
          <w:tcPr>
            <w:tcW w:w="1275" w:type="dxa"/>
            <w:noWrap/>
            <w:hideMark/>
          </w:tcPr>
          <w:p w:rsidR="0092299C" w:rsidRPr="00FB2C11" w:rsidRDefault="0092299C" w:rsidP="0092299C">
            <w:pPr>
              <w:pStyle w:val="ARtabletextright"/>
            </w:pPr>
            <w:r w:rsidRPr="00FB2C11">
              <w:t>$39,182</w:t>
            </w:r>
          </w:p>
        </w:tc>
        <w:tc>
          <w:tcPr>
            <w:tcW w:w="1276" w:type="dxa"/>
            <w:noWrap/>
            <w:hideMark/>
          </w:tcPr>
          <w:p w:rsidR="0092299C" w:rsidRPr="00FB2C11" w:rsidRDefault="0092299C" w:rsidP="0092299C">
            <w:pPr>
              <w:pStyle w:val="ARtabletextright"/>
            </w:pPr>
            <w:r w:rsidRPr="00FB2C11">
              <w:t>$21,700</w:t>
            </w:r>
          </w:p>
        </w:tc>
        <w:tc>
          <w:tcPr>
            <w:tcW w:w="1276" w:type="dxa"/>
            <w:noWrap/>
            <w:hideMark/>
          </w:tcPr>
          <w:p w:rsidR="0092299C" w:rsidRPr="00FB2C11" w:rsidRDefault="0092299C" w:rsidP="0092299C">
            <w:pPr>
              <w:pStyle w:val="ARtabletextright"/>
            </w:pPr>
            <w:r w:rsidRPr="00FB2C11">
              <w:t>$17,482</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Review, implementation of Chief Health Officer</w:t>
            </w:r>
          </w:p>
        </w:tc>
        <w:tc>
          <w:tcPr>
            <w:tcW w:w="1275" w:type="dxa"/>
            <w:noWrap/>
            <w:hideMark/>
          </w:tcPr>
          <w:p w:rsidR="0092299C" w:rsidRPr="00FB2C11" w:rsidRDefault="0092299C" w:rsidP="0092299C">
            <w:pPr>
              <w:pStyle w:val="ARtabletextright"/>
            </w:pPr>
            <w:r w:rsidRPr="00FB2C11">
              <w:t>$70,750</w:t>
            </w:r>
          </w:p>
        </w:tc>
        <w:tc>
          <w:tcPr>
            <w:tcW w:w="1276" w:type="dxa"/>
            <w:noWrap/>
            <w:hideMark/>
          </w:tcPr>
          <w:p w:rsidR="0092299C" w:rsidRPr="00FB2C11" w:rsidRDefault="0092299C" w:rsidP="0092299C">
            <w:pPr>
              <w:pStyle w:val="ARtabletextright"/>
            </w:pPr>
            <w:r w:rsidRPr="00FB2C11">
              <w:t>$52,692</w:t>
            </w:r>
          </w:p>
        </w:tc>
        <w:tc>
          <w:tcPr>
            <w:tcW w:w="1276" w:type="dxa"/>
            <w:noWrap/>
            <w:hideMark/>
          </w:tcPr>
          <w:p w:rsidR="0092299C" w:rsidRPr="00FB2C11" w:rsidRDefault="0092299C" w:rsidP="0092299C">
            <w:pPr>
              <w:pStyle w:val="ARtabletextright"/>
            </w:pPr>
            <w:r w:rsidRPr="00FB2C11">
              <w:t>$18,058</w:t>
            </w:r>
          </w:p>
        </w:tc>
      </w:tr>
      <w:tr w:rsidR="0092299C" w:rsidRPr="00FB2C11" w:rsidTr="0084694E">
        <w:tc>
          <w:tcPr>
            <w:tcW w:w="2194" w:type="dxa"/>
            <w:noWrap/>
            <w:hideMark/>
          </w:tcPr>
          <w:p w:rsidR="0092299C" w:rsidRPr="00FB2C11" w:rsidRDefault="0092299C" w:rsidP="0092299C">
            <w:pPr>
              <w:pStyle w:val="ARtabletext"/>
            </w:pPr>
            <w:r w:rsidRPr="00FB2C11">
              <w:t>Oakton Services Pty Ltd</w:t>
            </w:r>
          </w:p>
        </w:tc>
        <w:tc>
          <w:tcPr>
            <w:tcW w:w="3771" w:type="dxa"/>
            <w:noWrap/>
            <w:hideMark/>
          </w:tcPr>
          <w:p w:rsidR="0092299C" w:rsidRPr="00FB2C11" w:rsidRDefault="0092299C" w:rsidP="0092299C">
            <w:pPr>
              <w:pStyle w:val="ARtabletext"/>
            </w:pPr>
            <w:r w:rsidRPr="00FB2C11">
              <w:t>Develop system strategy, business transactions management</w:t>
            </w:r>
          </w:p>
        </w:tc>
        <w:tc>
          <w:tcPr>
            <w:tcW w:w="1275" w:type="dxa"/>
            <w:noWrap/>
            <w:hideMark/>
          </w:tcPr>
          <w:p w:rsidR="0092299C" w:rsidRPr="00FB2C11" w:rsidRDefault="0092299C" w:rsidP="0092299C">
            <w:pPr>
              <w:pStyle w:val="ARtabletextright"/>
            </w:pPr>
            <w:r w:rsidRPr="00FB2C11">
              <w:t>$170,969</w:t>
            </w:r>
          </w:p>
        </w:tc>
        <w:tc>
          <w:tcPr>
            <w:tcW w:w="1276" w:type="dxa"/>
            <w:noWrap/>
            <w:hideMark/>
          </w:tcPr>
          <w:p w:rsidR="0092299C" w:rsidRPr="00FB2C11" w:rsidRDefault="0092299C" w:rsidP="0092299C">
            <w:pPr>
              <w:pStyle w:val="ARtabletextright"/>
            </w:pPr>
            <w:r w:rsidRPr="00FB2C11">
              <w:t>$170,969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Third Horizon Consulting Pty Ltd</w:t>
            </w:r>
          </w:p>
        </w:tc>
        <w:tc>
          <w:tcPr>
            <w:tcW w:w="3771" w:type="dxa"/>
            <w:noWrap/>
            <w:hideMark/>
          </w:tcPr>
          <w:p w:rsidR="0092299C" w:rsidRPr="00FB2C11" w:rsidRDefault="0092299C" w:rsidP="0092299C">
            <w:pPr>
              <w:pStyle w:val="ARtabletext"/>
            </w:pPr>
            <w:r w:rsidRPr="00FB2C11">
              <w:t xml:space="preserve">Implementation plan, </w:t>
            </w:r>
            <w:r>
              <w:t>h</w:t>
            </w:r>
            <w:r w:rsidRPr="00FB2C11">
              <w:t>ousing affordability strategy</w:t>
            </w:r>
          </w:p>
        </w:tc>
        <w:tc>
          <w:tcPr>
            <w:tcW w:w="1275" w:type="dxa"/>
            <w:noWrap/>
            <w:hideMark/>
          </w:tcPr>
          <w:p w:rsidR="0092299C" w:rsidRPr="00FB2C11" w:rsidRDefault="0092299C" w:rsidP="0092299C">
            <w:pPr>
              <w:pStyle w:val="ARtabletextright"/>
            </w:pPr>
            <w:r w:rsidRPr="00FB2C11">
              <w:t>$63,910</w:t>
            </w:r>
          </w:p>
        </w:tc>
        <w:tc>
          <w:tcPr>
            <w:tcW w:w="1276" w:type="dxa"/>
            <w:noWrap/>
            <w:hideMark/>
          </w:tcPr>
          <w:p w:rsidR="0092299C" w:rsidRPr="00FB2C11" w:rsidRDefault="0092299C" w:rsidP="0092299C">
            <w:pPr>
              <w:pStyle w:val="ARtabletextright"/>
            </w:pPr>
            <w:r w:rsidRPr="00FB2C11">
              <w:t>$62,733</w:t>
            </w:r>
          </w:p>
        </w:tc>
        <w:tc>
          <w:tcPr>
            <w:tcW w:w="1276" w:type="dxa"/>
            <w:noWrap/>
            <w:hideMark/>
          </w:tcPr>
          <w:p w:rsidR="0092299C" w:rsidRPr="00FB2C11" w:rsidRDefault="0092299C" w:rsidP="0092299C">
            <w:pPr>
              <w:pStyle w:val="ARtabletextright"/>
            </w:pPr>
            <w:r w:rsidRPr="00FB2C11">
              <w:t>$1,177</w:t>
            </w:r>
          </w:p>
        </w:tc>
      </w:tr>
      <w:tr w:rsidR="0092299C" w:rsidRPr="00FB2C11" w:rsidTr="0084694E">
        <w:tc>
          <w:tcPr>
            <w:tcW w:w="2194" w:type="dxa"/>
            <w:noWrap/>
            <w:hideMark/>
          </w:tcPr>
          <w:p w:rsidR="0092299C" w:rsidRPr="00FB2C11" w:rsidRDefault="0092299C" w:rsidP="0092299C">
            <w:pPr>
              <w:pStyle w:val="ARtabletext"/>
            </w:pPr>
            <w:proofErr w:type="spellStart"/>
            <w:r w:rsidRPr="00FB2C11">
              <w:t>Kintsugi</w:t>
            </w:r>
            <w:proofErr w:type="spellEnd"/>
            <w:r w:rsidRPr="00FB2C11">
              <w:t xml:space="preserve"> Alliance Pty Ltd</w:t>
            </w:r>
          </w:p>
        </w:tc>
        <w:tc>
          <w:tcPr>
            <w:tcW w:w="3771" w:type="dxa"/>
            <w:noWrap/>
            <w:hideMark/>
          </w:tcPr>
          <w:p w:rsidR="0092299C" w:rsidRPr="00FB2C11" w:rsidRDefault="0092299C" w:rsidP="0092299C">
            <w:pPr>
              <w:pStyle w:val="ARtabletext"/>
            </w:pPr>
            <w:r w:rsidRPr="00FB2C11">
              <w:t>Scoping and operating model, change management</w:t>
            </w:r>
          </w:p>
        </w:tc>
        <w:tc>
          <w:tcPr>
            <w:tcW w:w="1275" w:type="dxa"/>
            <w:noWrap/>
            <w:hideMark/>
          </w:tcPr>
          <w:p w:rsidR="0092299C" w:rsidRPr="00FB2C11" w:rsidRDefault="0092299C" w:rsidP="0092299C">
            <w:pPr>
              <w:pStyle w:val="ARtabletextright"/>
            </w:pPr>
            <w:r w:rsidRPr="00FB2C11">
              <w:t>$21,750</w:t>
            </w:r>
          </w:p>
        </w:tc>
        <w:tc>
          <w:tcPr>
            <w:tcW w:w="1276" w:type="dxa"/>
            <w:noWrap/>
            <w:hideMark/>
          </w:tcPr>
          <w:p w:rsidR="0092299C" w:rsidRPr="00FB2C11" w:rsidRDefault="0092299C" w:rsidP="0092299C">
            <w:pPr>
              <w:pStyle w:val="ARtabletextright"/>
            </w:pPr>
            <w:r w:rsidRPr="00FB2C11">
              <w:t>$21,750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Kieran </w:t>
            </w:r>
            <w:proofErr w:type="spellStart"/>
            <w:r w:rsidRPr="00FB2C11">
              <w:t>Walshe</w:t>
            </w:r>
            <w:proofErr w:type="spellEnd"/>
          </w:p>
        </w:tc>
        <w:tc>
          <w:tcPr>
            <w:tcW w:w="3771" w:type="dxa"/>
            <w:noWrap/>
            <w:hideMark/>
          </w:tcPr>
          <w:p w:rsidR="0092299C" w:rsidRPr="00FB2C11" w:rsidRDefault="0092299C" w:rsidP="0092299C">
            <w:pPr>
              <w:pStyle w:val="ARtabletext"/>
            </w:pPr>
            <w:r w:rsidRPr="00FB2C11">
              <w:t xml:space="preserve">Review, </w:t>
            </w:r>
            <w:r>
              <w:t>e</w:t>
            </w:r>
            <w:r w:rsidRPr="00FB2C11">
              <w:t xml:space="preserve">scape from </w:t>
            </w:r>
            <w:r>
              <w:t>d</w:t>
            </w:r>
            <w:r w:rsidRPr="00FB2C11">
              <w:t>isability forensic assessment and treatment service, November 2016</w:t>
            </w:r>
          </w:p>
        </w:tc>
        <w:tc>
          <w:tcPr>
            <w:tcW w:w="1275" w:type="dxa"/>
            <w:noWrap/>
            <w:hideMark/>
          </w:tcPr>
          <w:p w:rsidR="0092299C" w:rsidRPr="00FB2C11" w:rsidRDefault="0092299C" w:rsidP="0092299C">
            <w:pPr>
              <w:pStyle w:val="ARtabletextright"/>
            </w:pPr>
            <w:r w:rsidRPr="00FB2C11">
              <w:t>$11,874</w:t>
            </w:r>
          </w:p>
        </w:tc>
        <w:tc>
          <w:tcPr>
            <w:tcW w:w="1276" w:type="dxa"/>
            <w:noWrap/>
            <w:hideMark/>
          </w:tcPr>
          <w:p w:rsidR="0092299C" w:rsidRPr="00FB2C11" w:rsidRDefault="0092299C" w:rsidP="0092299C">
            <w:pPr>
              <w:pStyle w:val="ARtabletextright"/>
            </w:pPr>
            <w:r w:rsidRPr="00FB2C11">
              <w:t>$11,874</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 xml:space="preserve">Review, business case costing, Parkville precinct EMR </w:t>
            </w:r>
          </w:p>
        </w:tc>
        <w:tc>
          <w:tcPr>
            <w:tcW w:w="1275" w:type="dxa"/>
            <w:noWrap/>
            <w:hideMark/>
          </w:tcPr>
          <w:p w:rsidR="0092299C" w:rsidRPr="00FB2C11" w:rsidRDefault="0092299C" w:rsidP="0092299C">
            <w:pPr>
              <w:pStyle w:val="ARtabletextright"/>
            </w:pPr>
            <w:r w:rsidRPr="00FB2C11">
              <w:t>$30,909</w:t>
            </w:r>
          </w:p>
        </w:tc>
        <w:tc>
          <w:tcPr>
            <w:tcW w:w="1276" w:type="dxa"/>
            <w:noWrap/>
            <w:hideMark/>
          </w:tcPr>
          <w:p w:rsidR="0092299C" w:rsidRPr="00FB2C11" w:rsidRDefault="0092299C" w:rsidP="0092299C">
            <w:pPr>
              <w:pStyle w:val="ARtabletextright"/>
            </w:pPr>
            <w:r w:rsidRPr="00FB2C11">
              <w:t>$30,909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Cpt Global Australia Pty Ltd</w:t>
            </w:r>
          </w:p>
        </w:tc>
        <w:tc>
          <w:tcPr>
            <w:tcW w:w="3771" w:type="dxa"/>
            <w:noWrap/>
            <w:hideMark/>
          </w:tcPr>
          <w:p w:rsidR="0092299C" w:rsidRPr="00FB2C11" w:rsidRDefault="0092299C" w:rsidP="0092299C">
            <w:pPr>
              <w:pStyle w:val="ARtabletext"/>
            </w:pPr>
            <w:r w:rsidRPr="00FB2C11">
              <w:t>Review (independent assurance), laboratory information system project</w:t>
            </w:r>
          </w:p>
        </w:tc>
        <w:tc>
          <w:tcPr>
            <w:tcW w:w="1275" w:type="dxa"/>
            <w:noWrap/>
            <w:hideMark/>
          </w:tcPr>
          <w:p w:rsidR="0092299C" w:rsidRPr="00FB2C11" w:rsidRDefault="0092299C" w:rsidP="0092299C">
            <w:pPr>
              <w:pStyle w:val="ARtabletextright"/>
            </w:pPr>
            <w:r w:rsidRPr="00FB2C11">
              <w:t>$14,702</w:t>
            </w:r>
          </w:p>
        </w:tc>
        <w:tc>
          <w:tcPr>
            <w:tcW w:w="1276" w:type="dxa"/>
            <w:noWrap/>
            <w:hideMark/>
          </w:tcPr>
          <w:p w:rsidR="0092299C" w:rsidRPr="00FB2C11" w:rsidRDefault="0092299C" w:rsidP="0092299C">
            <w:pPr>
              <w:pStyle w:val="ARtabletextright"/>
            </w:pPr>
            <w:r w:rsidRPr="00FB2C11">
              <w:t>$14,702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Michelle Harcourt</w:t>
            </w:r>
          </w:p>
        </w:tc>
        <w:tc>
          <w:tcPr>
            <w:tcW w:w="3771" w:type="dxa"/>
            <w:noWrap/>
            <w:hideMark/>
          </w:tcPr>
          <w:p w:rsidR="0092299C" w:rsidRPr="00FB2C11" w:rsidRDefault="0092299C" w:rsidP="0092299C">
            <w:pPr>
              <w:pStyle w:val="ARtabletext"/>
            </w:pPr>
            <w:r w:rsidRPr="00FB2C11">
              <w:t xml:space="preserve">Specialised clinical and technical support, Residential Services Quality Improvement Unit </w:t>
            </w:r>
          </w:p>
        </w:tc>
        <w:tc>
          <w:tcPr>
            <w:tcW w:w="1275" w:type="dxa"/>
            <w:noWrap/>
            <w:hideMark/>
          </w:tcPr>
          <w:p w:rsidR="0092299C" w:rsidRPr="00FB2C11" w:rsidRDefault="0092299C" w:rsidP="0092299C">
            <w:pPr>
              <w:pStyle w:val="ARtabletextright"/>
            </w:pPr>
            <w:r w:rsidRPr="00FB2C11">
              <w:t>$42,955</w:t>
            </w:r>
          </w:p>
        </w:tc>
        <w:tc>
          <w:tcPr>
            <w:tcW w:w="1276" w:type="dxa"/>
            <w:noWrap/>
            <w:hideMark/>
          </w:tcPr>
          <w:p w:rsidR="0092299C" w:rsidRPr="00FB2C11" w:rsidRDefault="0092299C" w:rsidP="0092299C">
            <w:pPr>
              <w:pStyle w:val="ARtabletextright"/>
            </w:pPr>
            <w:r w:rsidRPr="00FB2C11">
              <w:t>$18,763</w:t>
            </w:r>
          </w:p>
        </w:tc>
        <w:tc>
          <w:tcPr>
            <w:tcW w:w="1276" w:type="dxa"/>
            <w:noWrap/>
            <w:hideMark/>
          </w:tcPr>
          <w:p w:rsidR="0092299C" w:rsidRPr="00FB2C11" w:rsidRDefault="0092299C" w:rsidP="0092299C">
            <w:pPr>
              <w:pStyle w:val="ARtabletextright"/>
            </w:pPr>
            <w:r w:rsidRPr="00FB2C11">
              <w:t>$24,192</w:t>
            </w:r>
          </w:p>
        </w:tc>
      </w:tr>
      <w:tr w:rsidR="0092299C" w:rsidRPr="00FB2C11" w:rsidTr="0084694E">
        <w:tc>
          <w:tcPr>
            <w:tcW w:w="2194" w:type="dxa"/>
            <w:noWrap/>
            <w:hideMark/>
          </w:tcPr>
          <w:p w:rsidR="0092299C" w:rsidRPr="00FB2C11" w:rsidRDefault="0092299C" w:rsidP="0092299C">
            <w:pPr>
              <w:pStyle w:val="ARtabletext"/>
            </w:pPr>
            <w:r w:rsidRPr="00FB2C11">
              <w:t>The Pharmacy Guild of Australia Victorian Branch</w:t>
            </w:r>
          </w:p>
        </w:tc>
        <w:tc>
          <w:tcPr>
            <w:tcW w:w="3771" w:type="dxa"/>
            <w:noWrap/>
            <w:hideMark/>
          </w:tcPr>
          <w:p w:rsidR="0092299C" w:rsidRPr="00FB2C11" w:rsidRDefault="0092299C" w:rsidP="0092299C">
            <w:pPr>
              <w:pStyle w:val="ARtabletext"/>
            </w:pPr>
            <w:r w:rsidRPr="00FB2C11">
              <w:t xml:space="preserve">Advice, </w:t>
            </w:r>
            <w:r>
              <w:t>m</w:t>
            </w:r>
            <w:r w:rsidRPr="00FB2C11">
              <w:t>edication reconciliation in community settings</w:t>
            </w:r>
          </w:p>
        </w:tc>
        <w:tc>
          <w:tcPr>
            <w:tcW w:w="1275" w:type="dxa"/>
            <w:noWrap/>
            <w:hideMark/>
          </w:tcPr>
          <w:p w:rsidR="0092299C" w:rsidRPr="00FB2C11" w:rsidRDefault="0092299C" w:rsidP="0092299C">
            <w:pPr>
              <w:pStyle w:val="ARtabletextright"/>
            </w:pPr>
            <w:r w:rsidRPr="00FB2C11">
              <w:t>$27,000</w:t>
            </w:r>
          </w:p>
        </w:tc>
        <w:tc>
          <w:tcPr>
            <w:tcW w:w="1276" w:type="dxa"/>
            <w:noWrap/>
            <w:hideMark/>
          </w:tcPr>
          <w:p w:rsidR="0092299C" w:rsidRPr="00FB2C11" w:rsidRDefault="0092299C" w:rsidP="0092299C">
            <w:pPr>
              <w:pStyle w:val="ARtabletextright"/>
            </w:pPr>
            <w:r w:rsidRPr="00FB2C11">
              <w:t>$27,000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Changesmith</w:t>
            </w:r>
            <w:proofErr w:type="spellEnd"/>
            <w:r w:rsidRPr="00FB2C11">
              <w:t xml:space="preserve"> Consulting</w:t>
            </w:r>
          </w:p>
        </w:tc>
        <w:tc>
          <w:tcPr>
            <w:tcW w:w="3771" w:type="dxa"/>
            <w:noWrap/>
            <w:hideMark/>
          </w:tcPr>
          <w:p w:rsidR="0092299C" w:rsidRPr="00FB2C11" w:rsidRDefault="0092299C" w:rsidP="0092299C">
            <w:pPr>
              <w:pStyle w:val="ARtabletext"/>
            </w:pPr>
            <w:r w:rsidRPr="00FB2C11">
              <w:t>Evaluate, strengthening seniors</w:t>
            </w:r>
            <w:r>
              <w:t>’</w:t>
            </w:r>
            <w:r w:rsidRPr="00FB2C11">
              <w:t xml:space="preserve"> inclusion and participation in local communities project</w:t>
            </w:r>
          </w:p>
        </w:tc>
        <w:tc>
          <w:tcPr>
            <w:tcW w:w="1275" w:type="dxa"/>
            <w:noWrap/>
            <w:hideMark/>
          </w:tcPr>
          <w:p w:rsidR="0092299C" w:rsidRPr="00FB2C11" w:rsidRDefault="0092299C" w:rsidP="0092299C">
            <w:pPr>
              <w:pStyle w:val="ARtabletextright"/>
            </w:pPr>
            <w:r w:rsidRPr="00FB2C11">
              <w:t>$136,136</w:t>
            </w:r>
          </w:p>
        </w:tc>
        <w:tc>
          <w:tcPr>
            <w:tcW w:w="1276" w:type="dxa"/>
            <w:noWrap/>
            <w:hideMark/>
          </w:tcPr>
          <w:p w:rsidR="0092299C" w:rsidRPr="00FB2C11" w:rsidRDefault="0092299C" w:rsidP="0092299C">
            <w:pPr>
              <w:pStyle w:val="ARtabletextright"/>
            </w:pPr>
            <w:r w:rsidRPr="00FB2C11">
              <w:t>$56,023</w:t>
            </w:r>
          </w:p>
        </w:tc>
        <w:tc>
          <w:tcPr>
            <w:tcW w:w="1276" w:type="dxa"/>
            <w:noWrap/>
            <w:hideMark/>
          </w:tcPr>
          <w:p w:rsidR="0092299C" w:rsidRPr="00FB2C11" w:rsidRDefault="0092299C" w:rsidP="0092299C">
            <w:pPr>
              <w:pStyle w:val="ARtabletextright"/>
            </w:pPr>
            <w:r w:rsidRPr="00FB2C11">
              <w:t>$80,113</w:t>
            </w:r>
          </w:p>
        </w:tc>
      </w:tr>
      <w:tr w:rsidR="0092299C" w:rsidRPr="00FB2C11" w:rsidTr="0084694E">
        <w:tc>
          <w:tcPr>
            <w:tcW w:w="2194" w:type="dxa"/>
            <w:noWrap/>
            <w:hideMark/>
          </w:tcPr>
          <w:p w:rsidR="0092299C" w:rsidRPr="00FB2C11" w:rsidRDefault="0092299C" w:rsidP="0092299C">
            <w:pPr>
              <w:pStyle w:val="ARtabletext"/>
            </w:pPr>
            <w:r w:rsidRPr="00FB2C11">
              <w:t>University of Queensland</w:t>
            </w:r>
          </w:p>
        </w:tc>
        <w:tc>
          <w:tcPr>
            <w:tcW w:w="3771" w:type="dxa"/>
            <w:noWrap/>
            <w:hideMark/>
          </w:tcPr>
          <w:p w:rsidR="0092299C" w:rsidRPr="00FB2C11" w:rsidRDefault="0092299C" w:rsidP="0092299C">
            <w:pPr>
              <w:pStyle w:val="ARtabletext"/>
            </w:pPr>
            <w:r w:rsidRPr="00FB2C11">
              <w:t xml:space="preserve">Planning framework, </w:t>
            </w:r>
            <w:r>
              <w:t>n</w:t>
            </w:r>
            <w:r w:rsidRPr="00FB2C11">
              <w:t xml:space="preserve">ational </w:t>
            </w:r>
            <w:r>
              <w:t>m</w:t>
            </w:r>
            <w:r w:rsidRPr="00FB2C11">
              <w:t xml:space="preserve">ental </w:t>
            </w:r>
            <w:r>
              <w:t>h</w:t>
            </w:r>
            <w:r w:rsidRPr="00FB2C11">
              <w:t>ealth, Victoria</w:t>
            </w:r>
          </w:p>
        </w:tc>
        <w:tc>
          <w:tcPr>
            <w:tcW w:w="1275" w:type="dxa"/>
            <w:noWrap/>
            <w:hideMark/>
          </w:tcPr>
          <w:p w:rsidR="0092299C" w:rsidRPr="00FB2C11" w:rsidRDefault="0092299C" w:rsidP="0092299C">
            <w:pPr>
              <w:pStyle w:val="ARtabletextright"/>
            </w:pPr>
            <w:r w:rsidRPr="00FB2C11">
              <w:t>$32,568</w:t>
            </w:r>
          </w:p>
        </w:tc>
        <w:tc>
          <w:tcPr>
            <w:tcW w:w="1276" w:type="dxa"/>
            <w:noWrap/>
            <w:hideMark/>
          </w:tcPr>
          <w:p w:rsidR="0092299C" w:rsidRPr="00FB2C11" w:rsidRDefault="0092299C" w:rsidP="0092299C">
            <w:pPr>
              <w:pStyle w:val="ARtabletextright"/>
            </w:pPr>
            <w:r w:rsidRPr="00FB2C11">
              <w:t>$32,568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Murray Neil </w:t>
            </w:r>
            <w:proofErr w:type="spellStart"/>
            <w:r w:rsidRPr="00FB2C11">
              <w:t>Comrie</w:t>
            </w:r>
            <w:proofErr w:type="spellEnd"/>
          </w:p>
        </w:tc>
        <w:tc>
          <w:tcPr>
            <w:tcW w:w="3771" w:type="dxa"/>
            <w:noWrap/>
            <w:hideMark/>
          </w:tcPr>
          <w:p w:rsidR="0092299C" w:rsidRPr="00FB2C11" w:rsidRDefault="0092299C" w:rsidP="0092299C">
            <w:pPr>
              <w:pStyle w:val="ARtabletext"/>
            </w:pPr>
            <w:r w:rsidRPr="00FB2C11">
              <w:t>Review, Parkville Youth Justice precinct</w:t>
            </w:r>
          </w:p>
        </w:tc>
        <w:tc>
          <w:tcPr>
            <w:tcW w:w="1275" w:type="dxa"/>
            <w:noWrap/>
            <w:hideMark/>
          </w:tcPr>
          <w:p w:rsidR="0092299C" w:rsidRPr="00FB2C11" w:rsidRDefault="0092299C" w:rsidP="0092299C">
            <w:pPr>
              <w:pStyle w:val="ARtabletextright"/>
            </w:pPr>
            <w:r w:rsidRPr="00FB2C11">
              <w:t>$95,000</w:t>
            </w:r>
          </w:p>
        </w:tc>
        <w:tc>
          <w:tcPr>
            <w:tcW w:w="1276" w:type="dxa"/>
            <w:noWrap/>
            <w:hideMark/>
          </w:tcPr>
          <w:p w:rsidR="0092299C" w:rsidRPr="00FB2C11" w:rsidRDefault="0092299C" w:rsidP="0092299C">
            <w:pPr>
              <w:pStyle w:val="ARtabletextright"/>
            </w:pPr>
            <w:r w:rsidRPr="00FB2C11">
              <w:t>$95,000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Develop people strategy</w:t>
            </w:r>
          </w:p>
        </w:tc>
        <w:tc>
          <w:tcPr>
            <w:tcW w:w="1275" w:type="dxa"/>
            <w:noWrap/>
            <w:hideMark/>
          </w:tcPr>
          <w:p w:rsidR="0092299C" w:rsidRPr="00FB2C11" w:rsidRDefault="0092299C" w:rsidP="0092299C">
            <w:pPr>
              <w:pStyle w:val="ARtabletextright"/>
            </w:pPr>
            <w:r w:rsidRPr="00FB2C11">
              <w:t>$441,902</w:t>
            </w:r>
          </w:p>
        </w:tc>
        <w:tc>
          <w:tcPr>
            <w:tcW w:w="1276" w:type="dxa"/>
            <w:noWrap/>
            <w:hideMark/>
          </w:tcPr>
          <w:p w:rsidR="0092299C" w:rsidRPr="00FB2C11" w:rsidRDefault="0092299C" w:rsidP="0092299C">
            <w:pPr>
              <w:pStyle w:val="ARtabletextright"/>
            </w:pPr>
            <w:r w:rsidRPr="00FB2C11">
              <w:t>$442,892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 xml:space="preserve">Preliminary business case, </w:t>
            </w:r>
            <w:r>
              <w:t>s</w:t>
            </w:r>
            <w:r w:rsidRPr="00FB2C11">
              <w:t>tate rugby league centre</w:t>
            </w:r>
          </w:p>
        </w:tc>
        <w:tc>
          <w:tcPr>
            <w:tcW w:w="1275" w:type="dxa"/>
            <w:noWrap/>
            <w:hideMark/>
          </w:tcPr>
          <w:p w:rsidR="0092299C" w:rsidRPr="00FB2C11" w:rsidRDefault="0092299C" w:rsidP="0092299C">
            <w:pPr>
              <w:pStyle w:val="ARtabletextright"/>
            </w:pPr>
            <w:r w:rsidRPr="00FB2C11">
              <w:t>$52,349</w:t>
            </w:r>
          </w:p>
        </w:tc>
        <w:tc>
          <w:tcPr>
            <w:tcW w:w="1276" w:type="dxa"/>
            <w:noWrap/>
            <w:hideMark/>
          </w:tcPr>
          <w:p w:rsidR="0092299C" w:rsidRPr="00FB2C11" w:rsidRDefault="0092299C" w:rsidP="0092299C">
            <w:pPr>
              <w:pStyle w:val="ARtabletextright"/>
            </w:pPr>
            <w:r w:rsidRPr="00FB2C11">
              <w:t>$52,349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Nucleus Consulting Group Pty Ltd</w:t>
            </w:r>
          </w:p>
        </w:tc>
        <w:tc>
          <w:tcPr>
            <w:tcW w:w="3771" w:type="dxa"/>
            <w:noWrap/>
            <w:hideMark/>
          </w:tcPr>
          <w:p w:rsidR="0092299C" w:rsidRPr="00FB2C11" w:rsidRDefault="0092299C" w:rsidP="0092299C">
            <w:pPr>
              <w:pStyle w:val="ARtabletext"/>
            </w:pPr>
            <w:r w:rsidRPr="00FB2C11">
              <w:t>Review, Ararat day program</w:t>
            </w:r>
          </w:p>
        </w:tc>
        <w:tc>
          <w:tcPr>
            <w:tcW w:w="1275" w:type="dxa"/>
            <w:noWrap/>
            <w:hideMark/>
          </w:tcPr>
          <w:p w:rsidR="0092299C" w:rsidRPr="00FB2C11" w:rsidRDefault="0092299C" w:rsidP="0092299C">
            <w:pPr>
              <w:pStyle w:val="ARtabletextright"/>
            </w:pPr>
            <w:r w:rsidRPr="00FB2C11">
              <w:t>$47,990</w:t>
            </w:r>
          </w:p>
        </w:tc>
        <w:tc>
          <w:tcPr>
            <w:tcW w:w="1276" w:type="dxa"/>
            <w:noWrap/>
            <w:hideMark/>
          </w:tcPr>
          <w:p w:rsidR="0092299C" w:rsidRPr="00FB2C11" w:rsidRDefault="0092299C" w:rsidP="0092299C">
            <w:pPr>
              <w:pStyle w:val="ARtabletextright"/>
            </w:pPr>
            <w:r w:rsidRPr="00FB2C11">
              <w:t>$47,990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Sefton Management Consulting</w:t>
            </w:r>
          </w:p>
        </w:tc>
        <w:tc>
          <w:tcPr>
            <w:tcW w:w="3771" w:type="dxa"/>
            <w:noWrap/>
            <w:hideMark/>
          </w:tcPr>
          <w:p w:rsidR="0092299C" w:rsidRPr="00FB2C11" w:rsidRDefault="0092299C" w:rsidP="0092299C">
            <w:pPr>
              <w:pStyle w:val="ARtabletext"/>
            </w:pPr>
            <w:r w:rsidRPr="00FB2C11">
              <w:t>Review, Mallee family services</w:t>
            </w:r>
          </w:p>
        </w:tc>
        <w:tc>
          <w:tcPr>
            <w:tcW w:w="1275" w:type="dxa"/>
            <w:noWrap/>
            <w:hideMark/>
          </w:tcPr>
          <w:p w:rsidR="0092299C" w:rsidRPr="00FB2C11" w:rsidRDefault="0092299C" w:rsidP="0092299C">
            <w:pPr>
              <w:pStyle w:val="ARtabletextright"/>
            </w:pPr>
            <w:r w:rsidRPr="00FB2C11">
              <w:t>$45,455</w:t>
            </w:r>
          </w:p>
        </w:tc>
        <w:tc>
          <w:tcPr>
            <w:tcW w:w="1276" w:type="dxa"/>
            <w:noWrap/>
            <w:hideMark/>
          </w:tcPr>
          <w:p w:rsidR="0092299C" w:rsidRPr="00FB2C11" w:rsidRDefault="0092299C" w:rsidP="0092299C">
            <w:pPr>
              <w:pStyle w:val="ARtabletextright"/>
            </w:pPr>
            <w:r w:rsidRPr="00FB2C11">
              <w:t>$45,890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The Primary Agency</w:t>
            </w:r>
          </w:p>
        </w:tc>
        <w:tc>
          <w:tcPr>
            <w:tcW w:w="3771" w:type="dxa"/>
            <w:noWrap/>
            <w:hideMark/>
          </w:tcPr>
          <w:p w:rsidR="0092299C" w:rsidRPr="00FB2C11" w:rsidRDefault="0092299C" w:rsidP="0092299C">
            <w:pPr>
              <w:pStyle w:val="ARtabletext"/>
            </w:pPr>
            <w:r w:rsidRPr="00FB2C11">
              <w:t>Develop stakeholder engagement framework, chronic disease and mental health, Latrobe Valley</w:t>
            </w:r>
          </w:p>
        </w:tc>
        <w:tc>
          <w:tcPr>
            <w:tcW w:w="1275" w:type="dxa"/>
            <w:noWrap/>
            <w:hideMark/>
          </w:tcPr>
          <w:p w:rsidR="0092299C" w:rsidRPr="00FB2C11" w:rsidRDefault="0092299C" w:rsidP="0092299C">
            <w:pPr>
              <w:pStyle w:val="ARtabletextright"/>
            </w:pPr>
            <w:r w:rsidRPr="00FB2C11">
              <w:t>$117,293</w:t>
            </w:r>
          </w:p>
        </w:tc>
        <w:tc>
          <w:tcPr>
            <w:tcW w:w="1276" w:type="dxa"/>
            <w:noWrap/>
            <w:hideMark/>
          </w:tcPr>
          <w:p w:rsidR="0092299C" w:rsidRPr="00FB2C11" w:rsidRDefault="0092299C" w:rsidP="0092299C">
            <w:pPr>
              <w:pStyle w:val="ARtabletextright"/>
            </w:pPr>
            <w:r w:rsidRPr="00FB2C11">
              <w:t>$33,051</w:t>
            </w:r>
          </w:p>
        </w:tc>
        <w:tc>
          <w:tcPr>
            <w:tcW w:w="1276" w:type="dxa"/>
            <w:noWrap/>
            <w:hideMark/>
          </w:tcPr>
          <w:p w:rsidR="0092299C" w:rsidRPr="00FB2C11" w:rsidRDefault="0092299C" w:rsidP="0092299C">
            <w:pPr>
              <w:pStyle w:val="ARtabletextright"/>
            </w:pPr>
            <w:r w:rsidRPr="00FB2C11">
              <w:t>$84,242</w:t>
            </w:r>
          </w:p>
        </w:tc>
      </w:tr>
      <w:tr w:rsidR="0092299C" w:rsidRPr="00FB2C11" w:rsidTr="0084694E">
        <w:tc>
          <w:tcPr>
            <w:tcW w:w="2194" w:type="dxa"/>
            <w:noWrap/>
            <w:hideMark/>
          </w:tcPr>
          <w:p w:rsidR="0092299C" w:rsidRPr="00FB2C11" w:rsidRDefault="0092299C" w:rsidP="0092299C">
            <w:pPr>
              <w:pStyle w:val="ARtabletext"/>
            </w:pPr>
            <w:r w:rsidRPr="00FB2C11">
              <w:lastRenderedPageBreak/>
              <w:t>Dialog Information Technology</w:t>
            </w:r>
          </w:p>
        </w:tc>
        <w:tc>
          <w:tcPr>
            <w:tcW w:w="3771" w:type="dxa"/>
            <w:noWrap/>
            <w:hideMark/>
          </w:tcPr>
          <w:p w:rsidR="0092299C" w:rsidRPr="00FB2C11" w:rsidRDefault="0092299C" w:rsidP="0092299C">
            <w:pPr>
              <w:pStyle w:val="ARtabletext"/>
            </w:pPr>
            <w:r w:rsidRPr="00FB2C11">
              <w:t>Business analysis support, multiple information technology projects</w:t>
            </w:r>
          </w:p>
        </w:tc>
        <w:tc>
          <w:tcPr>
            <w:tcW w:w="1275" w:type="dxa"/>
            <w:noWrap/>
            <w:hideMark/>
          </w:tcPr>
          <w:p w:rsidR="0092299C" w:rsidRPr="00FB2C11" w:rsidRDefault="0092299C" w:rsidP="0092299C">
            <w:pPr>
              <w:pStyle w:val="ARtabletextright"/>
            </w:pPr>
            <w:r w:rsidRPr="00FB2C11">
              <w:t>$147,145</w:t>
            </w:r>
          </w:p>
        </w:tc>
        <w:tc>
          <w:tcPr>
            <w:tcW w:w="1276" w:type="dxa"/>
            <w:noWrap/>
            <w:hideMark/>
          </w:tcPr>
          <w:p w:rsidR="0092299C" w:rsidRPr="00FB2C11" w:rsidRDefault="0092299C" w:rsidP="0092299C">
            <w:pPr>
              <w:pStyle w:val="ARtabletextright"/>
            </w:pPr>
            <w:r w:rsidRPr="00FB2C11">
              <w:t>$91,666</w:t>
            </w:r>
          </w:p>
        </w:tc>
        <w:tc>
          <w:tcPr>
            <w:tcW w:w="1276" w:type="dxa"/>
            <w:noWrap/>
            <w:hideMark/>
          </w:tcPr>
          <w:p w:rsidR="0092299C" w:rsidRPr="00FB2C11" w:rsidRDefault="0092299C" w:rsidP="0092299C">
            <w:pPr>
              <w:pStyle w:val="ARtabletextright"/>
            </w:pPr>
            <w:r w:rsidRPr="00FB2C11">
              <w:t>$55,479</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Review and modelling, children and families services</w:t>
            </w:r>
          </w:p>
        </w:tc>
        <w:tc>
          <w:tcPr>
            <w:tcW w:w="1275" w:type="dxa"/>
            <w:noWrap/>
            <w:hideMark/>
          </w:tcPr>
          <w:p w:rsidR="0092299C" w:rsidRPr="00FB2C11" w:rsidRDefault="0092299C" w:rsidP="0092299C">
            <w:pPr>
              <w:pStyle w:val="ARtabletextright"/>
            </w:pPr>
            <w:r w:rsidRPr="00FB2C11">
              <w:t>$89,091</w:t>
            </w:r>
          </w:p>
        </w:tc>
        <w:tc>
          <w:tcPr>
            <w:tcW w:w="1276" w:type="dxa"/>
            <w:noWrap/>
            <w:hideMark/>
          </w:tcPr>
          <w:p w:rsidR="0092299C" w:rsidRPr="00FB2C11" w:rsidRDefault="0092299C" w:rsidP="0092299C">
            <w:pPr>
              <w:pStyle w:val="ARtabletextright"/>
            </w:pPr>
            <w:r w:rsidRPr="00FB2C11">
              <w:t>$88,500</w:t>
            </w:r>
          </w:p>
        </w:tc>
        <w:tc>
          <w:tcPr>
            <w:tcW w:w="1276" w:type="dxa"/>
            <w:noWrap/>
            <w:hideMark/>
          </w:tcPr>
          <w:p w:rsidR="0092299C" w:rsidRPr="00FB2C11" w:rsidRDefault="0092299C" w:rsidP="0092299C">
            <w:pPr>
              <w:pStyle w:val="ARtabletextright"/>
            </w:pPr>
            <w:r w:rsidRPr="00FB2C11">
              <w:t>$591</w:t>
            </w:r>
          </w:p>
        </w:tc>
      </w:tr>
      <w:tr w:rsidR="0092299C" w:rsidRPr="00FB2C11" w:rsidTr="0084694E">
        <w:tc>
          <w:tcPr>
            <w:tcW w:w="2194" w:type="dxa"/>
            <w:noWrap/>
            <w:hideMark/>
          </w:tcPr>
          <w:p w:rsidR="0092299C" w:rsidRPr="00FB2C11" w:rsidRDefault="0092299C" w:rsidP="0092299C">
            <w:pPr>
              <w:pStyle w:val="ARtabletext"/>
            </w:pPr>
            <w:proofErr w:type="spellStart"/>
            <w:r w:rsidRPr="00FB2C11">
              <w:t>Biruu</w:t>
            </w:r>
            <w:proofErr w:type="spellEnd"/>
            <w:r w:rsidRPr="00FB2C11">
              <w:t xml:space="preserve"> Pty Ltd</w:t>
            </w:r>
          </w:p>
        </w:tc>
        <w:tc>
          <w:tcPr>
            <w:tcW w:w="3771" w:type="dxa"/>
            <w:noWrap/>
            <w:hideMark/>
          </w:tcPr>
          <w:p w:rsidR="0092299C" w:rsidRPr="00FB2C11" w:rsidRDefault="0092299C" w:rsidP="0092299C">
            <w:pPr>
              <w:pStyle w:val="ARtabletext"/>
            </w:pPr>
            <w:r w:rsidRPr="00FB2C11">
              <w:t>Business case, residential replacement and renewal, Family Violence budget submission</w:t>
            </w:r>
          </w:p>
        </w:tc>
        <w:tc>
          <w:tcPr>
            <w:tcW w:w="1275" w:type="dxa"/>
            <w:noWrap/>
            <w:hideMark/>
          </w:tcPr>
          <w:p w:rsidR="0092299C" w:rsidRPr="00FB2C11" w:rsidRDefault="0092299C" w:rsidP="0092299C">
            <w:pPr>
              <w:pStyle w:val="ARtabletextright"/>
            </w:pPr>
            <w:r w:rsidRPr="00FB2C11">
              <w:t>$17,200</w:t>
            </w:r>
          </w:p>
        </w:tc>
        <w:tc>
          <w:tcPr>
            <w:tcW w:w="1276" w:type="dxa"/>
            <w:noWrap/>
            <w:hideMark/>
          </w:tcPr>
          <w:p w:rsidR="0092299C" w:rsidRPr="00FB2C11" w:rsidRDefault="0092299C" w:rsidP="0092299C">
            <w:pPr>
              <w:pStyle w:val="ARtabletextright"/>
            </w:pPr>
            <w:r w:rsidRPr="00FB2C11">
              <w:t>$17,200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Review, cost mapping</w:t>
            </w:r>
          </w:p>
        </w:tc>
        <w:tc>
          <w:tcPr>
            <w:tcW w:w="1275" w:type="dxa"/>
            <w:noWrap/>
            <w:hideMark/>
          </w:tcPr>
          <w:p w:rsidR="0092299C" w:rsidRPr="00FB2C11" w:rsidRDefault="0092299C" w:rsidP="0092299C">
            <w:pPr>
              <w:pStyle w:val="ARtabletextright"/>
            </w:pPr>
            <w:r w:rsidRPr="00FB2C11">
              <w:t>$783,184</w:t>
            </w:r>
          </w:p>
        </w:tc>
        <w:tc>
          <w:tcPr>
            <w:tcW w:w="1276" w:type="dxa"/>
            <w:noWrap/>
            <w:hideMark/>
          </w:tcPr>
          <w:p w:rsidR="0092299C" w:rsidRPr="00FB2C11" w:rsidRDefault="0092299C" w:rsidP="0092299C">
            <w:pPr>
              <w:pStyle w:val="ARtabletextright"/>
            </w:pPr>
            <w:r w:rsidRPr="00FB2C11">
              <w:t>$784,229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Biruu</w:t>
            </w:r>
            <w:proofErr w:type="spellEnd"/>
            <w:r w:rsidRPr="00FB2C11">
              <w:t xml:space="preserve"> Pty Ltd</w:t>
            </w:r>
          </w:p>
        </w:tc>
        <w:tc>
          <w:tcPr>
            <w:tcW w:w="3771" w:type="dxa"/>
            <w:noWrap/>
            <w:hideMark/>
          </w:tcPr>
          <w:p w:rsidR="0092299C" w:rsidRPr="00FB2C11" w:rsidRDefault="0092299C" w:rsidP="0092299C">
            <w:pPr>
              <w:pStyle w:val="ARtabletext"/>
            </w:pPr>
            <w:r w:rsidRPr="00FB2C11">
              <w:t xml:space="preserve">Advice, health service plan in the south eastern growth corridors </w:t>
            </w:r>
          </w:p>
        </w:tc>
        <w:tc>
          <w:tcPr>
            <w:tcW w:w="1275" w:type="dxa"/>
            <w:noWrap/>
            <w:hideMark/>
          </w:tcPr>
          <w:p w:rsidR="0092299C" w:rsidRPr="00FB2C11" w:rsidRDefault="0092299C" w:rsidP="0092299C">
            <w:pPr>
              <w:pStyle w:val="ARtabletextright"/>
            </w:pPr>
            <w:r w:rsidRPr="00FB2C11">
              <w:t>$32,410</w:t>
            </w:r>
          </w:p>
        </w:tc>
        <w:tc>
          <w:tcPr>
            <w:tcW w:w="1276" w:type="dxa"/>
            <w:noWrap/>
            <w:hideMark/>
          </w:tcPr>
          <w:p w:rsidR="0092299C" w:rsidRPr="00FB2C11" w:rsidRDefault="0092299C" w:rsidP="0092299C">
            <w:pPr>
              <w:pStyle w:val="ARtabletextright"/>
            </w:pPr>
            <w:r w:rsidRPr="00FB2C11">
              <w:t>$32,410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ACIL Allen Consulting Pty Ltd</w:t>
            </w:r>
          </w:p>
        </w:tc>
        <w:tc>
          <w:tcPr>
            <w:tcW w:w="3771" w:type="dxa"/>
            <w:noWrap/>
            <w:hideMark/>
          </w:tcPr>
          <w:p w:rsidR="0092299C" w:rsidRPr="00FB2C11" w:rsidRDefault="0092299C" w:rsidP="0092299C">
            <w:pPr>
              <w:pStyle w:val="ARtabletext"/>
            </w:pPr>
            <w:r w:rsidRPr="00FB2C11">
              <w:t>Evaluate, social traders program</w:t>
            </w:r>
          </w:p>
        </w:tc>
        <w:tc>
          <w:tcPr>
            <w:tcW w:w="1275" w:type="dxa"/>
            <w:noWrap/>
            <w:hideMark/>
          </w:tcPr>
          <w:p w:rsidR="0092299C" w:rsidRPr="00FB2C11" w:rsidRDefault="0092299C" w:rsidP="0092299C">
            <w:pPr>
              <w:pStyle w:val="ARtabletextright"/>
            </w:pPr>
            <w:r w:rsidRPr="00FB2C11">
              <w:t>$27,163</w:t>
            </w:r>
          </w:p>
        </w:tc>
        <w:tc>
          <w:tcPr>
            <w:tcW w:w="1276" w:type="dxa"/>
            <w:noWrap/>
            <w:hideMark/>
          </w:tcPr>
          <w:p w:rsidR="0092299C" w:rsidRPr="00FB2C11" w:rsidRDefault="0092299C" w:rsidP="0092299C">
            <w:pPr>
              <w:pStyle w:val="ARtabletextright"/>
            </w:pPr>
            <w:r w:rsidRPr="00FB2C11">
              <w:t>$27,163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ACIL Allen Consulting Pty Ltd</w:t>
            </w:r>
          </w:p>
        </w:tc>
        <w:tc>
          <w:tcPr>
            <w:tcW w:w="3771" w:type="dxa"/>
            <w:noWrap/>
            <w:hideMark/>
          </w:tcPr>
          <w:p w:rsidR="0092299C" w:rsidRPr="00FB2C11" w:rsidRDefault="0092299C" w:rsidP="0092299C">
            <w:pPr>
              <w:pStyle w:val="ARtabletext"/>
            </w:pPr>
            <w:r w:rsidRPr="00FB2C11">
              <w:t>Evaluate, justice connects not-for-profit law program</w:t>
            </w:r>
          </w:p>
        </w:tc>
        <w:tc>
          <w:tcPr>
            <w:tcW w:w="1275" w:type="dxa"/>
            <w:noWrap/>
            <w:hideMark/>
          </w:tcPr>
          <w:p w:rsidR="0092299C" w:rsidRPr="00FB2C11" w:rsidRDefault="0092299C" w:rsidP="0092299C">
            <w:pPr>
              <w:pStyle w:val="ARtabletextright"/>
            </w:pPr>
            <w:r w:rsidRPr="00FB2C11">
              <w:t>$27,163</w:t>
            </w:r>
          </w:p>
        </w:tc>
        <w:tc>
          <w:tcPr>
            <w:tcW w:w="1276" w:type="dxa"/>
            <w:noWrap/>
            <w:hideMark/>
          </w:tcPr>
          <w:p w:rsidR="0092299C" w:rsidRPr="00FB2C11" w:rsidRDefault="0092299C" w:rsidP="0092299C">
            <w:pPr>
              <w:pStyle w:val="ARtabletextright"/>
            </w:pPr>
            <w:r w:rsidRPr="00FB2C11">
              <w:t>$27,163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 xml:space="preserve">Business case, </w:t>
            </w:r>
            <w:r>
              <w:t xml:space="preserve">The </w:t>
            </w:r>
            <w:r w:rsidRPr="00FB2C11">
              <w:t xml:space="preserve">Royal Melbourne Hospital stroke unit, theatres </w:t>
            </w:r>
            <w:r>
              <w:t>and</w:t>
            </w:r>
            <w:r w:rsidRPr="00FB2C11">
              <w:t xml:space="preserve"> works</w:t>
            </w:r>
          </w:p>
        </w:tc>
        <w:tc>
          <w:tcPr>
            <w:tcW w:w="1275" w:type="dxa"/>
            <w:noWrap/>
            <w:hideMark/>
          </w:tcPr>
          <w:p w:rsidR="0092299C" w:rsidRPr="00FB2C11" w:rsidRDefault="0092299C" w:rsidP="0092299C">
            <w:pPr>
              <w:pStyle w:val="ARtabletextright"/>
            </w:pPr>
            <w:r w:rsidRPr="00FB2C11">
              <w:t>$116,939</w:t>
            </w:r>
          </w:p>
        </w:tc>
        <w:tc>
          <w:tcPr>
            <w:tcW w:w="1276" w:type="dxa"/>
            <w:noWrap/>
            <w:hideMark/>
          </w:tcPr>
          <w:p w:rsidR="0092299C" w:rsidRPr="00FB2C11" w:rsidRDefault="0092299C" w:rsidP="0092299C">
            <w:pPr>
              <w:pStyle w:val="ARtabletextright"/>
            </w:pPr>
            <w:r w:rsidRPr="00FB2C11">
              <w:t>$116,939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Isabelle </w:t>
            </w:r>
            <w:proofErr w:type="spellStart"/>
            <w:r w:rsidRPr="00FB2C11">
              <w:t>Woodin</w:t>
            </w:r>
            <w:proofErr w:type="spellEnd"/>
            <w:r w:rsidRPr="00FB2C11">
              <w:t xml:space="preserve"> Consulting &amp; Training Services Pty Ltd</w:t>
            </w:r>
          </w:p>
        </w:tc>
        <w:tc>
          <w:tcPr>
            <w:tcW w:w="3771" w:type="dxa"/>
            <w:noWrap/>
            <w:hideMark/>
          </w:tcPr>
          <w:p w:rsidR="0092299C" w:rsidRPr="00FB2C11" w:rsidRDefault="0092299C" w:rsidP="0092299C">
            <w:pPr>
              <w:pStyle w:val="ARtabletext"/>
            </w:pPr>
            <w:r w:rsidRPr="00FB2C11">
              <w:t xml:space="preserve">Develop implementation plan for </w:t>
            </w:r>
            <w:r>
              <w:t>A</w:t>
            </w:r>
            <w:r w:rsidRPr="00FB2C11">
              <w:t>boriginal services</w:t>
            </w:r>
          </w:p>
        </w:tc>
        <w:tc>
          <w:tcPr>
            <w:tcW w:w="1275" w:type="dxa"/>
            <w:noWrap/>
            <w:hideMark/>
          </w:tcPr>
          <w:p w:rsidR="0092299C" w:rsidRPr="00FB2C11" w:rsidRDefault="0092299C" w:rsidP="0092299C">
            <w:pPr>
              <w:pStyle w:val="ARtabletextright"/>
            </w:pPr>
            <w:r w:rsidRPr="00FB2C11">
              <w:t>$24,750</w:t>
            </w:r>
          </w:p>
        </w:tc>
        <w:tc>
          <w:tcPr>
            <w:tcW w:w="1276" w:type="dxa"/>
            <w:noWrap/>
            <w:hideMark/>
          </w:tcPr>
          <w:p w:rsidR="0092299C" w:rsidRPr="00FB2C11" w:rsidRDefault="0092299C" w:rsidP="0092299C">
            <w:pPr>
              <w:pStyle w:val="ARtabletextright"/>
            </w:pPr>
            <w:r w:rsidRPr="00FB2C11">
              <w:t>$9,900</w:t>
            </w:r>
          </w:p>
        </w:tc>
        <w:tc>
          <w:tcPr>
            <w:tcW w:w="1276" w:type="dxa"/>
            <w:noWrap/>
            <w:hideMark/>
          </w:tcPr>
          <w:p w:rsidR="0092299C" w:rsidRPr="00FB2C11" w:rsidRDefault="0092299C" w:rsidP="0092299C">
            <w:pPr>
              <w:pStyle w:val="ARtabletextright"/>
            </w:pPr>
            <w:r w:rsidRPr="00FB2C11">
              <w:t>$14,850</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Strategic service plan, Albury Wodonga Health</w:t>
            </w:r>
          </w:p>
        </w:tc>
        <w:tc>
          <w:tcPr>
            <w:tcW w:w="1275" w:type="dxa"/>
            <w:noWrap/>
            <w:hideMark/>
          </w:tcPr>
          <w:p w:rsidR="0092299C" w:rsidRPr="00FB2C11" w:rsidRDefault="0092299C" w:rsidP="0092299C">
            <w:pPr>
              <w:pStyle w:val="ARtabletextright"/>
            </w:pPr>
            <w:r w:rsidRPr="00FB2C11">
              <w:t>$166,925</w:t>
            </w:r>
          </w:p>
        </w:tc>
        <w:tc>
          <w:tcPr>
            <w:tcW w:w="1276" w:type="dxa"/>
            <w:noWrap/>
            <w:hideMark/>
          </w:tcPr>
          <w:p w:rsidR="0092299C" w:rsidRPr="00FB2C11" w:rsidRDefault="0092299C" w:rsidP="0092299C">
            <w:pPr>
              <w:pStyle w:val="ARtabletextright"/>
            </w:pPr>
            <w:r w:rsidRPr="00FB2C11">
              <w:t>$87,000</w:t>
            </w:r>
          </w:p>
        </w:tc>
        <w:tc>
          <w:tcPr>
            <w:tcW w:w="1276" w:type="dxa"/>
            <w:noWrap/>
            <w:hideMark/>
          </w:tcPr>
          <w:p w:rsidR="0092299C" w:rsidRPr="00FB2C11" w:rsidRDefault="0092299C" w:rsidP="0092299C">
            <w:pPr>
              <w:pStyle w:val="ARtabletextright"/>
            </w:pPr>
            <w:r w:rsidRPr="00FB2C11">
              <w:t>$79,925</w:t>
            </w:r>
          </w:p>
        </w:tc>
      </w:tr>
      <w:tr w:rsidR="0092299C" w:rsidRPr="00FB2C11" w:rsidTr="0084694E">
        <w:tc>
          <w:tcPr>
            <w:tcW w:w="2194" w:type="dxa"/>
            <w:noWrap/>
            <w:hideMark/>
          </w:tcPr>
          <w:p w:rsidR="0092299C" w:rsidRPr="00FB2C11" w:rsidRDefault="0092299C" w:rsidP="0092299C">
            <w:pPr>
              <w:pStyle w:val="ARtabletext"/>
            </w:pPr>
            <w:r w:rsidRPr="00FB2C11">
              <w:t>UXC Consulting</w:t>
            </w:r>
          </w:p>
        </w:tc>
        <w:tc>
          <w:tcPr>
            <w:tcW w:w="3771" w:type="dxa"/>
            <w:noWrap/>
            <w:hideMark/>
          </w:tcPr>
          <w:p w:rsidR="0092299C" w:rsidRPr="00FB2C11" w:rsidRDefault="0092299C" w:rsidP="0092299C">
            <w:pPr>
              <w:pStyle w:val="ARtabletext"/>
            </w:pPr>
            <w:r w:rsidRPr="00FB2C11">
              <w:t>Strategy, telephony</w:t>
            </w:r>
          </w:p>
        </w:tc>
        <w:tc>
          <w:tcPr>
            <w:tcW w:w="1275" w:type="dxa"/>
            <w:noWrap/>
            <w:hideMark/>
          </w:tcPr>
          <w:p w:rsidR="0092299C" w:rsidRPr="00FB2C11" w:rsidRDefault="0092299C" w:rsidP="0092299C">
            <w:pPr>
              <w:pStyle w:val="ARtabletextright"/>
            </w:pPr>
            <w:r w:rsidRPr="00FB2C11">
              <w:t>$86,853</w:t>
            </w:r>
          </w:p>
        </w:tc>
        <w:tc>
          <w:tcPr>
            <w:tcW w:w="1276" w:type="dxa"/>
            <w:noWrap/>
            <w:hideMark/>
          </w:tcPr>
          <w:p w:rsidR="0092299C" w:rsidRPr="00FB2C11" w:rsidRDefault="0092299C" w:rsidP="0092299C">
            <w:pPr>
              <w:pStyle w:val="ARtabletextright"/>
            </w:pPr>
            <w:r w:rsidRPr="00FB2C11">
              <w:t>$32,748</w:t>
            </w:r>
          </w:p>
        </w:tc>
        <w:tc>
          <w:tcPr>
            <w:tcW w:w="1276" w:type="dxa"/>
            <w:noWrap/>
            <w:hideMark/>
          </w:tcPr>
          <w:p w:rsidR="0092299C" w:rsidRPr="00FB2C11" w:rsidRDefault="0092299C" w:rsidP="0092299C">
            <w:pPr>
              <w:pStyle w:val="ARtabletextright"/>
            </w:pPr>
            <w:r w:rsidRPr="00FB2C11">
              <w:t>$54,105</w:t>
            </w:r>
          </w:p>
        </w:tc>
      </w:tr>
      <w:tr w:rsidR="0092299C" w:rsidRPr="00FB2C11" w:rsidTr="0084694E">
        <w:tc>
          <w:tcPr>
            <w:tcW w:w="2194" w:type="dxa"/>
            <w:noWrap/>
            <w:hideMark/>
          </w:tcPr>
          <w:p w:rsidR="0092299C" w:rsidRPr="00FB2C11" w:rsidRDefault="0092299C" w:rsidP="0092299C">
            <w:pPr>
              <w:pStyle w:val="ARtabletext"/>
            </w:pPr>
            <w:proofErr w:type="spellStart"/>
            <w:r w:rsidRPr="00FB2C11">
              <w:t>Kinetica</w:t>
            </w:r>
            <w:proofErr w:type="spellEnd"/>
          </w:p>
        </w:tc>
        <w:tc>
          <w:tcPr>
            <w:tcW w:w="3771" w:type="dxa"/>
            <w:noWrap/>
            <w:hideMark/>
          </w:tcPr>
          <w:p w:rsidR="0092299C" w:rsidRPr="00FB2C11" w:rsidRDefault="0092299C" w:rsidP="0092299C">
            <w:pPr>
              <w:pStyle w:val="ARtabletext"/>
            </w:pPr>
            <w:r w:rsidRPr="00FB2C11">
              <w:t>Undertake Sports Sector Export Potential project</w:t>
            </w:r>
          </w:p>
        </w:tc>
        <w:tc>
          <w:tcPr>
            <w:tcW w:w="1275" w:type="dxa"/>
            <w:noWrap/>
            <w:hideMark/>
          </w:tcPr>
          <w:p w:rsidR="0092299C" w:rsidRPr="00FB2C11" w:rsidRDefault="0092299C" w:rsidP="0092299C">
            <w:pPr>
              <w:pStyle w:val="ARtabletextright"/>
            </w:pPr>
            <w:r w:rsidRPr="00FB2C11">
              <w:t>$42,500</w:t>
            </w:r>
          </w:p>
        </w:tc>
        <w:tc>
          <w:tcPr>
            <w:tcW w:w="1276" w:type="dxa"/>
            <w:noWrap/>
            <w:hideMark/>
          </w:tcPr>
          <w:p w:rsidR="0092299C" w:rsidRPr="00FB2C11" w:rsidRDefault="0092299C" w:rsidP="0092299C">
            <w:pPr>
              <w:pStyle w:val="ARtabletextright"/>
            </w:pPr>
            <w:r w:rsidRPr="00FB2C11">
              <w:t>$42,500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Gust and Associates</w:t>
            </w:r>
          </w:p>
        </w:tc>
        <w:tc>
          <w:tcPr>
            <w:tcW w:w="3771" w:type="dxa"/>
            <w:noWrap/>
            <w:hideMark/>
          </w:tcPr>
          <w:p w:rsidR="0092299C" w:rsidRPr="00FB2C11" w:rsidRDefault="0092299C" w:rsidP="0092299C">
            <w:pPr>
              <w:pStyle w:val="ARtabletext"/>
            </w:pPr>
            <w:r w:rsidRPr="00FB2C11">
              <w:t>Planning analytics, health services project</w:t>
            </w:r>
          </w:p>
        </w:tc>
        <w:tc>
          <w:tcPr>
            <w:tcW w:w="1275" w:type="dxa"/>
            <w:noWrap/>
            <w:hideMark/>
          </w:tcPr>
          <w:p w:rsidR="0092299C" w:rsidRPr="00FB2C11" w:rsidRDefault="0092299C" w:rsidP="0092299C">
            <w:pPr>
              <w:pStyle w:val="ARtabletextright"/>
            </w:pPr>
            <w:r w:rsidRPr="00FB2C11">
              <w:t>$79,300</w:t>
            </w:r>
          </w:p>
        </w:tc>
        <w:tc>
          <w:tcPr>
            <w:tcW w:w="1276" w:type="dxa"/>
            <w:noWrap/>
            <w:hideMark/>
          </w:tcPr>
          <w:p w:rsidR="0092299C" w:rsidRPr="00FB2C11" w:rsidRDefault="0092299C" w:rsidP="0092299C">
            <w:pPr>
              <w:pStyle w:val="ARtabletextright"/>
            </w:pPr>
            <w:r w:rsidRPr="00FB2C11">
              <w:t>$79,300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CDL &amp; Associates Pty Ltd</w:t>
            </w:r>
          </w:p>
        </w:tc>
        <w:tc>
          <w:tcPr>
            <w:tcW w:w="3771" w:type="dxa"/>
            <w:noWrap/>
            <w:hideMark/>
          </w:tcPr>
          <w:p w:rsidR="0092299C" w:rsidRPr="00FB2C11" w:rsidRDefault="0092299C" w:rsidP="0092299C">
            <w:pPr>
              <w:pStyle w:val="ARtabletext"/>
            </w:pPr>
            <w:r w:rsidRPr="00FB2C11">
              <w:t>Business case, Victorian stroke telemedicine program</w:t>
            </w:r>
          </w:p>
        </w:tc>
        <w:tc>
          <w:tcPr>
            <w:tcW w:w="1275" w:type="dxa"/>
            <w:noWrap/>
            <w:hideMark/>
          </w:tcPr>
          <w:p w:rsidR="0092299C" w:rsidRPr="00FB2C11" w:rsidRDefault="0092299C" w:rsidP="0092299C">
            <w:pPr>
              <w:pStyle w:val="ARtabletextright"/>
            </w:pPr>
            <w:r w:rsidRPr="00FB2C11">
              <w:t>$20,000</w:t>
            </w:r>
          </w:p>
        </w:tc>
        <w:tc>
          <w:tcPr>
            <w:tcW w:w="1276" w:type="dxa"/>
            <w:noWrap/>
            <w:hideMark/>
          </w:tcPr>
          <w:p w:rsidR="0092299C" w:rsidRPr="00FB2C11" w:rsidRDefault="0092299C" w:rsidP="0092299C">
            <w:pPr>
              <w:pStyle w:val="ARtabletextright"/>
            </w:pPr>
            <w:r w:rsidRPr="00FB2C11">
              <w:t>$20,000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Paxton Partners Pty Ltd</w:t>
            </w:r>
          </w:p>
        </w:tc>
        <w:tc>
          <w:tcPr>
            <w:tcW w:w="3771" w:type="dxa"/>
            <w:noWrap/>
            <w:hideMark/>
          </w:tcPr>
          <w:p w:rsidR="0092299C" w:rsidRPr="00FB2C11" w:rsidRDefault="0092299C" w:rsidP="0092299C">
            <w:pPr>
              <w:pStyle w:val="ARtabletext"/>
            </w:pPr>
            <w:r w:rsidRPr="00FB2C11">
              <w:t xml:space="preserve">Model future demand, </w:t>
            </w:r>
            <w:r>
              <w:t>r</w:t>
            </w:r>
            <w:r w:rsidRPr="00FB2C11">
              <w:t xml:space="preserve">esidential </w:t>
            </w:r>
            <w:r>
              <w:t>c</w:t>
            </w:r>
            <w:r w:rsidRPr="00FB2C11">
              <w:t>are in Victoria</w:t>
            </w:r>
          </w:p>
        </w:tc>
        <w:tc>
          <w:tcPr>
            <w:tcW w:w="1275" w:type="dxa"/>
            <w:noWrap/>
            <w:hideMark/>
          </w:tcPr>
          <w:p w:rsidR="0092299C" w:rsidRPr="00FB2C11" w:rsidRDefault="0092299C" w:rsidP="0092299C">
            <w:pPr>
              <w:pStyle w:val="ARtabletextright"/>
            </w:pPr>
            <w:r w:rsidRPr="00FB2C11">
              <w:t>$89,010</w:t>
            </w:r>
          </w:p>
        </w:tc>
        <w:tc>
          <w:tcPr>
            <w:tcW w:w="1276" w:type="dxa"/>
            <w:noWrap/>
            <w:hideMark/>
          </w:tcPr>
          <w:p w:rsidR="0092299C" w:rsidRPr="00FB2C11" w:rsidRDefault="0092299C" w:rsidP="0092299C">
            <w:pPr>
              <w:pStyle w:val="ARtabletextright"/>
            </w:pPr>
            <w:r w:rsidRPr="00FB2C11">
              <w:t>$89,272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Courtheath</w:t>
            </w:r>
            <w:proofErr w:type="spellEnd"/>
            <w:r w:rsidRPr="00FB2C11">
              <w:t xml:space="preserve"> Consulting</w:t>
            </w:r>
          </w:p>
        </w:tc>
        <w:tc>
          <w:tcPr>
            <w:tcW w:w="3771" w:type="dxa"/>
            <w:noWrap/>
            <w:hideMark/>
          </w:tcPr>
          <w:p w:rsidR="0092299C" w:rsidRPr="00FB2C11" w:rsidRDefault="0092299C" w:rsidP="0092299C">
            <w:pPr>
              <w:pStyle w:val="ARtabletext"/>
            </w:pPr>
            <w:r w:rsidRPr="00FB2C11">
              <w:t>Review, electronic medical record procurement options</w:t>
            </w:r>
          </w:p>
        </w:tc>
        <w:tc>
          <w:tcPr>
            <w:tcW w:w="1275" w:type="dxa"/>
            <w:noWrap/>
            <w:hideMark/>
          </w:tcPr>
          <w:p w:rsidR="0092299C" w:rsidRPr="00FB2C11" w:rsidRDefault="0092299C" w:rsidP="0092299C">
            <w:pPr>
              <w:pStyle w:val="ARtabletextright"/>
            </w:pPr>
            <w:r w:rsidRPr="00FB2C11">
              <w:t>$12,727</w:t>
            </w:r>
          </w:p>
        </w:tc>
        <w:tc>
          <w:tcPr>
            <w:tcW w:w="1276" w:type="dxa"/>
            <w:noWrap/>
            <w:hideMark/>
          </w:tcPr>
          <w:p w:rsidR="0092299C" w:rsidRPr="00FB2C11" w:rsidRDefault="0092299C" w:rsidP="0092299C">
            <w:pPr>
              <w:pStyle w:val="ARtabletextright"/>
            </w:pPr>
            <w:r w:rsidRPr="00FB2C11">
              <w:t>$12,764</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Monash University</w:t>
            </w:r>
          </w:p>
        </w:tc>
        <w:tc>
          <w:tcPr>
            <w:tcW w:w="3771" w:type="dxa"/>
            <w:noWrap/>
            <w:hideMark/>
          </w:tcPr>
          <w:p w:rsidR="0092299C" w:rsidRPr="00FB2C11" w:rsidRDefault="0092299C" w:rsidP="0092299C">
            <w:pPr>
              <w:pStyle w:val="ARtabletext"/>
            </w:pPr>
            <w:r w:rsidRPr="00FB2C11">
              <w:t>Develop occupational health and safety monitoring system for health sector</w:t>
            </w:r>
          </w:p>
        </w:tc>
        <w:tc>
          <w:tcPr>
            <w:tcW w:w="1275" w:type="dxa"/>
            <w:noWrap/>
            <w:hideMark/>
          </w:tcPr>
          <w:p w:rsidR="0092299C" w:rsidRPr="00FB2C11" w:rsidRDefault="0092299C" w:rsidP="0092299C">
            <w:pPr>
              <w:pStyle w:val="ARtabletextright"/>
            </w:pPr>
            <w:r w:rsidRPr="00FB2C11">
              <w:t>$219,854</w:t>
            </w:r>
          </w:p>
        </w:tc>
        <w:tc>
          <w:tcPr>
            <w:tcW w:w="1276" w:type="dxa"/>
            <w:noWrap/>
            <w:hideMark/>
          </w:tcPr>
          <w:p w:rsidR="0092299C" w:rsidRPr="00FB2C11" w:rsidRDefault="0092299C" w:rsidP="0092299C">
            <w:pPr>
              <w:pStyle w:val="ARtabletextright"/>
            </w:pPr>
            <w:r w:rsidRPr="00FB2C11">
              <w:t>$68,684</w:t>
            </w:r>
          </w:p>
        </w:tc>
        <w:tc>
          <w:tcPr>
            <w:tcW w:w="1276" w:type="dxa"/>
            <w:noWrap/>
            <w:hideMark/>
          </w:tcPr>
          <w:p w:rsidR="0092299C" w:rsidRPr="00FB2C11" w:rsidRDefault="0092299C" w:rsidP="0092299C">
            <w:pPr>
              <w:pStyle w:val="ARtabletextright"/>
            </w:pPr>
            <w:r w:rsidRPr="00FB2C11">
              <w:t>$151,170</w:t>
            </w:r>
          </w:p>
        </w:tc>
      </w:tr>
      <w:tr w:rsidR="0092299C" w:rsidRPr="00FB2C11" w:rsidTr="0084694E">
        <w:tc>
          <w:tcPr>
            <w:tcW w:w="2194" w:type="dxa"/>
            <w:noWrap/>
            <w:hideMark/>
          </w:tcPr>
          <w:p w:rsidR="0092299C" w:rsidRPr="00FB2C11" w:rsidRDefault="0092299C" w:rsidP="0092299C">
            <w:pPr>
              <w:pStyle w:val="ARtabletext"/>
            </w:pPr>
            <w:r w:rsidRPr="00FB2C11">
              <w:t>John Anderson Ward</w:t>
            </w:r>
          </w:p>
        </w:tc>
        <w:tc>
          <w:tcPr>
            <w:tcW w:w="3771" w:type="dxa"/>
            <w:noWrap/>
            <w:hideMark/>
          </w:tcPr>
          <w:p w:rsidR="0092299C" w:rsidRPr="00FB2C11" w:rsidRDefault="0092299C" w:rsidP="0092299C">
            <w:pPr>
              <w:pStyle w:val="ARtabletext"/>
            </w:pPr>
            <w:r w:rsidRPr="00FB2C11">
              <w:t>Review, food standards code</w:t>
            </w:r>
          </w:p>
        </w:tc>
        <w:tc>
          <w:tcPr>
            <w:tcW w:w="1275" w:type="dxa"/>
            <w:noWrap/>
            <w:hideMark/>
          </w:tcPr>
          <w:p w:rsidR="0092299C" w:rsidRPr="00FB2C11" w:rsidRDefault="0092299C" w:rsidP="0092299C">
            <w:pPr>
              <w:pStyle w:val="ARtabletextright"/>
            </w:pPr>
            <w:r w:rsidRPr="00FB2C11">
              <w:t>$44,218</w:t>
            </w:r>
          </w:p>
        </w:tc>
        <w:tc>
          <w:tcPr>
            <w:tcW w:w="1276" w:type="dxa"/>
            <w:noWrap/>
            <w:hideMark/>
          </w:tcPr>
          <w:p w:rsidR="0092299C" w:rsidRPr="00FB2C11" w:rsidRDefault="0092299C" w:rsidP="0092299C">
            <w:pPr>
              <w:pStyle w:val="ARtabletextright"/>
            </w:pPr>
            <w:r w:rsidRPr="00FB2C11">
              <w:t>$10,646</w:t>
            </w:r>
          </w:p>
        </w:tc>
        <w:tc>
          <w:tcPr>
            <w:tcW w:w="1276" w:type="dxa"/>
            <w:noWrap/>
            <w:hideMark/>
          </w:tcPr>
          <w:p w:rsidR="0092299C" w:rsidRPr="00FB2C11" w:rsidRDefault="0092299C" w:rsidP="0092299C">
            <w:pPr>
              <w:pStyle w:val="ARtabletextright"/>
            </w:pPr>
            <w:r w:rsidRPr="00FB2C11">
              <w:t>$33,572</w:t>
            </w:r>
          </w:p>
        </w:tc>
      </w:tr>
      <w:tr w:rsidR="0092299C" w:rsidRPr="00FB2C11" w:rsidTr="0084694E">
        <w:tc>
          <w:tcPr>
            <w:tcW w:w="2194" w:type="dxa"/>
            <w:noWrap/>
            <w:hideMark/>
          </w:tcPr>
          <w:p w:rsidR="0092299C" w:rsidRPr="00FB2C11" w:rsidRDefault="0092299C" w:rsidP="0092299C">
            <w:pPr>
              <w:pStyle w:val="ARtabletext"/>
            </w:pPr>
            <w:r w:rsidRPr="00FB2C11">
              <w:t>PSI Asia Pacific Pty Ltd</w:t>
            </w:r>
          </w:p>
        </w:tc>
        <w:tc>
          <w:tcPr>
            <w:tcW w:w="3771" w:type="dxa"/>
            <w:noWrap/>
            <w:hideMark/>
          </w:tcPr>
          <w:p w:rsidR="0092299C" w:rsidRPr="00FB2C11" w:rsidRDefault="0092299C" w:rsidP="0092299C">
            <w:pPr>
              <w:pStyle w:val="ARtabletext"/>
            </w:pPr>
            <w:r w:rsidRPr="00FB2C11">
              <w:t>Probity advice, super pharmacy procurement</w:t>
            </w:r>
          </w:p>
        </w:tc>
        <w:tc>
          <w:tcPr>
            <w:tcW w:w="1275" w:type="dxa"/>
            <w:noWrap/>
            <w:hideMark/>
          </w:tcPr>
          <w:p w:rsidR="0092299C" w:rsidRPr="00FB2C11" w:rsidRDefault="0092299C" w:rsidP="0092299C">
            <w:pPr>
              <w:pStyle w:val="ARtabletextright"/>
            </w:pPr>
            <w:r w:rsidRPr="00FB2C11">
              <w:t>$18,000</w:t>
            </w:r>
          </w:p>
        </w:tc>
        <w:tc>
          <w:tcPr>
            <w:tcW w:w="1276" w:type="dxa"/>
            <w:noWrap/>
            <w:hideMark/>
          </w:tcPr>
          <w:p w:rsidR="0092299C" w:rsidRPr="00FB2C11" w:rsidRDefault="0092299C" w:rsidP="0092299C">
            <w:pPr>
              <w:pStyle w:val="ARtabletextright"/>
            </w:pPr>
            <w:r w:rsidRPr="00FB2C11">
              <w:t>$7,980</w:t>
            </w:r>
          </w:p>
        </w:tc>
        <w:tc>
          <w:tcPr>
            <w:tcW w:w="1276" w:type="dxa"/>
            <w:noWrap/>
            <w:hideMark/>
          </w:tcPr>
          <w:p w:rsidR="0092299C" w:rsidRPr="00FB2C11" w:rsidRDefault="0092299C" w:rsidP="0092299C">
            <w:pPr>
              <w:pStyle w:val="ARtabletextright"/>
            </w:pPr>
            <w:r w:rsidRPr="00FB2C11">
              <w:t>$10,020</w:t>
            </w:r>
          </w:p>
        </w:tc>
      </w:tr>
      <w:tr w:rsidR="0092299C" w:rsidRPr="00FB2C11" w:rsidTr="0084694E">
        <w:tc>
          <w:tcPr>
            <w:tcW w:w="2194" w:type="dxa"/>
            <w:noWrap/>
            <w:hideMark/>
          </w:tcPr>
          <w:p w:rsidR="0092299C" w:rsidRPr="00FB2C11" w:rsidRDefault="0092299C" w:rsidP="0092299C">
            <w:pPr>
              <w:pStyle w:val="ARtabletext"/>
            </w:pPr>
            <w:r w:rsidRPr="00FB2C11">
              <w:t>UXC Consulting</w:t>
            </w:r>
          </w:p>
        </w:tc>
        <w:tc>
          <w:tcPr>
            <w:tcW w:w="3771" w:type="dxa"/>
            <w:noWrap/>
            <w:hideMark/>
          </w:tcPr>
          <w:p w:rsidR="0092299C" w:rsidRPr="00FB2C11" w:rsidRDefault="0092299C" w:rsidP="0092299C">
            <w:pPr>
              <w:pStyle w:val="ARtabletext"/>
            </w:pPr>
            <w:r w:rsidRPr="00FB2C11">
              <w:t xml:space="preserve">Review, web API gateway project security </w:t>
            </w:r>
          </w:p>
        </w:tc>
        <w:tc>
          <w:tcPr>
            <w:tcW w:w="1275" w:type="dxa"/>
            <w:noWrap/>
            <w:hideMark/>
          </w:tcPr>
          <w:p w:rsidR="0092299C" w:rsidRPr="00FB2C11" w:rsidRDefault="0092299C" w:rsidP="0092299C">
            <w:pPr>
              <w:pStyle w:val="ARtabletextright"/>
            </w:pPr>
            <w:r w:rsidRPr="00FB2C11">
              <w:t>$16,000</w:t>
            </w:r>
          </w:p>
        </w:tc>
        <w:tc>
          <w:tcPr>
            <w:tcW w:w="1276" w:type="dxa"/>
            <w:noWrap/>
            <w:hideMark/>
          </w:tcPr>
          <w:p w:rsidR="0092299C" w:rsidRPr="00FB2C11" w:rsidRDefault="0092299C" w:rsidP="0092299C">
            <w:pPr>
              <w:pStyle w:val="ARtabletextright"/>
            </w:pPr>
            <w:r w:rsidRPr="00FB2C11">
              <w:t>$16,000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Business case, 20</w:t>
            </w:r>
            <w:r>
              <w:t>17–18</w:t>
            </w:r>
            <w:r w:rsidRPr="00FB2C11">
              <w:t xml:space="preserve"> budget, National Disability Insurance Scheme</w:t>
            </w:r>
          </w:p>
        </w:tc>
        <w:tc>
          <w:tcPr>
            <w:tcW w:w="1275" w:type="dxa"/>
            <w:noWrap/>
            <w:hideMark/>
          </w:tcPr>
          <w:p w:rsidR="0092299C" w:rsidRPr="00FB2C11" w:rsidRDefault="0092299C" w:rsidP="0092299C">
            <w:pPr>
              <w:pStyle w:val="ARtabletextright"/>
            </w:pPr>
            <w:r w:rsidRPr="00FB2C11">
              <w:t>$127,583</w:t>
            </w:r>
          </w:p>
        </w:tc>
        <w:tc>
          <w:tcPr>
            <w:tcW w:w="1276" w:type="dxa"/>
            <w:noWrap/>
            <w:hideMark/>
          </w:tcPr>
          <w:p w:rsidR="0092299C" w:rsidRPr="00FB2C11" w:rsidRDefault="0092299C" w:rsidP="0092299C">
            <w:pPr>
              <w:pStyle w:val="ARtabletextright"/>
            </w:pPr>
            <w:r w:rsidRPr="00FB2C11">
              <w:t>$127,583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Investigation, Australian prostate cancer research</w:t>
            </w:r>
          </w:p>
        </w:tc>
        <w:tc>
          <w:tcPr>
            <w:tcW w:w="1275" w:type="dxa"/>
            <w:noWrap/>
            <w:hideMark/>
          </w:tcPr>
          <w:p w:rsidR="0092299C" w:rsidRPr="00FB2C11" w:rsidRDefault="0092299C" w:rsidP="0092299C">
            <w:pPr>
              <w:pStyle w:val="ARtabletextright"/>
            </w:pPr>
            <w:r w:rsidRPr="00FB2C11">
              <w:t>$20,500</w:t>
            </w:r>
          </w:p>
        </w:tc>
        <w:tc>
          <w:tcPr>
            <w:tcW w:w="1276" w:type="dxa"/>
            <w:noWrap/>
            <w:hideMark/>
          </w:tcPr>
          <w:p w:rsidR="0092299C" w:rsidRPr="00FB2C11" w:rsidRDefault="0092299C" w:rsidP="0092299C">
            <w:pPr>
              <w:pStyle w:val="ARtabletextright"/>
            </w:pPr>
            <w:r w:rsidRPr="00FB2C11">
              <w:t>$20,500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ACIL Allen Consulting Pty Ltd</w:t>
            </w:r>
          </w:p>
        </w:tc>
        <w:tc>
          <w:tcPr>
            <w:tcW w:w="3771" w:type="dxa"/>
            <w:noWrap/>
            <w:hideMark/>
          </w:tcPr>
          <w:p w:rsidR="0092299C" w:rsidRPr="00FB2C11" w:rsidRDefault="0092299C" w:rsidP="0092299C">
            <w:pPr>
              <w:pStyle w:val="ARtabletext"/>
            </w:pPr>
            <w:r w:rsidRPr="00FB2C11">
              <w:t>Review, Allied health internship programs</w:t>
            </w:r>
          </w:p>
        </w:tc>
        <w:tc>
          <w:tcPr>
            <w:tcW w:w="1275" w:type="dxa"/>
            <w:noWrap/>
            <w:hideMark/>
          </w:tcPr>
          <w:p w:rsidR="0092299C" w:rsidRPr="00FB2C11" w:rsidRDefault="0092299C" w:rsidP="0092299C">
            <w:pPr>
              <w:pStyle w:val="ARtabletextright"/>
            </w:pPr>
            <w:r w:rsidRPr="00FB2C11">
              <w:t>$119,267</w:t>
            </w:r>
          </w:p>
        </w:tc>
        <w:tc>
          <w:tcPr>
            <w:tcW w:w="1276" w:type="dxa"/>
            <w:noWrap/>
            <w:hideMark/>
          </w:tcPr>
          <w:p w:rsidR="0092299C" w:rsidRPr="00FB2C11" w:rsidRDefault="0092299C" w:rsidP="0092299C">
            <w:pPr>
              <w:pStyle w:val="ARtabletextright"/>
            </w:pPr>
            <w:r w:rsidRPr="00FB2C11">
              <w:t>$115,176</w:t>
            </w:r>
          </w:p>
        </w:tc>
        <w:tc>
          <w:tcPr>
            <w:tcW w:w="1276" w:type="dxa"/>
            <w:noWrap/>
            <w:hideMark/>
          </w:tcPr>
          <w:p w:rsidR="0092299C" w:rsidRPr="00FB2C11" w:rsidRDefault="0092299C" w:rsidP="0092299C">
            <w:pPr>
              <w:pStyle w:val="ARtabletextright"/>
            </w:pPr>
            <w:r w:rsidRPr="00FB2C11">
              <w:t>$4,091</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Develop strategy framework, needs and requirements of major sporting stadi</w:t>
            </w:r>
            <w:r>
              <w:t>ums</w:t>
            </w:r>
            <w:r w:rsidRPr="00FB2C11">
              <w:t xml:space="preserve"> network in the </w:t>
            </w:r>
            <w:r>
              <w:t>s</w:t>
            </w:r>
            <w:r w:rsidRPr="00FB2C11">
              <w:t>tate</w:t>
            </w:r>
          </w:p>
        </w:tc>
        <w:tc>
          <w:tcPr>
            <w:tcW w:w="1275" w:type="dxa"/>
            <w:noWrap/>
            <w:hideMark/>
          </w:tcPr>
          <w:p w:rsidR="0092299C" w:rsidRPr="00FB2C11" w:rsidRDefault="0092299C" w:rsidP="0092299C">
            <w:pPr>
              <w:pStyle w:val="ARtabletextright"/>
            </w:pPr>
            <w:r w:rsidRPr="00FB2C11">
              <w:t>$500,711</w:t>
            </w:r>
          </w:p>
        </w:tc>
        <w:tc>
          <w:tcPr>
            <w:tcW w:w="1276" w:type="dxa"/>
            <w:noWrap/>
            <w:hideMark/>
          </w:tcPr>
          <w:p w:rsidR="0092299C" w:rsidRPr="00FB2C11" w:rsidRDefault="0092299C" w:rsidP="0092299C">
            <w:pPr>
              <w:pStyle w:val="ARtabletextright"/>
            </w:pPr>
            <w:r w:rsidRPr="00FB2C11">
              <w:t>$279,428</w:t>
            </w:r>
          </w:p>
        </w:tc>
        <w:tc>
          <w:tcPr>
            <w:tcW w:w="1276" w:type="dxa"/>
            <w:noWrap/>
            <w:hideMark/>
          </w:tcPr>
          <w:p w:rsidR="0092299C" w:rsidRPr="00FB2C11" w:rsidRDefault="0092299C" w:rsidP="0092299C">
            <w:pPr>
              <w:pStyle w:val="ARtabletextright"/>
            </w:pPr>
            <w:r w:rsidRPr="00FB2C11">
              <w:t>$221,283</w:t>
            </w:r>
          </w:p>
        </w:tc>
      </w:tr>
      <w:tr w:rsidR="0092299C" w:rsidRPr="00FB2C11" w:rsidTr="0084694E">
        <w:tc>
          <w:tcPr>
            <w:tcW w:w="2194" w:type="dxa"/>
            <w:noWrap/>
            <w:hideMark/>
          </w:tcPr>
          <w:p w:rsidR="0092299C" w:rsidRPr="00FB2C11" w:rsidRDefault="0092299C" w:rsidP="0092299C">
            <w:pPr>
              <w:pStyle w:val="ARtabletext"/>
            </w:pPr>
            <w:r w:rsidRPr="00FB2C11">
              <w:t>Darcy Associates Consulting Services</w:t>
            </w:r>
          </w:p>
        </w:tc>
        <w:tc>
          <w:tcPr>
            <w:tcW w:w="3771" w:type="dxa"/>
            <w:noWrap/>
            <w:hideMark/>
          </w:tcPr>
          <w:p w:rsidR="0092299C" w:rsidRPr="00FB2C11" w:rsidRDefault="0092299C" w:rsidP="0092299C">
            <w:pPr>
              <w:pStyle w:val="ARtabletext"/>
            </w:pPr>
            <w:r w:rsidRPr="00FB2C11">
              <w:t>Evaluate, rural community intern programs</w:t>
            </w:r>
          </w:p>
        </w:tc>
        <w:tc>
          <w:tcPr>
            <w:tcW w:w="1275" w:type="dxa"/>
            <w:noWrap/>
            <w:hideMark/>
          </w:tcPr>
          <w:p w:rsidR="0092299C" w:rsidRPr="00FB2C11" w:rsidRDefault="0092299C" w:rsidP="0092299C">
            <w:pPr>
              <w:pStyle w:val="ARtabletextright"/>
            </w:pPr>
            <w:r w:rsidRPr="00FB2C11">
              <w:t>$138,627</w:t>
            </w:r>
          </w:p>
        </w:tc>
        <w:tc>
          <w:tcPr>
            <w:tcW w:w="1276" w:type="dxa"/>
            <w:noWrap/>
            <w:hideMark/>
          </w:tcPr>
          <w:p w:rsidR="0092299C" w:rsidRPr="00FB2C11" w:rsidRDefault="0092299C" w:rsidP="0092299C">
            <w:pPr>
              <w:pStyle w:val="ARtabletextright"/>
            </w:pPr>
            <w:r w:rsidRPr="00FB2C11">
              <w:t>$57,047</w:t>
            </w:r>
          </w:p>
        </w:tc>
        <w:tc>
          <w:tcPr>
            <w:tcW w:w="1276" w:type="dxa"/>
            <w:noWrap/>
            <w:hideMark/>
          </w:tcPr>
          <w:p w:rsidR="0092299C" w:rsidRPr="00FB2C11" w:rsidRDefault="0092299C" w:rsidP="0092299C">
            <w:pPr>
              <w:pStyle w:val="ARtabletextright"/>
            </w:pPr>
            <w:r w:rsidRPr="00FB2C11">
              <w:t>$81,580</w:t>
            </w:r>
          </w:p>
        </w:tc>
      </w:tr>
      <w:tr w:rsidR="0092299C" w:rsidRPr="00FB2C11" w:rsidTr="0084694E">
        <w:tc>
          <w:tcPr>
            <w:tcW w:w="2194" w:type="dxa"/>
            <w:noWrap/>
            <w:hideMark/>
          </w:tcPr>
          <w:p w:rsidR="0092299C" w:rsidRPr="00FB2C11" w:rsidRDefault="0092299C" w:rsidP="0092299C">
            <w:pPr>
              <w:pStyle w:val="ARtabletext"/>
            </w:pPr>
            <w:proofErr w:type="spellStart"/>
            <w:r w:rsidRPr="00FB2C11">
              <w:lastRenderedPageBreak/>
              <w:t>Battiston</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Fee review, health technology solutions service</w:t>
            </w:r>
          </w:p>
        </w:tc>
        <w:tc>
          <w:tcPr>
            <w:tcW w:w="1275" w:type="dxa"/>
            <w:noWrap/>
            <w:hideMark/>
          </w:tcPr>
          <w:p w:rsidR="0092299C" w:rsidRPr="00FB2C11" w:rsidRDefault="0092299C" w:rsidP="0092299C">
            <w:pPr>
              <w:pStyle w:val="ARtabletextright"/>
            </w:pPr>
            <w:r w:rsidRPr="00FB2C11">
              <w:t>$116,150</w:t>
            </w:r>
          </w:p>
        </w:tc>
        <w:tc>
          <w:tcPr>
            <w:tcW w:w="1276" w:type="dxa"/>
            <w:noWrap/>
            <w:hideMark/>
          </w:tcPr>
          <w:p w:rsidR="0092299C" w:rsidRPr="00FB2C11" w:rsidRDefault="0092299C" w:rsidP="0092299C">
            <w:pPr>
              <w:pStyle w:val="ARtabletextright"/>
            </w:pPr>
            <w:r w:rsidRPr="00FB2C11">
              <w:t>$116,150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Bridge Resolutions</w:t>
            </w:r>
          </w:p>
        </w:tc>
        <w:tc>
          <w:tcPr>
            <w:tcW w:w="3771" w:type="dxa"/>
            <w:noWrap/>
            <w:hideMark/>
          </w:tcPr>
          <w:p w:rsidR="0092299C" w:rsidRPr="00FB2C11" w:rsidRDefault="0092299C" w:rsidP="0092299C">
            <w:pPr>
              <w:pStyle w:val="ARtabletext"/>
            </w:pPr>
            <w:r w:rsidRPr="00FB2C11">
              <w:t>Develop communication protocols, presentations and service review quality, disability clients</w:t>
            </w:r>
          </w:p>
        </w:tc>
        <w:tc>
          <w:tcPr>
            <w:tcW w:w="1275" w:type="dxa"/>
            <w:noWrap/>
            <w:hideMark/>
          </w:tcPr>
          <w:p w:rsidR="0092299C" w:rsidRPr="00FB2C11" w:rsidRDefault="0092299C" w:rsidP="0092299C">
            <w:pPr>
              <w:pStyle w:val="ARtabletextright"/>
            </w:pPr>
            <w:r w:rsidRPr="00FB2C11">
              <w:t>$29,955</w:t>
            </w:r>
          </w:p>
        </w:tc>
        <w:tc>
          <w:tcPr>
            <w:tcW w:w="1276" w:type="dxa"/>
            <w:noWrap/>
            <w:hideMark/>
          </w:tcPr>
          <w:p w:rsidR="0092299C" w:rsidRPr="00FB2C11" w:rsidRDefault="0092299C" w:rsidP="0092299C">
            <w:pPr>
              <w:pStyle w:val="ARtabletextright"/>
            </w:pPr>
            <w:r w:rsidRPr="00FB2C11">
              <w:t>$9,563</w:t>
            </w:r>
          </w:p>
        </w:tc>
        <w:tc>
          <w:tcPr>
            <w:tcW w:w="1276" w:type="dxa"/>
            <w:noWrap/>
            <w:hideMark/>
          </w:tcPr>
          <w:p w:rsidR="0092299C" w:rsidRPr="00FB2C11" w:rsidRDefault="0092299C" w:rsidP="0092299C">
            <w:pPr>
              <w:pStyle w:val="ARtabletextright"/>
            </w:pPr>
            <w:r w:rsidRPr="00FB2C11">
              <w:t>$20,392</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Develop strategic sourcing approach, Health Technology services</w:t>
            </w:r>
          </w:p>
        </w:tc>
        <w:tc>
          <w:tcPr>
            <w:tcW w:w="1275" w:type="dxa"/>
            <w:noWrap/>
            <w:hideMark/>
          </w:tcPr>
          <w:p w:rsidR="0092299C" w:rsidRPr="00FB2C11" w:rsidRDefault="0092299C" w:rsidP="0092299C">
            <w:pPr>
              <w:pStyle w:val="ARtabletextright"/>
            </w:pPr>
            <w:r w:rsidRPr="00FB2C11">
              <w:t>$223,636</w:t>
            </w:r>
          </w:p>
        </w:tc>
        <w:tc>
          <w:tcPr>
            <w:tcW w:w="1276" w:type="dxa"/>
            <w:noWrap/>
            <w:hideMark/>
          </w:tcPr>
          <w:p w:rsidR="0092299C" w:rsidRPr="00FB2C11" w:rsidRDefault="0092299C" w:rsidP="0092299C">
            <w:pPr>
              <w:pStyle w:val="ARtabletextright"/>
            </w:pPr>
            <w:r w:rsidRPr="00FB2C11">
              <w:t>$223,636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Strategic business cases for health reform</w:t>
            </w:r>
          </w:p>
        </w:tc>
        <w:tc>
          <w:tcPr>
            <w:tcW w:w="1275" w:type="dxa"/>
            <w:noWrap/>
            <w:hideMark/>
          </w:tcPr>
          <w:p w:rsidR="0092299C" w:rsidRPr="00FB2C11" w:rsidRDefault="0092299C" w:rsidP="0092299C">
            <w:pPr>
              <w:pStyle w:val="ARtabletextright"/>
            </w:pPr>
            <w:r w:rsidRPr="00FB2C11">
              <w:t>$545,145</w:t>
            </w:r>
          </w:p>
        </w:tc>
        <w:tc>
          <w:tcPr>
            <w:tcW w:w="1276" w:type="dxa"/>
            <w:noWrap/>
            <w:hideMark/>
          </w:tcPr>
          <w:p w:rsidR="0092299C" w:rsidRPr="00FB2C11" w:rsidRDefault="0092299C" w:rsidP="0092299C">
            <w:pPr>
              <w:pStyle w:val="ARtabletextright"/>
            </w:pPr>
            <w:r w:rsidRPr="00FB2C11">
              <w:t>$545,144</w:t>
            </w:r>
          </w:p>
        </w:tc>
        <w:tc>
          <w:tcPr>
            <w:tcW w:w="1276" w:type="dxa"/>
            <w:noWrap/>
            <w:hideMark/>
          </w:tcPr>
          <w:p w:rsidR="0092299C" w:rsidRPr="00FB2C11" w:rsidRDefault="0092299C" w:rsidP="0092299C">
            <w:pPr>
              <w:pStyle w:val="ARtabletextright"/>
            </w:pPr>
            <w:r w:rsidRPr="00FB2C11">
              <w:t>$1</w:t>
            </w:r>
          </w:p>
        </w:tc>
      </w:tr>
      <w:tr w:rsidR="0092299C" w:rsidRPr="00FB2C11" w:rsidTr="0084694E">
        <w:tc>
          <w:tcPr>
            <w:tcW w:w="2194" w:type="dxa"/>
            <w:noWrap/>
            <w:hideMark/>
          </w:tcPr>
          <w:p w:rsidR="0092299C" w:rsidRPr="00FB2C11" w:rsidRDefault="0092299C" w:rsidP="0092299C">
            <w:pPr>
              <w:pStyle w:val="ARtabletext"/>
            </w:pPr>
            <w:r w:rsidRPr="00FB2C11">
              <w:t>Deloitte Consulting Pty Ltd</w:t>
            </w:r>
          </w:p>
        </w:tc>
        <w:tc>
          <w:tcPr>
            <w:tcW w:w="3771" w:type="dxa"/>
            <w:noWrap/>
            <w:hideMark/>
          </w:tcPr>
          <w:p w:rsidR="0092299C" w:rsidRPr="00FB2C11" w:rsidRDefault="0092299C" w:rsidP="0092299C">
            <w:pPr>
              <w:pStyle w:val="ARtabletext"/>
            </w:pPr>
            <w:r w:rsidRPr="00FB2C11">
              <w:t>Develop integration and interoperability strategy, between department, agencies and sector partners</w:t>
            </w:r>
          </w:p>
        </w:tc>
        <w:tc>
          <w:tcPr>
            <w:tcW w:w="1275" w:type="dxa"/>
            <w:noWrap/>
            <w:hideMark/>
          </w:tcPr>
          <w:p w:rsidR="0092299C" w:rsidRPr="00FB2C11" w:rsidRDefault="0092299C" w:rsidP="0092299C">
            <w:pPr>
              <w:pStyle w:val="ARtabletextright"/>
            </w:pPr>
            <w:r w:rsidRPr="00FB2C11">
              <w:t>$187,170</w:t>
            </w:r>
          </w:p>
        </w:tc>
        <w:tc>
          <w:tcPr>
            <w:tcW w:w="1276" w:type="dxa"/>
            <w:noWrap/>
            <w:hideMark/>
          </w:tcPr>
          <w:p w:rsidR="0092299C" w:rsidRPr="00FB2C11" w:rsidRDefault="0092299C" w:rsidP="0092299C">
            <w:pPr>
              <w:pStyle w:val="ARtabletextright"/>
            </w:pPr>
            <w:r w:rsidRPr="00FB2C11">
              <w:t>$62,390</w:t>
            </w:r>
          </w:p>
        </w:tc>
        <w:tc>
          <w:tcPr>
            <w:tcW w:w="1276" w:type="dxa"/>
            <w:noWrap/>
            <w:hideMark/>
          </w:tcPr>
          <w:p w:rsidR="0092299C" w:rsidRPr="00FB2C11" w:rsidRDefault="0092299C" w:rsidP="0092299C">
            <w:pPr>
              <w:pStyle w:val="ARtabletextright"/>
            </w:pPr>
            <w:r w:rsidRPr="00FB2C11">
              <w:t>$124,780</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Redevelop forensic mental health bed-based services</w:t>
            </w:r>
          </w:p>
        </w:tc>
        <w:tc>
          <w:tcPr>
            <w:tcW w:w="1275" w:type="dxa"/>
            <w:noWrap/>
            <w:hideMark/>
          </w:tcPr>
          <w:p w:rsidR="0092299C" w:rsidRPr="00FB2C11" w:rsidRDefault="0092299C" w:rsidP="0092299C">
            <w:pPr>
              <w:pStyle w:val="ARtabletextright"/>
            </w:pPr>
            <w:r w:rsidRPr="00FB2C11">
              <w:t>$177,531</w:t>
            </w:r>
          </w:p>
        </w:tc>
        <w:tc>
          <w:tcPr>
            <w:tcW w:w="1276" w:type="dxa"/>
            <w:noWrap/>
            <w:hideMark/>
          </w:tcPr>
          <w:p w:rsidR="0092299C" w:rsidRPr="00FB2C11" w:rsidRDefault="0092299C" w:rsidP="0092299C">
            <w:pPr>
              <w:pStyle w:val="ARtabletextright"/>
            </w:pPr>
            <w:r w:rsidRPr="00FB2C11">
              <w:t>$177,531</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Dr Melissa McRae</w:t>
            </w:r>
          </w:p>
        </w:tc>
        <w:tc>
          <w:tcPr>
            <w:tcW w:w="3771" w:type="dxa"/>
            <w:noWrap/>
            <w:hideMark/>
          </w:tcPr>
          <w:p w:rsidR="0092299C" w:rsidRPr="00FB2C11" w:rsidRDefault="0092299C" w:rsidP="0092299C">
            <w:pPr>
              <w:pStyle w:val="ARtabletext"/>
            </w:pPr>
            <w:r w:rsidRPr="00FB2C11">
              <w:t>Risk analysis, reducing dual notification requirements</w:t>
            </w:r>
          </w:p>
        </w:tc>
        <w:tc>
          <w:tcPr>
            <w:tcW w:w="1275" w:type="dxa"/>
            <w:noWrap/>
            <w:hideMark/>
          </w:tcPr>
          <w:p w:rsidR="0092299C" w:rsidRPr="00FB2C11" w:rsidRDefault="0092299C" w:rsidP="0092299C">
            <w:pPr>
              <w:pStyle w:val="ARtabletextright"/>
            </w:pPr>
            <w:r w:rsidRPr="00FB2C11">
              <w:t>$10,818</w:t>
            </w:r>
          </w:p>
        </w:tc>
        <w:tc>
          <w:tcPr>
            <w:tcW w:w="1276" w:type="dxa"/>
            <w:noWrap/>
            <w:hideMark/>
          </w:tcPr>
          <w:p w:rsidR="0092299C" w:rsidRPr="00FB2C11" w:rsidRDefault="0092299C" w:rsidP="0092299C">
            <w:pPr>
              <w:pStyle w:val="ARtabletextright"/>
            </w:pPr>
            <w:r w:rsidRPr="00FB2C11">
              <w:t>$10,818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Bevington</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business administration, secure services</w:t>
            </w:r>
          </w:p>
        </w:tc>
        <w:tc>
          <w:tcPr>
            <w:tcW w:w="1275" w:type="dxa"/>
            <w:noWrap/>
            <w:hideMark/>
          </w:tcPr>
          <w:p w:rsidR="0092299C" w:rsidRPr="00FB2C11" w:rsidRDefault="0092299C" w:rsidP="0092299C">
            <w:pPr>
              <w:pStyle w:val="ARtabletextright"/>
            </w:pPr>
            <w:r w:rsidRPr="00FB2C11">
              <w:t>$55,132</w:t>
            </w:r>
          </w:p>
        </w:tc>
        <w:tc>
          <w:tcPr>
            <w:tcW w:w="1276" w:type="dxa"/>
            <w:noWrap/>
            <w:hideMark/>
          </w:tcPr>
          <w:p w:rsidR="0092299C" w:rsidRPr="00FB2C11" w:rsidRDefault="0092299C" w:rsidP="0092299C">
            <w:pPr>
              <w:pStyle w:val="ARtabletextright"/>
            </w:pPr>
            <w:r w:rsidRPr="00FB2C11">
              <w:t>$54,846</w:t>
            </w:r>
          </w:p>
        </w:tc>
        <w:tc>
          <w:tcPr>
            <w:tcW w:w="1276" w:type="dxa"/>
            <w:noWrap/>
            <w:hideMark/>
          </w:tcPr>
          <w:p w:rsidR="0092299C" w:rsidRPr="00FB2C11" w:rsidRDefault="0092299C" w:rsidP="0092299C">
            <w:pPr>
              <w:pStyle w:val="ARtabletextright"/>
            </w:pPr>
            <w:r w:rsidRPr="00FB2C11">
              <w:t>$286</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Review, Western Health Service plan</w:t>
            </w:r>
          </w:p>
        </w:tc>
        <w:tc>
          <w:tcPr>
            <w:tcW w:w="1275" w:type="dxa"/>
            <w:noWrap/>
            <w:hideMark/>
          </w:tcPr>
          <w:p w:rsidR="0092299C" w:rsidRPr="00FB2C11" w:rsidRDefault="0092299C" w:rsidP="0092299C">
            <w:pPr>
              <w:pStyle w:val="ARtabletextright"/>
            </w:pPr>
            <w:r w:rsidRPr="00FB2C11">
              <w:t>$37,720</w:t>
            </w:r>
          </w:p>
        </w:tc>
        <w:tc>
          <w:tcPr>
            <w:tcW w:w="1276" w:type="dxa"/>
            <w:noWrap/>
            <w:hideMark/>
          </w:tcPr>
          <w:p w:rsidR="0092299C" w:rsidRPr="00FB2C11" w:rsidRDefault="0092299C" w:rsidP="0092299C">
            <w:pPr>
              <w:pStyle w:val="ARtabletextright"/>
            </w:pPr>
            <w:r w:rsidRPr="00FB2C11">
              <w:t>$36,779</w:t>
            </w:r>
          </w:p>
        </w:tc>
        <w:tc>
          <w:tcPr>
            <w:tcW w:w="1276" w:type="dxa"/>
            <w:noWrap/>
            <w:hideMark/>
          </w:tcPr>
          <w:p w:rsidR="0092299C" w:rsidRPr="00FB2C11" w:rsidRDefault="0092299C" w:rsidP="0092299C">
            <w:pPr>
              <w:pStyle w:val="ARtabletextright"/>
            </w:pPr>
            <w:r w:rsidRPr="00FB2C11">
              <w:t>$941</w:t>
            </w:r>
          </w:p>
        </w:tc>
      </w:tr>
      <w:tr w:rsidR="0092299C" w:rsidRPr="00FB2C11" w:rsidTr="0084694E">
        <w:tc>
          <w:tcPr>
            <w:tcW w:w="2194" w:type="dxa"/>
            <w:noWrap/>
            <w:hideMark/>
          </w:tcPr>
          <w:p w:rsidR="0092299C" w:rsidRPr="00FB2C11" w:rsidRDefault="0092299C" w:rsidP="0092299C">
            <w:pPr>
              <w:pStyle w:val="ARtabletext"/>
            </w:pPr>
            <w:r w:rsidRPr="00FB2C11">
              <w:t>ACIL Allen Consulting Pty Ltd</w:t>
            </w:r>
          </w:p>
        </w:tc>
        <w:tc>
          <w:tcPr>
            <w:tcW w:w="3771" w:type="dxa"/>
            <w:noWrap/>
            <w:hideMark/>
          </w:tcPr>
          <w:p w:rsidR="0092299C" w:rsidRPr="00FB2C11" w:rsidRDefault="0092299C" w:rsidP="0092299C">
            <w:pPr>
              <w:pStyle w:val="ARtabletext"/>
            </w:pPr>
            <w:r w:rsidRPr="00FB2C11">
              <w:t>Review, operational infrastructure support program</w:t>
            </w:r>
          </w:p>
        </w:tc>
        <w:tc>
          <w:tcPr>
            <w:tcW w:w="1275" w:type="dxa"/>
            <w:noWrap/>
            <w:hideMark/>
          </w:tcPr>
          <w:p w:rsidR="0092299C" w:rsidRPr="00FB2C11" w:rsidRDefault="0092299C" w:rsidP="0092299C">
            <w:pPr>
              <w:pStyle w:val="ARtabletextright"/>
            </w:pPr>
            <w:r w:rsidRPr="00FB2C11">
              <w:t>$137,962</w:t>
            </w:r>
          </w:p>
        </w:tc>
        <w:tc>
          <w:tcPr>
            <w:tcW w:w="1276" w:type="dxa"/>
            <w:noWrap/>
            <w:hideMark/>
          </w:tcPr>
          <w:p w:rsidR="0092299C" w:rsidRPr="00FB2C11" w:rsidRDefault="0092299C" w:rsidP="0092299C">
            <w:pPr>
              <w:pStyle w:val="ARtabletextright"/>
            </w:pPr>
            <w:r w:rsidRPr="00FB2C11">
              <w:t>$137,962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Avise</w:t>
            </w:r>
            <w:proofErr w:type="spellEnd"/>
            <w:r w:rsidRPr="00FB2C11">
              <w:t xml:space="preserve"> La Fin Consulting Pty Ltd</w:t>
            </w:r>
          </w:p>
        </w:tc>
        <w:tc>
          <w:tcPr>
            <w:tcW w:w="3771" w:type="dxa"/>
            <w:noWrap/>
            <w:hideMark/>
          </w:tcPr>
          <w:p w:rsidR="0092299C" w:rsidRPr="00FB2C11" w:rsidRDefault="0092299C" w:rsidP="0092299C">
            <w:pPr>
              <w:pStyle w:val="ARtabletext"/>
            </w:pPr>
            <w:r w:rsidRPr="00FB2C11">
              <w:t>Review streamlining options, National Safety and Quality Health Services Standards</w:t>
            </w:r>
          </w:p>
        </w:tc>
        <w:tc>
          <w:tcPr>
            <w:tcW w:w="1275" w:type="dxa"/>
            <w:noWrap/>
            <w:hideMark/>
          </w:tcPr>
          <w:p w:rsidR="0092299C" w:rsidRPr="00FB2C11" w:rsidRDefault="0092299C" w:rsidP="0092299C">
            <w:pPr>
              <w:pStyle w:val="ARtabletextright"/>
            </w:pPr>
            <w:r w:rsidRPr="00FB2C11">
              <w:t>$99,380</w:t>
            </w:r>
          </w:p>
        </w:tc>
        <w:tc>
          <w:tcPr>
            <w:tcW w:w="1276" w:type="dxa"/>
            <w:noWrap/>
            <w:hideMark/>
          </w:tcPr>
          <w:p w:rsidR="0092299C" w:rsidRPr="00FB2C11" w:rsidRDefault="0092299C" w:rsidP="0092299C">
            <w:pPr>
              <w:pStyle w:val="ARtabletextright"/>
            </w:pPr>
            <w:r w:rsidRPr="00FB2C11">
              <w:t>$99,380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Biruu</w:t>
            </w:r>
            <w:proofErr w:type="spellEnd"/>
            <w:r w:rsidRPr="00FB2C11">
              <w:t xml:space="preserve"> Pty Ltd</w:t>
            </w:r>
          </w:p>
        </w:tc>
        <w:tc>
          <w:tcPr>
            <w:tcW w:w="3771" w:type="dxa"/>
            <w:noWrap/>
            <w:hideMark/>
          </w:tcPr>
          <w:p w:rsidR="0092299C" w:rsidRPr="00FB2C11" w:rsidRDefault="0092299C" w:rsidP="0092299C">
            <w:pPr>
              <w:pStyle w:val="ARtabletext"/>
            </w:pPr>
            <w:r w:rsidRPr="00FB2C11">
              <w:t xml:space="preserve">Service plan, </w:t>
            </w:r>
            <w:r>
              <w:t>n</w:t>
            </w:r>
            <w:r w:rsidRPr="00FB2C11">
              <w:t>orthern growth corridors</w:t>
            </w:r>
          </w:p>
        </w:tc>
        <w:tc>
          <w:tcPr>
            <w:tcW w:w="1275" w:type="dxa"/>
            <w:noWrap/>
            <w:hideMark/>
          </w:tcPr>
          <w:p w:rsidR="0092299C" w:rsidRPr="00FB2C11" w:rsidRDefault="0092299C" w:rsidP="0092299C">
            <w:pPr>
              <w:pStyle w:val="ARtabletextright"/>
            </w:pPr>
            <w:r w:rsidRPr="00FB2C11">
              <w:t>$42,200</w:t>
            </w:r>
          </w:p>
        </w:tc>
        <w:tc>
          <w:tcPr>
            <w:tcW w:w="1276" w:type="dxa"/>
            <w:noWrap/>
            <w:hideMark/>
          </w:tcPr>
          <w:p w:rsidR="0092299C" w:rsidRPr="00FB2C11" w:rsidRDefault="0092299C" w:rsidP="0092299C">
            <w:pPr>
              <w:pStyle w:val="ARtabletextright"/>
            </w:pPr>
            <w:r w:rsidRPr="00FB2C11">
              <w:t>$42,200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keepNext/>
              <w:keepLines/>
            </w:pPr>
            <w:r w:rsidRPr="00FB2C11">
              <w:t>Judith Nancy Yates</w:t>
            </w:r>
          </w:p>
        </w:tc>
        <w:tc>
          <w:tcPr>
            <w:tcW w:w="3771" w:type="dxa"/>
            <w:noWrap/>
            <w:hideMark/>
          </w:tcPr>
          <w:p w:rsidR="0092299C" w:rsidRPr="00FB2C11" w:rsidRDefault="0092299C" w:rsidP="0092299C">
            <w:pPr>
              <w:pStyle w:val="ARtabletext"/>
              <w:keepNext/>
              <w:keepLines/>
            </w:pPr>
            <w:r w:rsidRPr="00FB2C11">
              <w:t>Statistical report, assessment of shortfall of social housing</w:t>
            </w:r>
          </w:p>
        </w:tc>
        <w:tc>
          <w:tcPr>
            <w:tcW w:w="1275" w:type="dxa"/>
            <w:noWrap/>
            <w:hideMark/>
          </w:tcPr>
          <w:p w:rsidR="0092299C" w:rsidRPr="00FB2C11" w:rsidRDefault="0092299C" w:rsidP="0092299C">
            <w:pPr>
              <w:pStyle w:val="ARtabletextright"/>
            </w:pPr>
            <w:r w:rsidRPr="00FB2C11">
              <w:t>$12,500</w:t>
            </w:r>
          </w:p>
        </w:tc>
        <w:tc>
          <w:tcPr>
            <w:tcW w:w="1276" w:type="dxa"/>
            <w:noWrap/>
            <w:hideMark/>
          </w:tcPr>
          <w:p w:rsidR="0092299C" w:rsidRPr="00FB2C11" w:rsidRDefault="0092299C" w:rsidP="0092299C">
            <w:pPr>
              <w:pStyle w:val="ARtabletextright"/>
            </w:pPr>
            <w:r w:rsidRPr="00FB2C11">
              <w:t>$7,500</w:t>
            </w:r>
          </w:p>
        </w:tc>
        <w:tc>
          <w:tcPr>
            <w:tcW w:w="1276" w:type="dxa"/>
            <w:noWrap/>
            <w:hideMark/>
          </w:tcPr>
          <w:p w:rsidR="0092299C" w:rsidRPr="00FB2C11" w:rsidRDefault="0092299C" w:rsidP="0092299C">
            <w:pPr>
              <w:pStyle w:val="ARtabletextright"/>
            </w:pPr>
            <w:r w:rsidRPr="00FB2C11">
              <w:t>$5,000</w:t>
            </w:r>
          </w:p>
        </w:tc>
      </w:tr>
      <w:tr w:rsidR="0092299C" w:rsidRPr="00FB2C11" w:rsidTr="0084694E">
        <w:tc>
          <w:tcPr>
            <w:tcW w:w="2194" w:type="dxa"/>
            <w:noWrap/>
            <w:hideMark/>
          </w:tcPr>
          <w:p w:rsidR="0092299C" w:rsidRPr="00FB2C11" w:rsidRDefault="0092299C" w:rsidP="0092299C">
            <w:pPr>
              <w:pStyle w:val="ARtabletext"/>
            </w:pPr>
            <w:r w:rsidRPr="00FB2C11">
              <w:t>University of Technology Sydney</w:t>
            </w:r>
          </w:p>
        </w:tc>
        <w:tc>
          <w:tcPr>
            <w:tcW w:w="3771" w:type="dxa"/>
            <w:noWrap/>
            <w:hideMark/>
          </w:tcPr>
          <w:p w:rsidR="0092299C" w:rsidRPr="00FB2C11" w:rsidRDefault="0092299C" w:rsidP="0092299C">
            <w:pPr>
              <w:pStyle w:val="ARtabletext"/>
            </w:pPr>
            <w:r w:rsidRPr="00FB2C11">
              <w:t xml:space="preserve">Review, accreditation systems for health professions covered by National Regulation </w:t>
            </w:r>
            <w:r>
              <w:t>and</w:t>
            </w:r>
            <w:r w:rsidRPr="00FB2C11">
              <w:t xml:space="preserve"> Accreditation Scheme</w:t>
            </w:r>
          </w:p>
        </w:tc>
        <w:tc>
          <w:tcPr>
            <w:tcW w:w="1275" w:type="dxa"/>
            <w:noWrap/>
            <w:hideMark/>
          </w:tcPr>
          <w:p w:rsidR="0092299C" w:rsidRPr="00FB2C11" w:rsidRDefault="0092299C" w:rsidP="0092299C">
            <w:pPr>
              <w:pStyle w:val="ARtabletextright"/>
            </w:pPr>
            <w:r w:rsidRPr="00FB2C11">
              <w:t>$377,651</w:t>
            </w:r>
          </w:p>
        </w:tc>
        <w:tc>
          <w:tcPr>
            <w:tcW w:w="1276" w:type="dxa"/>
            <w:noWrap/>
            <w:hideMark/>
          </w:tcPr>
          <w:p w:rsidR="0092299C" w:rsidRPr="00FB2C11" w:rsidRDefault="0092299C" w:rsidP="0092299C">
            <w:pPr>
              <w:pStyle w:val="ARtabletextright"/>
            </w:pPr>
            <w:r w:rsidRPr="00FB2C11">
              <w:t>$232,400</w:t>
            </w:r>
          </w:p>
        </w:tc>
        <w:tc>
          <w:tcPr>
            <w:tcW w:w="1276" w:type="dxa"/>
            <w:noWrap/>
            <w:hideMark/>
          </w:tcPr>
          <w:p w:rsidR="0092299C" w:rsidRPr="00FB2C11" w:rsidRDefault="0092299C" w:rsidP="0092299C">
            <w:pPr>
              <w:pStyle w:val="ARtabletextright"/>
            </w:pPr>
            <w:r w:rsidRPr="00FB2C11">
              <w:t>$145,251</w:t>
            </w:r>
          </w:p>
        </w:tc>
      </w:tr>
      <w:tr w:rsidR="0092299C" w:rsidRPr="00FB2C11" w:rsidTr="0084694E">
        <w:tc>
          <w:tcPr>
            <w:tcW w:w="2194" w:type="dxa"/>
            <w:noWrap/>
            <w:hideMark/>
          </w:tcPr>
          <w:p w:rsidR="0092299C" w:rsidRPr="00FB2C11" w:rsidRDefault="0092299C" w:rsidP="0092299C">
            <w:pPr>
              <w:pStyle w:val="ARtabletext"/>
            </w:pPr>
            <w:r w:rsidRPr="00FB2C11">
              <w:t>Peer Academy</w:t>
            </w:r>
          </w:p>
        </w:tc>
        <w:tc>
          <w:tcPr>
            <w:tcW w:w="3771" w:type="dxa"/>
            <w:noWrap/>
            <w:hideMark/>
          </w:tcPr>
          <w:p w:rsidR="0092299C" w:rsidRPr="00FB2C11" w:rsidRDefault="0092299C" w:rsidP="0092299C">
            <w:pPr>
              <w:pStyle w:val="ARtabletext"/>
            </w:pPr>
            <w:r w:rsidRPr="00FB2C11">
              <w:t>Develop co-design diagnostic tool prototype</w:t>
            </w:r>
          </w:p>
        </w:tc>
        <w:tc>
          <w:tcPr>
            <w:tcW w:w="1275" w:type="dxa"/>
            <w:noWrap/>
            <w:hideMark/>
          </w:tcPr>
          <w:p w:rsidR="0092299C" w:rsidRPr="00FB2C11" w:rsidRDefault="0092299C" w:rsidP="0092299C">
            <w:pPr>
              <w:pStyle w:val="ARtabletextright"/>
            </w:pPr>
            <w:r w:rsidRPr="00FB2C11">
              <w:t>$23,964</w:t>
            </w:r>
          </w:p>
        </w:tc>
        <w:tc>
          <w:tcPr>
            <w:tcW w:w="1276" w:type="dxa"/>
            <w:noWrap/>
            <w:hideMark/>
          </w:tcPr>
          <w:p w:rsidR="0092299C" w:rsidRPr="00FB2C11" w:rsidRDefault="0092299C" w:rsidP="0092299C">
            <w:pPr>
              <w:pStyle w:val="ARtabletextright"/>
            </w:pPr>
            <w:r w:rsidRPr="00FB2C11">
              <w:t>$23,964</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health service occupational violence and aggression responses</w:t>
            </w:r>
          </w:p>
        </w:tc>
        <w:tc>
          <w:tcPr>
            <w:tcW w:w="1275" w:type="dxa"/>
            <w:noWrap/>
            <w:hideMark/>
          </w:tcPr>
          <w:p w:rsidR="0092299C" w:rsidRPr="00FB2C11" w:rsidRDefault="0092299C" w:rsidP="0092299C">
            <w:pPr>
              <w:pStyle w:val="ARtabletextright"/>
            </w:pPr>
            <w:r w:rsidRPr="00FB2C11">
              <w:t>$142,417</w:t>
            </w:r>
          </w:p>
        </w:tc>
        <w:tc>
          <w:tcPr>
            <w:tcW w:w="1276" w:type="dxa"/>
            <w:noWrap/>
            <w:hideMark/>
          </w:tcPr>
          <w:p w:rsidR="0092299C" w:rsidRPr="00FB2C11" w:rsidRDefault="0092299C" w:rsidP="0092299C">
            <w:pPr>
              <w:pStyle w:val="ARtabletextright"/>
            </w:pPr>
            <w:r w:rsidRPr="00FB2C11">
              <w:t>$142,417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Salinger Consulting Pty Ltd</w:t>
            </w:r>
          </w:p>
        </w:tc>
        <w:tc>
          <w:tcPr>
            <w:tcW w:w="3771" w:type="dxa"/>
            <w:noWrap/>
            <w:hideMark/>
          </w:tcPr>
          <w:p w:rsidR="0092299C" w:rsidRPr="00FB2C11" w:rsidRDefault="0092299C" w:rsidP="0092299C">
            <w:pPr>
              <w:pStyle w:val="ARtabletext"/>
            </w:pPr>
            <w:r w:rsidRPr="00FB2C11">
              <w:t>Privacy impact assessment, information portal project</w:t>
            </w:r>
          </w:p>
        </w:tc>
        <w:tc>
          <w:tcPr>
            <w:tcW w:w="1275" w:type="dxa"/>
            <w:noWrap/>
            <w:hideMark/>
          </w:tcPr>
          <w:p w:rsidR="0092299C" w:rsidRPr="00FB2C11" w:rsidRDefault="0092299C" w:rsidP="0092299C">
            <w:pPr>
              <w:pStyle w:val="ARtabletextright"/>
            </w:pPr>
            <w:r w:rsidRPr="00FB2C11">
              <w:t>$21,800</w:t>
            </w:r>
          </w:p>
        </w:tc>
        <w:tc>
          <w:tcPr>
            <w:tcW w:w="1276" w:type="dxa"/>
            <w:noWrap/>
            <w:hideMark/>
          </w:tcPr>
          <w:p w:rsidR="0092299C" w:rsidRPr="00FB2C11" w:rsidRDefault="0092299C" w:rsidP="0092299C">
            <w:pPr>
              <w:pStyle w:val="ARtabletextright"/>
            </w:pPr>
            <w:r w:rsidRPr="00FB2C11">
              <w:t>$21,800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Kuppingercole</w:t>
            </w:r>
            <w:proofErr w:type="spellEnd"/>
            <w:r w:rsidRPr="00FB2C11">
              <w:t xml:space="preserve"> Asia Pacific Pty Lt</w:t>
            </w:r>
            <w:r>
              <w:t>d</w:t>
            </w:r>
          </w:p>
        </w:tc>
        <w:tc>
          <w:tcPr>
            <w:tcW w:w="3771" w:type="dxa"/>
            <w:noWrap/>
            <w:hideMark/>
          </w:tcPr>
          <w:p w:rsidR="0092299C" w:rsidRPr="00FB2C11" w:rsidRDefault="0092299C" w:rsidP="0092299C">
            <w:pPr>
              <w:pStyle w:val="ARtabletext"/>
            </w:pPr>
            <w:r w:rsidRPr="00FB2C11">
              <w:t>Develop strategy, identity and access management</w:t>
            </w:r>
          </w:p>
        </w:tc>
        <w:tc>
          <w:tcPr>
            <w:tcW w:w="1275" w:type="dxa"/>
            <w:noWrap/>
            <w:hideMark/>
          </w:tcPr>
          <w:p w:rsidR="0092299C" w:rsidRPr="00FB2C11" w:rsidRDefault="0092299C" w:rsidP="0092299C">
            <w:pPr>
              <w:pStyle w:val="ARtabletextright"/>
            </w:pPr>
            <w:r w:rsidRPr="00FB2C11">
              <w:t>$98,750</w:t>
            </w:r>
          </w:p>
        </w:tc>
        <w:tc>
          <w:tcPr>
            <w:tcW w:w="1276" w:type="dxa"/>
            <w:noWrap/>
            <w:hideMark/>
          </w:tcPr>
          <w:p w:rsidR="0092299C" w:rsidRPr="00FB2C11" w:rsidRDefault="0092299C" w:rsidP="0092299C">
            <w:pPr>
              <w:pStyle w:val="ARtabletextright"/>
            </w:pPr>
            <w:r w:rsidRPr="00FB2C11">
              <w:t>$98,750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Fee review, Health Technology Solutions service</w:t>
            </w:r>
          </w:p>
        </w:tc>
        <w:tc>
          <w:tcPr>
            <w:tcW w:w="1275" w:type="dxa"/>
            <w:noWrap/>
            <w:hideMark/>
          </w:tcPr>
          <w:p w:rsidR="0092299C" w:rsidRPr="00FB2C11" w:rsidRDefault="0092299C" w:rsidP="0092299C">
            <w:pPr>
              <w:pStyle w:val="ARtabletextright"/>
            </w:pPr>
            <w:r w:rsidRPr="00FB2C11">
              <w:t>$155,422</w:t>
            </w:r>
          </w:p>
        </w:tc>
        <w:tc>
          <w:tcPr>
            <w:tcW w:w="1276" w:type="dxa"/>
            <w:noWrap/>
            <w:hideMark/>
          </w:tcPr>
          <w:p w:rsidR="0092299C" w:rsidRPr="00FB2C11" w:rsidRDefault="0092299C" w:rsidP="0092299C">
            <w:pPr>
              <w:pStyle w:val="ARtabletextright"/>
            </w:pPr>
            <w:r w:rsidRPr="00FB2C11">
              <w:t>$155,422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Murray </w:t>
            </w:r>
            <w:r>
              <w:t>N</w:t>
            </w:r>
            <w:r w:rsidRPr="00FB2C11">
              <w:t xml:space="preserve">eil </w:t>
            </w:r>
            <w:proofErr w:type="spellStart"/>
            <w:r>
              <w:t>C</w:t>
            </w:r>
            <w:r w:rsidRPr="00FB2C11">
              <w:t>omrie</w:t>
            </w:r>
            <w:proofErr w:type="spellEnd"/>
          </w:p>
        </w:tc>
        <w:tc>
          <w:tcPr>
            <w:tcW w:w="3771" w:type="dxa"/>
            <w:noWrap/>
            <w:hideMark/>
          </w:tcPr>
          <w:p w:rsidR="0092299C" w:rsidRPr="00FB2C11" w:rsidRDefault="0092299C" w:rsidP="0092299C">
            <w:pPr>
              <w:pStyle w:val="ARtabletext"/>
            </w:pPr>
            <w:r w:rsidRPr="00FB2C11">
              <w:t>Review, Malmsbury Youth Justice precinct</w:t>
            </w:r>
          </w:p>
        </w:tc>
        <w:tc>
          <w:tcPr>
            <w:tcW w:w="1275" w:type="dxa"/>
            <w:noWrap/>
            <w:hideMark/>
          </w:tcPr>
          <w:p w:rsidR="0092299C" w:rsidRPr="00FB2C11" w:rsidRDefault="0092299C" w:rsidP="0092299C">
            <w:pPr>
              <w:pStyle w:val="ARtabletextright"/>
            </w:pPr>
            <w:r w:rsidRPr="00FB2C11">
              <w:t>$37,955</w:t>
            </w:r>
          </w:p>
        </w:tc>
        <w:tc>
          <w:tcPr>
            <w:tcW w:w="1276" w:type="dxa"/>
            <w:noWrap/>
            <w:hideMark/>
          </w:tcPr>
          <w:p w:rsidR="0092299C" w:rsidRPr="00FB2C11" w:rsidRDefault="0092299C" w:rsidP="0092299C">
            <w:pPr>
              <w:pStyle w:val="ARtabletextright"/>
            </w:pPr>
            <w:r w:rsidRPr="00FB2C11">
              <w:t>$37,591</w:t>
            </w:r>
          </w:p>
        </w:tc>
        <w:tc>
          <w:tcPr>
            <w:tcW w:w="1276" w:type="dxa"/>
            <w:noWrap/>
            <w:hideMark/>
          </w:tcPr>
          <w:p w:rsidR="0092299C" w:rsidRPr="00FB2C11" w:rsidRDefault="0092299C" w:rsidP="0092299C">
            <w:pPr>
              <w:pStyle w:val="ARtabletextright"/>
            </w:pPr>
            <w:r w:rsidRPr="00FB2C11">
              <w:t>$364</w:t>
            </w:r>
          </w:p>
        </w:tc>
      </w:tr>
      <w:tr w:rsidR="0092299C" w:rsidRPr="00FB2C11" w:rsidTr="0084694E">
        <w:tc>
          <w:tcPr>
            <w:tcW w:w="2194" w:type="dxa"/>
            <w:noWrap/>
            <w:hideMark/>
          </w:tcPr>
          <w:p w:rsidR="0092299C" w:rsidRPr="00FB2C11" w:rsidRDefault="0092299C" w:rsidP="0092299C">
            <w:pPr>
              <w:pStyle w:val="ARtabletext"/>
            </w:pPr>
            <w:proofErr w:type="spellStart"/>
            <w:r w:rsidRPr="00FB2C11">
              <w:t>Biruu</w:t>
            </w:r>
            <w:proofErr w:type="spellEnd"/>
            <w:r w:rsidRPr="00FB2C11">
              <w:t xml:space="preserve"> Pty Ltd</w:t>
            </w:r>
          </w:p>
        </w:tc>
        <w:tc>
          <w:tcPr>
            <w:tcW w:w="3771" w:type="dxa"/>
            <w:noWrap/>
            <w:hideMark/>
          </w:tcPr>
          <w:p w:rsidR="0092299C" w:rsidRPr="00FB2C11" w:rsidRDefault="0092299C" w:rsidP="0092299C">
            <w:pPr>
              <w:pStyle w:val="ARtabletext"/>
            </w:pPr>
            <w:r w:rsidRPr="00FB2C11">
              <w:t>Business case, 20</w:t>
            </w:r>
            <w:r>
              <w:t>17–18</w:t>
            </w:r>
            <w:r w:rsidRPr="00FB2C11">
              <w:t xml:space="preserve"> budget</w:t>
            </w:r>
          </w:p>
        </w:tc>
        <w:tc>
          <w:tcPr>
            <w:tcW w:w="1275" w:type="dxa"/>
            <w:noWrap/>
            <w:hideMark/>
          </w:tcPr>
          <w:p w:rsidR="0092299C" w:rsidRPr="00FB2C11" w:rsidRDefault="0092299C" w:rsidP="0092299C">
            <w:pPr>
              <w:pStyle w:val="ARtabletextright"/>
            </w:pPr>
            <w:r w:rsidRPr="00FB2C11">
              <w:t>$98,350</w:t>
            </w:r>
          </w:p>
        </w:tc>
        <w:tc>
          <w:tcPr>
            <w:tcW w:w="1276" w:type="dxa"/>
            <w:noWrap/>
            <w:hideMark/>
          </w:tcPr>
          <w:p w:rsidR="0092299C" w:rsidRPr="00FB2C11" w:rsidRDefault="0092299C" w:rsidP="0092299C">
            <w:pPr>
              <w:pStyle w:val="ARtabletextright"/>
            </w:pPr>
            <w:r w:rsidRPr="00FB2C11">
              <w:t>$98,350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 xml:space="preserve">Develop collection and consolidation tools, </w:t>
            </w:r>
            <w:proofErr w:type="spellStart"/>
            <w:r w:rsidRPr="00FB2C11">
              <w:t>state</w:t>
            </w:r>
            <w:r>
              <w:t>wide</w:t>
            </w:r>
            <w:proofErr w:type="spellEnd"/>
            <w:r w:rsidRPr="00FB2C11">
              <w:t xml:space="preserve"> clients</w:t>
            </w:r>
          </w:p>
        </w:tc>
        <w:tc>
          <w:tcPr>
            <w:tcW w:w="1275" w:type="dxa"/>
            <w:noWrap/>
            <w:hideMark/>
          </w:tcPr>
          <w:p w:rsidR="0092299C" w:rsidRPr="00FB2C11" w:rsidRDefault="0092299C" w:rsidP="0092299C">
            <w:pPr>
              <w:pStyle w:val="ARtabletextright"/>
            </w:pPr>
            <w:r w:rsidRPr="00FB2C11">
              <w:t>$136,364</w:t>
            </w:r>
          </w:p>
        </w:tc>
        <w:tc>
          <w:tcPr>
            <w:tcW w:w="1276" w:type="dxa"/>
            <w:noWrap/>
            <w:hideMark/>
          </w:tcPr>
          <w:p w:rsidR="0092299C" w:rsidRPr="00FB2C11" w:rsidRDefault="0092299C" w:rsidP="0092299C">
            <w:pPr>
              <w:pStyle w:val="ARtabletextright"/>
            </w:pPr>
            <w:r w:rsidRPr="00FB2C11">
              <w:t>$136,363</w:t>
            </w:r>
          </w:p>
        </w:tc>
        <w:tc>
          <w:tcPr>
            <w:tcW w:w="1276" w:type="dxa"/>
            <w:noWrap/>
            <w:hideMark/>
          </w:tcPr>
          <w:p w:rsidR="0092299C" w:rsidRPr="00FB2C11" w:rsidRDefault="0092299C" w:rsidP="0092299C">
            <w:pPr>
              <w:pStyle w:val="ARtabletextright"/>
            </w:pPr>
            <w:r w:rsidRPr="00FB2C11">
              <w:t>$1</w:t>
            </w:r>
          </w:p>
        </w:tc>
      </w:tr>
      <w:tr w:rsidR="0092299C" w:rsidRPr="00FB2C11" w:rsidTr="0084694E">
        <w:tc>
          <w:tcPr>
            <w:tcW w:w="2194" w:type="dxa"/>
            <w:noWrap/>
            <w:hideMark/>
          </w:tcPr>
          <w:p w:rsidR="0092299C" w:rsidRPr="00FB2C11" w:rsidRDefault="0092299C" w:rsidP="0092299C">
            <w:pPr>
              <w:pStyle w:val="ARtabletext"/>
            </w:pPr>
            <w:r w:rsidRPr="00FB2C11">
              <w:t>The Hon. FHR Vincent</w:t>
            </w:r>
          </w:p>
        </w:tc>
        <w:tc>
          <w:tcPr>
            <w:tcW w:w="3771" w:type="dxa"/>
            <w:noWrap/>
            <w:hideMark/>
          </w:tcPr>
          <w:p w:rsidR="0092299C" w:rsidRPr="00FB2C11" w:rsidRDefault="0092299C" w:rsidP="0092299C">
            <w:pPr>
              <w:pStyle w:val="ARtabletext"/>
            </w:pPr>
            <w:r w:rsidRPr="00FB2C11">
              <w:t>Review, historic claim of child sexual abuse and related matters</w:t>
            </w:r>
          </w:p>
        </w:tc>
        <w:tc>
          <w:tcPr>
            <w:tcW w:w="1275" w:type="dxa"/>
            <w:noWrap/>
            <w:hideMark/>
          </w:tcPr>
          <w:p w:rsidR="0092299C" w:rsidRPr="00FB2C11" w:rsidRDefault="0092299C" w:rsidP="0092299C">
            <w:pPr>
              <w:pStyle w:val="ARtabletextright"/>
            </w:pPr>
            <w:r w:rsidRPr="00FB2C11">
              <w:t>$39,886</w:t>
            </w:r>
          </w:p>
        </w:tc>
        <w:tc>
          <w:tcPr>
            <w:tcW w:w="1276" w:type="dxa"/>
            <w:noWrap/>
            <w:hideMark/>
          </w:tcPr>
          <w:p w:rsidR="0092299C" w:rsidRPr="00FB2C11" w:rsidRDefault="0092299C" w:rsidP="0092299C">
            <w:pPr>
              <w:pStyle w:val="ARtabletextright"/>
            </w:pPr>
            <w:r w:rsidRPr="00FB2C11">
              <w:t>$32,709</w:t>
            </w:r>
          </w:p>
        </w:tc>
        <w:tc>
          <w:tcPr>
            <w:tcW w:w="1276" w:type="dxa"/>
            <w:noWrap/>
            <w:hideMark/>
          </w:tcPr>
          <w:p w:rsidR="0092299C" w:rsidRPr="00FB2C11" w:rsidRDefault="0092299C" w:rsidP="0092299C">
            <w:pPr>
              <w:pStyle w:val="ARtabletextright"/>
            </w:pPr>
            <w:r w:rsidRPr="00FB2C11">
              <w:t>$7,177</w:t>
            </w:r>
          </w:p>
        </w:tc>
      </w:tr>
      <w:tr w:rsidR="0092299C" w:rsidRPr="00FB2C11" w:rsidTr="0084694E">
        <w:tc>
          <w:tcPr>
            <w:tcW w:w="2194" w:type="dxa"/>
            <w:noWrap/>
            <w:hideMark/>
          </w:tcPr>
          <w:p w:rsidR="0092299C" w:rsidRPr="00FB2C11" w:rsidRDefault="0092299C" w:rsidP="0092299C">
            <w:pPr>
              <w:pStyle w:val="ARtabletext"/>
            </w:pPr>
            <w:r w:rsidRPr="00FB2C11">
              <w:t>RXP Services</w:t>
            </w:r>
          </w:p>
        </w:tc>
        <w:tc>
          <w:tcPr>
            <w:tcW w:w="3771" w:type="dxa"/>
            <w:noWrap/>
            <w:hideMark/>
          </w:tcPr>
          <w:p w:rsidR="0092299C" w:rsidRPr="00FB2C11" w:rsidRDefault="0092299C" w:rsidP="0092299C">
            <w:pPr>
              <w:pStyle w:val="ARtabletext"/>
            </w:pPr>
            <w:r w:rsidRPr="00FB2C11">
              <w:t>Advice and support, upgrade of corporate reporting toolkit</w:t>
            </w:r>
          </w:p>
        </w:tc>
        <w:tc>
          <w:tcPr>
            <w:tcW w:w="1275" w:type="dxa"/>
            <w:noWrap/>
            <w:hideMark/>
          </w:tcPr>
          <w:p w:rsidR="0092299C" w:rsidRPr="00FB2C11" w:rsidRDefault="0092299C" w:rsidP="0092299C">
            <w:pPr>
              <w:pStyle w:val="ARtabletextright"/>
            </w:pPr>
            <w:r w:rsidRPr="00FB2C11">
              <w:t>$493,050</w:t>
            </w:r>
          </w:p>
        </w:tc>
        <w:tc>
          <w:tcPr>
            <w:tcW w:w="1276" w:type="dxa"/>
            <w:noWrap/>
            <w:hideMark/>
          </w:tcPr>
          <w:p w:rsidR="0092299C" w:rsidRPr="00FB2C11" w:rsidRDefault="0092299C" w:rsidP="0092299C">
            <w:pPr>
              <w:pStyle w:val="ARtabletextright"/>
            </w:pPr>
            <w:r w:rsidRPr="00FB2C11">
              <w:t>$436,096</w:t>
            </w:r>
          </w:p>
        </w:tc>
        <w:tc>
          <w:tcPr>
            <w:tcW w:w="1276" w:type="dxa"/>
            <w:noWrap/>
            <w:hideMark/>
          </w:tcPr>
          <w:p w:rsidR="0092299C" w:rsidRPr="00FB2C11" w:rsidRDefault="0092299C" w:rsidP="0092299C">
            <w:pPr>
              <w:pStyle w:val="ARtabletextright"/>
            </w:pPr>
            <w:r w:rsidRPr="00FB2C11">
              <w:t>$56,954</w:t>
            </w:r>
          </w:p>
        </w:tc>
      </w:tr>
      <w:tr w:rsidR="0092299C" w:rsidRPr="00FB2C11" w:rsidTr="0084694E">
        <w:tc>
          <w:tcPr>
            <w:tcW w:w="2194" w:type="dxa"/>
            <w:noWrap/>
            <w:hideMark/>
          </w:tcPr>
          <w:p w:rsidR="0092299C" w:rsidRPr="00FB2C11" w:rsidRDefault="0092299C" w:rsidP="0092299C">
            <w:pPr>
              <w:pStyle w:val="ARtabletext"/>
            </w:pPr>
            <w:r w:rsidRPr="00FB2C11">
              <w:t>Navigating Outcomes</w:t>
            </w:r>
          </w:p>
        </w:tc>
        <w:tc>
          <w:tcPr>
            <w:tcW w:w="3771" w:type="dxa"/>
            <w:noWrap/>
            <w:hideMark/>
          </w:tcPr>
          <w:p w:rsidR="0092299C" w:rsidRPr="00FB2C11" w:rsidRDefault="0092299C" w:rsidP="0092299C">
            <w:pPr>
              <w:pStyle w:val="ARtabletext"/>
            </w:pPr>
            <w:r w:rsidRPr="00FB2C11">
              <w:t>Develop measurement framework for Loddon Children and Youth Area Partnership</w:t>
            </w:r>
          </w:p>
        </w:tc>
        <w:tc>
          <w:tcPr>
            <w:tcW w:w="1275" w:type="dxa"/>
            <w:noWrap/>
            <w:hideMark/>
          </w:tcPr>
          <w:p w:rsidR="0092299C" w:rsidRPr="00FB2C11" w:rsidRDefault="0092299C" w:rsidP="0092299C">
            <w:pPr>
              <w:pStyle w:val="ARtabletextright"/>
            </w:pPr>
            <w:r w:rsidRPr="00FB2C11">
              <w:t>$45,455</w:t>
            </w:r>
          </w:p>
        </w:tc>
        <w:tc>
          <w:tcPr>
            <w:tcW w:w="1276" w:type="dxa"/>
            <w:noWrap/>
            <w:hideMark/>
          </w:tcPr>
          <w:p w:rsidR="0092299C" w:rsidRPr="00FB2C11" w:rsidRDefault="0092299C" w:rsidP="0092299C">
            <w:pPr>
              <w:pStyle w:val="ARtabletextright"/>
            </w:pPr>
            <w:r w:rsidRPr="00FB2C11">
              <w:t>$45,455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lastRenderedPageBreak/>
              <w:t>EY</w:t>
            </w:r>
          </w:p>
        </w:tc>
        <w:tc>
          <w:tcPr>
            <w:tcW w:w="3771" w:type="dxa"/>
            <w:noWrap/>
            <w:hideMark/>
          </w:tcPr>
          <w:p w:rsidR="0092299C" w:rsidRPr="00FB2C11" w:rsidRDefault="0092299C" w:rsidP="0092299C">
            <w:pPr>
              <w:pStyle w:val="ARtabletext"/>
            </w:pPr>
            <w:r w:rsidRPr="00FB2C11">
              <w:t xml:space="preserve">Review, effectiveness and sustainability of </w:t>
            </w:r>
            <w:proofErr w:type="spellStart"/>
            <w:r w:rsidRPr="00FB2C11">
              <w:t>Forensicare</w:t>
            </w:r>
            <w:proofErr w:type="spellEnd"/>
          </w:p>
        </w:tc>
        <w:tc>
          <w:tcPr>
            <w:tcW w:w="1275" w:type="dxa"/>
            <w:noWrap/>
            <w:hideMark/>
          </w:tcPr>
          <w:p w:rsidR="0092299C" w:rsidRPr="00FB2C11" w:rsidRDefault="0092299C" w:rsidP="0092299C">
            <w:pPr>
              <w:pStyle w:val="ARtabletextright"/>
            </w:pPr>
            <w:r w:rsidRPr="00FB2C11">
              <w:t>$257,907</w:t>
            </w:r>
          </w:p>
        </w:tc>
        <w:tc>
          <w:tcPr>
            <w:tcW w:w="1276" w:type="dxa"/>
            <w:noWrap/>
            <w:hideMark/>
          </w:tcPr>
          <w:p w:rsidR="0092299C" w:rsidRPr="00FB2C11" w:rsidRDefault="0092299C" w:rsidP="0092299C">
            <w:pPr>
              <w:pStyle w:val="ARtabletextright"/>
            </w:pPr>
            <w:r w:rsidRPr="00FB2C11">
              <w:t>$247,336</w:t>
            </w:r>
          </w:p>
        </w:tc>
        <w:tc>
          <w:tcPr>
            <w:tcW w:w="1276" w:type="dxa"/>
            <w:noWrap/>
            <w:hideMark/>
          </w:tcPr>
          <w:p w:rsidR="0092299C" w:rsidRPr="00FB2C11" w:rsidRDefault="0092299C" w:rsidP="0092299C">
            <w:pPr>
              <w:pStyle w:val="ARtabletextright"/>
            </w:pPr>
            <w:r w:rsidRPr="00FB2C11">
              <w:t>$10,571</w:t>
            </w:r>
          </w:p>
        </w:tc>
      </w:tr>
      <w:tr w:rsidR="0092299C" w:rsidRPr="00FB2C11" w:rsidTr="0084694E">
        <w:tc>
          <w:tcPr>
            <w:tcW w:w="2194" w:type="dxa"/>
            <w:noWrap/>
            <w:hideMark/>
          </w:tcPr>
          <w:p w:rsidR="0092299C" w:rsidRPr="00FB2C11" w:rsidRDefault="0092299C" w:rsidP="0092299C">
            <w:pPr>
              <w:pStyle w:val="ARtabletext"/>
            </w:pPr>
            <w:r w:rsidRPr="00FB2C11">
              <w:t>Peacemaker ADR</w:t>
            </w:r>
          </w:p>
        </w:tc>
        <w:tc>
          <w:tcPr>
            <w:tcW w:w="3771" w:type="dxa"/>
            <w:noWrap/>
            <w:hideMark/>
          </w:tcPr>
          <w:p w:rsidR="0092299C" w:rsidRPr="00FB2C11" w:rsidRDefault="0092299C" w:rsidP="0092299C">
            <w:pPr>
              <w:pStyle w:val="ARtabletext"/>
            </w:pPr>
            <w:r w:rsidRPr="00FB2C11">
              <w:t>Undertake, bullying and harassment health service project</w:t>
            </w:r>
          </w:p>
        </w:tc>
        <w:tc>
          <w:tcPr>
            <w:tcW w:w="1275" w:type="dxa"/>
            <w:noWrap/>
            <w:hideMark/>
          </w:tcPr>
          <w:p w:rsidR="0092299C" w:rsidRPr="00FB2C11" w:rsidRDefault="0092299C" w:rsidP="0092299C">
            <w:pPr>
              <w:pStyle w:val="ARtabletextright"/>
            </w:pPr>
            <w:r w:rsidRPr="00FB2C11">
              <w:t>$45,455</w:t>
            </w:r>
          </w:p>
        </w:tc>
        <w:tc>
          <w:tcPr>
            <w:tcW w:w="1276" w:type="dxa"/>
            <w:noWrap/>
            <w:hideMark/>
          </w:tcPr>
          <w:p w:rsidR="0092299C" w:rsidRPr="00FB2C11" w:rsidRDefault="0092299C" w:rsidP="0092299C">
            <w:pPr>
              <w:pStyle w:val="ARtabletextright"/>
            </w:pPr>
            <w:r w:rsidRPr="00FB2C11">
              <w:t>$39,495</w:t>
            </w:r>
          </w:p>
        </w:tc>
        <w:tc>
          <w:tcPr>
            <w:tcW w:w="1276" w:type="dxa"/>
            <w:noWrap/>
            <w:hideMark/>
          </w:tcPr>
          <w:p w:rsidR="0092299C" w:rsidRPr="00FB2C11" w:rsidRDefault="0092299C" w:rsidP="0092299C">
            <w:pPr>
              <w:pStyle w:val="ARtabletextright"/>
            </w:pPr>
            <w:r w:rsidRPr="00FB2C11">
              <w:t>$5,960</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Review, Victorian patient transport assistance scheme</w:t>
            </w:r>
          </w:p>
        </w:tc>
        <w:tc>
          <w:tcPr>
            <w:tcW w:w="1275" w:type="dxa"/>
            <w:noWrap/>
            <w:hideMark/>
          </w:tcPr>
          <w:p w:rsidR="0092299C" w:rsidRPr="00FB2C11" w:rsidRDefault="0092299C" w:rsidP="0092299C">
            <w:pPr>
              <w:pStyle w:val="ARtabletextright"/>
            </w:pPr>
            <w:r w:rsidRPr="00FB2C11">
              <w:t>$164,900</w:t>
            </w:r>
          </w:p>
        </w:tc>
        <w:tc>
          <w:tcPr>
            <w:tcW w:w="1276" w:type="dxa"/>
            <w:noWrap/>
            <w:hideMark/>
          </w:tcPr>
          <w:p w:rsidR="0092299C" w:rsidRPr="00FB2C11" w:rsidRDefault="0092299C" w:rsidP="0092299C">
            <w:pPr>
              <w:pStyle w:val="ARtabletextright"/>
            </w:pPr>
            <w:r w:rsidRPr="00FB2C11">
              <w:t>$164,216</w:t>
            </w:r>
          </w:p>
        </w:tc>
        <w:tc>
          <w:tcPr>
            <w:tcW w:w="1276" w:type="dxa"/>
            <w:noWrap/>
            <w:hideMark/>
          </w:tcPr>
          <w:p w:rsidR="0092299C" w:rsidRPr="00FB2C11" w:rsidRDefault="0092299C" w:rsidP="0092299C">
            <w:pPr>
              <w:pStyle w:val="ARtabletextright"/>
            </w:pPr>
            <w:r w:rsidRPr="00FB2C11">
              <w:t>$684</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Develop family violence investment modelling</w:t>
            </w:r>
          </w:p>
        </w:tc>
        <w:tc>
          <w:tcPr>
            <w:tcW w:w="1275" w:type="dxa"/>
            <w:noWrap/>
            <w:hideMark/>
          </w:tcPr>
          <w:p w:rsidR="0092299C" w:rsidRPr="00FB2C11" w:rsidRDefault="0092299C" w:rsidP="0092299C">
            <w:pPr>
              <w:pStyle w:val="ARtabletextright"/>
            </w:pPr>
            <w:r w:rsidRPr="00FB2C11">
              <w:t>$136,364</w:t>
            </w:r>
          </w:p>
        </w:tc>
        <w:tc>
          <w:tcPr>
            <w:tcW w:w="1276" w:type="dxa"/>
            <w:noWrap/>
            <w:hideMark/>
          </w:tcPr>
          <w:p w:rsidR="0092299C" w:rsidRPr="00FB2C11" w:rsidRDefault="0092299C" w:rsidP="0092299C">
            <w:pPr>
              <w:pStyle w:val="ARtabletextright"/>
            </w:pPr>
            <w:r w:rsidRPr="00FB2C11">
              <w:t>$144,425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Legislative impact assessment, real-time prescription monitoring</w:t>
            </w:r>
          </w:p>
        </w:tc>
        <w:tc>
          <w:tcPr>
            <w:tcW w:w="1275" w:type="dxa"/>
            <w:noWrap/>
            <w:hideMark/>
          </w:tcPr>
          <w:p w:rsidR="0092299C" w:rsidRPr="00FB2C11" w:rsidRDefault="0092299C" w:rsidP="0092299C">
            <w:pPr>
              <w:pStyle w:val="ARtabletextright"/>
            </w:pPr>
            <w:r w:rsidRPr="00FB2C11">
              <w:t>$125,455</w:t>
            </w:r>
          </w:p>
        </w:tc>
        <w:tc>
          <w:tcPr>
            <w:tcW w:w="1276" w:type="dxa"/>
            <w:noWrap/>
            <w:hideMark/>
          </w:tcPr>
          <w:p w:rsidR="0092299C" w:rsidRPr="00FB2C11" w:rsidRDefault="0092299C" w:rsidP="0092299C">
            <w:pPr>
              <w:pStyle w:val="ARtabletextright"/>
            </w:pPr>
            <w:r w:rsidRPr="00FB2C11">
              <w:t>$65,727</w:t>
            </w:r>
          </w:p>
        </w:tc>
        <w:tc>
          <w:tcPr>
            <w:tcW w:w="1276" w:type="dxa"/>
            <w:noWrap/>
            <w:hideMark/>
          </w:tcPr>
          <w:p w:rsidR="0092299C" w:rsidRPr="00FB2C11" w:rsidRDefault="0092299C" w:rsidP="0092299C">
            <w:pPr>
              <w:pStyle w:val="ARtabletextright"/>
            </w:pPr>
            <w:r w:rsidRPr="00FB2C11">
              <w:t>$59,728</w:t>
            </w:r>
          </w:p>
        </w:tc>
      </w:tr>
      <w:tr w:rsidR="0092299C" w:rsidRPr="00FB2C11" w:rsidTr="0084694E">
        <w:tc>
          <w:tcPr>
            <w:tcW w:w="2194" w:type="dxa"/>
            <w:noWrap/>
            <w:hideMark/>
          </w:tcPr>
          <w:p w:rsidR="0092299C" w:rsidRPr="00FB2C11" w:rsidRDefault="0092299C" w:rsidP="0092299C">
            <w:pPr>
              <w:pStyle w:val="ARtabletext"/>
            </w:pPr>
            <w:r w:rsidRPr="00FB2C11">
              <w:t xml:space="preserve">The Edge Management Consulting </w:t>
            </w:r>
            <w:proofErr w:type="spellStart"/>
            <w:r w:rsidRPr="00FB2C11">
              <w:t>Aust</w:t>
            </w:r>
            <w:proofErr w:type="spellEnd"/>
            <w:r w:rsidRPr="00FB2C11">
              <w:t xml:space="preserve"> Pty Ltd</w:t>
            </w:r>
          </w:p>
        </w:tc>
        <w:tc>
          <w:tcPr>
            <w:tcW w:w="3771" w:type="dxa"/>
            <w:noWrap/>
            <w:hideMark/>
          </w:tcPr>
          <w:p w:rsidR="0092299C" w:rsidRPr="00FB2C11" w:rsidRDefault="0092299C" w:rsidP="0092299C">
            <w:pPr>
              <w:pStyle w:val="ARtabletext"/>
            </w:pPr>
            <w:r w:rsidRPr="00FB2C11">
              <w:t xml:space="preserve">Advice, </w:t>
            </w:r>
            <w:proofErr w:type="spellStart"/>
            <w:r>
              <w:t>S</w:t>
            </w:r>
            <w:r w:rsidRPr="00FB2C11">
              <w:t>upercare</w:t>
            </w:r>
            <w:proofErr w:type="spellEnd"/>
            <w:r w:rsidRPr="00FB2C11">
              <w:t xml:space="preserve"> </w:t>
            </w:r>
            <w:r>
              <w:t>P</w:t>
            </w:r>
            <w:r w:rsidRPr="00FB2C11">
              <w:t>harmacy project</w:t>
            </w:r>
          </w:p>
        </w:tc>
        <w:tc>
          <w:tcPr>
            <w:tcW w:w="1275" w:type="dxa"/>
            <w:noWrap/>
            <w:hideMark/>
          </w:tcPr>
          <w:p w:rsidR="0092299C" w:rsidRPr="00FB2C11" w:rsidRDefault="0092299C" w:rsidP="0092299C">
            <w:pPr>
              <w:pStyle w:val="ARtabletextright"/>
            </w:pPr>
            <w:r w:rsidRPr="00FB2C11">
              <w:t>$41,400</w:t>
            </w:r>
          </w:p>
        </w:tc>
        <w:tc>
          <w:tcPr>
            <w:tcW w:w="1276" w:type="dxa"/>
            <w:noWrap/>
            <w:hideMark/>
          </w:tcPr>
          <w:p w:rsidR="0092299C" w:rsidRPr="00FB2C11" w:rsidRDefault="0092299C" w:rsidP="0092299C">
            <w:pPr>
              <w:pStyle w:val="ARtabletextright"/>
            </w:pPr>
            <w:r w:rsidRPr="00FB2C11">
              <w:t>$41,400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Advice, Ombudsman's report, Mentone Gardens</w:t>
            </w:r>
          </w:p>
        </w:tc>
        <w:tc>
          <w:tcPr>
            <w:tcW w:w="1275" w:type="dxa"/>
            <w:noWrap/>
            <w:hideMark/>
          </w:tcPr>
          <w:p w:rsidR="0092299C" w:rsidRPr="00FB2C11" w:rsidRDefault="0092299C" w:rsidP="0092299C">
            <w:pPr>
              <w:pStyle w:val="ARtabletextright"/>
            </w:pPr>
            <w:r w:rsidRPr="00FB2C11">
              <w:t>$22,727</w:t>
            </w:r>
          </w:p>
        </w:tc>
        <w:tc>
          <w:tcPr>
            <w:tcW w:w="1276" w:type="dxa"/>
            <w:noWrap/>
            <w:hideMark/>
          </w:tcPr>
          <w:p w:rsidR="0092299C" w:rsidRPr="00FB2C11" w:rsidRDefault="0092299C" w:rsidP="0092299C">
            <w:pPr>
              <w:pStyle w:val="ARtabletextright"/>
            </w:pPr>
            <w:r w:rsidRPr="00FB2C11">
              <w:t>$22,727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Monash University</w:t>
            </w:r>
          </w:p>
        </w:tc>
        <w:tc>
          <w:tcPr>
            <w:tcW w:w="3771" w:type="dxa"/>
            <w:noWrap/>
            <w:hideMark/>
          </w:tcPr>
          <w:p w:rsidR="0092299C" w:rsidRPr="00FB2C11" w:rsidRDefault="0092299C" w:rsidP="0092299C">
            <w:pPr>
              <w:pStyle w:val="ARtabletext"/>
            </w:pPr>
            <w:r w:rsidRPr="00FB2C11">
              <w:t xml:space="preserve">Literature review, potential health effects of </w:t>
            </w:r>
            <w:proofErr w:type="spellStart"/>
            <w:r w:rsidRPr="00FB2C11">
              <w:t>perfluoroalkyl</w:t>
            </w:r>
            <w:proofErr w:type="spellEnd"/>
            <w:r w:rsidRPr="00FB2C11">
              <w:t xml:space="preserve"> compounds</w:t>
            </w:r>
          </w:p>
        </w:tc>
        <w:tc>
          <w:tcPr>
            <w:tcW w:w="1275" w:type="dxa"/>
            <w:noWrap/>
            <w:hideMark/>
          </w:tcPr>
          <w:p w:rsidR="0092299C" w:rsidRPr="00FB2C11" w:rsidRDefault="0092299C" w:rsidP="0092299C">
            <w:pPr>
              <w:pStyle w:val="ARtabletextright"/>
            </w:pPr>
            <w:r w:rsidRPr="00FB2C11">
              <w:t>$31,818</w:t>
            </w:r>
          </w:p>
        </w:tc>
        <w:tc>
          <w:tcPr>
            <w:tcW w:w="1276" w:type="dxa"/>
            <w:noWrap/>
            <w:hideMark/>
          </w:tcPr>
          <w:p w:rsidR="0092299C" w:rsidRPr="00FB2C11" w:rsidRDefault="0092299C" w:rsidP="0092299C">
            <w:pPr>
              <w:pStyle w:val="ARtabletextright"/>
            </w:pPr>
            <w:r w:rsidRPr="00FB2C11">
              <w:t>$17,880</w:t>
            </w:r>
          </w:p>
        </w:tc>
        <w:tc>
          <w:tcPr>
            <w:tcW w:w="1276" w:type="dxa"/>
            <w:noWrap/>
            <w:hideMark/>
          </w:tcPr>
          <w:p w:rsidR="0092299C" w:rsidRPr="00FB2C11" w:rsidRDefault="0092299C" w:rsidP="0092299C">
            <w:pPr>
              <w:pStyle w:val="ARtabletextright"/>
            </w:pPr>
            <w:r w:rsidRPr="00FB2C11">
              <w:t>$13,938</w:t>
            </w:r>
          </w:p>
        </w:tc>
      </w:tr>
      <w:tr w:rsidR="0092299C" w:rsidRPr="00FB2C11" w:rsidTr="0084694E">
        <w:tc>
          <w:tcPr>
            <w:tcW w:w="2194" w:type="dxa"/>
            <w:noWrap/>
            <w:hideMark/>
          </w:tcPr>
          <w:p w:rsidR="0092299C" w:rsidRPr="00FB2C11" w:rsidRDefault="0092299C" w:rsidP="0092299C">
            <w:pPr>
              <w:pStyle w:val="ARtabletext"/>
            </w:pPr>
            <w:proofErr w:type="spellStart"/>
            <w:r w:rsidRPr="00FB2C11">
              <w:t>Senversa</w:t>
            </w:r>
            <w:proofErr w:type="spellEnd"/>
          </w:p>
        </w:tc>
        <w:tc>
          <w:tcPr>
            <w:tcW w:w="3771" w:type="dxa"/>
            <w:noWrap/>
            <w:hideMark/>
          </w:tcPr>
          <w:p w:rsidR="0092299C" w:rsidRPr="00FB2C11" w:rsidRDefault="0092299C" w:rsidP="0092299C">
            <w:pPr>
              <w:pStyle w:val="ARtabletext"/>
            </w:pPr>
            <w:r w:rsidRPr="00FB2C11">
              <w:t>Test and analyse coal ash residue in roof cavities</w:t>
            </w:r>
          </w:p>
        </w:tc>
        <w:tc>
          <w:tcPr>
            <w:tcW w:w="1275" w:type="dxa"/>
            <w:noWrap/>
            <w:hideMark/>
          </w:tcPr>
          <w:p w:rsidR="0092299C" w:rsidRPr="00FB2C11" w:rsidRDefault="0092299C" w:rsidP="0092299C">
            <w:pPr>
              <w:pStyle w:val="ARtabletextright"/>
            </w:pPr>
            <w:r w:rsidRPr="00FB2C11">
              <w:t>$213,000</w:t>
            </w:r>
          </w:p>
        </w:tc>
        <w:tc>
          <w:tcPr>
            <w:tcW w:w="1276" w:type="dxa"/>
            <w:noWrap/>
            <w:hideMark/>
          </w:tcPr>
          <w:p w:rsidR="0092299C" w:rsidRPr="00FB2C11" w:rsidRDefault="0092299C" w:rsidP="0092299C">
            <w:pPr>
              <w:pStyle w:val="ARtabletextright"/>
            </w:pPr>
            <w:r w:rsidRPr="00FB2C11">
              <w:t>$159,497</w:t>
            </w:r>
          </w:p>
        </w:tc>
        <w:tc>
          <w:tcPr>
            <w:tcW w:w="1276" w:type="dxa"/>
            <w:noWrap/>
            <w:hideMark/>
          </w:tcPr>
          <w:p w:rsidR="0092299C" w:rsidRPr="00FB2C11" w:rsidRDefault="0092299C" w:rsidP="0092299C">
            <w:pPr>
              <w:pStyle w:val="ARtabletextright"/>
            </w:pPr>
            <w:r w:rsidRPr="00FB2C11">
              <w:t>$53,503</w:t>
            </w:r>
          </w:p>
        </w:tc>
      </w:tr>
      <w:tr w:rsidR="0092299C" w:rsidRPr="00FB2C11" w:rsidTr="0084694E">
        <w:tc>
          <w:tcPr>
            <w:tcW w:w="2194" w:type="dxa"/>
            <w:noWrap/>
            <w:hideMark/>
          </w:tcPr>
          <w:p w:rsidR="0092299C" w:rsidRPr="00FB2C11" w:rsidRDefault="0092299C" w:rsidP="0092299C">
            <w:pPr>
              <w:pStyle w:val="ARtabletext"/>
            </w:pPr>
            <w:r w:rsidRPr="00FB2C11">
              <w:t>CWH Mediation &amp; Workplace Relations Pty Ltd</w:t>
            </w:r>
          </w:p>
        </w:tc>
        <w:tc>
          <w:tcPr>
            <w:tcW w:w="3771" w:type="dxa"/>
            <w:noWrap/>
            <w:hideMark/>
          </w:tcPr>
          <w:p w:rsidR="0092299C" w:rsidRPr="00FB2C11" w:rsidRDefault="0092299C" w:rsidP="0092299C">
            <w:pPr>
              <w:pStyle w:val="ARtabletext"/>
            </w:pPr>
            <w:r w:rsidRPr="00FB2C11">
              <w:t>Research and develop strategy, prevention of bullying and harassment</w:t>
            </w:r>
          </w:p>
        </w:tc>
        <w:tc>
          <w:tcPr>
            <w:tcW w:w="1275" w:type="dxa"/>
            <w:noWrap/>
            <w:hideMark/>
          </w:tcPr>
          <w:p w:rsidR="0092299C" w:rsidRPr="00FB2C11" w:rsidRDefault="0092299C" w:rsidP="0092299C">
            <w:pPr>
              <w:pStyle w:val="ARtabletextright"/>
            </w:pPr>
            <w:r w:rsidRPr="00FB2C11">
              <w:t>$44,545</w:t>
            </w:r>
          </w:p>
        </w:tc>
        <w:tc>
          <w:tcPr>
            <w:tcW w:w="1276" w:type="dxa"/>
            <w:noWrap/>
            <w:hideMark/>
          </w:tcPr>
          <w:p w:rsidR="0092299C" w:rsidRPr="00FB2C11" w:rsidRDefault="0092299C" w:rsidP="0092299C">
            <w:pPr>
              <w:pStyle w:val="ARtabletextright"/>
            </w:pPr>
            <w:r w:rsidRPr="00FB2C11">
              <w:t>$481</w:t>
            </w:r>
          </w:p>
        </w:tc>
        <w:tc>
          <w:tcPr>
            <w:tcW w:w="1276" w:type="dxa"/>
            <w:noWrap/>
            <w:hideMark/>
          </w:tcPr>
          <w:p w:rsidR="0092299C" w:rsidRPr="00FB2C11" w:rsidRDefault="0092299C" w:rsidP="0092299C">
            <w:pPr>
              <w:pStyle w:val="ARtabletextright"/>
            </w:pPr>
            <w:r w:rsidRPr="00FB2C11">
              <w:t>$44,064</w:t>
            </w:r>
          </w:p>
        </w:tc>
      </w:tr>
      <w:tr w:rsidR="0092299C" w:rsidRPr="00FB2C11" w:rsidTr="0084694E">
        <w:tc>
          <w:tcPr>
            <w:tcW w:w="2194" w:type="dxa"/>
            <w:noWrap/>
            <w:hideMark/>
          </w:tcPr>
          <w:p w:rsidR="0092299C" w:rsidRPr="00FB2C11" w:rsidRDefault="0092299C" w:rsidP="0092299C">
            <w:pPr>
              <w:pStyle w:val="ARtabletext"/>
            </w:pPr>
            <w:proofErr w:type="spellStart"/>
            <w:r w:rsidRPr="00FB2C11">
              <w:t>Qualityworks</w:t>
            </w:r>
            <w:proofErr w:type="spellEnd"/>
          </w:p>
        </w:tc>
        <w:tc>
          <w:tcPr>
            <w:tcW w:w="3771" w:type="dxa"/>
            <w:noWrap/>
            <w:hideMark/>
          </w:tcPr>
          <w:p w:rsidR="0092299C" w:rsidRPr="00FB2C11" w:rsidRDefault="0092299C" w:rsidP="0092299C">
            <w:pPr>
              <w:pStyle w:val="ARtabletext"/>
            </w:pPr>
            <w:r w:rsidRPr="00FB2C11">
              <w:t>Facilitate workshop, Better Resident Care Together</w:t>
            </w:r>
          </w:p>
        </w:tc>
        <w:tc>
          <w:tcPr>
            <w:tcW w:w="1275" w:type="dxa"/>
            <w:noWrap/>
            <w:hideMark/>
          </w:tcPr>
          <w:p w:rsidR="0092299C" w:rsidRPr="00FB2C11" w:rsidRDefault="0092299C" w:rsidP="0092299C">
            <w:pPr>
              <w:pStyle w:val="ARtabletextright"/>
            </w:pPr>
            <w:r w:rsidRPr="00FB2C11">
              <w:t>$22,500</w:t>
            </w:r>
          </w:p>
        </w:tc>
        <w:tc>
          <w:tcPr>
            <w:tcW w:w="1276" w:type="dxa"/>
            <w:noWrap/>
            <w:hideMark/>
          </w:tcPr>
          <w:p w:rsidR="0092299C" w:rsidRPr="00FB2C11" w:rsidRDefault="0092299C" w:rsidP="0092299C">
            <w:pPr>
              <w:pStyle w:val="ARtabletextright"/>
            </w:pPr>
            <w:r w:rsidRPr="00FB2C11">
              <w:t>$22,500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 xml:space="preserve">Business case, </w:t>
            </w:r>
            <w:proofErr w:type="spellStart"/>
            <w:r w:rsidRPr="00FB2C11">
              <w:t>statewide</w:t>
            </w:r>
            <w:proofErr w:type="spellEnd"/>
            <w:r w:rsidRPr="00FB2C11">
              <w:t xml:space="preserve"> telehealth platform</w:t>
            </w:r>
          </w:p>
        </w:tc>
        <w:tc>
          <w:tcPr>
            <w:tcW w:w="1275" w:type="dxa"/>
            <w:noWrap/>
            <w:hideMark/>
          </w:tcPr>
          <w:p w:rsidR="0092299C" w:rsidRPr="00FB2C11" w:rsidRDefault="0092299C" w:rsidP="0092299C">
            <w:pPr>
              <w:pStyle w:val="ARtabletextright"/>
            </w:pPr>
            <w:r w:rsidRPr="00FB2C11">
              <w:t>$155,845</w:t>
            </w:r>
          </w:p>
        </w:tc>
        <w:tc>
          <w:tcPr>
            <w:tcW w:w="1276" w:type="dxa"/>
            <w:noWrap/>
            <w:hideMark/>
          </w:tcPr>
          <w:p w:rsidR="0092299C" w:rsidRPr="00FB2C11" w:rsidRDefault="0092299C" w:rsidP="0092299C">
            <w:pPr>
              <w:pStyle w:val="ARtabletextright"/>
            </w:pPr>
            <w:r w:rsidRPr="00FB2C11">
              <w:t>$155,845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Kinetica</w:t>
            </w:r>
            <w:proofErr w:type="spellEnd"/>
          </w:p>
        </w:tc>
        <w:tc>
          <w:tcPr>
            <w:tcW w:w="3771" w:type="dxa"/>
            <w:noWrap/>
            <w:hideMark/>
          </w:tcPr>
          <w:p w:rsidR="0092299C" w:rsidRPr="00FB2C11" w:rsidRDefault="0092299C" w:rsidP="0092299C">
            <w:pPr>
              <w:pStyle w:val="ARtabletext"/>
            </w:pPr>
            <w:r w:rsidRPr="00FB2C11">
              <w:t>Develop strategy and action plan, active recreation</w:t>
            </w:r>
          </w:p>
        </w:tc>
        <w:tc>
          <w:tcPr>
            <w:tcW w:w="1275" w:type="dxa"/>
            <w:noWrap/>
            <w:hideMark/>
          </w:tcPr>
          <w:p w:rsidR="0092299C" w:rsidRPr="00FB2C11" w:rsidRDefault="0092299C" w:rsidP="0092299C">
            <w:pPr>
              <w:pStyle w:val="ARtabletextright"/>
            </w:pPr>
            <w:r w:rsidRPr="00FB2C11">
              <w:t>$84,805</w:t>
            </w:r>
          </w:p>
        </w:tc>
        <w:tc>
          <w:tcPr>
            <w:tcW w:w="1276" w:type="dxa"/>
            <w:noWrap/>
            <w:hideMark/>
          </w:tcPr>
          <w:p w:rsidR="0092299C" w:rsidRPr="00FB2C11" w:rsidRDefault="0092299C" w:rsidP="0092299C">
            <w:pPr>
              <w:pStyle w:val="ARtabletextright"/>
            </w:pPr>
            <w:r w:rsidRPr="00FB2C11">
              <w:t>$72,798</w:t>
            </w:r>
          </w:p>
        </w:tc>
        <w:tc>
          <w:tcPr>
            <w:tcW w:w="1276" w:type="dxa"/>
            <w:noWrap/>
            <w:hideMark/>
          </w:tcPr>
          <w:p w:rsidR="0092299C" w:rsidRPr="00FB2C11" w:rsidRDefault="0092299C" w:rsidP="0092299C">
            <w:pPr>
              <w:pStyle w:val="ARtabletextright"/>
            </w:pPr>
            <w:r w:rsidRPr="00FB2C11">
              <w:t>$12,007</w:t>
            </w:r>
          </w:p>
        </w:tc>
      </w:tr>
      <w:tr w:rsidR="0092299C" w:rsidRPr="00FB2C11" w:rsidTr="0084694E">
        <w:tc>
          <w:tcPr>
            <w:tcW w:w="2194" w:type="dxa"/>
            <w:noWrap/>
            <w:hideMark/>
          </w:tcPr>
          <w:p w:rsidR="0092299C" w:rsidRPr="00FB2C11" w:rsidRDefault="0092299C" w:rsidP="0092299C">
            <w:pPr>
              <w:pStyle w:val="ARtabletext"/>
            </w:pPr>
            <w:r w:rsidRPr="00FB2C11">
              <w:t xml:space="preserve">Christine Maree </w:t>
            </w:r>
            <w:proofErr w:type="spellStart"/>
            <w:r w:rsidRPr="00FB2C11">
              <w:t>Jorm</w:t>
            </w:r>
            <w:proofErr w:type="spellEnd"/>
          </w:p>
        </w:tc>
        <w:tc>
          <w:tcPr>
            <w:tcW w:w="3771" w:type="dxa"/>
            <w:noWrap/>
            <w:hideMark/>
          </w:tcPr>
          <w:p w:rsidR="0092299C" w:rsidRPr="00FB2C11" w:rsidRDefault="0092299C" w:rsidP="0092299C">
            <w:pPr>
              <w:pStyle w:val="ARtabletext"/>
            </w:pPr>
            <w:r w:rsidRPr="00FB2C11">
              <w:t>Strategy, clinician engagement</w:t>
            </w:r>
          </w:p>
        </w:tc>
        <w:tc>
          <w:tcPr>
            <w:tcW w:w="1275" w:type="dxa"/>
            <w:noWrap/>
            <w:hideMark/>
          </w:tcPr>
          <w:p w:rsidR="0092299C" w:rsidRPr="00FB2C11" w:rsidRDefault="0092299C" w:rsidP="0092299C">
            <w:pPr>
              <w:pStyle w:val="ARtabletextright"/>
            </w:pPr>
            <w:r w:rsidRPr="00FB2C11">
              <w:t>$38,500</w:t>
            </w:r>
          </w:p>
        </w:tc>
        <w:tc>
          <w:tcPr>
            <w:tcW w:w="1276" w:type="dxa"/>
            <w:noWrap/>
            <w:hideMark/>
          </w:tcPr>
          <w:p w:rsidR="0092299C" w:rsidRPr="00FB2C11" w:rsidRDefault="0092299C" w:rsidP="0092299C">
            <w:pPr>
              <w:pStyle w:val="ARtabletextright"/>
            </w:pPr>
            <w:r w:rsidRPr="00FB2C11">
              <w:t>$38,500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Australian Institute of Health </w:t>
            </w:r>
            <w:r>
              <w:t>a</w:t>
            </w:r>
            <w:r w:rsidRPr="00FB2C11">
              <w:t>nd Welfare</w:t>
            </w:r>
          </w:p>
        </w:tc>
        <w:tc>
          <w:tcPr>
            <w:tcW w:w="3771" w:type="dxa"/>
            <w:noWrap/>
            <w:hideMark/>
          </w:tcPr>
          <w:p w:rsidR="0092299C" w:rsidRPr="00FB2C11" w:rsidRDefault="0092299C" w:rsidP="0092299C">
            <w:pPr>
              <w:pStyle w:val="ARtabletext"/>
            </w:pPr>
            <w:r w:rsidRPr="00FB2C11">
              <w:t>Review, nursing workforce supply projection methodology</w:t>
            </w:r>
          </w:p>
        </w:tc>
        <w:tc>
          <w:tcPr>
            <w:tcW w:w="1275" w:type="dxa"/>
            <w:noWrap/>
            <w:hideMark/>
          </w:tcPr>
          <w:p w:rsidR="0092299C" w:rsidRPr="00FB2C11" w:rsidRDefault="0092299C" w:rsidP="0092299C">
            <w:pPr>
              <w:pStyle w:val="ARtabletextright"/>
            </w:pPr>
            <w:r w:rsidRPr="00FB2C11">
              <w:t>$20,325</w:t>
            </w:r>
          </w:p>
        </w:tc>
        <w:tc>
          <w:tcPr>
            <w:tcW w:w="1276" w:type="dxa"/>
            <w:noWrap/>
            <w:hideMark/>
          </w:tcPr>
          <w:p w:rsidR="0092299C" w:rsidRPr="00FB2C11" w:rsidRDefault="0092299C" w:rsidP="0092299C">
            <w:pPr>
              <w:pStyle w:val="ARtabletextright"/>
            </w:pPr>
            <w:r w:rsidRPr="00FB2C11">
              <w:t>$20,325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Julie Hocking Consulting</w:t>
            </w:r>
          </w:p>
        </w:tc>
        <w:tc>
          <w:tcPr>
            <w:tcW w:w="3771" w:type="dxa"/>
            <w:noWrap/>
            <w:hideMark/>
          </w:tcPr>
          <w:p w:rsidR="0092299C" w:rsidRPr="00FB2C11" w:rsidRDefault="0092299C" w:rsidP="0092299C">
            <w:pPr>
              <w:pStyle w:val="ARtabletext"/>
            </w:pPr>
            <w:r w:rsidRPr="00FB2C11">
              <w:t>Evaluate, Pathway to Good Health project</w:t>
            </w:r>
          </w:p>
        </w:tc>
        <w:tc>
          <w:tcPr>
            <w:tcW w:w="1275" w:type="dxa"/>
            <w:noWrap/>
            <w:hideMark/>
          </w:tcPr>
          <w:p w:rsidR="0092299C" w:rsidRPr="00FB2C11" w:rsidRDefault="0092299C" w:rsidP="0092299C">
            <w:pPr>
              <w:pStyle w:val="ARtabletextright"/>
            </w:pPr>
            <w:r w:rsidRPr="00FB2C11">
              <w:t>$28,800</w:t>
            </w:r>
          </w:p>
        </w:tc>
        <w:tc>
          <w:tcPr>
            <w:tcW w:w="1276" w:type="dxa"/>
            <w:noWrap/>
            <w:hideMark/>
          </w:tcPr>
          <w:p w:rsidR="0092299C" w:rsidRPr="00FB2C11" w:rsidRDefault="0092299C" w:rsidP="0092299C">
            <w:pPr>
              <w:pStyle w:val="ARtabletextright"/>
            </w:pPr>
            <w:r w:rsidRPr="00FB2C11">
              <w:t>$29,376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CSIRO</w:t>
            </w:r>
          </w:p>
        </w:tc>
        <w:tc>
          <w:tcPr>
            <w:tcW w:w="3771" w:type="dxa"/>
            <w:noWrap/>
            <w:hideMark/>
          </w:tcPr>
          <w:p w:rsidR="0092299C" w:rsidRPr="00FB2C11" w:rsidRDefault="0092299C" w:rsidP="0092299C">
            <w:pPr>
              <w:pStyle w:val="ARtabletext"/>
            </w:pPr>
            <w:r w:rsidRPr="00FB2C11">
              <w:t xml:space="preserve">Evaluate, </w:t>
            </w:r>
            <w:proofErr w:type="spellStart"/>
            <w:r w:rsidRPr="00FB2C11">
              <w:t>healthlinks</w:t>
            </w:r>
            <w:proofErr w:type="spellEnd"/>
            <w:r w:rsidRPr="00FB2C11">
              <w:t>, chronic care</w:t>
            </w:r>
          </w:p>
        </w:tc>
        <w:tc>
          <w:tcPr>
            <w:tcW w:w="1275" w:type="dxa"/>
            <w:noWrap/>
            <w:hideMark/>
          </w:tcPr>
          <w:p w:rsidR="0092299C" w:rsidRPr="00FB2C11" w:rsidRDefault="0092299C" w:rsidP="0092299C">
            <w:pPr>
              <w:pStyle w:val="ARtabletextright"/>
            </w:pPr>
            <w:r w:rsidRPr="00FB2C11">
              <w:t>$1,467,101</w:t>
            </w:r>
          </w:p>
        </w:tc>
        <w:tc>
          <w:tcPr>
            <w:tcW w:w="1276" w:type="dxa"/>
            <w:noWrap/>
            <w:hideMark/>
          </w:tcPr>
          <w:p w:rsidR="0092299C" w:rsidRPr="00FB2C11" w:rsidRDefault="0092299C" w:rsidP="0092299C">
            <w:pPr>
              <w:pStyle w:val="ARtabletextright"/>
            </w:pPr>
            <w:r w:rsidRPr="00FB2C11">
              <w:t>$522,078</w:t>
            </w:r>
          </w:p>
        </w:tc>
        <w:tc>
          <w:tcPr>
            <w:tcW w:w="1276" w:type="dxa"/>
            <w:noWrap/>
            <w:hideMark/>
          </w:tcPr>
          <w:p w:rsidR="0092299C" w:rsidRPr="00FB2C11" w:rsidRDefault="0092299C" w:rsidP="0092299C">
            <w:pPr>
              <w:pStyle w:val="ARtabletextright"/>
            </w:pPr>
            <w:r w:rsidRPr="00FB2C11">
              <w:t>$945,023</w:t>
            </w:r>
          </w:p>
        </w:tc>
      </w:tr>
      <w:tr w:rsidR="0092299C" w:rsidRPr="00FB2C11" w:rsidTr="0084694E">
        <w:tc>
          <w:tcPr>
            <w:tcW w:w="2194" w:type="dxa"/>
            <w:noWrap/>
            <w:hideMark/>
          </w:tcPr>
          <w:p w:rsidR="0092299C" w:rsidRPr="00FB2C11" w:rsidRDefault="0092299C" w:rsidP="0092299C">
            <w:pPr>
              <w:pStyle w:val="ARtabletext"/>
            </w:pPr>
            <w:proofErr w:type="spellStart"/>
            <w:r w:rsidRPr="00FB2C11">
              <w:t>Ludus</w:t>
            </w:r>
            <w:proofErr w:type="spellEnd"/>
            <w:r w:rsidRPr="00FB2C11">
              <w:t xml:space="preserve"> Group</w:t>
            </w:r>
          </w:p>
        </w:tc>
        <w:tc>
          <w:tcPr>
            <w:tcW w:w="3771" w:type="dxa"/>
            <w:noWrap/>
            <w:hideMark/>
          </w:tcPr>
          <w:p w:rsidR="0092299C" w:rsidRPr="00FB2C11" w:rsidRDefault="0092299C" w:rsidP="0092299C">
            <w:pPr>
              <w:pStyle w:val="ARtabletext"/>
            </w:pPr>
            <w:r w:rsidRPr="00FB2C11">
              <w:t>Lead consultant, stadi</w:t>
            </w:r>
            <w:r>
              <w:t>ums</w:t>
            </w:r>
            <w:r w:rsidRPr="00FB2C11">
              <w:t xml:space="preserve"> strategy</w:t>
            </w:r>
          </w:p>
        </w:tc>
        <w:tc>
          <w:tcPr>
            <w:tcW w:w="1275" w:type="dxa"/>
            <w:noWrap/>
            <w:hideMark/>
          </w:tcPr>
          <w:p w:rsidR="0092299C" w:rsidRPr="00FB2C11" w:rsidRDefault="0092299C" w:rsidP="0092299C">
            <w:pPr>
              <w:pStyle w:val="ARtabletextright"/>
            </w:pPr>
            <w:r w:rsidRPr="00FB2C11">
              <w:t>$158,182</w:t>
            </w:r>
          </w:p>
        </w:tc>
        <w:tc>
          <w:tcPr>
            <w:tcW w:w="1276" w:type="dxa"/>
            <w:noWrap/>
            <w:hideMark/>
          </w:tcPr>
          <w:p w:rsidR="0092299C" w:rsidRPr="00FB2C11" w:rsidRDefault="0092299C" w:rsidP="0092299C">
            <w:pPr>
              <w:pStyle w:val="ARtabletextright"/>
            </w:pPr>
            <w:r w:rsidRPr="00FB2C11">
              <w:t>$127,030</w:t>
            </w:r>
          </w:p>
        </w:tc>
        <w:tc>
          <w:tcPr>
            <w:tcW w:w="1276" w:type="dxa"/>
            <w:noWrap/>
            <w:hideMark/>
          </w:tcPr>
          <w:p w:rsidR="0092299C" w:rsidRPr="00FB2C11" w:rsidRDefault="0092299C" w:rsidP="0092299C">
            <w:pPr>
              <w:pStyle w:val="ARtabletextright"/>
            </w:pPr>
            <w:r w:rsidRPr="00FB2C11">
              <w:t>$31,152</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Review, reproductive health services</w:t>
            </w:r>
          </w:p>
        </w:tc>
        <w:tc>
          <w:tcPr>
            <w:tcW w:w="1275" w:type="dxa"/>
            <w:noWrap/>
            <w:hideMark/>
          </w:tcPr>
          <w:p w:rsidR="0092299C" w:rsidRPr="00FB2C11" w:rsidRDefault="0092299C" w:rsidP="0092299C">
            <w:pPr>
              <w:pStyle w:val="ARtabletextright"/>
            </w:pPr>
            <w:r w:rsidRPr="00FB2C11">
              <w:t>$98,487</w:t>
            </w:r>
          </w:p>
        </w:tc>
        <w:tc>
          <w:tcPr>
            <w:tcW w:w="1276" w:type="dxa"/>
            <w:noWrap/>
            <w:hideMark/>
          </w:tcPr>
          <w:p w:rsidR="0092299C" w:rsidRPr="00FB2C11" w:rsidRDefault="0092299C" w:rsidP="0092299C">
            <w:pPr>
              <w:pStyle w:val="ARtabletextright"/>
            </w:pPr>
            <w:r w:rsidRPr="00FB2C11">
              <w:t>$68,941</w:t>
            </w:r>
          </w:p>
        </w:tc>
        <w:tc>
          <w:tcPr>
            <w:tcW w:w="1276" w:type="dxa"/>
            <w:noWrap/>
            <w:hideMark/>
          </w:tcPr>
          <w:p w:rsidR="0092299C" w:rsidRPr="00FB2C11" w:rsidRDefault="0092299C" w:rsidP="0092299C">
            <w:pPr>
              <w:pStyle w:val="ARtabletextright"/>
            </w:pPr>
            <w:r w:rsidRPr="00FB2C11">
              <w:t>$29,546</w:t>
            </w:r>
          </w:p>
        </w:tc>
      </w:tr>
      <w:tr w:rsidR="0092299C" w:rsidRPr="00FB2C11" w:rsidTr="0084694E">
        <w:tc>
          <w:tcPr>
            <w:tcW w:w="2194" w:type="dxa"/>
            <w:noWrap/>
            <w:hideMark/>
          </w:tcPr>
          <w:p w:rsidR="0092299C" w:rsidRPr="00FB2C11" w:rsidRDefault="0092299C" w:rsidP="0092299C">
            <w:pPr>
              <w:pStyle w:val="ARtabletext"/>
            </w:pPr>
            <w:proofErr w:type="spellStart"/>
            <w:r w:rsidRPr="00FB2C11">
              <w:t>Courtheath</w:t>
            </w:r>
            <w:proofErr w:type="spellEnd"/>
            <w:r w:rsidRPr="00FB2C11">
              <w:t xml:space="preserve"> Consulting</w:t>
            </w:r>
          </w:p>
        </w:tc>
        <w:tc>
          <w:tcPr>
            <w:tcW w:w="3771" w:type="dxa"/>
            <w:noWrap/>
            <w:hideMark/>
          </w:tcPr>
          <w:p w:rsidR="0092299C" w:rsidRPr="00FB2C11" w:rsidRDefault="0092299C" w:rsidP="0092299C">
            <w:pPr>
              <w:pStyle w:val="ARtabletext"/>
            </w:pPr>
            <w:r w:rsidRPr="00FB2C11">
              <w:t>Probity advice, National Disability Insurance Scheme modelling procurement</w:t>
            </w:r>
          </w:p>
        </w:tc>
        <w:tc>
          <w:tcPr>
            <w:tcW w:w="1275" w:type="dxa"/>
            <w:noWrap/>
            <w:hideMark/>
          </w:tcPr>
          <w:p w:rsidR="0092299C" w:rsidRPr="00FB2C11" w:rsidRDefault="0092299C" w:rsidP="0092299C">
            <w:pPr>
              <w:pStyle w:val="ARtabletextright"/>
            </w:pPr>
            <w:r w:rsidRPr="00FB2C11">
              <w:t>$18,000</w:t>
            </w:r>
          </w:p>
        </w:tc>
        <w:tc>
          <w:tcPr>
            <w:tcW w:w="1276" w:type="dxa"/>
            <w:noWrap/>
            <w:hideMark/>
          </w:tcPr>
          <w:p w:rsidR="0092299C" w:rsidRPr="00FB2C11" w:rsidRDefault="0092299C" w:rsidP="0092299C">
            <w:pPr>
              <w:pStyle w:val="ARtabletextright"/>
            </w:pPr>
            <w:r w:rsidRPr="00FB2C11">
              <w:t>$5,438</w:t>
            </w:r>
          </w:p>
        </w:tc>
        <w:tc>
          <w:tcPr>
            <w:tcW w:w="1276" w:type="dxa"/>
            <w:noWrap/>
            <w:hideMark/>
          </w:tcPr>
          <w:p w:rsidR="0092299C" w:rsidRPr="00FB2C11" w:rsidRDefault="0092299C" w:rsidP="0092299C">
            <w:pPr>
              <w:pStyle w:val="ARtabletextright"/>
            </w:pPr>
            <w:r w:rsidRPr="00FB2C11">
              <w:t>$12,562</w:t>
            </w:r>
          </w:p>
        </w:tc>
      </w:tr>
      <w:tr w:rsidR="0092299C" w:rsidRPr="00FB2C11" w:rsidTr="0084694E">
        <w:tc>
          <w:tcPr>
            <w:tcW w:w="2194" w:type="dxa"/>
            <w:noWrap/>
            <w:hideMark/>
          </w:tcPr>
          <w:p w:rsidR="0092299C" w:rsidRPr="00FB2C11" w:rsidRDefault="0092299C" w:rsidP="0092299C">
            <w:pPr>
              <w:pStyle w:val="ARtabletext"/>
            </w:pPr>
            <w:r w:rsidRPr="00FB2C11">
              <w:t>Nucleus Consulting Group Pty Ltd</w:t>
            </w:r>
          </w:p>
        </w:tc>
        <w:tc>
          <w:tcPr>
            <w:tcW w:w="3771" w:type="dxa"/>
            <w:noWrap/>
            <w:hideMark/>
          </w:tcPr>
          <w:p w:rsidR="0092299C" w:rsidRPr="00FB2C11" w:rsidRDefault="0092299C" w:rsidP="0092299C">
            <w:pPr>
              <w:pStyle w:val="ARtabletext"/>
            </w:pPr>
            <w:r w:rsidRPr="00FB2C11">
              <w:t>Service review, home style respite</w:t>
            </w:r>
          </w:p>
        </w:tc>
        <w:tc>
          <w:tcPr>
            <w:tcW w:w="1275" w:type="dxa"/>
            <w:noWrap/>
            <w:hideMark/>
          </w:tcPr>
          <w:p w:rsidR="0092299C" w:rsidRPr="00FB2C11" w:rsidRDefault="0092299C" w:rsidP="0092299C">
            <w:pPr>
              <w:pStyle w:val="ARtabletextright"/>
            </w:pPr>
            <w:r w:rsidRPr="00FB2C11">
              <w:t>$26,773</w:t>
            </w:r>
          </w:p>
        </w:tc>
        <w:tc>
          <w:tcPr>
            <w:tcW w:w="1276" w:type="dxa"/>
            <w:noWrap/>
            <w:hideMark/>
          </w:tcPr>
          <w:p w:rsidR="0092299C" w:rsidRPr="00FB2C11" w:rsidRDefault="0092299C" w:rsidP="0092299C">
            <w:pPr>
              <w:pStyle w:val="ARtabletextright"/>
            </w:pPr>
            <w:r w:rsidRPr="00FB2C11">
              <w:t>$27,269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JRPO Associates Pty Ltd</w:t>
            </w:r>
          </w:p>
        </w:tc>
        <w:tc>
          <w:tcPr>
            <w:tcW w:w="3771" w:type="dxa"/>
            <w:noWrap/>
            <w:hideMark/>
          </w:tcPr>
          <w:p w:rsidR="0092299C" w:rsidRPr="00FB2C11" w:rsidRDefault="0092299C" w:rsidP="0092299C">
            <w:pPr>
              <w:pStyle w:val="ARtabletext"/>
            </w:pPr>
            <w:r w:rsidRPr="00FB2C11">
              <w:t>Review, youth support, youth diversion and youth justice service</w:t>
            </w:r>
          </w:p>
        </w:tc>
        <w:tc>
          <w:tcPr>
            <w:tcW w:w="1275" w:type="dxa"/>
            <w:noWrap/>
            <w:hideMark/>
          </w:tcPr>
          <w:p w:rsidR="0092299C" w:rsidRPr="00FB2C11" w:rsidRDefault="0092299C" w:rsidP="0092299C">
            <w:pPr>
              <w:pStyle w:val="ARtabletextright"/>
            </w:pPr>
            <w:r w:rsidRPr="00FB2C11">
              <w:t>$207,090</w:t>
            </w:r>
          </w:p>
        </w:tc>
        <w:tc>
          <w:tcPr>
            <w:tcW w:w="1276" w:type="dxa"/>
            <w:noWrap/>
            <w:hideMark/>
          </w:tcPr>
          <w:p w:rsidR="0092299C" w:rsidRPr="00FB2C11" w:rsidRDefault="0092299C" w:rsidP="0092299C">
            <w:pPr>
              <w:pStyle w:val="ARtabletextright"/>
            </w:pPr>
            <w:r w:rsidRPr="00FB2C11">
              <w:t>$213,919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service design, south west Victoria</w:t>
            </w:r>
          </w:p>
        </w:tc>
        <w:tc>
          <w:tcPr>
            <w:tcW w:w="1275" w:type="dxa"/>
            <w:noWrap/>
            <w:hideMark/>
          </w:tcPr>
          <w:p w:rsidR="0092299C" w:rsidRPr="00FB2C11" w:rsidRDefault="0092299C" w:rsidP="0092299C">
            <w:pPr>
              <w:pStyle w:val="ARtabletextright"/>
            </w:pPr>
            <w:r w:rsidRPr="00FB2C11">
              <w:t>$117,570</w:t>
            </w:r>
          </w:p>
        </w:tc>
        <w:tc>
          <w:tcPr>
            <w:tcW w:w="1276" w:type="dxa"/>
            <w:noWrap/>
            <w:hideMark/>
          </w:tcPr>
          <w:p w:rsidR="0092299C" w:rsidRPr="00FB2C11" w:rsidRDefault="0092299C" w:rsidP="0092299C">
            <w:pPr>
              <w:pStyle w:val="ARtabletextright"/>
            </w:pPr>
            <w:r w:rsidRPr="00FB2C11">
              <w:t>$117,903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Review, Health and Human Services complaints commissioners</w:t>
            </w:r>
          </w:p>
        </w:tc>
        <w:tc>
          <w:tcPr>
            <w:tcW w:w="1275" w:type="dxa"/>
            <w:noWrap/>
            <w:hideMark/>
          </w:tcPr>
          <w:p w:rsidR="0092299C" w:rsidRPr="00FB2C11" w:rsidRDefault="0092299C" w:rsidP="0092299C">
            <w:pPr>
              <w:pStyle w:val="ARtabletextright"/>
            </w:pPr>
            <w:r w:rsidRPr="00FB2C11">
              <w:t>$220,066</w:t>
            </w:r>
          </w:p>
        </w:tc>
        <w:tc>
          <w:tcPr>
            <w:tcW w:w="1276" w:type="dxa"/>
            <w:noWrap/>
            <w:hideMark/>
          </w:tcPr>
          <w:p w:rsidR="0092299C" w:rsidRPr="00FB2C11" w:rsidRDefault="0092299C" w:rsidP="0092299C">
            <w:pPr>
              <w:pStyle w:val="ARtabletextright"/>
            </w:pPr>
            <w:r w:rsidRPr="00FB2C11">
              <w:t>$76,039</w:t>
            </w:r>
          </w:p>
        </w:tc>
        <w:tc>
          <w:tcPr>
            <w:tcW w:w="1276" w:type="dxa"/>
            <w:noWrap/>
            <w:hideMark/>
          </w:tcPr>
          <w:p w:rsidR="0092299C" w:rsidRPr="00FB2C11" w:rsidRDefault="0092299C" w:rsidP="0092299C">
            <w:pPr>
              <w:pStyle w:val="ARtabletextright"/>
            </w:pPr>
            <w:r w:rsidRPr="00FB2C11">
              <w:t>$144,027</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Review, effectiveness and sustainability, Barwon Health</w:t>
            </w:r>
          </w:p>
        </w:tc>
        <w:tc>
          <w:tcPr>
            <w:tcW w:w="1275" w:type="dxa"/>
            <w:noWrap/>
            <w:hideMark/>
          </w:tcPr>
          <w:p w:rsidR="0092299C" w:rsidRPr="00FB2C11" w:rsidRDefault="0092299C" w:rsidP="0092299C">
            <w:pPr>
              <w:pStyle w:val="ARtabletextright"/>
            </w:pPr>
            <w:r w:rsidRPr="00FB2C11">
              <w:t>$135,845</w:t>
            </w:r>
          </w:p>
        </w:tc>
        <w:tc>
          <w:tcPr>
            <w:tcW w:w="1276" w:type="dxa"/>
            <w:noWrap/>
            <w:hideMark/>
          </w:tcPr>
          <w:p w:rsidR="0092299C" w:rsidRPr="00FB2C11" w:rsidRDefault="0092299C" w:rsidP="0092299C">
            <w:pPr>
              <w:pStyle w:val="ARtabletextright"/>
            </w:pPr>
            <w:r w:rsidRPr="00FB2C11">
              <w:t>$133,184</w:t>
            </w:r>
          </w:p>
        </w:tc>
        <w:tc>
          <w:tcPr>
            <w:tcW w:w="1276" w:type="dxa"/>
            <w:noWrap/>
            <w:hideMark/>
          </w:tcPr>
          <w:p w:rsidR="0092299C" w:rsidRPr="00FB2C11" w:rsidRDefault="0092299C" w:rsidP="0092299C">
            <w:pPr>
              <w:pStyle w:val="ARtabletextright"/>
            </w:pPr>
            <w:r w:rsidRPr="00FB2C11">
              <w:t>$2,661</w:t>
            </w:r>
          </w:p>
        </w:tc>
      </w:tr>
      <w:tr w:rsidR="0092299C" w:rsidRPr="00FB2C11" w:rsidTr="0084694E">
        <w:tc>
          <w:tcPr>
            <w:tcW w:w="2194" w:type="dxa"/>
            <w:noWrap/>
            <w:hideMark/>
          </w:tcPr>
          <w:p w:rsidR="0092299C" w:rsidRPr="00FB2C11" w:rsidRDefault="0092299C" w:rsidP="0092299C">
            <w:pPr>
              <w:pStyle w:val="ARtabletext"/>
            </w:pPr>
            <w:r w:rsidRPr="00FB2C11">
              <w:t>Simon D Chant</w:t>
            </w:r>
          </w:p>
        </w:tc>
        <w:tc>
          <w:tcPr>
            <w:tcW w:w="3771" w:type="dxa"/>
            <w:noWrap/>
            <w:hideMark/>
          </w:tcPr>
          <w:p w:rsidR="0092299C" w:rsidRPr="00FB2C11" w:rsidRDefault="0092299C" w:rsidP="0092299C">
            <w:pPr>
              <w:pStyle w:val="ARtabletext"/>
            </w:pPr>
            <w:r w:rsidRPr="00FB2C11">
              <w:t>Strategic advice, Industrial Relations</w:t>
            </w:r>
          </w:p>
        </w:tc>
        <w:tc>
          <w:tcPr>
            <w:tcW w:w="1275" w:type="dxa"/>
            <w:noWrap/>
            <w:hideMark/>
          </w:tcPr>
          <w:p w:rsidR="0092299C" w:rsidRPr="00FB2C11" w:rsidRDefault="0092299C" w:rsidP="0092299C">
            <w:pPr>
              <w:pStyle w:val="ARtabletextright"/>
            </w:pPr>
            <w:r w:rsidRPr="00FB2C11">
              <w:t>$66,000</w:t>
            </w:r>
          </w:p>
        </w:tc>
        <w:tc>
          <w:tcPr>
            <w:tcW w:w="1276" w:type="dxa"/>
            <w:noWrap/>
            <w:hideMark/>
          </w:tcPr>
          <w:p w:rsidR="0092299C" w:rsidRPr="00FB2C11" w:rsidRDefault="0092299C" w:rsidP="0092299C">
            <w:pPr>
              <w:pStyle w:val="ARtabletextright"/>
            </w:pPr>
            <w:r w:rsidRPr="00FB2C11">
              <w:t>$66,197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lastRenderedPageBreak/>
              <w:t>KPMG</w:t>
            </w:r>
          </w:p>
        </w:tc>
        <w:tc>
          <w:tcPr>
            <w:tcW w:w="3771" w:type="dxa"/>
            <w:noWrap/>
            <w:hideMark/>
          </w:tcPr>
          <w:p w:rsidR="0092299C" w:rsidRPr="00FB2C11" w:rsidRDefault="0092299C" w:rsidP="0092299C">
            <w:pPr>
              <w:pStyle w:val="ARtabletext"/>
            </w:pPr>
            <w:r w:rsidRPr="00FB2C11">
              <w:t>Review, youth support, youth diversion and youth justice service</w:t>
            </w:r>
          </w:p>
        </w:tc>
        <w:tc>
          <w:tcPr>
            <w:tcW w:w="1275" w:type="dxa"/>
            <w:noWrap/>
            <w:hideMark/>
          </w:tcPr>
          <w:p w:rsidR="0092299C" w:rsidRPr="00FB2C11" w:rsidRDefault="0092299C" w:rsidP="0092299C">
            <w:pPr>
              <w:pStyle w:val="ARtabletextright"/>
            </w:pPr>
            <w:r w:rsidRPr="00FB2C11">
              <w:t>$176,000</w:t>
            </w:r>
          </w:p>
        </w:tc>
        <w:tc>
          <w:tcPr>
            <w:tcW w:w="1276" w:type="dxa"/>
            <w:noWrap/>
            <w:hideMark/>
          </w:tcPr>
          <w:p w:rsidR="0092299C" w:rsidRPr="00FB2C11" w:rsidRDefault="0092299C" w:rsidP="0092299C">
            <w:pPr>
              <w:pStyle w:val="ARtabletextright"/>
            </w:pPr>
            <w:r w:rsidRPr="00FB2C11">
              <w:t>$181,810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Review, client outcomes and service improvement</w:t>
            </w:r>
          </w:p>
        </w:tc>
        <w:tc>
          <w:tcPr>
            <w:tcW w:w="1275" w:type="dxa"/>
            <w:noWrap/>
            <w:hideMark/>
          </w:tcPr>
          <w:p w:rsidR="0092299C" w:rsidRPr="00FB2C11" w:rsidRDefault="0092299C" w:rsidP="0092299C">
            <w:pPr>
              <w:pStyle w:val="ARtabletextright"/>
            </w:pPr>
            <w:r w:rsidRPr="00FB2C11">
              <w:t>$21,700</w:t>
            </w:r>
          </w:p>
        </w:tc>
        <w:tc>
          <w:tcPr>
            <w:tcW w:w="1276" w:type="dxa"/>
            <w:noWrap/>
            <w:hideMark/>
          </w:tcPr>
          <w:p w:rsidR="0092299C" w:rsidRPr="00FB2C11" w:rsidRDefault="0092299C" w:rsidP="0092299C">
            <w:pPr>
              <w:pStyle w:val="ARtabletextright"/>
            </w:pPr>
            <w:r w:rsidRPr="00FB2C11">
              <w:t>$22,122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Travis Merlo</w:t>
            </w:r>
          </w:p>
        </w:tc>
        <w:tc>
          <w:tcPr>
            <w:tcW w:w="3771" w:type="dxa"/>
            <w:noWrap/>
            <w:hideMark/>
          </w:tcPr>
          <w:p w:rsidR="0092299C" w:rsidRPr="00FB2C11" w:rsidRDefault="0092299C" w:rsidP="0092299C">
            <w:pPr>
              <w:pStyle w:val="ARtabletext"/>
            </w:pPr>
            <w:r w:rsidRPr="00FB2C11">
              <w:t>Review, isolations in Youth Justice</w:t>
            </w:r>
          </w:p>
        </w:tc>
        <w:tc>
          <w:tcPr>
            <w:tcW w:w="1275" w:type="dxa"/>
            <w:noWrap/>
            <w:hideMark/>
          </w:tcPr>
          <w:p w:rsidR="0092299C" w:rsidRPr="00FB2C11" w:rsidRDefault="0092299C" w:rsidP="0092299C">
            <w:pPr>
              <w:pStyle w:val="ARtabletextright"/>
            </w:pPr>
            <w:r w:rsidRPr="00FB2C11">
              <w:t>$35,175</w:t>
            </w:r>
          </w:p>
        </w:tc>
        <w:tc>
          <w:tcPr>
            <w:tcW w:w="1276" w:type="dxa"/>
            <w:noWrap/>
            <w:hideMark/>
          </w:tcPr>
          <w:p w:rsidR="0092299C" w:rsidRPr="00FB2C11" w:rsidRDefault="0092299C" w:rsidP="0092299C">
            <w:pPr>
              <w:pStyle w:val="ARtabletextright"/>
            </w:pPr>
            <w:r w:rsidRPr="00FB2C11">
              <w:t>$25,721</w:t>
            </w:r>
          </w:p>
        </w:tc>
        <w:tc>
          <w:tcPr>
            <w:tcW w:w="1276" w:type="dxa"/>
            <w:noWrap/>
            <w:hideMark/>
          </w:tcPr>
          <w:p w:rsidR="0092299C" w:rsidRPr="00FB2C11" w:rsidRDefault="0092299C" w:rsidP="0092299C">
            <w:pPr>
              <w:pStyle w:val="ARtabletextright"/>
            </w:pPr>
            <w:r w:rsidRPr="00FB2C11">
              <w:t>$9,454</w:t>
            </w:r>
          </w:p>
        </w:tc>
      </w:tr>
      <w:tr w:rsidR="0092299C" w:rsidRPr="00FB2C11" w:rsidTr="0084694E">
        <w:tc>
          <w:tcPr>
            <w:tcW w:w="2194" w:type="dxa"/>
            <w:noWrap/>
            <w:hideMark/>
          </w:tcPr>
          <w:p w:rsidR="0092299C" w:rsidRPr="00FB2C11" w:rsidRDefault="0092299C" w:rsidP="0092299C">
            <w:pPr>
              <w:pStyle w:val="ARtabletext"/>
            </w:pPr>
            <w:r w:rsidRPr="00FB2C11">
              <w:t>Deakin University</w:t>
            </w:r>
          </w:p>
        </w:tc>
        <w:tc>
          <w:tcPr>
            <w:tcW w:w="3771" w:type="dxa"/>
            <w:noWrap/>
            <w:hideMark/>
          </w:tcPr>
          <w:p w:rsidR="0092299C" w:rsidRPr="00FB2C11" w:rsidRDefault="0092299C" w:rsidP="0092299C">
            <w:pPr>
              <w:pStyle w:val="ARtabletext"/>
            </w:pPr>
            <w:r w:rsidRPr="00FB2C11">
              <w:t>Evaluate, partnered pharmacy medication charting program</w:t>
            </w:r>
          </w:p>
        </w:tc>
        <w:tc>
          <w:tcPr>
            <w:tcW w:w="1275" w:type="dxa"/>
            <w:noWrap/>
            <w:hideMark/>
          </w:tcPr>
          <w:p w:rsidR="0092299C" w:rsidRPr="00FB2C11" w:rsidRDefault="0092299C" w:rsidP="0092299C">
            <w:pPr>
              <w:pStyle w:val="ARtabletextright"/>
            </w:pPr>
            <w:r w:rsidRPr="00FB2C11">
              <w:t>$243,833</w:t>
            </w:r>
          </w:p>
        </w:tc>
        <w:tc>
          <w:tcPr>
            <w:tcW w:w="1276" w:type="dxa"/>
            <w:noWrap/>
            <w:hideMark/>
          </w:tcPr>
          <w:p w:rsidR="0092299C" w:rsidRPr="00FB2C11" w:rsidRDefault="0092299C" w:rsidP="0092299C">
            <w:pPr>
              <w:pStyle w:val="ARtabletextright"/>
            </w:pPr>
            <w:r w:rsidRPr="00FB2C11">
              <w:t>$158,490</w:t>
            </w:r>
          </w:p>
        </w:tc>
        <w:tc>
          <w:tcPr>
            <w:tcW w:w="1276" w:type="dxa"/>
            <w:noWrap/>
            <w:hideMark/>
          </w:tcPr>
          <w:p w:rsidR="0092299C" w:rsidRPr="00FB2C11" w:rsidRDefault="0092299C" w:rsidP="0092299C">
            <w:pPr>
              <w:pStyle w:val="ARtabletextright"/>
            </w:pPr>
            <w:r w:rsidRPr="00FB2C11">
              <w:t>$85,343</w:t>
            </w:r>
          </w:p>
        </w:tc>
      </w:tr>
      <w:tr w:rsidR="0092299C" w:rsidRPr="00FB2C11" w:rsidTr="0084694E">
        <w:tc>
          <w:tcPr>
            <w:tcW w:w="2194" w:type="dxa"/>
            <w:noWrap/>
            <w:hideMark/>
          </w:tcPr>
          <w:p w:rsidR="0092299C" w:rsidRPr="00FB2C11" w:rsidRDefault="0092299C" w:rsidP="0092299C">
            <w:pPr>
              <w:pStyle w:val="ARtabletext"/>
            </w:pPr>
            <w:r w:rsidRPr="00FB2C11">
              <w:t>Xavier Pacific Health</w:t>
            </w:r>
          </w:p>
        </w:tc>
        <w:tc>
          <w:tcPr>
            <w:tcW w:w="3771" w:type="dxa"/>
            <w:noWrap/>
            <w:hideMark/>
          </w:tcPr>
          <w:p w:rsidR="0092299C" w:rsidRPr="00FB2C11" w:rsidRDefault="0092299C" w:rsidP="0092299C">
            <w:pPr>
              <w:pStyle w:val="ARtabletext"/>
            </w:pPr>
            <w:r w:rsidRPr="00FB2C11">
              <w:t>Oversee and develop an evaluation plan, Heart Health Initiatives project</w:t>
            </w:r>
          </w:p>
        </w:tc>
        <w:tc>
          <w:tcPr>
            <w:tcW w:w="1275" w:type="dxa"/>
            <w:noWrap/>
            <w:hideMark/>
          </w:tcPr>
          <w:p w:rsidR="0092299C" w:rsidRPr="00FB2C11" w:rsidRDefault="0092299C" w:rsidP="0092299C">
            <w:pPr>
              <w:pStyle w:val="ARtabletextright"/>
            </w:pPr>
            <w:r w:rsidRPr="00FB2C11">
              <w:t>$245,455</w:t>
            </w:r>
          </w:p>
        </w:tc>
        <w:tc>
          <w:tcPr>
            <w:tcW w:w="1276" w:type="dxa"/>
            <w:noWrap/>
            <w:hideMark/>
          </w:tcPr>
          <w:p w:rsidR="0092299C" w:rsidRPr="00FB2C11" w:rsidRDefault="0092299C" w:rsidP="0092299C">
            <w:pPr>
              <w:pStyle w:val="ARtabletextright"/>
            </w:pPr>
            <w:r w:rsidRPr="00FB2C11">
              <w:t>$69,000</w:t>
            </w:r>
          </w:p>
        </w:tc>
        <w:tc>
          <w:tcPr>
            <w:tcW w:w="1276" w:type="dxa"/>
            <w:noWrap/>
            <w:hideMark/>
          </w:tcPr>
          <w:p w:rsidR="0092299C" w:rsidRPr="00FB2C11" w:rsidRDefault="0092299C" w:rsidP="0092299C">
            <w:pPr>
              <w:pStyle w:val="ARtabletextright"/>
            </w:pPr>
            <w:r w:rsidRPr="00FB2C11">
              <w:t>$176,455</w:t>
            </w:r>
          </w:p>
        </w:tc>
      </w:tr>
      <w:tr w:rsidR="0092299C" w:rsidRPr="00FB2C11" w:rsidTr="0084694E">
        <w:tc>
          <w:tcPr>
            <w:tcW w:w="2194" w:type="dxa"/>
            <w:noWrap/>
            <w:hideMark/>
          </w:tcPr>
          <w:p w:rsidR="0092299C" w:rsidRPr="00FB2C11" w:rsidRDefault="0092299C" w:rsidP="0092299C">
            <w:pPr>
              <w:pStyle w:val="ARtabletext"/>
            </w:pPr>
            <w:r w:rsidRPr="00FB2C11">
              <w:t>Effective Change Pty Ltd</w:t>
            </w:r>
          </w:p>
        </w:tc>
        <w:tc>
          <w:tcPr>
            <w:tcW w:w="3771" w:type="dxa"/>
            <w:noWrap/>
            <w:hideMark/>
          </w:tcPr>
          <w:p w:rsidR="0092299C" w:rsidRPr="00FB2C11" w:rsidRDefault="0092299C" w:rsidP="0092299C">
            <w:pPr>
              <w:pStyle w:val="ARtabletext"/>
            </w:pPr>
            <w:r w:rsidRPr="00FB2C11">
              <w:t>Evaluate, family violence flexible packages</w:t>
            </w:r>
          </w:p>
        </w:tc>
        <w:tc>
          <w:tcPr>
            <w:tcW w:w="1275" w:type="dxa"/>
            <w:noWrap/>
            <w:hideMark/>
          </w:tcPr>
          <w:p w:rsidR="0092299C" w:rsidRPr="00FB2C11" w:rsidRDefault="0092299C" w:rsidP="0092299C">
            <w:pPr>
              <w:pStyle w:val="ARtabletextright"/>
            </w:pPr>
            <w:r w:rsidRPr="00FB2C11">
              <w:t>$128,450</w:t>
            </w:r>
          </w:p>
        </w:tc>
        <w:tc>
          <w:tcPr>
            <w:tcW w:w="1276" w:type="dxa"/>
            <w:noWrap/>
            <w:hideMark/>
          </w:tcPr>
          <w:p w:rsidR="0092299C" w:rsidRPr="00FB2C11" w:rsidRDefault="0092299C" w:rsidP="0092299C">
            <w:pPr>
              <w:pStyle w:val="ARtabletextright"/>
            </w:pPr>
            <w:r w:rsidRPr="00FB2C11">
              <w:t>$87,854</w:t>
            </w:r>
          </w:p>
        </w:tc>
        <w:tc>
          <w:tcPr>
            <w:tcW w:w="1276" w:type="dxa"/>
            <w:noWrap/>
            <w:hideMark/>
          </w:tcPr>
          <w:p w:rsidR="0092299C" w:rsidRPr="00FB2C11" w:rsidRDefault="0092299C" w:rsidP="0092299C">
            <w:pPr>
              <w:pStyle w:val="ARtabletextright"/>
            </w:pPr>
            <w:r w:rsidRPr="00FB2C11">
              <w:t>$40,596</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Capability review, Payroll Services</w:t>
            </w:r>
          </w:p>
        </w:tc>
        <w:tc>
          <w:tcPr>
            <w:tcW w:w="1275" w:type="dxa"/>
            <w:noWrap/>
            <w:hideMark/>
          </w:tcPr>
          <w:p w:rsidR="0092299C" w:rsidRPr="00FB2C11" w:rsidRDefault="0092299C" w:rsidP="0092299C">
            <w:pPr>
              <w:pStyle w:val="ARtabletextright"/>
            </w:pPr>
            <w:r w:rsidRPr="00FB2C11">
              <w:t>$103,526</w:t>
            </w:r>
          </w:p>
        </w:tc>
        <w:tc>
          <w:tcPr>
            <w:tcW w:w="1276" w:type="dxa"/>
            <w:noWrap/>
            <w:hideMark/>
          </w:tcPr>
          <w:p w:rsidR="0092299C" w:rsidRPr="00FB2C11" w:rsidRDefault="0092299C" w:rsidP="0092299C">
            <w:pPr>
              <w:pStyle w:val="ARtabletextright"/>
            </w:pPr>
            <w:r w:rsidRPr="00FB2C11">
              <w:t>$7</w:t>
            </w:r>
          </w:p>
        </w:tc>
        <w:tc>
          <w:tcPr>
            <w:tcW w:w="1276" w:type="dxa"/>
            <w:noWrap/>
            <w:hideMark/>
          </w:tcPr>
          <w:p w:rsidR="0092299C" w:rsidRPr="00FB2C11" w:rsidRDefault="0092299C" w:rsidP="0092299C">
            <w:pPr>
              <w:pStyle w:val="ARtabletextright"/>
            </w:pPr>
            <w:r w:rsidRPr="00FB2C11">
              <w:t>$103,520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Acil</w:t>
            </w:r>
            <w:proofErr w:type="spellEnd"/>
            <w:r w:rsidRPr="00FB2C11">
              <w:t xml:space="preserve"> Allen Consulting Pty Ltd</w:t>
            </w:r>
          </w:p>
        </w:tc>
        <w:tc>
          <w:tcPr>
            <w:tcW w:w="3771" w:type="dxa"/>
            <w:noWrap/>
            <w:hideMark/>
          </w:tcPr>
          <w:p w:rsidR="0092299C" w:rsidRPr="00FB2C11" w:rsidRDefault="0092299C" w:rsidP="0092299C">
            <w:pPr>
              <w:pStyle w:val="ARtabletext"/>
            </w:pPr>
            <w:r w:rsidRPr="00FB2C11">
              <w:t>Evaluate, low</w:t>
            </w:r>
            <w:r>
              <w:t>-</w:t>
            </w:r>
            <w:r w:rsidRPr="00FB2C11">
              <w:t>cost accommodation</w:t>
            </w:r>
          </w:p>
        </w:tc>
        <w:tc>
          <w:tcPr>
            <w:tcW w:w="1275" w:type="dxa"/>
            <w:noWrap/>
            <w:hideMark/>
          </w:tcPr>
          <w:p w:rsidR="0092299C" w:rsidRPr="00FB2C11" w:rsidRDefault="0092299C" w:rsidP="0092299C">
            <w:pPr>
              <w:pStyle w:val="ARtabletextright"/>
            </w:pPr>
            <w:r w:rsidRPr="00FB2C11">
              <w:t>$118,476</w:t>
            </w:r>
          </w:p>
        </w:tc>
        <w:tc>
          <w:tcPr>
            <w:tcW w:w="1276" w:type="dxa"/>
            <w:noWrap/>
            <w:hideMark/>
          </w:tcPr>
          <w:p w:rsidR="0092299C" w:rsidRPr="00FB2C11" w:rsidRDefault="0092299C" w:rsidP="0092299C">
            <w:pPr>
              <w:pStyle w:val="ARtabletextright"/>
            </w:pPr>
            <w:r w:rsidRPr="00FB2C11">
              <w:t>$118,476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Inspired Heads</w:t>
            </w:r>
          </w:p>
        </w:tc>
        <w:tc>
          <w:tcPr>
            <w:tcW w:w="3771" w:type="dxa"/>
            <w:noWrap/>
            <w:hideMark/>
          </w:tcPr>
          <w:p w:rsidR="0092299C" w:rsidRPr="00FB2C11" w:rsidRDefault="0092299C" w:rsidP="0092299C">
            <w:pPr>
              <w:pStyle w:val="ARtabletext"/>
            </w:pPr>
            <w:r w:rsidRPr="00FB2C11">
              <w:t>Ambassador of change program, women and girls in sport</w:t>
            </w:r>
          </w:p>
        </w:tc>
        <w:tc>
          <w:tcPr>
            <w:tcW w:w="1275" w:type="dxa"/>
            <w:noWrap/>
            <w:hideMark/>
          </w:tcPr>
          <w:p w:rsidR="0092299C" w:rsidRPr="00FB2C11" w:rsidRDefault="0092299C" w:rsidP="0092299C">
            <w:pPr>
              <w:pStyle w:val="ARtabletextright"/>
            </w:pPr>
            <w:r w:rsidRPr="00FB2C11">
              <w:t>$44,000</w:t>
            </w:r>
          </w:p>
        </w:tc>
        <w:tc>
          <w:tcPr>
            <w:tcW w:w="1276" w:type="dxa"/>
            <w:noWrap/>
            <w:hideMark/>
          </w:tcPr>
          <w:p w:rsidR="0092299C" w:rsidRPr="00FB2C11" w:rsidRDefault="0092299C" w:rsidP="0092299C">
            <w:pPr>
              <w:pStyle w:val="ARtabletextright"/>
            </w:pPr>
            <w:r w:rsidRPr="00FB2C11">
              <w:t>$44,000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Dwycon</w:t>
            </w:r>
            <w:proofErr w:type="spellEnd"/>
            <w:r w:rsidRPr="00FB2C11">
              <w:t xml:space="preserve"> Pty Ltd</w:t>
            </w:r>
          </w:p>
        </w:tc>
        <w:tc>
          <w:tcPr>
            <w:tcW w:w="3771" w:type="dxa"/>
            <w:noWrap/>
            <w:hideMark/>
          </w:tcPr>
          <w:p w:rsidR="0092299C" w:rsidRPr="00FB2C11" w:rsidRDefault="0092299C" w:rsidP="0092299C">
            <w:pPr>
              <w:pStyle w:val="ARtabletext"/>
            </w:pPr>
            <w:r w:rsidRPr="00FB2C11">
              <w:t xml:space="preserve">Conduct </w:t>
            </w:r>
            <w:r>
              <w:t>i</w:t>
            </w:r>
            <w:r w:rsidRPr="00FB2C11">
              <w:t>nquiry, services to children and families where family violence is a factor</w:t>
            </w:r>
          </w:p>
        </w:tc>
        <w:tc>
          <w:tcPr>
            <w:tcW w:w="1275" w:type="dxa"/>
            <w:noWrap/>
            <w:hideMark/>
          </w:tcPr>
          <w:p w:rsidR="0092299C" w:rsidRPr="00FB2C11" w:rsidRDefault="0092299C" w:rsidP="0092299C">
            <w:pPr>
              <w:pStyle w:val="ARtabletextright"/>
            </w:pPr>
            <w:r w:rsidRPr="00FB2C11">
              <w:t>$38,250</w:t>
            </w:r>
          </w:p>
        </w:tc>
        <w:tc>
          <w:tcPr>
            <w:tcW w:w="1276" w:type="dxa"/>
            <w:noWrap/>
            <w:hideMark/>
          </w:tcPr>
          <w:p w:rsidR="0092299C" w:rsidRPr="00FB2C11" w:rsidRDefault="0092299C" w:rsidP="0092299C">
            <w:pPr>
              <w:pStyle w:val="ARtabletextright"/>
            </w:pPr>
            <w:r w:rsidRPr="00FB2C11">
              <w:t>$38,250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Vicsport</w:t>
            </w:r>
            <w:proofErr w:type="spellEnd"/>
          </w:p>
        </w:tc>
        <w:tc>
          <w:tcPr>
            <w:tcW w:w="3771" w:type="dxa"/>
            <w:noWrap/>
            <w:hideMark/>
          </w:tcPr>
          <w:p w:rsidR="0092299C" w:rsidRPr="00FB2C11" w:rsidRDefault="0092299C" w:rsidP="0092299C">
            <w:pPr>
              <w:pStyle w:val="ARtabletext"/>
            </w:pPr>
            <w:r w:rsidRPr="00FB2C11">
              <w:t>Develop guidelines, recruitment and retention of women in leadership</w:t>
            </w:r>
          </w:p>
        </w:tc>
        <w:tc>
          <w:tcPr>
            <w:tcW w:w="1275" w:type="dxa"/>
            <w:noWrap/>
            <w:hideMark/>
          </w:tcPr>
          <w:p w:rsidR="0092299C" w:rsidRPr="00FB2C11" w:rsidRDefault="0092299C" w:rsidP="0092299C">
            <w:pPr>
              <w:pStyle w:val="ARtabletextright"/>
            </w:pPr>
            <w:r w:rsidRPr="00FB2C11">
              <w:t>$37,026</w:t>
            </w:r>
          </w:p>
        </w:tc>
        <w:tc>
          <w:tcPr>
            <w:tcW w:w="1276" w:type="dxa"/>
            <w:noWrap/>
            <w:hideMark/>
          </w:tcPr>
          <w:p w:rsidR="0092299C" w:rsidRPr="00FB2C11" w:rsidRDefault="0092299C" w:rsidP="0092299C">
            <w:pPr>
              <w:pStyle w:val="ARtabletextright"/>
            </w:pPr>
            <w:r w:rsidRPr="00FB2C11">
              <w:t>$37,026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Undertake literature review and develop discussion paper, Rural health services plan</w:t>
            </w:r>
          </w:p>
        </w:tc>
        <w:tc>
          <w:tcPr>
            <w:tcW w:w="1275" w:type="dxa"/>
            <w:noWrap/>
            <w:hideMark/>
          </w:tcPr>
          <w:p w:rsidR="0092299C" w:rsidRPr="00FB2C11" w:rsidRDefault="0092299C" w:rsidP="0092299C">
            <w:pPr>
              <w:pStyle w:val="ARtabletextright"/>
            </w:pPr>
            <w:r w:rsidRPr="00FB2C11">
              <w:t>$178,184</w:t>
            </w:r>
          </w:p>
        </w:tc>
        <w:tc>
          <w:tcPr>
            <w:tcW w:w="1276" w:type="dxa"/>
            <w:noWrap/>
            <w:hideMark/>
          </w:tcPr>
          <w:p w:rsidR="0092299C" w:rsidRPr="00FB2C11" w:rsidRDefault="0092299C" w:rsidP="0092299C">
            <w:pPr>
              <w:pStyle w:val="ARtabletextright"/>
            </w:pPr>
            <w:r w:rsidRPr="00FB2C11">
              <w:t>$157,358</w:t>
            </w:r>
          </w:p>
        </w:tc>
        <w:tc>
          <w:tcPr>
            <w:tcW w:w="1276" w:type="dxa"/>
            <w:noWrap/>
            <w:hideMark/>
          </w:tcPr>
          <w:p w:rsidR="0092299C" w:rsidRPr="00FB2C11" w:rsidRDefault="0092299C" w:rsidP="0092299C">
            <w:pPr>
              <w:pStyle w:val="ARtabletextright"/>
            </w:pPr>
            <w:r w:rsidRPr="00FB2C11">
              <w:t>$20,826</w:t>
            </w:r>
          </w:p>
        </w:tc>
      </w:tr>
      <w:tr w:rsidR="0092299C" w:rsidRPr="00FB2C11" w:rsidTr="0084694E">
        <w:tc>
          <w:tcPr>
            <w:tcW w:w="2194" w:type="dxa"/>
            <w:noWrap/>
            <w:hideMark/>
          </w:tcPr>
          <w:p w:rsidR="0092299C" w:rsidRPr="00FB2C11" w:rsidRDefault="0092299C" w:rsidP="0092299C">
            <w:pPr>
              <w:pStyle w:val="ARtabletext"/>
            </w:pPr>
            <w:proofErr w:type="spellStart"/>
            <w:r w:rsidRPr="00FB2C11">
              <w:t>Wunan</w:t>
            </w:r>
            <w:proofErr w:type="spellEnd"/>
            <w:r w:rsidRPr="00FB2C11">
              <w:t xml:space="preserve"> Foundation </w:t>
            </w:r>
            <w:proofErr w:type="spellStart"/>
            <w:r w:rsidRPr="00FB2C11">
              <w:t>Inc</w:t>
            </w:r>
            <w:proofErr w:type="spellEnd"/>
          </w:p>
        </w:tc>
        <w:tc>
          <w:tcPr>
            <w:tcW w:w="3771" w:type="dxa"/>
            <w:noWrap/>
            <w:hideMark/>
          </w:tcPr>
          <w:p w:rsidR="0092299C" w:rsidRPr="00FB2C11" w:rsidRDefault="0092299C" w:rsidP="0092299C">
            <w:pPr>
              <w:pStyle w:val="ARtabletext"/>
            </w:pPr>
            <w:r w:rsidRPr="00FB2C11">
              <w:t>Review, healing and time out services</w:t>
            </w:r>
          </w:p>
        </w:tc>
        <w:tc>
          <w:tcPr>
            <w:tcW w:w="1275" w:type="dxa"/>
            <w:noWrap/>
            <w:hideMark/>
          </w:tcPr>
          <w:p w:rsidR="0092299C" w:rsidRPr="00FB2C11" w:rsidRDefault="0092299C" w:rsidP="0092299C">
            <w:pPr>
              <w:pStyle w:val="ARtabletextright"/>
            </w:pPr>
            <w:r w:rsidRPr="00FB2C11">
              <w:t>$130,273</w:t>
            </w:r>
          </w:p>
        </w:tc>
        <w:tc>
          <w:tcPr>
            <w:tcW w:w="1276" w:type="dxa"/>
            <w:noWrap/>
            <w:hideMark/>
          </w:tcPr>
          <w:p w:rsidR="0092299C" w:rsidRPr="00FB2C11" w:rsidRDefault="0092299C" w:rsidP="0092299C">
            <w:pPr>
              <w:pStyle w:val="ARtabletextright"/>
            </w:pPr>
            <w:r w:rsidRPr="00FB2C11">
              <w:t>$130,273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Bevington</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Identify, process improvement opportunities</w:t>
            </w:r>
          </w:p>
        </w:tc>
        <w:tc>
          <w:tcPr>
            <w:tcW w:w="1275" w:type="dxa"/>
            <w:noWrap/>
            <w:hideMark/>
          </w:tcPr>
          <w:p w:rsidR="0092299C" w:rsidRPr="00FB2C11" w:rsidRDefault="0092299C" w:rsidP="0092299C">
            <w:pPr>
              <w:pStyle w:val="ARtabletextright"/>
            </w:pPr>
            <w:r w:rsidRPr="00FB2C11">
              <w:t>$121,200</w:t>
            </w:r>
          </w:p>
        </w:tc>
        <w:tc>
          <w:tcPr>
            <w:tcW w:w="1276" w:type="dxa"/>
            <w:noWrap/>
            <w:hideMark/>
          </w:tcPr>
          <w:p w:rsidR="0092299C" w:rsidRPr="00FB2C11" w:rsidRDefault="0092299C" w:rsidP="0092299C">
            <w:pPr>
              <w:pStyle w:val="ARtabletextright"/>
            </w:pPr>
            <w:r w:rsidRPr="00FB2C11">
              <w:t>$121,477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Crondar</w:t>
            </w:r>
            <w:proofErr w:type="spellEnd"/>
            <w:r w:rsidRPr="00FB2C11">
              <w:t xml:space="preserve"> Pty Ltd</w:t>
            </w:r>
          </w:p>
        </w:tc>
        <w:tc>
          <w:tcPr>
            <w:tcW w:w="3771" w:type="dxa"/>
            <w:noWrap/>
            <w:hideMark/>
          </w:tcPr>
          <w:p w:rsidR="0092299C" w:rsidRPr="00FB2C11" w:rsidRDefault="0092299C" w:rsidP="0092299C">
            <w:pPr>
              <w:pStyle w:val="ARtabletext"/>
            </w:pPr>
            <w:r w:rsidRPr="00FB2C11">
              <w:t>Develop and support planning for Gippsland public health</w:t>
            </w:r>
          </w:p>
        </w:tc>
        <w:tc>
          <w:tcPr>
            <w:tcW w:w="1275" w:type="dxa"/>
            <w:noWrap/>
            <w:hideMark/>
          </w:tcPr>
          <w:p w:rsidR="0092299C" w:rsidRPr="00FB2C11" w:rsidRDefault="0092299C" w:rsidP="0092299C">
            <w:pPr>
              <w:pStyle w:val="ARtabletextright"/>
            </w:pPr>
            <w:r w:rsidRPr="00FB2C11">
              <w:t>$10,500</w:t>
            </w:r>
          </w:p>
        </w:tc>
        <w:tc>
          <w:tcPr>
            <w:tcW w:w="1276" w:type="dxa"/>
            <w:noWrap/>
            <w:hideMark/>
          </w:tcPr>
          <w:p w:rsidR="0092299C" w:rsidRPr="00FB2C11" w:rsidRDefault="0092299C" w:rsidP="0092299C">
            <w:pPr>
              <w:pStyle w:val="ARtabletextright"/>
            </w:pPr>
            <w:r w:rsidRPr="00FB2C11">
              <w:t>$10,500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Squareweave</w:t>
            </w:r>
            <w:proofErr w:type="spellEnd"/>
            <w:r w:rsidRPr="00FB2C11">
              <w:t xml:space="preserve"> Melbourne Pty Ltd</w:t>
            </w:r>
          </w:p>
        </w:tc>
        <w:tc>
          <w:tcPr>
            <w:tcW w:w="3771" w:type="dxa"/>
            <w:noWrap/>
            <w:hideMark/>
          </w:tcPr>
          <w:p w:rsidR="0092299C" w:rsidRPr="00FB2C11" w:rsidRDefault="0092299C" w:rsidP="0092299C">
            <w:pPr>
              <w:pStyle w:val="ARtabletext"/>
            </w:pPr>
            <w:r w:rsidRPr="00FB2C11">
              <w:t>Research, develop and support immune hero secondary school immunisation website</w:t>
            </w:r>
          </w:p>
        </w:tc>
        <w:tc>
          <w:tcPr>
            <w:tcW w:w="1275" w:type="dxa"/>
            <w:noWrap/>
            <w:hideMark/>
          </w:tcPr>
          <w:p w:rsidR="0092299C" w:rsidRPr="00FB2C11" w:rsidRDefault="0092299C" w:rsidP="0092299C">
            <w:pPr>
              <w:pStyle w:val="ARtabletextright"/>
            </w:pPr>
            <w:r w:rsidRPr="00FB2C11">
              <w:t>$87,900</w:t>
            </w:r>
          </w:p>
        </w:tc>
        <w:tc>
          <w:tcPr>
            <w:tcW w:w="1276" w:type="dxa"/>
            <w:noWrap/>
            <w:hideMark/>
          </w:tcPr>
          <w:p w:rsidR="0092299C" w:rsidRPr="00FB2C11" w:rsidRDefault="0092299C" w:rsidP="0092299C">
            <w:pPr>
              <w:pStyle w:val="ARtabletextright"/>
            </w:pPr>
            <w:r w:rsidRPr="00FB2C11">
              <w:t>$157,300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The Australian Centre For Social Innovation</w:t>
            </w:r>
          </w:p>
        </w:tc>
        <w:tc>
          <w:tcPr>
            <w:tcW w:w="3771" w:type="dxa"/>
            <w:noWrap/>
            <w:hideMark/>
          </w:tcPr>
          <w:p w:rsidR="0092299C" w:rsidRPr="00FB2C11" w:rsidRDefault="0092299C" w:rsidP="0092299C">
            <w:pPr>
              <w:pStyle w:val="ARtabletext"/>
            </w:pPr>
            <w:r w:rsidRPr="00FB2C11">
              <w:t>Undertake ethnographic studies and client interviews, Crisis accommodation client voice</w:t>
            </w:r>
          </w:p>
        </w:tc>
        <w:tc>
          <w:tcPr>
            <w:tcW w:w="1275" w:type="dxa"/>
            <w:noWrap/>
            <w:hideMark/>
          </w:tcPr>
          <w:p w:rsidR="0092299C" w:rsidRPr="00FB2C11" w:rsidRDefault="0092299C" w:rsidP="0092299C">
            <w:pPr>
              <w:pStyle w:val="ARtabletextright"/>
            </w:pPr>
            <w:r w:rsidRPr="00FB2C11">
              <w:t>$129,750</w:t>
            </w:r>
          </w:p>
        </w:tc>
        <w:tc>
          <w:tcPr>
            <w:tcW w:w="1276" w:type="dxa"/>
            <w:noWrap/>
            <w:hideMark/>
          </w:tcPr>
          <w:p w:rsidR="0092299C" w:rsidRPr="00FB2C11" w:rsidRDefault="0092299C" w:rsidP="0092299C">
            <w:pPr>
              <w:pStyle w:val="ARtabletextright"/>
            </w:pPr>
            <w:r w:rsidRPr="00FB2C11">
              <w:t>$82,076</w:t>
            </w:r>
          </w:p>
        </w:tc>
        <w:tc>
          <w:tcPr>
            <w:tcW w:w="1276" w:type="dxa"/>
            <w:noWrap/>
            <w:hideMark/>
          </w:tcPr>
          <w:p w:rsidR="0092299C" w:rsidRPr="00FB2C11" w:rsidRDefault="0092299C" w:rsidP="0092299C">
            <w:pPr>
              <w:pStyle w:val="ARtabletextright"/>
            </w:pPr>
            <w:r w:rsidRPr="00FB2C11">
              <w:t>$47,674</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Review, after hours community palliative care</w:t>
            </w:r>
          </w:p>
        </w:tc>
        <w:tc>
          <w:tcPr>
            <w:tcW w:w="1275" w:type="dxa"/>
            <w:noWrap/>
            <w:hideMark/>
          </w:tcPr>
          <w:p w:rsidR="0092299C" w:rsidRPr="00FB2C11" w:rsidRDefault="0092299C" w:rsidP="0092299C">
            <w:pPr>
              <w:pStyle w:val="ARtabletextright"/>
            </w:pPr>
            <w:r w:rsidRPr="00FB2C11">
              <w:t>$118,791</w:t>
            </w:r>
          </w:p>
        </w:tc>
        <w:tc>
          <w:tcPr>
            <w:tcW w:w="1276" w:type="dxa"/>
            <w:noWrap/>
            <w:hideMark/>
          </w:tcPr>
          <w:p w:rsidR="0092299C" w:rsidRPr="00FB2C11" w:rsidRDefault="0092299C" w:rsidP="0092299C">
            <w:pPr>
              <w:pStyle w:val="ARtabletextright"/>
            </w:pPr>
            <w:r w:rsidRPr="00FB2C11">
              <w:t>$118,791</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360 Edge</w:t>
            </w:r>
          </w:p>
        </w:tc>
        <w:tc>
          <w:tcPr>
            <w:tcW w:w="3771" w:type="dxa"/>
            <w:noWrap/>
            <w:hideMark/>
          </w:tcPr>
          <w:p w:rsidR="0092299C" w:rsidRPr="00FB2C11" w:rsidRDefault="0092299C" w:rsidP="0092299C">
            <w:pPr>
              <w:pStyle w:val="ARtabletext"/>
            </w:pPr>
            <w:r w:rsidRPr="00FB2C11">
              <w:t>Evaluate, therapeutic day rehabilitation treatment</w:t>
            </w:r>
          </w:p>
        </w:tc>
        <w:tc>
          <w:tcPr>
            <w:tcW w:w="1275" w:type="dxa"/>
            <w:noWrap/>
            <w:hideMark/>
          </w:tcPr>
          <w:p w:rsidR="0092299C" w:rsidRPr="00FB2C11" w:rsidRDefault="0092299C" w:rsidP="0092299C">
            <w:pPr>
              <w:pStyle w:val="ARtabletextright"/>
            </w:pPr>
            <w:r w:rsidRPr="00FB2C11">
              <w:t>$315,100</w:t>
            </w:r>
          </w:p>
        </w:tc>
        <w:tc>
          <w:tcPr>
            <w:tcW w:w="1276" w:type="dxa"/>
            <w:noWrap/>
            <w:hideMark/>
          </w:tcPr>
          <w:p w:rsidR="0092299C" w:rsidRPr="00FB2C11" w:rsidRDefault="0092299C" w:rsidP="0092299C">
            <w:pPr>
              <w:pStyle w:val="ARtabletextright"/>
            </w:pPr>
            <w:r w:rsidRPr="00FB2C11">
              <w:t>$152,400</w:t>
            </w:r>
          </w:p>
        </w:tc>
        <w:tc>
          <w:tcPr>
            <w:tcW w:w="1276" w:type="dxa"/>
            <w:noWrap/>
            <w:hideMark/>
          </w:tcPr>
          <w:p w:rsidR="0092299C" w:rsidRPr="00FB2C11" w:rsidRDefault="0092299C" w:rsidP="0092299C">
            <w:pPr>
              <w:pStyle w:val="ARtabletextright"/>
            </w:pPr>
            <w:r w:rsidRPr="00FB2C11">
              <w:t>$162,700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Develop inner Melbourne growth plan</w:t>
            </w:r>
          </w:p>
        </w:tc>
        <w:tc>
          <w:tcPr>
            <w:tcW w:w="1275" w:type="dxa"/>
            <w:noWrap/>
            <w:hideMark/>
          </w:tcPr>
          <w:p w:rsidR="0092299C" w:rsidRPr="00FB2C11" w:rsidRDefault="0092299C" w:rsidP="0092299C">
            <w:pPr>
              <w:pStyle w:val="ARtabletextright"/>
            </w:pPr>
            <w:r w:rsidRPr="00FB2C11">
              <w:t>$141,000</w:t>
            </w:r>
          </w:p>
        </w:tc>
        <w:tc>
          <w:tcPr>
            <w:tcW w:w="1276" w:type="dxa"/>
            <w:noWrap/>
            <w:hideMark/>
          </w:tcPr>
          <w:p w:rsidR="0092299C" w:rsidRPr="00FB2C11" w:rsidRDefault="0092299C" w:rsidP="0092299C">
            <w:pPr>
              <w:pStyle w:val="ARtabletextright"/>
            </w:pPr>
            <w:r w:rsidRPr="00FB2C11">
              <w:t>$141,000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Review, Office of the Chief Health Officer</w:t>
            </w:r>
          </w:p>
        </w:tc>
        <w:tc>
          <w:tcPr>
            <w:tcW w:w="1275" w:type="dxa"/>
            <w:noWrap/>
            <w:hideMark/>
          </w:tcPr>
          <w:p w:rsidR="0092299C" w:rsidRPr="00FB2C11" w:rsidRDefault="0092299C" w:rsidP="0092299C">
            <w:pPr>
              <w:pStyle w:val="ARtabletextright"/>
            </w:pPr>
            <w:r w:rsidRPr="00FB2C11">
              <w:t>$225,794</w:t>
            </w:r>
          </w:p>
        </w:tc>
        <w:tc>
          <w:tcPr>
            <w:tcW w:w="1276" w:type="dxa"/>
            <w:noWrap/>
            <w:hideMark/>
          </w:tcPr>
          <w:p w:rsidR="0092299C" w:rsidRPr="00FB2C11" w:rsidRDefault="0092299C" w:rsidP="0092299C">
            <w:pPr>
              <w:pStyle w:val="ARtabletextright"/>
            </w:pPr>
            <w:r w:rsidRPr="00FB2C11">
              <w:t>$13,024</w:t>
            </w:r>
          </w:p>
        </w:tc>
        <w:tc>
          <w:tcPr>
            <w:tcW w:w="1276" w:type="dxa"/>
            <w:noWrap/>
            <w:hideMark/>
          </w:tcPr>
          <w:p w:rsidR="0092299C" w:rsidRPr="00FB2C11" w:rsidRDefault="0092299C" w:rsidP="0092299C">
            <w:pPr>
              <w:pStyle w:val="ARtabletextright"/>
            </w:pPr>
            <w:r w:rsidRPr="00FB2C11">
              <w:t>$212,770</w:t>
            </w:r>
          </w:p>
        </w:tc>
      </w:tr>
      <w:tr w:rsidR="0092299C" w:rsidRPr="00FB2C11" w:rsidTr="0084694E">
        <w:tc>
          <w:tcPr>
            <w:tcW w:w="2194" w:type="dxa"/>
            <w:noWrap/>
            <w:hideMark/>
          </w:tcPr>
          <w:p w:rsidR="0092299C" w:rsidRPr="00FB2C11" w:rsidRDefault="0092299C" w:rsidP="0092299C">
            <w:pPr>
              <w:pStyle w:val="ARtabletext"/>
            </w:pPr>
            <w:r>
              <w:t>PwC</w:t>
            </w:r>
            <w:r w:rsidRPr="00FB2C11">
              <w:t xml:space="preserve"> Indigenous Consulting</w:t>
            </w:r>
          </w:p>
        </w:tc>
        <w:tc>
          <w:tcPr>
            <w:tcW w:w="3771" w:type="dxa"/>
            <w:noWrap/>
            <w:hideMark/>
          </w:tcPr>
          <w:p w:rsidR="0092299C" w:rsidRPr="00FB2C11" w:rsidRDefault="0092299C" w:rsidP="0092299C">
            <w:pPr>
              <w:pStyle w:val="ARtabletext"/>
            </w:pPr>
            <w:r w:rsidRPr="00FB2C11">
              <w:t>Review and develop options, health and wellbeing, Morwell</w:t>
            </w:r>
          </w:p>
        </w:tc>
        <w:tc>
          <w:tcPr>
            <w:tcW w:w="1275" w:type="dxa"/>
            <w:noWrap/>
            <w:hideMark/>
          </w:tcPr>
          <w:p w:rsidR="0092299C" w:rsidRPr="00FB2C11" w:rsidRDefault="0092299C" w:rsidP="0092299C">
            <w:pPr>
              <w:pStyle w:val="ARtabletextright"/>
            </w:pPr>
            <w:r w:rsidRPr="00FB2C11">
              <w:t>$148,886</w:t>
            </w:r>
          </w:p>
        </w:tc>
        <w:tc>
          <w:tcPr>
            <w:tcW w:w="1276" w:type="dxa"/>
            <w:noWrap/>
            <w:hideMark/>
          </w:tcPr>
          <w:p w:rsidR="0092299C" w:rsidRPr="00FB2C11" w:rsidRDefault="0092299C" w:rsidP="0092299C">
            <w:pPr>
              <w:pStyle w:val="ARtabletextright"/>
            </w:pPr>
            <w:r w:rsidRPr="00FB2C11">
              <w:t>$75,822</w:t>
            </w:r>
          </w:p>
        </w:tc>
        <w:tc>
          <w:tcPr>
            <w:tcW w:w="1276" w:type="dxa"/>
            <w:noWrap/>
            <w:hideMark/>
          </w:tcPr>
          <w:p w:rsidR="0092299C" w:rsidRPr="00FB2C11" w:rsidRDefault="0092299C" w:rsidP="0092299C">
            <w:pPr>
              <w:pStyle w:val="ARtabletextright"/>
            </w:pPr>
            <w:r w:rsidRPr="00FB2C11">
              <w:t>$73,064</w:t>
            </w:r>
          </w:p>
        </w:tc>
      </w:tr>
      <w:tr w:rsidR="0092299C" w:rsidRPr="00FB2C11" w:rsidTr="0084694E">
        <w:tc>
          <w:tcPr>
            <w:tcW w:w="2194" w:type="dxa"/>
            <w:noWrap/>
            <w:hideMark/>
          </w:tcPr>
          <w:p w:rsidR="0092299C" w:rsidRPr="00FB2C11" w:rsidRDefault="0092299C" w:rsidP="0092299C">
            <w:pPr>
              <w:pStyle w:val="ARtabletext"/>
            </w:pPr>
            <w:r w:rsidRPr="00FB2C11">
              <w:t>Deloitte Access Economics Pty Ltd</w:t>
            </w:r>
          </w:p>
        </w:tc>
        <w:tc>
          <w:tcPr>
            <w:tcW w:w="3771" w:type="dxa"/>
            <w:noWrap/>
            <w:hideMark/>
          </w:tcPr>
          <w:p w:rsidR="0092299C" w:rsidRPr="00FB2C11" w:rsidRDefault="0092299C" w:rsidP="0092299C">
            <w:pPr>
              <w:pStyle w:val="ARtabletext"/>
            </w:pPr>
            <w:r w:rsidRPr="00FB2C11">
              <w:t>Cost-benefit analysis, whole genome sequencing for clinical and public health microbiology</w:t>
            </w:r>
          </w:p>
        </w:tc>
        <w:tc>
          <w:tcPr>
            <w:tcW w:w="1275" w:type="dxa"/>
            <w:noWrap/>
            <w:hideMark/>
          </w:tcPr>
          <w:p w:rsidR="0092299C" w:rsidRPr="00FB2C11" w:rsidRDefault="0092299C" w:rsidP="0092299C">
            <w:pPr>
              <w:pStyle w:val="ARtabletextright"/>
            </w:pPr>
            <w:r w:rsidRPr="00FB2C11">
              <w:t>$70,416</w:t>
            </w:r>
          </w:p>
        </w:tc>
        <w:tc>
          <w:tcPr>
            <w:tcW w:w="1276" w:type="dxa"/>
            <w:noWrap/>
            <w:hideMark/>
          </w:tcPr>
          <w:p w:rsidR="0092299C" w:rsidRPr="00FB2C11" w:rsidRDefault="0092299C" w:rsidP="0092299C">
            <w:pPr>
              <w:pStyle w:val="ARtabletextright"/>
            </w:pPr>
            <w:r w:rsidRPr="00FB2C11">
              <w:t>$70,416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John </w:t>
            </w:r>
            <w:proofErr w:type="spellStart"/>
            <w:r w:rsidRPr="00FB2C11">
              <w:t>Leatherland</w:t>
            </w:r>
            <w:proofErr w:type="spellEnd"/>
          </w:p>
        </w:tc>
        <w:tc>
          <w:tcPr>
            <w:tcW w:w="3771" w:type="dxa"/>
            <w:noWrap/>
            <w:hideMark/>
          </w:tcPr>
          <w:p w:rsidR="0092299C" w:rsidRPr="00FB2C11" w:rsidRDefault="0092299C" w:rsidP="0092299C">
            <w:pPr>
              <w:pStyle w:val="ARtabletext"/>
            </w:pPr>
            <w:r w:rsidRPr="00FB2C11">
              <w:t>Review, privacy breaches in child protection</w:t>
            </w:r>
          </w:p>
        </w:tc>
        <w:tc>
          <w:tcPr>
            <w:tcW w:w="1275" w:type="dxa"/>
            <w:noWrap/>
            <w:hideMark/>
          </w:tcPr>
          <w:p w:rsidR="0092299C" w:rsidRPr="00FB2C11" w:rsidRDefault="0092299C" w:rsidP="0092299C">
            <w:pPr>
              <w:pStyle w:val="ARtabletextright"/>
            </w:pPr>
            <w:r w:rsidRPr="00FB2C11">
              <w:t>$14,000</w:t>
            </w:r>
          </w:p>
        </w:tc>
        <w:tc>
          <w:tcPr>
            <w:tcW w:w="1276" w:type="dxa"/>
            <w:noWrap/>
            <w:hideMark/>
          </w:tcPr>
          <w:p w:rsidR="0092299C" w:rsidRPr="00FB2C11" w:rsidRDefault="0092299C" w:rsidP="0092299C">
            <w:pPr>
              <w:pStyle w:val="ARtabletextright"/>
            </w:pPr>
            <w:r w:rsidRPr="00FB2C11">
              <w:t>$11,200</w:t>
            </w:r>
          </w:p>
        </w:tc>
        <w:tc>
          <w:tcPr>
            <w:tcW w:w="1276" w:type="dxa"/>
            <w:noWrap/>
            <w:hideMark/>
          </w:tcPr>
          <w:p w:rsidR="0092299C" w:rsidRPr="00FB2C11" w:rsidRDefault="0092299C" w:rsidP="0092299C">
            <w:pPr>
              <w:pStyle w:val="ARtabletextright"/>
            </w:pPr>
            <w:r w:rsidRPr="00FB2C11">
              <w:t>$2,800</w:t>
            </w:r>
          </w:p>
        </w:tc>
      </w:tr>
      <w:tr w:rsidR="0092299C" w:rsidRPr="00FB2C11" w:rsidTr="0084694E">
        <w:tc>
          <w:tcPr>
            <w:tcW w:w="2194" w:type="dxa"/>
            <w:noWrap/>
            <w:hideMark/>
          </w:tcPr>
          <w:p w:rsidR="0092299C" w:rsidRPr="00FB2C11" w:rsidRDefault="0092299C" w:rsidP="0092299C">
            <w:pPr>
              <w:pStyle w:val="ARtabletext"/>
            </w:pPr>
            <w:r w:rsidRPr="00FB2C11">
              <w:t>Diane Watson</w:t>
            </w:r>
          </w:p>
        </w:tc>
        <w:tc>
          <w:tcPr>
            <w:tcW w:w="3771" w:type="dxa"/>
            <w:noWrap/>
            <w:hideMark/>
          </w:tcPr>
          <w:p w:rsidR="0092299C" w:rsidRPr="00FB2C11" w:rsidRDefault="0092299C" w:rsidP="0092299C">
            <w:pPr>
              <w:pStyle w:val="ARtabletext"/>
            </w:pPr>
            <w:r w:rsidRPr="00FB2C11">
              <w:t>Specialist data agency expert</w:t>
            </w:r>
          </w:p>
        </w:tc>
        <w:tc>
          <w:tcPr>
            <w:tcW w:w="1275" w:type="dxa"/>
            <w:noWrap/>
            <w:hideMark/>
          </w:tcPr>
          <w:p w:rsidR="0092299C" w:rsidRPr="00FB2C11" w:rsidRDefault="0092299C" w:rsidP="0092299C">
            <w:pPr>
              <w:pStyle w:val="ARtabletextright"/>
            </w:pPr>
            <w:r w:rsidRPr="00FB2C11">
              <w:t>$244,114</w:t>
            </w:r>
          </w:p>
        </w:tc>
        <w:tc>
          <w:tcPr>
            <w:tcW w:w="1276" w:type="dxa"/>
            <w:noWrap/>
            <w:hideMark/>
          </w:tcPr>
          <w:p w:rsidR="0092299C" w:rsidRPr="00FB2C11" w:rsidRDefault="0092299C" w:rsidP="0092299C">
            <w:pPr>
              <w:pStyle w:val="ARtabletextright"/>
            </w:pPr>
            <w:r w:rsidRPr="00FB2C11">
              <w:t>$215,456</w:t>
            </w:r>
          </w:p>
        </w:tc>
        <w:tc>
          <w:tcPr>
            <w:tcW w:w="1276" w:type="dxa"/>
            <w:noWrap/>
            <w:hideMark/>
          </w:tcPr>
          <w:p w:rsidR="0092299C" w:rsidRPr="00FB2C11" w:rsidRDefault="0092299C" w:rsidP="0092299C">
            <w:pPr>
              <w:pStyle w:val="ARtabletextright"/>
            </w:pPr>
            <w:r w:rsidRPr="00FB2C11">
              <w:t>$28,658</w:t>
            </w:r>
          </w:p>
        </w:tc>
      </w:tr>
      <w:tr w:rsidR="0092299C" w:rsidRPr="00FB2C11" w:rsidTr="0084694E">
        <w:tc>
          <w:tcPr>
            <w:tcW w:w="2194" w:type="dxa"/>
            <w:noWrap/>
            <w:hideMark/>
          </w:tcPr>
          <w:p w:rsidR="0092299C" w:rsidRPr="00FB2C11" w:rsidRDefault="0092299C" w:rsidP="0092299C">
            <w:pPr>
              <w:pStyle w:val="ARtabletext"/>
            </w:pPr>
            <w:proofErr w:type="spellStart"/>
            <w:r w:rsidRPr="00FB2C11">
              <w:t>Senversa</w:t>
            </w:r>
            <w:proofErr w:type="spellEnd"/>
          </w:p>
        </w:tc>
        <w:tc>
          <w:tcPr>
            <w:tcW w:w="3771" w:type="dxa"/>
            <w:noWrap/>
            <w:hideMark/>
          </w:tcPr>
          <w:p w:rsidR="0092299C" w:rsidRPr="00FB2C11" w:rsidRDefault="0092299C" w:rsidP="0092299C">
            <w:pPr>
              <w:pStyle w:val="ARtabletext"/>
            </w:pPr>
            <w:r w:rsidRPr="00FB2C11">
              <w:t>Health risk assessment, mineral springs</w:t>
            </w:r>
          </w:p>
        </w:tc>
        <w:tc>
          <w:tcPr>
            <w:tcW w:w="1275" w:type="dxa"/>
            <w:noWrap/>
            <w:hideMark/>
          </w:tcPr>
          <w:p w:rsidR="0092299C" w:rsidRPr="00FB2C11" w:rsidRDefault="0092299C" w:rsidP="0092299C">
            <w:pPr>
              <w:pStyle w:val="ARtabletextright"/>
            </w:pPr>
            <w:r w:rsidRPr="00FB2C11">
              <w:t>$18,864</w:t>
            </w:r>
          </w:p>
        </w:tc>
        <w:tc>
          <w:tcPr>
            <w:tcW w:w="1276" w:type="dxa"/>
            <w:noWrap/>
            <w:hideMark/>
          </w:tcPr>
          <w:p w:rsidR="0092299C" w:rsidRPr="00FB2C11" w:rsidRDefault="0092299C" w:rsidP="0092299C">
            <w:pPr>
              <w:pStyle w:val="ARtabletextright"/>
            </w:pPr>
            <w:r w:rsidRPr="00FB2C11">
              <w:t>$11,850</w:t>
            </w:r>
          </w:p>
        </w:tc>
        <w:tc>
          <w:tcPr>
            <w:tcW w:w="1276" w:type="dxa"/>
            <w:noWrap/>
            <w:hideMark/>
          </w:tcPr>
          <w:p w:rsidR="0092299C" w:rsidRPr="00FB2C11" w:rsidRDefault="0092299C" w:rsidP="0092299C">
            <w:pPr>
              <w:pStyle w:val="ARtabletextright"/>
            </w:pPr>
            <w:r w:rsidRPr="00FB2C11">
              <w:t>$7,014</w:t>
            </w:r>
          </w:p>
        </w:tc>
      </w:tr>
      <w:tr w:rsidR="0092299C" w:rsidRPr="00FB2C11" w:rsidTr="0084694E">
        <w:tc>
          <w:tcPr>
            <w:tcW w:w="2194" w:type="dxa"/>
            <w:noWrap/>
            <w:hideMark/>
          </w:tcPr>
          <w:p w:rsidR="0092299C" w:rsidRPr="00FB2C11" w:rsidRDefault="0092299C" w:rsidP="0092299C">
            <w:pPr>
              <w:pStyle w:val="ARtabletext"/>
            </w:pPr>
            <w:r w:rsidRPr="00FB2C11">
              <w:lastRenderedPageBreak/>
              <w:t>Nous Group Pty Ltd</w:t>
            </w:r>
          </w:p>
        </w:tc>
        <w:tc>
          <w:tcPr>
            <w:tcW w:w="3771" w:type="dxa"/>
            <w:noWrap/>
            <w:hideMark/>
          </w:tcPr>
          <w:p w:rsidR="0092299C" w:rsidRPr="00FB2C11" w:rsidRDefault="0092299C" w:rsidP="0092299C">
            <w:pPr>
              <w:pStyle w:val="ARtabletext"/>
            </w:pPr>
            <w:r w:rsidRPr="00FB2C11">
              <w:t>Develop and implement flexible support model, operating divisions, National Disability Insurance Scheme</w:t>
            </w:r>
          </w:p>
        </w:tc>
        <w:tc>
          <w:tcPr>
            <w:tcW w:w="1275" w:type="dxa"/>
            <w:noWrap/>
            <w:hideMark/>
          </w:tcPr>
          <w:p w:rsidR="0092299C" w:rsidRPr="00FB2C11" w:rsidRDefault="0092299C" w:rsidP="0092299C">
            <w:pPr>
              <w:pStyle w:val="ARtabletextright"/>
            </w:pPr>
            <w:r w:rsidRPr="00FB2C11">
              <w:t>$93,265</w:t>
            </w:r>
          </w:p>
        </w:tc>
        <w:tc>
          <w:tcPr>
            <w:tcW w:w="1276" w:type="dxa"/>
            <w:noWrap/>
            <w:hideMark/>
          </w:tcPr>
          <w:p w:rsidR="0092299C" w:rsidRPr="00FB2C11" w:rsidRDefault="0092299C" w:rsidP="0092299C">
            <w:pPr>
              <w:pStyle w:val="ARtabletextright"/>
            </w:pPr>
            <w:r w:rsidRPr="00FB2C11">
              <w:t>$92,810</w:t>
            </w:r>
          </w:p>
        </w:tc>
        <w:tc>
          <w:tcPr>
            <w:tcW w:w="1276" w:type="dxa"/>
            <w:noWrap/>
            <w:hideMark/>
          </w:tcPr>
          <w:p w:rsidR="0092299C" w:rsidRPr="00FB2C11" w:rsidRDefault="0092299C" w:rsidP="0092299C">
            <w:pPr>
              <w:pStyle w:val="ARtabletextright"/>
            </w:pPr>
            <w:r w:rsidRPr="00FB2C11">
              <w:t>$455</w:t>
            </w:r>
          </w:p>
        </w:tc>
      </w:tr>
      <w:tr w:rsidR="0092299C" w:rsidRPr="00FB2C11" w:rsidTr="0084694E">
        <w:tc>
          <w:tcPr>
            <w:tcW w:w="2194" w:type="dxa"/>
            <w:noWrap/>
            <w:hideMark/>
          </w:tcPr>
          <w:p w:rsidR="0092299C" w:rsidRPr="00FB2C11" w:rsidRDefault="0092299C" w:rsidP="0092299C">
            <w:pPr>
              <w:pStyle w:val="ARtabletext"/>
            </w:pPr>
            <w:proofErr w:type="spellStart"/>
            <w:r w:rsidRPr="00FB2C11">
              <w:t>Elmatom</w:t>
            </w:r>
            <w:proofErr w:type="spellEnd"/>
            <w:r w:rsidRPr="00FB2C11">
              <w:t xml:space="preserve"> Pty Ltd</w:t>
            </w:r>
          </w:p>
        </w:tc>
        <w:tc>
          <w:tcPr>
            <w:tcW w:w="3771" w:type="dxa"/>
            <w:noWrap/>
            <w:hideMark/>
          </w:tcPr>
          <w:p w:rsidR="0092299C" w:rsidRPr="00FB2C11" w:rsidRDefault="0092299C" w:rsidP="0092299C">
            <w:pPr>
              <w:pStyle w:val="ARtabletext"/>
            </w:pPr>
            <w:r w:rsidRPr="00FB2C11">
              <w:t>Potential cancer cluster expert advisory group</w:t>
            </w:r>
          </w:p>
        </w:tc>
        <w:tc>
          <w:tcPr>
            <w:tcW w:w="1275" w:type="dxa"/>
            <w:noWrap/>
            <w:hideMark/>
          </w:tcPr>
          <w:p w:rsidR="0092299C" w:rsidRPr="00FB2C11" w:rsidRDefault="0092299C" w:rsidP="0092299C">
            <w:pPr>
              <w:pStyle w:val="ARtabletextright"/>
            </w:pPr>
            <w:r w:rsidRPr="00FB2C11">
              <w:t>$18,182</w:t>
            </w:r>
          </w:p>
        </w:tc>
        <w:tc>
          <w:tcPr>
            <w:tcW w:w="1276" w:type="dxa"/>
            <w:noWrap/>
            <w:hideMark/>
          </w:tcPr>
          <w:p w:rsidR="0092299C" w:rsidRPr="00FB2C11" w:rsidRDefault="0092299C" w:rsidP="0092299C">
            <w:pPr>
              <w:pStyle w:val="ARtabletextright"/>
            </w:pPr>
            <w:r w:rsidRPr="00FB2C11">
              <w:t>$3,000</w:t>
            </w:r>
          </w:p>
        </w:tc>
        <w:tc>
          <w:tcPr>
            <w:tcW w:w="1276" w:type="dxa"/>
            <w:noWrap/>
            <w:hideMark/>
          </w:tcPr>
          <w:p w:rsidR="0092299C" w:rsidRPr="00FB2C11" w:rsidRDefault="0092299C" w:rsidP="0092299C">
            <w:pPr>
              <w:pStyle w:val="ARtabletextright"/>
            </w:pPr>
            <w:r w:rsidRPr="00FB2C11">
              <w:t>$15,182</w:t>
            </w:r>
          </w:p>
        </w:tc>
      </w:tr>
      <w:tr w:rsidR="0092299C" w:rsidRPr="00FB2C11" w:rsidTr="0084694E">
        <w:tc>
          <w:tcPr>
            <w:tcW w:w="2194" w:type="dxa"/>
            <w:noWrap/>
            <w:hideMark/>
          </w:tcPr>
          <w:p w:rsidR="0092299C" w:rsidRPr="00FB2C11" w:rsidRDefault="0092299C" w:rsidP="0092299C">
            <w:pPr>
              <w:pStyle w:val="ARtabletext"/>
            </w:pPr>
            <w:r w:rsidRPr="00FB2C11">
              <w:t>Pitcher Partners</w:t>
            </w:r>
          </w:p>
        </w:tc>
        <w:tc>
          <w:tcPr>
            <w:tcW w:w="3771" w:type="dxa"/>
            <w:noWrap/>
            <w:hideMark/>
          </w:tcPr>
          <w:p w:rsidR="0092299C" w:rsidRPr="00FB2C11" w:rsidRDefault="0092299C" w:rsidP="0092299C">
            <w:pPr>
              <w:pStyle w:val="ARtabletext"/>
            </w:pPr>
            <w:r w:rsidRPr="00FB2C11">
              <w:t>Develop, new performance measures, Community Services Agreement</w:t>
            </w:r>
          </w:p>
        </w:tc>
        <w:tc>
          <w:tcPr>
            <w:tcW w:w="1275" w:type="dxa"/>
            <w:noWrap/>
            <w:hideMark/>
          </w:tcPr>
          <w:p w:rsidR="0092299C" w:rsidRPr="00FB2C11" w:rsidRDefault="0092299C" w:rsidP="0092299C">
            <w:pPr>
              <w:pStyle w:val="ARtabletextright"/>
            </w:pPr>
            <w:r w:rsidRPr="00FB2C11">
              <w:t>$30,000</w:t>
            </w:r>
          </w:p>
        </w:tc>
        <w:tc>
          <w:tcPr>
            <w:tcW w:w="1276" w:type="dxa"/>
            <w:noWrap/>
            <w:hideMark/>
          </w:tcPr>
          <w:p w:rsidR="0092299C" w:rsidRPr="00FB2C11" w:rsidRDefault="0092299C" w:rsidP="0092299C">
            <w:pPr>
              <w:pStyle w:val="ARtabletextright"/>
            </w:pPr>
            <w:r w:rsidRPr="00FB2C11">
              <w:t>$22,000</w:t>
            </w:r>
          </w:p>
        </w:tc>
        <w:tc>
          <w:tcPr>
            <w:tcW w:w="1276" w:type="dxa"/>
            <w:noWrap/>
            <w:hideMark/>
          </w:tcPr>
          <w:p w:rsidR="0092299C" w:rsidRPr="00FB2C11" w:rsidRDefault="0092299C" w:rsidP="0092299C">
            <w:pPr>
              <w:pStyle w:val="ARtabletextright"/>
            </w:pPr>
            <w:r w:rsidRPr="00FB2C11">
              <w:t>$8,000</w:t>
            </w:r>
          </w:p>
        </w:tc>
      </w:tr>
      <w:tr w:rsidR="0092299C" w:rsidRPr="00FB2C11" w:rsidTr="0084694E">
        <w:tc>
          <w:tcPr>
            <w:tcW w:w="2194" w:type="dxa"/>
            <w:noWrap/>
            <w:hideMark/>
          </w:tcPr>
          <w:p w:rsidR="0092299C" w:rsidRPr="00FB2C11" w:rsidRDefault="0092299C" w:rsidP="0092299C">
            <w:pPr>
              <w:pStyle w:val="ARtabletext"/>
            </w:pPr>
            <w:r w:rsidRPr="00FB2C11">
              <w:t>Pitcher Partners Consulting Pty Ltd</w:t>
            </w:r>
          </w:p>
        </w:tc>
        <w:tc>
          <w:tcPr>
            <w:tcW w:w="3771" w:type="dxa"/>
            <w:noWrap/>
            <w:hideMark/>
          </w:tcPr>
          <w:p w:rsidR="0092299C" w:rsidRPr="00FB2C11" w:rsidRDefault="0092299C" w:rsidP="0092299C">
            <w:pPr>
              <w:pStyle w:val="ARtabletext"/>
            </w:pPr>
            <w:r w:rsidRPr="00FB2C11">
              <w:t>Review, funding model, Community Services Agreement</w:t>
            </w:r>
          </w:p>
        </w:tc>
        <w:tc>
          <w:tcPr>
            <w:tcW w:w="1275" w:type="dxa"/>
            <w:noWrap/>
            <w:hideMark/>
          </w:tcPr>
          <w:p w:rsidR="0092299C" w:rsidRPr="00FB2C11" w:rsidRDefault="0092299C" w:rsidP="0092299C">
            <w:pPr>
              <w:pStyle w:val="ARtabletextright"/>
            </w:pPr>
            <w:r w:rsidRPr="00FB2C11">
              <w:t>$25,000</w:t>
            </w:r>
          </w:p>
        </w:tc>
        <w:tc>
          <w:tcPr>
            <w:tcW w:w="1276" w:type="dxa"/>
            <w:noWrap/>
            <w:hideMark/>
          </w:tcPr>
          <w:p w:rsidR="0092299C" w:rsidRPr="00FB2C11" w:rsidRDefault="0092299C" w:rsidP="0092299C">
            <w:pPr>
              <w:pStyle w:val="ARtabletextright"/>
            </w:pPr>
            <w:r w:rsidRPr="00FB2C11">
              <w:t>$14,000</w:t>
            </w:r>
          </w:p>
        </w:tc>
        <w:tc>
          <w:tcPr>
            <w:tcW w:w="1276" w:type="dxa"/>
            <w:noWrap/>
            <w:hideMark/>
          </w:tcPr>
          <w:p w:rsidR="0092299C" w:rsidRPr="00FB2C11" w:rsidRDefault="0092299C" w:rsidP="0092299C">
            <w:pPr>
              <w:pStyle w:val="ARtabletextright"/>
            </w:pPr>
            <w:r w:rsidRPr="00FB2C11">
              <w:t>$11,000</w:t>
            </w:r>
          </w:p>
        </w:tc>
      </w:tr>
      <w:tr w:rsidR="0092299C" w:rsidRPr="00FB2C11" w:rsidTr="0084694E">
        <w:tc>
          <w:tcPr>
            <w:tcW w:w="2194" w:type="dxa"/>
            <w:noWrap/>
            <w:hideMark/>
          </w:tcPr>
          <w:p w:rsidR="0092299C" w:rsidRPr="00FB2C11" w:rsidRDefault="0092299C" w:rsidP="0092299C">
            <w:pPr>
              <w:pStyle w:val="ARtabletext"/>
            </w:pPr>
            <w:r w:rsidRPr="00FB2C11">
              <w:t xml:space="preserve">Lewis </w:t>
            </w:r>
            <w:proofErr w:type="spellStart"/>
            <w:r w:rsidRPr="00FB2C11">
              <w:t>Wanstall</w:t>
            </w:r>
            <w:proofErr w:type="spellEnd"/>
            <w:r w:rsidRPr="00FB2C11">
              <w:t xml:space="preserve"> &amp; Associates</w:t>
            </w:r>
          </w:p>
        </w:tc>
        <w:tc>
          <w:tcPr>
            <w:tcW w:w="3771" w:type="dxa"/>
            <w:noWrap/>
            <w:hideMark/>
          </w:tcPr>
          <w:p w:rsidR="0092299C" w:rsidRPr="00FB2C11" w:rsidRDefault="0092299C" w:rsidP="0092299C">
            <w:pPr>
              <w:pStyle w:val="ARtabletext"/>
            </w:pPr>
            <w:r w:rsidRPr="00FB2C11">
              <w:t>Review, funded organisation service</w:t>
            </w:r>
          </w:p>
        </w:tc>
        <w:tc>
          <w:tcPr>
            <w:tcW w:w="1275" w:type="dxa"/>
            <w:noWrap/>
            <w:hideMark/>
          </w:tcPr>
          <w:p w:rsidR="0092299C" w:rsidRPr="00FB2C11" w:rsidRDefault="0092299C" w:rsidP="0092299C">
            <w:pPr>
              <w:pStyle w:val="ARtabletextright"/>
            </w:pPr>
            <w:r w:rsidRPr="00FB2C11">
              <w:t>$30,164</w:t>
            </w:r>
          </w:p>
        </w:tc>
        <w:tc>
          <w:tcPr>
            <w:tcW w:w="1276" w:type="dxa"/>
            <w:noWrap/>
            <w:hideMark/>
          </w:tcPr>
          <w:p w:rsidR="0092299C" w:rsidRPr="00FB2C11" w:rsidRDefault="0092299C" w:rsidP="0092299C">
            <w:pPr>
              <w:pStyle w:val="ARtabletextright"/>
            </w:pPr>
            <w:r w:rsidRPr="00FB2C11">
              <w:t>$29,874</w:t>
            </w:r>
          </w:p>
        </w:tc>
        <w:tc>
          <w:tcPr>
            <w:tcW w:w="1276" w:type="dxa"/>
            <w:noWrap/>
            <w:hideMark/>
          </w:tcPr>
          <w:p w:rsidR="0092299C" w:rsidRPr="00FB2C11" w:rsidRDefault="0092299C" w:rsidP="0092299C">
            <w:pPr>
              <w:pStyle w:val="ARtabletextright"/>
            </w:pPr>
            <w:r w:rsidRPr="00FB2C11">
              <w:t>$290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Establish a program management office (Community Services Programs and Design)</w:t>
            </w:r>
          </w:p>
        </w:tc>
        <w:tc>
          <w:tcPr>
            <w:tcW w:w="1275" w:type="dxa"/>
            <w:noWrap/>
            <w:hideMark/>
          </w:tcPr>
          <w:p w:rsidR="0092299C" w:rsidRPr="00FB2C11" w:rsidRDefault="0092299C" w:rsidP="0092299C">
            <w:pPr>
              <w:pStyle w:val="ARtabletextright"/>
            </w:pPr>
            <w:r w:rsidRPr="00FB2C11">
              <w:t>$1,738,369</w:t>
            </w:r>
          </w:p>
        </w:tc>
        <w:tc>
          <w:tcPr>
            <w:tcW w:w="1276" w:type="dxa"/>
            <w:noWrap/>
            <w:hideMark/>
          </w:tcPr>
          <w:p w:rsidR="0092299C" w:rsidRPr="00FB2C11" w:rsidRDefault="0092299C" w:rsidP="0092299C">
            <w:pPr>
              <w:pStyle w:val="ARtabletextright"/>
            </w:pPr>
            <w:r w:rsidRPr="00FB2C11">
              <w:t>$724,547</w:t>
            </w:r>
          </w:p>
        </w:tc>
        <w:tc>
          <w:tcPr>
            <w:tcW w:w="1276" w:type="dxa"/>
            <w:noWrap/>
            <w:hideMark/>
          </w:tcPr>
          <w:p w:rsidR="0092299C" w:rsidRPr="00FB2C11" w:rsidRDefault="0092299C" w:rsidP="0092299C">
            <w:pPr>
              <w:pStyle w:val="ARtabletextright"/>
            </w:pPr>
            <w:r w:rsidRPr="00FB2C11">
              <w:t>$926,139</w:t>
            </w:r>
          </w:p>
        </w:tc>
      </w:tr>
      <w:tr w:rsidR="0092299C" w:rsidRPr="00FB2C11" w:rsidTr="0084694E">
        <w:tc>
          <w:tcPr>
            <w:tcW w:w="2194" w:type="dxa"/>
            <w:noWrap/>
            <w:hideMark/>
          </w:tcPr>
          <w:p w:rsidR="0092299C" w:rsidRPr="00FB2C11" w:rsidRDefault="0092299C" w:rsidP="0092299C">
            <w:pPr>
              <w:pStyle w:val="ARtabletext"/>
            </w:pPr>
            <w:r w:rsidRPr="00FB2C11">
              <w:t>Third Horizon Consulting Pty Ltd</w:t>
            </w:r>
          </w:p>
        </w:tc>
        <w:tc>
          <w:tcPr>
            <w:tcW w:w="3771" w:type="dxa"/>
            <w:noWrap/>
            <w:hideMark/>
          </w:tcPr>
          <w:p w:rsidR="0092299C" w:rsidRPr="00FB2C11" w:rsidRDefault="0092299C" w:rsidP="0092299C">
            <w:pPr>
              <w:pStyle w:val="ARtabletext"/>
            </w:pPr>
            <w:r w:rsidRPr="00FB2C11">
              <w:t>Design and analytical support, organisational redesign of human services in Victoria</w:t>
            </w:r>
          </w:p>
        </w:tc>
        <w:tc>
          <w:tcPr>
            <w:tcW w:w="1275" w:type="dxa"/>
            <w:noWrap/>
            <w:hideMark/>
          </w:tcPr>
          <w:p w:rsidR="0092299C" w:rsidRPr="00FB2C11" w:rsidRDefault="0092299C" w:rsidP="0092299C">
            <w:pPr>
              <w:pStyle w:val="ARtabletextright"/>
            </w:pPr>
            <w:r w:rsidRPr="00FB2C11">
              <w:t>$847,958</w:t>
            </w:r>
          </w:p>
        </w:tc>
        <w:tc>
          <w:tcPr>
            <w:tcW w:w="1276" w:type="dxa"/>
            <w:noWrap/>
            <w:hideMark/>
          </w:tcPr>
          <w:p w:rsidR="0092299C" w:rsidRPr="00FB2C11" w:rsidRDefault="0092299C" w:rsidP="0092299C">
            <w:pPr>
              <w:pStyle w:val="ARtabletextright"/>
            </w:pPr>
            <w:r w:rsidRPr="00FB2C11">
              <w:t>$852,186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 xml:space="preserve">Service review, </w:t>
            </w:r>
            <w:proofErr w:type="spellStart"/>
            <w:r w:rsidRPr="00FB2C11">
              <w:t>Rumbalara</w:t>
            </w:r>
            <w:proofErr w:type="spellEnd"/>
            <w:r w:rsidRPr="00FB2C11">
              <w:t xml:space="preserve"> </w:t>
            </w:r>
            <w:r>
              <w:t>A</w:t>
            </w:r>
            <w:r w:rsidRPr="00FB2C11">
              <w:t>boriginal cooperative</w:t>
            </w:r>
          </w:p>
        </w:tc>
        <w:tc>
          <w:tcPr>
            <w:tcW w:w="1275" w:type="dxa"/>
            <w:noWrap/>
            <w:hideMark/>
          </w:tcPr>
          <w:p w:rsidR="0092299C" w:rsidRPr="00FB2C11" w:rsidRDefault="0092299C" w:rsidP="0092299C">
            <w:pPr>
              <w:pStyle w:val="ARtabletextright"/>
            </w:pPr>
            <w:r w:rsidRPr="00FB2C11">
              <w:t>$108,216</w:t>
            </w:r>
          </w:p>
        </w:tc>
        <w:tc>
          <w:tcPr>
            <w:tcW w:w="1276" w:type="dxa"/>
            <w:noWrap/>
            <w:hideMark/>
          </w:tcPr>
          <w:p w:rsidR="0092299C" w:rsidRPr="00FB2C11" w:rsidRDefault="0092299C" w:rsidP="0092299C">
            <w:pPr>
              <w:pStyle w:val="ARtabletextright"/>
            </w:pPr>
            <w:r w:rsidRPr="00FB2C11">
              <w:t>$108,216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Marsden Jacob Associates</w:t>
            </w:r>
          </w:p>
        </w:tc>
        <w:tc>
          <w:tcPr>
            <w:tcW w:w="3771" w:type="dxa"/>
            <w:noWrap/>
            <w:hideMark/>
          </w:tcPr>
          <w:p w:rsidR="0092299C" w:rsidRPr="00FB2C11" w:rsidRDefault="0092299C" w:rsidP="0092299C">
            <w:pPr>
              <w:pStyle w:val="ARtabletext"/>
            </w:pPr>
            <w:r w:rsidRPr="00FB2C11">
              <w:t>Active recreation economic impact study, strategy and action plan</w:t>
            </w:r>
          </w:p>
        </w:tc>
        <w:tc>
          <w:tcPr>
            <w:tcW w:w="1275" w:type="dxa"/>
            <w:noWrap/>
            <w:hideMark/>
          </w:tcPr>
          <w:p w:rsidR="0092299C" w:rsidRPr="00FB2C11" w:rsidRDefault="0092299C" w:rsidP="0092299C">
            <w:pPr>
              <w:pStyle w:val="ARtabletextright"/>
            </w:pPr>
            <w:r w:rsidRPr="00FB2C11">
              <w:t>$78,855</w:t>
            </w:r>
          </w:p>
        </w:tc>
        <w:tc>
          <w:tcPr>
            <w:tcW w:w="1276" w:type="dxa"/>
            <w:noWrap/>
            <w:hideMark/>
          </w:tcPr>
          <w:p w:rsidR="0092299C" w:rsidRPr="00FB2C11" w:rsidRDefault="0092299C" w:rsidP="0092299C">
            <w:pPr>
              <w:pStyle w:val="ARtabletextright"/>
            </w:pPr>
            <w:r w:rsidRPr="00FB2C11">
              <w:t>$61,505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Bevington</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environmental public health team lean role</w:t>
            </w:r>
          </w:p>
        </w:tc>
        <w:tc>
          <w:tcPr>
            <w:tcW w:w="1275" w:type="dxa"/>
            <w:noWrap/>
            <w:hideMark/>
          </w:tcPr>
          <w:p w:rsidR="0092299C" w:rsidRPr="00FB2C11" w:rsidRDefault="0092299C" w:rsidP="0092299C">
            <w:pPr>
              <w:pStyle w:val="ARtabletextright"/>
            </w:pPr>
            <w:r w:rsidRPr="00FB2C11">
              <w:t>$19,944</w:t>
            </w:r>
          </w:p>
        </w:tc>
        <w:tc>
          <w:tcPr>
            <w:tcW w:w="1276" w:type="dxa"/>
            <w:noWrap/>
            <w:hideMark/>
          </w:tcPr>
          <w:p w:rsidR="0092299C" w:rsidRPr="00FB2C11" w:rsidRDefault="0092299C" w:rsidP="0092299C">
            <w:pPr>
              <w:pStyle w:val="ARtabletextright"/>
            </w:pPr>
            <w:r w:rsidRPr="00FB2C11">
              <w:t>$9,904</w:t>
            </w:r>
          </w:p>
        </w:tc>
        <w:tc>
          <w:tcPr>
            <w:tcW w:w="1276" w:type="dxa"/>
            <w:noWrap/>
            <w:hideMark/>
          </w:tcPr>
          <w:p w:rsidR="0092299C" w:rsidRPr="00FB2C11" w:rsidRDefault="0092299C" w:rsidP="0092299C">
            <w:pPr>
              <w:pStyle w:val="ARtabletextright"/>
            </w:pPr>
            <w:r w:rsidRPr="00FB2C11">
              <w:t>$136</w:t>
            </w:r>
          </w:p>
        </w:tc>
      </w:tr>
      <w:tr w:rsidR="0092299C" w:rsidRPr="00FB2C11" w:rsidTr="0084694E">
        <w:tc>
          <w:tcPr>
            <w:tcW w:w="2194" w:type="dxa"/>
            <w:noWrap/>
            <w:hideMark/>
          </w:tcPr>
          <w:p w:rsidR="0092299C" w:rsidRPr="00FB2C11" w:rsidRDefault="0092299C" w:rsidP="0092299C">
            <w:pPr>
              <w:pStyle w:val="ARtabletext"/>
            </w:pPr>
            <w:proofErr w:type="spellStart"/>
            <w:r w:rsidRPr="00FB2C11">
              <w:t>Techstrat</w:t>
            </w:r>
            <w:proofErr w:type="spellEnd"/>
            <w:r w:rsidRPr="00FB2C11">
              <w:t xml:space="preserve"> Research Pty Ltd</w:t>
            </w:r>
          </w:p>
        </w:tc>
        <w:tc>
          <w:tcPr>
            <w:tcW w:w="3771" w:type="dxa"/>
            <w:noWrap/>
            <w:hideMark/>
          </w:tcPr>
          <w:p w:rsidR="0092299C" w:rsidRPr="00FB2C11" w:rsidRDefault="0092299C" w:rsidP="0092299C">
            <w:pPr>
              <w:pStyle w:val="ARtabletext"/>
            </w:pPr>
            <w:r w:rsidRPr="00FB2C11">
              <w:t>Evaluate, Efficiency Through Design pharmacy project and develop publication</w:t>
            </w:r>
          </w:p>
        </w:tc>
        <w:tc>
          <w:tcPr>
            <w:tcW w:w="1275" w:type="dxa"/>
            <w:noWrap/>
            <w:hideMark/>
          </w:tcPr>
          <w:p w:rsidR="0092299C" w:rsidRPr="00FB2C11" w:rsidRDefault="0092299C" w:rsidP="0092299C">
            <w:pPr>
              <w:pStyle w:val="ARtabletextright"/>
            </w:pPr>
            <w:r w:rsidRPr="00FB2C11">
              <w:t>$20,000</w:t>
            </w:r>
          </w:p>
        </w:tc>
        <w:tc>
          <w:tcPr>
            <w:tcW w:w="1276" w:type="dxa"/>
            <w:noWrap/>
            <w:hideMark/>
          </w:tcPr>
          <w:p w:rsidR="0092299C" w:rsidRPr="00FB2C11" w:rsidRDefault="0092299C" w:rsidP="0092299C">
            <w:pPr>
              <w:pStyle w:val="ARtabletextright"/>
            </w:pPr>
            <w:r w:rsidRPr="00FB2C11">
              <w:t>$20,000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Ashley </w:t>
            </w:r>
            <w:proofErr w:type="spellStart"/>
            <w:r w:rsidRPr="00FB2C11">
              <w:t>Admiraal</w:t>
            </w:r>
            <w:proofErr w:type="spellEnd"/>
          </w:p>
        </w:tc>
        <w:tc>
          <w:tcPr>
            <w:tcW w:w="3771" w:type="dxa"/>
            <w:noWrap/>
            <w:hideMark/>
          </w:tcPr>
          <w:p w:rsidR="0092299C" w:rsidRPr="00FB2C11" w:rsidRDefault="0092299C" w:rsidP="0092299C">
            <w:pPr>
              <w:pStyle w:val="ARtabletext"/>
            </w:pPr>
            <w:r w:rsidRPr="00FB2C11">
              <w:t>Develop statements of expectation, high performance trusts</w:t>
            </w:r>
          </w:p>
        </w:tc>
        <w:tc>
          <w:tcPr>
            <w:tcW w:w="1275" w:type="dxa"/>
            <w:noWrap/>
            <w:hideMark/>
          </w:tcPr>
          <w:p w:rsidR="0092299C" w:rsidRPr="00FB2C11" w:rsidRDefault="0092299C" w:rsidP="0092299C">
            <w:pPr>
              <w:pStyle w:val="ARtabletextright"/>
            </w:pPr>
            <w:r w:rsidRPr="00FB2C11">
              <w:t>$45,450</w:t>
            </w:r>
          </w:p>
        </w:tc>
        <w:tc>
          <w:tcPr>
            <w:tcW w:w="1276" w:type="dxa"/>
            <w:noWrap/>
            <w:hideMark/>
          </w:tcPr>
          <w:p w:rsidR="0092299C" w:rsidRPr="00FB2C11" w:rsidRDefault="0092299C" w:rsidP="0092299C">
            <w:pPr>
              <w:pStyle w:val="ARtabletextright"/>
            </w:pPr>
            <w:r w:rsidRPr="00FB2C11">
              <w:t>$34,142</w:t>
            </w:r>
          </w:p>
        </w:tc>
        <w:tc>
          <w:tcPr>
            <w:tcW w:w="1276" w:type="dxa"/>
            <w:noWrap/>
            <w:hideMark/>
          </w:tcPr>
          <w:p w:rsidR="0092299C" w:rsidRPr="00FB2C11" w:rsidRDefault="0092299C" w:rsidP="0092299C">
            <w:pPr>
              <w:pStyle w:val="ARtabletextright"/>
            </w:pPr>
            <w:r w:rsidRPr="00FB2C11">
              <w:t>$11,308</w:t>
            </w:r>
          </w:p>
        </w:tc>
      </w:tr>
      <w:tr w:rsidR="0092299C" w:rsidRPr="00FB2C11" w:rsidTr="0084694E">
        <w:tc>
          <w:tcPr>
            <w:tcW w:w="2194" w:type="dxa"/>
            <w:noWrap/>
            <w:hideMark/>
          </w:tcPr>
          <w:p w:rsidR="0092299C" w:rsidRPr="00FB2C11" w:rsidRDefault="0092299C" w:rsidP="0092299C">
            <w:pPr>
              <w:pStyle w:val="ARtabletext"/>
            </w:pPr>
            <w:r>
              <w:t>EY</w:t>
            </w:r>
          </w:p>
        </w:tc>
        <w:tc>
          <w:tcPr>
            <w:tcW w:w="3771" w:type="dxa"/>
            <w:noWrap/>
            <w:hideMark/>
          </w:tcPr>
          <w:p w:rsidR="0092299C" w:rsidRPr="00FB2C11" w:rsidRDefault="0092299C" w:rsidP="0092299C">
            <w:pPr>
              <w:pStyle w:val="ARtabletext"/>
            </w:pPr>
            <w:r w:rsidRPr="00FB2C11">
              <w:t>Review, Victorian Institute of Sport</w:t>
            </w:r>
          </w:p>
        </w:tc>
        <w:tc>
          <w:tcPr>
            <w:tcW w:w="1275" w:type="dxa"/>
            <w:noWrap/>
            <w:hideMark/>
          </w:tcPr>
          <w:p w:rsidR="0092299C" w:rsidRPr="00FB2C11" w:rsidRDefault="0092299C" w:rsidP="0092299C">
            <w:pPr>
              <w:pStyle w:val="ARtabletextright"/>
            </w:pPr>
            <w:r w:rsidRPr="00FB2C11">
              <w:t>$174,671</w:t>
            </w:r>
          </w:p>
        </w:tc>
        <w:tc>
          <w:tcPr>
            <w:tcW w:w="1276" w:type="dxa"/>
            <w:noWrap/>
            <w:hideMark/>
          </w:tcPr>
          <w:p w:rsidR="0092299C" w:rsidRPr="00FB2C11" w:rsidRDefault="0092299C" w:rsidP="0092299C">
            <w:pPr>
              <w:pStyle w:val="ARtabletextright"/>
            </w:pPr>
            <w:r w:rsidRPr="00FB2C11">
              <w:t>$162,833</w:t>
            </w:r>
          </w:p>
        </w:tc>
        <w:tc>
          <w:tcPr>
            <w:tcW w:w="1276" w:type="dxa"/>
            <w:noWrap/>
            <w:hideMark/>
          </w:tcPr>
          <w:p w:rsidR="0092299C" w:rsidRPr="00FB2C11" w:rsidRDefault="0092299C" w:rsidP="0092299C">
            <w:pPr>
              <w:pStyle w:val="ARtabletextright"/>
            </w:pPr>
            <w:r w:rsidRPr="00FB2C11">
              <w:t>$4,545</w:t>
            </w:r>
          </w:p>
        </w:tc>
      </w:tr>
      <w:tr w:rsidR="0092299C" w:rsidRPr="00FB2C11" w:rsidTr="0084694E">
        <w:tc>
          <w:tcPr>
            <w:tcW w:w="2194" w:type="dxa"/>
            <w:noWrap/>
            <w:hideMark/>
          </w:tcPr>
          <w:p w:rsidR="0092299C" w:rsidRPr="00FB2C11" w:rsidRDefault="0092299C" w:rsidP="0092299C">
            <w:pPr>
              <w:pStyle w:val="ARtabletext"/>
            </w:pPr>
            <w:r w:rsidRPr="00FB2C11">
              <w:t>Cancer Council Victoria</w:t>
            </w:r>
          </w:p>
        </w:tc>
        <w:tc>
          <w:tcPr>
            <w:tcW w:w="3771" w:type="dxa"/>
            <w:noWrap/>
            <w:hideMark/>
          </w:tcPr>
          <w:p w:rsidR="0092299C" w:rsidRPr="00FB2C11" w:rsidRDefault="0092299C" w:rsidP="0092299C">
            <w:pPr>
              <w:pStyle w:val="ARtabletext"/>
            </w:pPr>
            <w:r w:rsidRPr="00FB2C11">
              <w:t>Potential cancer cluster expert advisory group</w:t>
            </w:r>
          </w:p>
        </w:tc>
        <w:tc>
          <w:tcPr>
            <w:tcW w:w="1275" w:type="dxa"/>
            <w:noWrap/>
            <w:hideMark/>
          </w:tcPr>
          <w:p w:rsidR="0092299C" w:rsidRPr="00FB2C11" w:rsidRDefault="0092299C" w:rsidP="0092299C">
            <w:pPr>
              <w:pStyle w:val="ARtabletextright"/>
            </w:pPr>
            <w:r w:rsidRPr="00FB2C11">
              <w:t>$18,182</w:t>
            </w:r>
          </w:p>
        </w:tc>
        <w:tc>
          <w:tcPr>
            <w:tcW w:w="1276" w:type="dxa"/>
            <w:noWrap/>
            <w:hideMark/>
          </w:tcPr>
          <w:p w:rsidR="0092299C" w:rsidRPr="00FB2C11" w:rsidRDefault="0092299C" w:rsidP="0092299C">
            <w:pPr>
              <w:pStyle w:val="ARtabletextright"/>
            </w:pPr>
            <w:r w:rsidRPr="00FB2C11">
              <w:t>$750</w:t>
            </w:r>
          </w:p>
        </w:tc>
        <w:tc>
          <w:tcPr>
            <w:tcW w:w="1276" w:type="dxa"/>
            <w:noWrap/>
            <w:hideMark/>
          </w:tcPr>
          <w:p w:rsidR="0092299C" w:rsidRPr="00FB2C11" w:rsidRDefault="0092299C" w:rsidP="0092299C">
            <w:pPr>
              <w:pStyle w:val="ARtabletextright"/>
            </w:pPr>
            <w:r w:rsidRPr="00FB2C11">
              <w:t>$17,432</w:t>
            </w:r>
          </w:p>
        </w:tc>
      </w:tr>
      <w:tr w:rsidR="0092299C" w:rsidRPr="00FB2C11" w:rsidTr="0084694E">
        <w:tc>
          <w:tcPr>
            <w:tcW w:w="2194" w:type="dxa"/>
            <w:noWrap/>
            <w:hideMark/>
          </w:tcPr>
          <w:p w:rsidR="0092299C" w:rsidRPr="00FB2C11" w:rsidRDefault="0092299C" w:rsidP="0092299C">
            <w:pPr>
              <w:pStyle w:val="ARtabletext"/>
            </w:pPr>
            <w:r w:rsidRPr="00FB2C11">
              <w:t>Cancer Council Victoria</w:t>
            </w:r>
          </w:p>
        </w:tc>
        <w:tc>
          <w:tcPr>
            <w:tcW w:w="3771" w:type="dxa"/>
            <w:noWrap/>
            <w:hideMark/>
          </w:tcPr>
          <w:p w:rsidR="0092299C" w:rsidRPr="00FB2C11" w:rsidRDefault="0092299C" w:rsidP="0092299C">
            <w:pPr>
              <w:pStyle w:val="ARtabletext"/>
            </w:pPr>
            <w:r w:rsidRPr="00FB2C11">
              <w:t>Potential cancer cluster expert advisory group</w:t>
            </w:r>
          </w:p>
        </w:tc>
        <w:tc>
          <w:tcPr>
            <w:tcW w:w="1275" w:type="dxa"/>
            <w:noWrap/>
            <w:hideMark/>
          </w:tcPr>
          <w:p w:rsidR="0092299C" w:rsidRPr="00FB2C11" w:rsidRDefault="0092299C" w:rsidP="0092299C">
            <w:pPr>
              <w:pStyle w:val="ARtabletextright"/>
            </w:pPr>
            <w:r w:rsidRPr="00FB2C11">
              <w:t>$18,182</w:t>
            </w:r>
          </w:p>
        </w:tc>
        <w:tc>
          <w:tcPr>
            <w:tcW w:w="1276" w:type="dxa"/>
            <w:noWrap/>
            <w:hideMark/>
          </w:tcPr>
          <w:p w:rsidR="0092299C" w:rsidRPr="00FB2C11" w:rsidRDefault="0092299C" w:rsidP="0092299C">
            <w:pPr>
              <w:pStyle w:val="ARtabletextright"/>
            </w:pPr>
            <w:r w:rsidRPr="00FB2C11">
              <w:t>$5,940</w:t>
            </w:r>
          </w:p>
        </w:tc>
        <w:tc>
          <w:tcPr>
            <w:tcW w:w="1276" w:type="dxa"/>
            <w:noWrap/>
            <w:hideMark/>
          </w:tcPr>
          <w:p w:rsidR="0092299C" w:rsidRPr="00FB2C11" w:rsidRDefault="0092299C" w:rsidP="0092299C">
            <w:pPr>
              <w:pStyle w:val="ARtabletextright"/>
            </w:pPr>
            <w:r w:rsidRPr="00FB2C11">
              <w:t>$12,242</w:t>
            </w:r>
          </w:p>
        </w:tc>
      </w:tr>
      <w:tr w:rsidR="0092299C" w:rsidRPr="00FB2C11" w:rsidTr="0084694E">
        <w:tc>
          <w:tcPr>
            <w:tcW w:w="2194" w:type="dxa"/>
            <w:noWrap/>
            <w:hideMark/>
          </w:tcPr>
          <w:p w:rsidR="0092299C" w:rsidRPr="00FB2C11" w:rsidRDefault="0092299C" w:rsidP="0092299C">
            <w:pPr>
              <w:pStyle w:val="ARtabletext"/>
            </w:pPr>
            <w:r w:rsidRPr="00FB2C11">
              <w:t>Monash University</w:t>
            </w:r>
          </w:p>
        </w:tc>
        <w:tc>
          <w:tcPr>
            <w:tcW w:w="3771" w:type="dxa"/>
            <w:noWrap/>
            <w:hideMark/>
          </w:tcPr>
          <w:p w:rsidR="0092299C" w:rsidRPr="00FB2C11" w:rsidRDefault="0092299C" w:rsidP="0092299C">
            <w:pPr>
              <w:pStyle w:val="ARtabletext"/>
            </w:pPr>
            <w:r w:rsidRPr="00FB2C11">
              <w:t>Potential cancer cluster expert advisory group</w:t>
            </w:r>
          </w:p>
        </w:tc>
        <w:tc>
          <w:tcPr>
            <w:tcW w:w="1275" w:type="dxa"/>
            <w:noWrap/>
            <w:hideMark/>
          </w:tcPr>
          <w:p w:rsidR="0092299C" w:rsidRPr="00FB2C11" w:rsidRDefault="0092299C" w:rsidP="0092299C">
            <w:pPr>
              <w:pStyle w:val="ARtabletextright"/>
            </w:pPr>
            <w:r w:rsidRPr="00FB2C11">
              <w:t>$18,182</w:t>
            </w:r>
          </w:p>
        </w:tc>
        <w:tc>
          <w:tcPr>
            <w:tcW w:w="1276" w:type="dxa"/>
            <w:noWrap/>
            <w:hideMark/>
          </w:tcPr>
          <w:p w:rsidR="0092299C" w:rsidRPr="00FB2C11" w:rsidRDefault="0092299C" w:rsidP="0092299C">
            <w:pPr>
              <w:pStyle w:val="ARtabletextright"/>
            </w:pPr>
            <w:r w:rsidRPr="00FB2C11">
              <w:t>$1,950</w:t>
            </w:r>
          </w:p>
        </w:tc>
        <w:tc>
          <w:tcPr>
            <w:tcW w:w="1276" w:type="dxa"/>
            <w:noWrap/>
            <w:hideMark/>
          </w:tcPr>
          <w:p w:rsidR="0092299C" w:rsidRPr="00FB2C11" w:rsidRDefault="0092299C" w:rsidP="0092299C">
            <w:pPr>
              <w:pStyle w:val="ARtabletextright"/>
            </w:pPr>
            <w:r w:rsidRPr="00FB2C11">
              <w:t>$16,232</w:t>
            </w:r>
          </w:p>
        </w:tc>
      </w:tr>
      <w:tr w:rsidR="0092299C" w:rsidRPr="00FB2C11" w:rsidTr="0084694E">
        <w:tc>
          <w:tcPr>
            <w:tcW w:w="2194" w:type="dxa"/>
            <w:noWrap/>
            <w:hideMark/>
          </w:tcPr>
          <w:p w:rsidR="0092299C" w:rsidRPr="00FB2C11" w:rsidRDefault="0092299C" w:rsidP="0092299C">
            <w:pPr>
              <w:pStyle w:val="ARtabletext"/>
            </w:pPr>
            <w:r w:rsidRPr="00FB2C11">
              <w:t>Auckland University of Technology</w:t>
            </w:r>
          </w:p>
        </w:tc>
        <w:tc>
          <w:tcPr>
            <w:tcW w:w="3771" w:type="dxa"/>
            <w:noWrap/>
            <w:hideMark/>
          </w:tcPr>
          <w:p w:rsidR="0092299C" w:rsidRPr="00FB2C11" w:rsidRDefault="0092299C" w:rsidP="0092299C">
            <w:pPr>
              <w:pStyle w:val="ARtabletext"/>
            </w:pPr>
            <w:r w:rsidRPr="00FB2C11">
              <w:t>Standardising physical restraint</w:t>
            </w:r>
          </w:p>
        </w:tc>
        <w:tc>
          <w:tcPr>
            <w:tcW w:w="1275" w:type="dxa"/>
            <w:noWrap/>
            <w:hideMark/>
          </w:tcPr>
          <w:p w:rsidR="0092299C" w:rsidRPr="00FB2C11" w:rsidRDefault="0092299C" w:rsidP="0092299C">
            <w:pPr>
              <w:pStyle w:val="ARtabletextright"/>
            </w:pPr>
            <w:r w:rsidRPr="00FB2C11">
              <w:t>$50,386</w:t>
            </w:r>
          </w:p>
        </w:tc>
        <w:tc>
          <w:tcPr>
            <w:tcW w:w="1276" w:type="dxa"/>
            <w:noWrap/>
            <w:hideMark/>
          </w:tcPr>
          <w:p w:rsidR="0092299C" w:rsidRPr="00FB2C11" w:rsidRDefault="0092299C" w:rsidP="0092299C">
            <w:pPr>
              <w:pStyle w:val="ARtabletextright"/>
            </w:pPr>
            <w:r w:rsidRPr="00FB2C11">
              <w:t>$43,618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Review implementation, youth health and rehabilitation service</w:t>
            </w:r>
          </w:p>
        </w:tc>
        <w:tc>
          <w:tcPr>
            <w:tcW w:w="1275" w:type="dxa"/>
            <w:noWrap/>
            <w:hideMark/>
          </w:tcPr>
          <w:p w:rsidR="0092299C" w:rsidRPr="00FB2C11" w:rsidRDefault="0092299C" w:rsidP="0092299C">
            <w:pPr>
              <w:pStyle w:val="ARtabletextright"/>
            </w:pPr>
            <w:r w:rsidRPr="00FB2C11">
              <w:t>$90,416</w:t>
            </w:r>
          </w:p>
        </w:tc>
        <w:tc>
          <w:tcPr>
            <w:tcW w:w="1276" w:type="dxa"/>
            <w:noWrap/>
            <w:hideMark/>
          </w:tcPr>
          <w:p w:rsidR="0092299C" w:rsidRPr="00FB2C11" w:rsidRDefault="0092299C" w:rsidP="0092299C">
            <w:pPr>
              <w:pStyle w:val="ARtabletextright"/>
            </w:pPr>
            <w:r w:rsidRPr="00FB2C11">
              <w:t>$90,416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proofErr w:type="spellStart"/>
            <w:r w:rsidRPr="00FB2C11">
              <w:t>Statewide</w:t>
            </w:r>
            <w:proofErr w:type="spellEnd"/>
            <w:r w:rsidRPr="00FB2C11">
              <w:t xml:space="preserve"> abuse prevention strategy, people with a disability</w:t>
            </w:r>
          </w:p>
        </w:tc>
        <w:tc>
          <w:tcPr>
            <w:tcW w:w="1275" w:type="dxa"/>
            <w:noWrap/>
            <w:hideMark/>
          </w:tcPr>
          <w:p w:rsidR="0092299C" w:rsidRPr="00FB2C11" w:rsidRDefault="0092299C" w:rsidP="0092299C">
            <w:pPr>
              <w:pStyle w:val="ARtabletextright"/>
            </w:pPr>
            <w:r w:rsidRPr="00FB2C11">
              <w:t>$98,200</w:t>
            </w:r>
          </w:p>
        </w:tc>
        <w:tc>
          <w:tcPr>
            <w:tcW w:w="1276" w:type="dxa"/>
            <w:noWrap/>
            <w:hideMark/>
          </w:tcPr>
          <w:p w:rsidR="0092299C" w:rsidRPr="00FB2C11" w:rsidRDefault="0092299C" w:rsidP="0092299C">
            <w:pPr>
              <w:pStyle w:val="ARtabletextright"/>
            </w:pPr>
            <w:r w:rsidRPr="00FB2C11">
              <w:t>$72,000</w:t>
            </w:r>
          </w:p>
        </w:tc>
        <w:tc>
          <w:tcPr>
            <w:tcW w:w="1276" w:type="dxa"/>
            <w:noWrap/>
            <w:hideMark/>
          </w:tcPr>
          <w:p w:rsidR="0092299C" w:rsidRPr="00FB2C11" w:rsidRDefault="0092299C" w:rsidP="0092299C">
            <w:pPr>
              <w:pStyle w:val="ARtabletextright"/>
            </w:pPr>
            <w:r w:rsidRPr="00FB2C11">
              <w:t>$1,000</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Assistance, Universal patient identification</w:t>
            </w:r>
          </w:p>
        </w:tc>
        <w:tc>
          <w:tcPr>
            <w:tcW w:w="1275" w:type="dxa"/>
            <w:noWrap/>
            <w:hideMark/>
          </w:tcPr>
          <w:p w:rsidR="0092299C" w:rsidRPr="00FB2C11" w:rsidRDefault="0092299C" w:rsidP="0092299C">
            <w:pPr>
              <w:pStyle w:val="ARtabletextright"/>
            </w:pPr>
            <w:r w:rsidRPr="00FB2C11">
              <w:t>$45,300</w:t>
            </w:r>
          </w:p>
        </w:tc>
        <w:tc>
          <w:tcPr>
            <w:tcW w:w="1276" w:type="dxa"/>
            <w:noWrap/>
            <w:hideMark/>
          </w:tcPr>
          <w:p w:rsidR="0092299C" w:rsidRPr="00FB2C11" w:rsidRDefault="0092299C" w:rsidP="0092299C">
            <w:pPr>
              <w:pStyle w:val="ARtabletextright"/>
            </w:pPr>
            <w:r w:rsidRPr="00FB2C11">
              <w:t>$45,300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University of South Australia</w:t>
            </w:r>
          </w:p>
        </w:tc>
        <w:tc>
          <w:tcPr>
            <w:tcW w:w="3771" w:type="dxa"/>
            <w:noWrap/>
            <w:hideMark/>
          </w:tcPr>
          <w:p w:rsidR="0092299C" w:rsidRPr="00FB2C11" w:rsidRDefault="0092299C" w:rsidP="0092299C">
            <w:pPr>
              <w:pStyle w:val="ARtabletext"/>
            </w:pPr>
            <w:r w:rsidRPr="00FB2C11">
              <w:t>Review, public health messages for smoke</w:t>
            </w:r>
          </w:p>
        </w:tc>
        <w:tc>
          <w:tcPr>
            <w:tcW w:w="1275" w:type="dxa"/>
            <w:noWrap/>
            <w:hideMark/>
          </w:tcPr>
          <w:p w:rsidR="0092299C" w:rsidRPr="00FB2C11" w:rsidRDefault="0092299C" w:rsidP="0092299C">
            <w:pPr>
              <w:pStyle w:val="ARtabletextright"/>
            </w:pPr>
            <w:r w:rsidRPr="00FB2C11">
              <w:t>$22,907</w:t>
            </w:r>
          </w:p>
        </w:tc>
        <w:tc>
          <w:tcPr>
            <w:tcW w:w="1276" w:type="dxa"/>
            <w:noWrap/>
            <w:hideMark/>
          </w:tcPr>
          <w:p w:rsidR="0092299C" w:rsidRPr="00FB2C11" w:rsidRDefault="0092299C" w:rsidP="0092299C">
            <w:pPr>
              <w:pStyle w:val="ARtabletextright"/>
            </w:pPr>
            <w:r w:rsidRPr="00FB2C11">
              <w:t>$11,454</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Pam White</w:t>
            </w:r>
          </w:p>
        </w:tc>
        <w:tc>
          <w:tcPr>
            <w:tcW w:w="3771" w:type="dxa"/>
            <w:noWrap/>
            <w:hideMark/>
          </w:tcPr>
          <w:p w:rsidR="0092299C" w:rsidRPr="00FB2C11" w:rsidRDefault="0092299C" w:rsidP="0092299C">
            <w:pPr>
              <w:pStyle w:val="ARtabletext"/>
            </w:pPr>
            <w:r w:rsidRPr="00FB2C11">
              <w:t>Review, Office of chief psychiatrist</w:t>
            </w:r>
          </w:p>
        </w:tc>
        <w:tc>
          <w:tcPr>
            <w:tcW w:w="1275" w:type="dxa"/>
            <w:noWrap/>
            <w:hideMark/>
          </w:tcPr>
          <w:p w:rsidR="0092299C" w:rsidRPr="00FB2C11" w:rsidRDefault="0092299C" w:rsidP="0092299C">
            <w:pPr>
              <w:pStyle w:val="ARtabletextright"/>
            </w:pPr>
            <w:r w:rsidRPr="00FB2C11">
              <w:t>$87,500</w:t>
            </w:r>
          </w:p>
        </w:tc>
        <w:tc>
          <w:tcPr>
            <w:tcW w:w="1276" w:type="dxa"/>
            <w:noWrap/>
            <w:hideMark/>
          </w:tcPr>
          <w:p w:rsidR="0092299C" w:rsidRPr="00FB2C11" w:rsidRDefault="0092299C" w:rsidP="0092299C">
            <w:pPr>
              <w:pStyle w:val="ARtabletextright"/>
            </w:pPr>
            <w:r w:rsidRPr="00FB2C11">
              <w:t>$36,364</w:t>
            </w:r>
          </w:p>
        </w:tc>
        <w:tc>
          <w:tcPr>
            <w:tcW w:w="1276" w:type="dxa"/>
            <w:noWrap/>
            <w:hideMark/>
          </w:tcPr>
          <w:p w:rsidR="0092299C" w:rsidRPr="00FB2C11" w:rsidRDefault="0092299C" w:rsidP="0092299C">
            <w:pPr>
              <w:pStyle w:val="ARtabletextright"/>
            </w:pPr>
            <w:r w:rsidRPr="00FB2C11">
              <w:t>$51,136</w:t>
            </w:r>
          </w:p>
        </w:tc>
      </w:tr>
      <w:tr w:rsidR="0092299C" w:rsidRPr="00FB2C11" w:rsidTr="0084694E">
        <w:tc>
          <w:tcPr>
            <w:tcW w:w="2194" w:type="dxa"/>
            <w:noWrap/>
            <w:hideMark/>
          </w:tcPr>
          <w:p w:rsidR="0092299C" w:rsidRPr="00FB2C11" w:rsidRDefault="0092299C" w:rsidP="0092299C">
            <w:pPr>
              <w:pStyle w:val="ARtabletext"/>
            </w:pPr>
            <w:r w:rsidRPr="00FB2C11">
              <w:t>ACIL Allen Consulting Pty Ltd</w:t>
            </w:r>
          </w:p>
        </w:tc>
        <w:tc>
          <w:tcPr>
            <w:tcW w:w="3771" w:type="dxa"/>
            <w:noWrap/>
            <w:hideMark/>
          </w:tcPr>
          <w:p w:rsidR="0092299C" w:rsidRPr="00FB2C11" w:rsidRDefault="0092299C" w:rsidP="0092299C">
            <w:pPr>
              <w:pStyle w:val="ARtabletext"/>
            </w:pPr>
            <w:r w:rsidRPr="00FB2C11">
              <w:t>Evaluative, targeted care packages</w:t>
            </w:r>
          </w:p>
        </w:tc>
        <w:tc>
          <w:tcPr>
            <w:tcW w:w="1275" w:type="dxa"/>
            <w:noWrap/>
            <w:hideMark/>
          </w:tcPr>
          <w:p w:rsidR="0092299C" w:rsidRPr="00FB2C11" w:rsidRDefault="0092299C" w:rsidP="0092299C">
            <w:pPr>
              <w:pStyle w:val="ARtabletextright"/>
            </w:pPr>
            <w:r w:rsidRPr="00FB2C11">
              <w:t>$326,324</w:t>
            </w:r>
          </w:p>
        </w:tc>
        <w:tc>
          <w:tcPr>
            <w:tcW w:w="1276" w:type="dxa"/>
            <w:noWrap/>
            <w:hideMark/>
          </w:tcPr>
          <w:p w:rsidR="0092299C" w:rsidRPr="00FB2C11" w:rsidRDefault="0092299C" w:rsidP="0092299C">
            <w:pPr>
              <w:pStyle w:val="ARtabletextright"/>
            </w:pPr>
            <w:r w:rsidRPr="00FB2C11">
              <w:t>$293,194</w:t>
            </w:r>
          </w:p>
        </w:tc>
        <w:tc>
          <w:tcPr>
            <w:tcW w:w="1276" w:type="dxa"/>
            <w:noWrap/>
            <w:hideMark/>
          </w:tcPr>
          <w:p w:rsidR="0092299C" w:rsidRPr="00FB2C11" w:rsidRDefault="0092299C" w:rsidP="0092299C">
            <w:pPr>
              <w:pStyle w:val="ARtabletextright"/>
            </w:pPr>
            <w:r w:rsidRPr="00FB2C11">
              <w:t>$33,130</w:t>
            </w:r>
          </w:p>
        </w:tc>
      </w:tr>
      <w:tr w:rsidR="0092299C" w:rsidRPr="00FB2C11" w:rsidTr="0084694E">
        <w:tc>
          <w:tcPr>
            <w:tcW w:w="2194" w:type="dxa"/>
            <w:noWrap/>
            <w:hideMark/>
          </w:tcPr>
          <w:p w:rsidR="0092299C" w:rsidRPr="00FB2C11" w:rsidRDefault="0092299C" w:rsidP="0092299C">
            <w:pPr>
              <w:pStyle w:val="ARtabletext"/>
            </w:pPr>
            <w:r w:rsidRPr="00FB2C11">
              <w:t>Royal Australasian College of Medical Administrators</w:t>
            </w:r>
          </w:p>
        </w:tc>
        <w:tc>
          <w:tcPr>
            <w:tcW w:w="3771" w:type="dxa"/>
            <w:noWrap/>
            <w:hideMark/>
          </w:tcPr>
          <w:p w:rsidR="0092299C" w:rsidRPr="00FB2C11" w:rsidRDefault="0092299C" w:rsidP="0092299C">
            <w:pPr>
              <w:pStyle w:val="ARtabletext"/>
            </w:pPr>
            <w:r w:rsidRPr="00FB2C11">
              <w:t>Specialist training, rural and regional medical directors</w:t>
            </w:r>
          </w:p>
        </w:tc>
        <w:tc>
          <w:tcPr>
            <w:tcW w:w="1275" w:type="dxa"/>
            <w:noWrap/>
            <w:hideMark/>
          </w:tcPr>
          <w:p w:rsidR="0092299C" w:rsidRPr="00FB2C11" w:rsidRDefault="0092299C" w:rsidP="0092299C">
            <w:pPr>
              <w:pStyle w:val="ARtabletextright"/>
            </w:pPr>
            <w:r w:rsidRPr="00FB2C11">
              <w:t>$46,500</w:t>
            </w:r>
          </w:p>
        </w:tc>
        <w:tc>
          <w:tcPr>
            <w:tcW w:w="1276" w:type="dxa"/>
            <w:noWrap/>
            <w:hideMark/>
          </w:tcPr>
          <w:p w:rsidR="0092299C" w:rsidRPr="00FB2C11" w:rsidRDefault="0092299C" w:rsidP="0092299C">
            <w:pPr>
              <w:pStyle w:val="ARtabletextright"/>
            </w:pPr>
            <w:r w:rsidRPr="00FB2C11">
              <w:t>$27,900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lastRenderedPageBreak/>
              <w:t>YSAS Pty Ltd</w:t>
            </w:r>
          </w:p>
        </w:tc>
        <w:tc>
          <w:tcPr>
            <w:tcW w:w="3771" w:type="dxa"/>
            <w:noWrap/>
            <w:hideMark/>
          </w:tcPr>
          <w:p w:rsidR="0092299C" w:rsidRPr="00FB2C11" w:rsidRDefault="0092299C" w:rsidP="0092299C">
            <w:pPr>
              <w:pStyle w:val="ARtabletext"/>
            </w:pPr>
            <w:r w:rsidRPr="00FB2C11">
              <w:t>Funding arrangements for youth alcohol and drug funding</w:t>
            </w:r>
          </w:p>
        </w:tc>
        <w:tc>
          <w:tcPr>
            <w:tcW w:w="1275" w:type="dxa"/>
            <w:noWrap/>
            <w:hideMark/>
          </w:tcPr>
          <w:p w:rsidR="0092299C" w:rsidRPr="00FB2C11" w:rsidRDefault="0092299C" w:rsidP="0092299C">
            <w:pPr>
              <w:pStyle w:val="ARtabletextright"/>
            </w:pPr>
            <w:r w:rsidRPr="00FB2C11">
              <w:t>$318,182</w:t>
            </w:r>
          </w:p>
        </w:tc>
        <w:tc>
          <w:tcPr>
            <w:tcW w:w="1276" w:type="dxa"/>
            <w:noWrap/>
            <w:hideMark/>
          </w:tcPr>
          <w:p w:rsidR="0092299C" w:rsidRPr="00FB2C11" w:rsidRDefault="0092299C" w:rsidP="0092299C">
            <w:pPr>
              <w:pStyle w:val="ARtabletextright"/>
            </w:pPr>
            <w:r w:rsidRPr="00FB2C11">
              <w:t>$2,605</w:t>
            </w:r>
          </w:p>
        </w:tc>
        <w:tc>
          <w:tcPr>
            <w:tcW w:w="1276" w:type="dxa"/>
            <w:noWrap/>
            <w:hideMark/>
          </w:tcPr>
          <w:p w:rsidR="0092299C" w:rsidRPr="00FB2C11" w:rsidRDefault="0092299C" w:rsidP="0092299C">
            <w:pPr>
              <w:pStyle w:val="ARtabletextright"/>
            </w:pPr>
            <w:r w:rsidRPr="00FB2C11">
              <w:t>$275,577</w:t>
            </w:r>
          </w:p>
        </w:tc>
      </w:tr>
      <w:tr w:rsidR="0092299C" w:rsidRPr="00FB2C11" w:rsidTr="0084694E">
        <w:tc>
          <w:tcPr>
            <w:tcW w:w="2194" w:type="dxa"/>
            <w:noWrap/>
            <w:hideMark/>
          </w:tcPr>
          <w:p w:rsidR="0092299C" w:rsidRPr="00FB2C11" w:rsidRDefault="0092299C" w:rsidP="0092299C">
            <w:pPr>
              <w:pStyle w:val="ARtabletext"/>
            </w:pPr>
            <w:r w:rsidRPr="00FB2C11">
              <w:t>Data Agility Pty Ltd</w:t>
            </w:r>
          </w:p>
        </w:tc>
        <w:tc>
          <w:tcPr>
            <w:tcW w:w="3771" w:type="dxa"/>
            <w:noWrap/>
            <w:hideMark/>
          </w:tcPr>
          <w:p w:rsidR="0092299C" w:rsidRPr="00FB2C11" w:rsidRDefault="0092299C" w:rsidP="0092299C">
            <w:pPr>
              <w:pStyle w:val="ARtabletext"/>
            </w:pPr>
            <w:r w:rsidRPr="00FB2C11">
              <w:t>Support, information management strategy</w:t>
            </w:r>
          </w:p>
        </w:tc>
        <w:tc>
          <w:tcPr>
            <w:tcW w:w="1275" w:type="dxa"/>
            <w:noWrap/>
            <w:hideMark/>
          </w:tcPr>
          <w:p w:rsidR="0092299C" w:rsidRPr="00FB2C11" w:rsidRDefault="0092299C" w:rsidP="0092299C">
            <w:pPr>
              <w:pStyle w:val="ARtabletextright"/>
            </w:pPr>
            <w:r w:rsidRPr="00FB2C11">
              <w:t>$376,200</w:t>
            </w:r>
          </w:p>
        </w:tc>
        <w:tc>
          <w:tcPr>
            <w:tcW w:w="1276" w:type="dxa"/>
            <w:noWrap/>
            <w:hideMark/>
          </w:tcPr>
          <w:p w:rsidR="0092299C" w:rsidRPr="00FB2C11" w:rsidRDefault="0092299C" w:rsidP="0092299C">
            <w:pPr>
              <w:pStyle w:val="ARtabletextright"/>
            </w:pPr>
            <w:r w:rsidRPr="00FB2C11">
              <w:t>$96,200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LTA People Pty Ltd</w:t>
            </w:r>
          </w:p>
        </w:tc>
        <w:tc>
          <w:tcPr>
            <w:tcW w:w="3771" w:type="dxa"/>
            <w:noWrap/>
            <w:hideMark/>
          </w:tcPr>
          <w:p w:rsidR="0092299C" w:rsidRPr="00FB2C11" w:rsidRDefault="0092299C" w:rsidP="0092299C">
            <w:pPr>
              <w:pStyle w:val="ARtabletext"/>
            </w:pPr>
            <w:r w:rsidRPr="00FB2C11">
              <w:t>Organisational review, People and Culture</w:t>
            </w:r>
          </w:p>
        </w:tc>
        <w:tc>
          <w:tcPr>
            <w:tcW w:w="1275" w:type="dxa"/>
            <w:noWrap/>
            <w:hideMark/>
          </w:tcPr>
          <w:p w:rsidR="0092299C" w:rsidRPr="00FB2C11" w:rsidRDefault="0092299C" w:rsidP="0092299C">
            <w:pPr>
              <w:pStyle w:val="ARtabletextright"/>
            </w:pPr>
            <w:r w:rsidRPr="00FB2C11">
              <w:t>$81,873</w:t>
            </w:r>
          </w:p>
        </w:tc>
        <w:tc>
          <w:tcPr>
            <w:tcW w:w="1276" w:type="dxa"/>
            <w:noWrap/>
            <w:hideMark/>
          </w:tcPr>
          <w:p w:rsidR="0092299C" w:rsidRPr="00FB2C11" w:rsidRDefault="0092299C" w:rsidP="0092299C">
            <w:pPr>
              <w:pStyle w:val="ARtabletextright"/>
            </w:pPr>
            <w:r w:rsidRPr="00FB2C11">
              <w:t>$44,110</w:t>
            </w:r>
          </w:p>
        </w:tc>
        <w:tc>
          <w:tcPr>
            <w:tcW w:w="1276" w:type="dxa"/>
            <w:noWrap/>
            <w:hideMark/>
          </w:tcPr>
          <w:p w:rsidR="0092299C" w:rsidRPr="00FB2C11" w:rsidRDefault="0092299C" w:rsidP="0092299C">
            <w:pPr>
              <w:pStyle w:val="ARtabletextright"/>
            </w:pPr>
            <w:r w:rsidRPr="00FB2C11">
              <w:t>$3,422</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Develop service and infrastructure plan, mental health system</w:t>
            </w:r>
          </w:p>
        </w:tc>
        <w:tc>
          <w:tcPr>
            <w:tcW w:w="1275" w:type="dxa"/>
            <w:noWrap/>
            <w:hideMark/>
          </w:tcPr>
          <w:p w:rsidR="0092299C" w:rsidRPr="00FB2C11" w:rsidRDefault="0092299C" w:rsidP="0092299C">
            <w:pPr>
              <w:pStyle w:val="ARtabletextright"/>
            </w:pPr>
            <w:r w:rsidRPr="00FB2C11">
              <w:t>$480,000</w:t>
            </w:r>
          </w:p>
        </w:tc>
        <w:tc>
          <w:tcPr>
            <w:tcW w:w="1276" w:type="dxa"/>
            <w:noWrap/>
            <w:hideMark/>
          </w:tcPr>
          <w:p w:rsidR="0092299C" w:rsidRPr="00FB2C11" w:rsidRDefault="0092299C" w:rsidP="0092299C">
            <w:pPr>
              <w:pStyle w:val="ARtabletextright"/>
            </w:pPr>
            <w:r w:rsidRPr="00FB2C11">
              <w:t>$480,000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Jackie </w:t>
            </w:r>
            <w:proofErr w:type="spellStart"/>
            <w:r w:rsidRPr="00FB2C11">
              <w:t>Moden</w:t>
            </w:r>
            <w:proofErr w:type="spellEnd"/>
            <w:r w:rsidRPr="00FB2C11">
              <w:t xml:space="preserve"> Consulting</w:t>
            </w:r>
          </w:p>
        </w:tc>
        <w:tc>
          <w:tcPr>
            <w:tcW w:w="3771" w:type="dxa"/>
            <w:noWrap/>
            <w:hideMark/>
          </w:tcPr>
          <w:p w:rsidR="0092299C" w:rsidRPr="00FB2C11" w:rsidRDefault="0092299C" w:rsidP="0092299C">
            <w:pPr>
              <w:pStyle w:val="ARtabletext"/>
            </w:pPr>
            <w:r w:rsidRPr="00FB2C11">
              <w:t>Review, funded organisation service</w:t>
            </w:r>
          </w:p>
        </w:tc>
        <w:tc>
          <w:tcPr>
            <w:tcW w:w="1275" w:type="dxa"/>
            <w:noWrap/>
            <w:hideMark/>
          </w:tcPr>
          <w:p w:rsidR="0092299C" w:rsidRPr="00FB2C11" w:rsidRDefault="0092299C" w:rsidP="0092299C">
            <w:pPr>
              <w:pStyle w:val="ARtabletextright"/>
            </w:pPr>
            <w:r w:rsidRPr="00FB2C11">
              <w:t>$59,250</w:t>
            </w:r>
          </w:p>
        </w:tc>
        <w:tc>
          <w:tcPr>
            <w:tcW w:w="1276" w:type="dxa"/>
            <w:noWrap/>
            <w:hideMark/>
          </w:tcPr>
          <w:p w:rsidR="0092299C" w:rsidRPr="00FB2C11" w:rsidRDefault="0092299C" w:rsidP="0092299C">
            <w:pPr>
              <w:pStyle w:val="ARtabletextright"/>
            </w:pPr>
            <w:r w:rsidRPr="00FB2C11">
              <w:t>$25,940</w:t>
            </w:r>
          </w:p>
        </w:tc>
        <w:tc>
          <w:tcPr>
            <w:tcW w:w="1276" w:type="dxa"/>
            <w:noWrap/>
            <w:hideMark/>
          </w:tcPr>
          <w:p w:rsidR="0092299C" w:rsidRPr="00FB2C11" w:rsidRDefault="0092299C" w:rsidP="0092299C">
            <w:pPr>
              <w:pStyle w:val="ARtabletextright"/>
            </w:pPr>
            <w:r w:rsidRPr="00FB2C11">
              <w:t>$27,577</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Modelling, financial and client phasing, National Disability Insurance Scheme</w:t>
            </w:r>
          </w:p>
        </w:tc>
        <w:tc>
          <w:tcPr>
            <w:tcW w:w="1275" w:type="dxa"/>
            <w:noWrap/>
            <w:hideMark/>
          </w:tcPr>
          <w:p w:rsidR="0092299C" w:rsidRPr="00FB2C11" w:rsidRDefault="0092299C" w:rsidP="0092299C">
            <w:pPr>
              <w:pStyle w:val="ARtabletextright"/>
            </w:pPr>
            <w:r w:rsidRPr="00FB2C11">
              <w:t>$1,171,635</w:t>
            </w:r>
          </w:p>
        </w:tc>
        <w:tc>
          <w:tcPr>
            <w:tcW w:w="1276" w:type="dxa"/>
            <w:noWrap/>
            <w:hideMark/>
          </w:tcPr>
          <w:p w:rsidR="0092299C" w:rsidRPr="00FB2C11" w:rsidRDefault="0092299C" w:rsidP="0092299C">
            <w:pPr>
              <w:pStyle w:val="ARtabletextright"/>
            </w:pPr>
            <w:r w:rsidRPr="00FB2C11">
              <w:t>$1,171,633</w:t>
            </w:r>
          </w:p>
        </w:tc>
        <w:tc>
          <w:tcPr>
            <w:tcW w:w="1276" w:type="dxa"/>
            <w:noWrap/>
            <w:hideMark/>
          </w:tcPr>
          <w:p w:rsidR="0092299C" w:rsidRPr="00FB2C11" w:rsidRDefault="0092299C" w:rsidP="0092299C">
            <w:pPr>
              <w:pStyle w:val="ARtabletextright"/>
            </w:pPr>
            <w:r w:rsidRPr="00FB2C11">
              <w:t>$2</w:t>
            </w:r>
          </w:p>
        </w:tc>
      </w:tr>
      <w:tr w:rsidR="0092299C" w:rsidRPr="00FB2C11" w:rsidTr="0084694E">
        <w:tc>
          <w:tcPr>
            <w:tcW w:w="2194" w:type="dxa"/>
            <w:noWrap/>
            <w:hideMark/>
          </w:tcPr>
          <w:p w:rsidR="0092299C" w:rsidRPr="00FB2C11" w:rsidRDefault="0092299C" w:rsidP="0092299C">
            <w:pPr>
              <w:pStyle w:val="ARtabletext"/>
            </w:pPr>
            <w:r w:rsidRPr="00FB2C11">
              <w:t>Working Three Pty Ltd</w:t>
            </w:r>
          </w:p>
        </w:tc>
        <w:tc>
          <w:tcPr>
            <w:tcW w:w="3771" w:type="dxa"/>
            <w:noWrap/>
            <w:hideMark/>
          </w:tcPr>
          <w:p w:rsidR="0092299C" w:rsidRPr="00FB2C11" w:rsidRDefault="0092299C" w:rsidP="0092299C">
            <w:pPr>
              <w:pStyle w:val="ARtabletext"/>
            </w:pPr>
            <w:r w:rsidRPr="00FB2C11">
              <w:t>Development of department digital strategy</w:t>
            </w:r>
          </w:p>
        </w:tc>
        <w:tc>
          <w:tcPr>
            <w:tcW w:w="1275" w:type="dxa"/>
            <w:noWrap/>
            <w:hideMark/>
          </w:tcPr>
          <w:p w:rsidR="0092299C" w:rsidRPr="00FB2C11" w:rsidRDefault="0092299C" w:rsidP="0092299C">
            <w:pPr>
              <w:pStyle w:val="ARtabletextright"/>
            </w:pPr>
            <w:r w:rsidRPr="00FB2C11">
              <w:t>$168,773</w:t>
            </w:r>
          </w:p>
        </w:tc>
        <w:tc>
          <w:tcPr>
            <w:tcW w:w="1276" w:type="dxa"/>
            <w:noWrap/>
            <w:hideMark/>
          </w:tcPr>
          <w:p w:rsidR="0092299C" w:rsidRPr="00FB2C11" w:rsidRDefault="0092299C" w:rsidP="0092299C">
            <w:pPr>
              <w:pStyle w:val="ARtabletextright"/>
            </w:pPr>
            <w:r w:rsidRPr="00FB2C11">
              <w:t>$16,877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keepNext/>
              <w:keepLines/>
            </w:pPr>
            <w:r w:rsidRPr="00FB2C11">
              <w:t>Don Valley Consulting Pty Ltd</w:t>
            </w:r>
          </w:p>
        </w:tc>
        <w:tc>
          <w:tcPr>
            <w:tcW w:w="3771" w:type="dxa"/>
            <w:noWrap/>
            <w:hideMark/>
          </w:tcPr>
          <w:p w:rsidR="0092299C" w:rsidRPr="00FB2C11" w:rsidRDefault="0092299C" w:rsidP="0092299C">
            <w:pPr>
              <w:pStyle w:val="ARtabletext"/>
              <w:keepNext/>
              <w:keepLines/>
            </w:pPr>
            <w:r w:rsidRPr="00FB2C11">
              <w:t>Strategic industrial relations advice, current health structures</w:t>
            </w:r>
          </w:p>
        </w:tc>
        <w:tc>
          <w:tcPr>
            <w:tcW w:w="1275" w:type="dxa"/>
            <w:noWrap/>
            <w:hideMark/>
          </w:tcPr>
          <w:p w:rsidR="0092299C" w:rsidRPr="00FB2C11" w:rsidRDefault="0092299C" w:rsidP="0092299C">
            <w:pPr>
              <w:pStyle w:val="ARtabletextright"/>
            </w:pPr>
            <w:r w:rsidRPr="00FB2C11">
              <w:t>$89,545</w:t>
            </w:r>
          </w:p>
        </w:tc>
        <w:tc>
          <w:tcPr>
            <w:tcW w:w="1276" w:type="dxa"/>
            <w:noWrap/>
            <w:hideMark/>
          </w:tcPr>
          <w:p w:rsidR="0092299C" w:rsidRPr="00FB2C11" w:rsidRDefault="0092299C" w:rsidP="0092299C">
            <w:pPr>
              <w:pStyle w:val="ARtabletextright"/>
            </w:pPr>
            <w:r w:rsidRPr="00FB2C11">
              <w:t>$40,000</w:t>
            </w:r>
          </w:p>
        </w:tc>
        <w:tc>
          <w:tcPr>
            <w:tcW w:w="1276" w:type="dxa"/>
            <w:noWrap/>
            <w:hideMark/>
          </w:tcPr>
          <w:p w:rsidR="0092299C" w:rsidRPr="00FB2C11" w:rsidRDefault="0092299C" w:rsidP="0092299C">
            <w:pPr>
              <w:pStyle w:val="ARtabletextright"/>
            </w:pPr>
            <w:r w:rsidRPr="00FB2C11">
              <w:t>$49,545</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Advisory services, branch transition</w:t>
            </w:r>
          </w:p>
        </w:tc>
        <w:tc>
          <w:tcPr>
            <w:tcW w:w="1275" w:type="dxa"/>
            <w:noWrap/>
            <w:hideMark/>
          </w:tcPr>
          <w:p w:rsidR="0092299C" w:rsidRPr="00FB2C11" w:rsidRDefault="0092299C" w:rsidP="0092299C">
            <w:pPr>
              <w:pStyle w:val="ARtabletextright"/>
            </w:pPr>
            <w:r w:rsidRPr="00FB2C11">
              <w:t>$83,407</w:t>
            </w:r>
          </w:p>
        </w:tc>
        <w:tc>
          <w:tcPr>
            <w:tcW w:w="1276" w:type="dxa"/>
            <w:noWrap/>
            <w:hideMark/>
          </w:tcPr>
          <w:p w:rsidR="0092299C" w:rsidRPr="00FB2C11" w:rsidRDefault="0092299C" w:rsidP="0092299C">
            <w:pPr>
              <w:pStyle w:val="ARtabletextright"/>
            </w:pPr>
            <w:r w:rsidRPr="00FB2C11">
              <w:t>$42,496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Garjen</w:t>
            </w:r>
            <w:proofErr w:type="spellEnd"/>
            <w:r w:rsidRPr="00FB2C11">
              <w:t xml:space="preserve"> Pty Ltd</w:t>
            </w:r>
          </w:p>
        </w:tc>
        <w:tc>
          <w:tcPr>
            <w:tcW w:w="3771" w:type="dxa"/>
            <w:noWrap/>
            <w:hideMark/>
          </w:tcPr>
          <w:p w:rsidR="0092299C" w:rsidRPr="00FB2C11" w:rsidRDefault="0092299C" w:rsidP="0092299C">
            <w:pPr>
              <w:pStyle w:val="ARtabletext"/>
            </w:pPr>
            <w:r w:rsidRPr="00FB2C11">
              <w:t>Advice, industrial relations</w:t>
            </w:r>
          </w:p>
        </w:tc>
        <w:tc>
          <w:tcPr>
            <w:tcW w:w="1275" w:type="dxa"/>
            <w:noWrap/>
            <w:hideMark/>
          </w:tcPr>
          <w:p w:rsidR="0092299C" w:rsidRPr="00FB2C11" w:rsidRDefault="0092299C" w:rsidP="0092299C">
            <w:pPr>
              <w:pStyle w:val="ARtabletextright"/>
            </w:pPr>
            <w:r w:rsidRPr="00FB2C11">
              <w:t>$40,909</w:t>
            </w:r>
          </w:p>
        </w:tc>
        <w:tc>
          <w:tcPr>
            <w:tcW w:w="1276" w:type="dxa"/>
            <w:noWrap/>
            <w:hideMark/>
          </w:tcPr>
          <w:p w:rsidR="0092299C" w:rsidRPr="00FB2C11" w:rsidRDefault="0092299C" w:rsidP="0092299C">
            <w:pPr>
              <w:pStyle w:val="ARtabletextright"/>
            </w:pPr>
            <w:r w:rsidRPr="00FB2C11">
              <w:t>$2,460</w:t>
            </w:r>
          </w:p>
        </w:tc>
        <w:tc>
          <w:tcPr>
            <w:tcW w:w="1276" w:type="dxa"/>
            <w:noWrap/>
            <w:hideMark/>
          </w:tcPr>
          <w:p w:rsidR="0092299C" w:rsidRPr="00FB2C11" w:rsidRDefault="0092299C" w:rsidP="0092299C">
            <w:pPr>
              <w:pStyle w:val="ARtabletextright"/>
            </w:pPr>
            <w:r w:rsidRPr="00FB2C11">
              <w:t>$34,699</w:t>
            </w:r>
          </w:p>
        </w:tc>
      </w:tr>
      <w:tr w:rsidR="0092299C" w:rsidRPr="00FB2C11" w:rsidTr="0084694E">
        <w:tc>
          <w:tcPr>
            <w:tcW w:w="2194" w:type="dxa"/>
            <w:noWrap/>
            <w:hideMark/>
          </w:tcPr>
          <w:p w:rsidR="0092299C" w:rsidRPr="00FB2C11" w:rsidRDefault="0092299C" w:rsidP="0092299C">
            <w:pPr>
              <w:pStyle w:val="ARtabletext"/>
            </w:pPr>
            <w:proofErr w:type="spellStart"/>
            <w:r w:rsidRPr="00FB2C11">
              <w:t>Roleff</w:t>
            </w:r>
            <w:proofErr w:type="spellEnd"/>
            <w:r w:rsidRPr="00FB2C11">
              <w:t xml:space="preserve"> Consulting Services</w:t>
            </w:r>
          </w:p>
        </w:tc>
        <w:tc>
          <w:tcPr>
            <w:tcW w:w="3771" w:type="dxa"/>
            <w:noWrap/>
            <w:hideMark/>
          </w:tcPr>
          <w:p w:rsidR="0092299C" w:rsidRPr="00FB2C11" w:rsidRDefault="0092299C" w:rsidP="0092299C">
            <w:pPr>
              <w:pStyle w:val="ARtabletext"/>
            </w:pPr>
            <w:r w:rsidRPr="00FB2C11">
              <w:t>Review, community sector organisation insurance</w:t>
            </w:r>
          </w:p>
        </w:tc>
        <w:tc>
          <w:tcPr>
            <w:tcW w:w="1275" w:type="dxa"/>
            <w:noWrap/>
            <w:hideMark/>
          </w:tcPr>
          <w:p w:rsidR="0092299C" w:rsidRPr="00FB2C11" w:rsidRDefault="0092299C" w:rsidP="0092299C">
            <w:pPr>
              <w:pStyle w:val="ARtabletextright"/>
            </w:pPr>
            <w:r w:rsidRPr="00FB2C11">
              <w:t>$22,727</w:t>
            </w:r>
          </w:p>
        </w:tc>
        <w:tc>
          <w:tcPr>
            <w:tcW w:w="1276" w:type="dxa"/>
            <w:noWrap/>
            <w:hideMark/>
          </w:tcPr>
          <w:p w:rsidR="0092299C" w:rsidRPr="00FB2C11" w:rsidRDefault="0092299C" w:rsidP="0092299C">
            <w:pPr>
              <w:pStyle w:val="ARtabletextright"/>
            </w:pPr>
            <w:r w:rsidRPr="00FB2C11">
              <w:t>$21,891</w:t>
            </w:r>
          </w:p>
        </w:tc>
        <w:tc>
          <w:tcPr>
            <w:tcW w:w="1276" w:type="dxa"/>
            <w:noWrap/>
            <w:hideMark/>
          </w:tcPr>
          <w:p w:rsidR="0092299C" w:rsidRPr="00FB2C11" w:rsidRDefault="0092299C" w:rsidP="0092299C">
            <w:pPr>
              <w:pStyle w:val="ARtabletextright"/>
            </w:pPr>
            <w:r w:rsidRPr="00FB2C11">
              <w:t>$836</w:t>
            </w:r>
          </w:p>
        </w:tc>
      </w:tr>
      <w:tr w:rsidR="0092299C" w:rsidRPr="00FB2C11" w:rsidTr="0084694E">
        <w:tc>
          <w:tcPr>
            <w:tcW w:w="2194" w:type="dxa"/>
            <w:noWrap/>
            <w:hideMark/>
          </w:tcPr>
          <w:p w:rsidR="0092299C" w:rsidRPr="00FB2C11" w:rsidRDefault="0092299C" w:rsidP="0092299C">
            <w:pPr>
              <w:pStyle w:val="ARtabletext"/>
            </w:pPr>
            <w:r w:rsidRPr="00FB2C11">
              <w:t>Due Diligence Consultants Pty Ltd</w:t>
            </w:r>
          </w:p>
        </w:tc>
        <w:tc>
          <w:tcPr>
            <w:tcW w:w="3771" w:type="dxa"/>
            <w:noWrap/>
            <w:hideMark/>
          </w:tcPr>
          <w:p w:rsidR="0092299C" w:rsidRPr="00FB2C11" w:rsidRDefault="0092299C" w:rsidP="0092299C">
            <w:pPr>
              <w:pStyle w:val="ARtabletext"/>
            </w:pPr>
            <w:r w:rsidRPr="00FB2C11">
              <w:t>Develop project monitoring, assessment and management processes (due diligence)</w:t>
            </w:r>
          </w:p>
        </w:tc>
        <w:tc>
          <w:tcPr>
            <w:tcW w:w="1275" w:type="dxa"/>
            <w:noWrap/>
            <w:hideMark/>
          </w:tcPr>
          <w:p w:rsidR="0092299C" w:rsidRPr="00FB2C11" w:rsidRDefault="0092299C" w:rsidP="0092299C">
            <w:pPr>
              <w:pStyle w:val="ARtabletextright"/>
            </w:pPr>
            <w:r w:rsidRPr="00FB2C11">
              <w:t>$79,070</w:t>
            </w:r>
          </w:p>
        </w:tc>
        <w:tc>
          <w:tcPr>
            <w:tcW w:w="1276" w:type="dxa"/>
            <w:noWrap/>
            <w:hideMark/>
          </w:tcPr>
          <w:p w:rsidR="0092299C" w:rsidRPr="00FB2C11" w:rsidRDefault="0092299C" w:rsidP="0092299C">
            <w:pPr>
              <w:pStyle w:val="ARtabletextright"/>
            </w:pPr>
            <w:r w:rsidRPr="00FB2C11">
              <w:t>$18,300</w:t>
            </w:r>
          </w:p>
        </w:tc>
        <w:tc>
          <w:tcPr>
            <w:tcW w:w="1276" w:type="dxa"/>
            <w:noWrap/>
            <w:hideMark/>
          </w:tcPr>
          <w:p w:rsidR="0092299C" w:rsidRPr="00FB2C11" w:rsidRDefault="0092299C" w:rsidP="0092299C">
            <w:pPr>
              <w:pStyle w:val="ARtabletextright"/>
            </w:pPr>
            <w:r w:rsidRPr="00FB2C11">
              <w:t>$54,450</w:t>
            </w:r>
          </w:p>
        </w:tc>
      </w:tr>
      <w:tr w:rsidR="0092299C" w:rsidRPr="00FB2C11" w:rsidTr="0084694E">
        <w:tc>
          <w:tcPr>
            <w:tcW w:w="2194" w:type="dxa"/>
            <w:noWrap/>
            <w:hideMark/>
          </w:tcPr>
          <w:p w:rsidR="0092299C" w:rsidRPr="00FB2C11" w:rsidRDefault="0092299C" w:rsidP="0092299C">
            <w:pPr>
              <w:pStyle w:val="ARtabletext"/>
            </w:pPr>
            <w:r w:rsidRPr="00FB2C11">
              <w:t>Pitcher Partners</w:t>
            </w:r>
          </w:p>
        </w:tc>
        <w:tc>
          <w:tcPr>
            <w:tcW w:w="3771" w:type="dxa"/>
            <w:noWrap/>
            <w:hideMark/>
          </w:tcPr>
          <w:p w:rsidR="0092299C" w:rsidRPr="00FB2C11" w:rsidRDefault="0092299C" w:rsidP="0092299C">
            <w:pPr>
              <w:pStyle w:val="ARtabletext"/>
            </w:pPr>
            <w:r w:rsidRPr="00FB2C11">
              <w:t xml:space="preserve">Evaluation, nursing </w:t>
            </w:r>
            <w:r>
              <w:t>and</w:t>
            </w:r>
            <w:r w:rsidRPr="00FB2C11">
              <w:t xml:space="preserve"> midwifery undergraduate pilot</w:t>
            </w:r>
          </w:p>
        </w:tc>
        <w:tc>
          <w:tcPr>
            <w:tcW w:w="1275" w:type="dxa"/>
            <w:noWrap/>
            <w:hideMark/>
          </w:tcPr>
          <w:p w:rsidR="0092299C" w:rsidRPr="00FB2C11" w:rsidRDefault="0092299C" w:rsidP="0092299C">
            <w:pPr>
              <w:pStyle w:val="ARtabletextright"/>
            </w:pPr>
            <w:r w:rsidRPr="00FB2C11">
              <w:t>$119,818</w:t>
            </w:r>
          </w:p>
        </w:tc>
        <w:tc>
          <w:tcPr>
            <w:tcW w:w="1276" w:type="dxa"/>
            <w:noWrap/>
            <w:hideMark/>
          </w:tcPr>
          <w:p w:rsidR="0092299C" w:rsidRPr="00FB2C11" w:rsidRDefault="0092299C" w:rsidP="0092299C">
            <w:pPr>
              <w:pStyle w:val="ARtabletextright"/>
            </w:pPr>
            <w:r w:rsidRPr="00FB2C11">
              <w:t>$63,000</w:t>
            </w:r>
          </w:p>
        </w:tc>
        <w:tc>
          <w:tcPr>
            <w:tcW w:w="1276" w:type="dxa"/>
            <w:noWrap/>
            <w:hideMark/>
          </w:tcPr>
          <w:p w:rsidR="0092299C" w:rsidRPr="00FB2C11" w:rsidRDefault="0092299C" w:rsidP="0092299C">
            <w:pPr>
              <w:pStyle w:val="ARtabletextright"/>
            </w:pPr>
            <w:r w:rsidRPr="00FB2C11">
              <w:t>$34,668</w:t>
            </w:r>
          </w:p>
        </w:tc>
      </w:tr>
      <w:tr w:rsidR="0092299C" w:rsidRPr="00FB2C11" w:rsidTr="0084694E">
        <w:tc>
          <w:tcPr>
            <w:tcW w:w="2194" w:type="dxa"/>
            <w:noWrap/>
            <w:hideMark/>
          </w:tcPr>
          <w:p w:rsidR="0092299C" w:rsidRPr="00FB2C11" w:rsidRDefault="0092299C" w:rsidP="0092299C">
            <w:pPr>
              <w:pStyle w:val="ARtabletext"/>
            </w:pPr>
            <w:proofErr w:type="spellStart"/>
            <w:r w:rsidRPr="00FB2C11">
              <w:t>Workwell</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Victorian Disability Advocacy Program</w:t>
            </w:r>
          </w:p>
        </w:tc>
        <w:tc>
          <w:tcPr>
            <w:tcW w:w="1275" w:type="dxa"/>
            <w:noWrap/>
            <w:hideMark/>
          </w:tcPr>
          <w:p w:rsidR="0092299C" w:rsidRPr="00FB2C11" w:rsidRDefault="0092299C" w:rsidP="0092299C">
            <w:pPr>
              <w:pStyle w:val="ARtabletextright"/>
            </w:pPr>
            <w:r w:rsidRPr="00FB2C11">
              <w:t>$36,500</w:t>
            </w:r>
          </w:p>
        </w:tc>
        <w:tc>
          <w:tcPr>
            <w:tcW w:w="1276" w:type="dxa"/>
            <w:noWrap/>
            <w:hideMark/>
          </w:tcPr>
          <w:p w:rsidR="0092299C" w:rsidRPr="00FB2C11" w:rsidRDefault="0092299C" w:rsidP="0092299C">
            <w:pPr>
              <w:pStyle w:val="ARtabletextright"/>
            </w:pPr>
            <w:r w:rsidRPr="00FB2C11">
              <w:t>$10,038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Ru Enterprises Pty Ltd</w:t>
            </w:r>
          </w:p>
        </w:tc>
        <w:tc>
          <w:tcPr>
            <w:tcW w:w="3771" w:type="dxa"/>
            <w:noWrap/>
            <w:hideMark/>
          </w:tcPr>
          <w:p w:rsidR="0092299C" w:rsidRPr="00FB2C11" w:rsidRDefault="0092299C" w:rsidP="0092299C">
            <w:pPr>
              <w:pStyle w:val="ARtabletext"/>
            </w:pPr>
            <w:r w:rsidRPr="00FB2C11">
              <w:t>Technical support, Personal Alert Victoria procurement project</w:t>
            </w:r>
          </w:p>
        </w:tc>
        <w:tc>
          <w:tcPr>
            <w:tcW w:w="1275" w:type="dxa"/>
            <w:noWrap/>
            <w:hideMark/>
          </w:tcPr>
          <w:p w:rsidR="0092299C" w:rsidRPr="00FB2C11" w:rsidRDefault="0092299C" w:rsidP="0092299C">
            <w:pPr>
              <w:pStyle w:val="ARtabletextright"/>
            </w:pPr>
            <w:r w:rsidRPr="00FB2C11">
              <w:t>$150,802</w:t>
            </w:r>
          </w:p>
        </w:tc>
        <w:tc>
          <w:tcPr>
            <w:tcW w:w="1276" w:type="dxa"/>
            <w:noWrap/>
            <w:hideMark/>
          </w:tcPr>
          <w:p w:rsidR="0092299C" w:rsidRPr="00FB2C11" w:rsidRDefault="0092299C" w:rsidP="0092299C">
            <w:pPr>
              <w:pStyle w:val="ARtabletextright"/>
            </w:pPr>
            <w:r w:rsidRPr="00FB2C11">
              <w:t>$49,984</w:t>
            </w:r>
          </w:p>
        </w:tc>
        <w:tc>
          <w:tcPr>
            <w:tcW w:w="1276" w:type="dxa"/>
            <w:noWrap/>
            <w:hideMark/>
          </w:tcPr>
          <w:p w:rsidR="0092299C" w:rsidRPr="00FB2C11" w:rsidRDefault="0092299C" w:rsidP="0092299C">
            <w:pPr>
              <w:pStyle w:val="ARtabletextright"/>
            </w:pPr>
            <w:r w:rsidRPr="00FB2C11">
              <w:t>$89,639</w:t>
            </w:r>
          </w:p>
        </w:tc>
      </w:tr>
      <w:tr w:rsidR="0092299C" w:rsidRPr="00FB2C11" w:rsidTr="0084694E">
        <w:tc>
          <w:tcPr>
            <w:tcW w:w="2194" w:type="dxa"/>
            <w:noWrap/>
            <w:hideMark/>
          </w:tcPr>
          <w:p w:rsidR="0092299C" w:rsidRPr="00FB2C11" w:rsidRDefault="0092299C" w:rsidP="0092299C">
            <w:pPr>
              <w:pStyle w:val="ARtabletext"/>
            </w:pPr>
            <w:r w:rsidRPr="00FB2C11">
              <w:t xml:space="preserve">Cathy Balding </w:t>
            </w:r>
            <w:proofErr w:type="spellStart"/>
            <w:r w:rsidRPr="00FB2C11">
              <w:t>Qualityworks</w:t>
            </w:r>
            <w:proofErr w:type="spellEnd"/>
          </w:p>
        </w:tc>
        <w:tc>
          <w:tcPr>
            <w:tcW w:w="3771" w:type="dxa"/>
            <w:noWrap/>
            <w:hideMark/>
          </w:tcPr>
          <w:p w:rsidR="0092299C" w:rsidRPr="00FB2C11" w:rsidRDefault="0092299C" w:rsidP="0092299C">
            <w:pPr>
              <w:pStyle w:val="ARtabletext"/>
            </w:pPr>
            <w:r w:rsidRPr="00FB2C11">
              <w:t>Review, clinical governance: effectiveness testing</w:t>
            </w:r>
          </w:p>
        </w:tc>
        <w:tc>
          <w:tcPr>
            <w:tcW w:w="1275" w:type="dxa"/>
            <w:noWrap/>
            <w:hideMark/>
          </w:tcPr>
          <w:p w:rsidR="0092299C" w:rsidRPr="00FB2C11" w:rsidRDefault="0092299C" w:rsidP="0092299C">
            <w:pPr>
              <w:pStyle w:val="ARtabletextright"/>
            </w:pPr>
            <w:r w:rsidRPr="00FB2C11">
              <w:t>$29,100</w:t>
            </w:r>
          </w:p>
        </w:tc>
        <w:tc>
          <w:tcPr>
            <w:tcW w:w="1276" w:type="dxa"/>
            <w:noWrap/>
            <w:hideMark/>
          </w:tcPr>
          <w:p w:rsidR="0092299C" w:rsidRPr="00FB2C11" w:rsidRDefault="0092299C" w:rsidP="0092299C">
            <w:pPr>
              <w:pStyle w:val="ARtabletextright"/>
            </w:pPr>
            <w:r w:rsidRPr="00FB2C11">
              <w:t>$1,709</w:t>
            </w:r>
          </w:p>
        </w:tc>
        <w:tc>
          <w:tcPr>
            <w:tcW w:w="1276" w:type="dxa"/>
            <w:noWrap/>
            <w:hideMark/>
          </w:tcPr>
          <w:p w:rsidR="0092299C" w:rsidRPr="00FB2C11" w:rsidRDefault="0092299C" w:rsidP="0092299C">
            <w:pPr>
              <w:pStyle w:val="ARtabletextright"/>
            </w:pPr>
            <w:r w:rsidRPr="00FB2C11">
              <w:t>$27,391</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Review, Health Ministerial Advisory Committees</w:t>
            </w:r>
          </w:p>
        </w:tc>
        <w:tc>
          <w:tcPr>
            <w:tcW w:w="1275" w:type="dxa"/>
            <w:noWrap/>
            <w:hideMark/>
          </w:tcPr>
          <w:p w:rsidR="0092299C" w:rsidRPr="00FB2C11" w:rsidRDefault="0092299C" w:rsidP="0092299C">
            <w:pPr>
              <w:pStyle w:val="ARtabletextright"/>
            </w:pPr>
            <w:r w:rsidRPr="00FB2C11">
              <w:t>$136,255</w:t>
            </w:r>
          </w:p>
        </w:tc>
        <w:tc>
          <w:tcPr>
            <w:tcW w:w="1276" w:type="dxa"/>
            <w:noWrap/>
            <w:hideMark/>
          </w:tcPr>
          <w:p w:rsidR="0092299C" w:rsidRPr="00FB2C11" w:rsidRDefault="0092299C" w:rsidP="0092299C">
            <w:pPr>
              <w:pStyle w:val="ARtabletextright"/>
            </w:pPr>
            <w:r w:rsidRPr="00FB2C11">
              <w:t>$102,823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Review, grant methodology and business process (Sport and Recreation Victoria)</w:t>
            </w:r>
          </w:p>
        </w:tc>
        <w:tc>
          <w:tcPr>
            <w:tcW w:w="1275" w:type="dxa"/>
            <w:noWrap/>
            <w:hideMark/>
          </w:tcPr>
          <w:p w:rsidR="0092299C" w:rsidRPr="00FB2C11" w:rsidRDefault="0092299C" w:rsidP="0092299C">
            <w:pPr>
              <w:pStyle w:val="ARtabletextright"/>
            </w:pPr>
            <w:r w:rsidRPr="00FB2C11">
              <w:t>$50,453</w:t>
            </w:r>
          </w:p>
        </w:tc>
        <w:tc>
          <w:tcPr>
            <w:tcW w:w="1276" w:type="dxa"/>
            <w:noWrap/>
            <w:hideMark/>
          </w:tcPr>
          <w:p w:rsidR="0092299C" w:rsidRPr="00FB2C11" w:rsidRDefault="0092299C" w:rsidP="0092299C">
            <w:pPr>
              <w:pStyle w:val="ARtabletextright"/>
            </w:pPr>
            <w:r w:rsidRPr="00FB2C11">
              <w:t>$37,840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capacity of Bendigo Health project</w:t>
            </w:r>
          </w:p>
        </w:tc>
        <w:tc>
          <w:tcPr>
            <w:tcW w:w="1275" w:type="dxa"/>
            <w:noWrap/>
            <w:hideMark/>
          </w:tcPr>
          <w:p w:rsidR="0092299C" w:rsidRPr="00FB2C11" w:rsidRDefault="0092299C" w:rsidP="0092299C">
            <w:pPr>
              <w:pStyle w:val="ARtabletextright"/>
            </w:pPr>
            <w:r w:rsidRPr="00FB2C11">
              <w:t>$40,950</w:t>
            </w:r>
          </w:p>
        </w:tc>
        <w:tc>
          <w:tcPr>
            <w:tcW w:w="1276" w:type="dxa"/>
            <w:noWrap/>
            <w:hideMark/>
          </w:tcPr>
          <w:p w:rsidR="0092299C" w:rsidRPr="00FB2C11" w:rsidRDefault="0092299C" w:rsidP="0092299C">
            <w:pPr>
              <w:pStyle w:val="ARtabletextright"/>
            </w:pPr>
            <w:r w:rsidRPr="00FB2C11">
              <w:t>$40,950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Review, guidelines for responding to quality of care concerns in out-of-home care</w:t>
            </w:r>
          </w:p>
        </w:tc>
        <w:tc>
          <w:tcPr>
            <w:tcW w:w="1275" w:type="dxa"/>
            <w:noWrap/>
            <w:hideMark/>
          </w:tcPr>
          <w:p w:rsidR="0092299C" w:rsidRPr="00FB2C11" w:rsidRDefault="0092299C" w:rsidP="0092299C">
            <w:pPr>
              <w:pStyle w:val="ARtabletextright"/>
            </w:pPr>
            <w:r w:rsidRPr="00FB2C11">
              <w:t>$226,582</w:t>
            </w:r>
          </w:p>
        </w:tc>
        <w:tc>
          <w:tcPr>
            <w:tcW w:w="1276" w:type="dxa"/>
            <w:noWrap/>
            <w:hideMark/>
          </w:tcPr>
          <w:p w:rsidR="0092299C" w:rsidRPr="00FB2C11" w:rsidRDefault="0092299C" w:rsidP="0092299C">
            <w:pPr>
              <w:pStyle w:val="ARtabletextright"/>
            </w:pPr>
            <w:r w:rsidRPr="00FB2C11">
              <w:t>$181,265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The University of Melbourne</w:t>
            </w:r>
          </w:p>
        </w:tc>
        <w:tc>
          <w:tcPr>
            <w:tcW w:w="3771" w:type="dxa"/>
            <w:noWrap/>
            <w:hideMark/>
          </w:tcPr>
          <w:p w:rsidR="0092299C" w:rsidRPr="00FB2C11" w:rsidRDefault="0092299C" w:rsidP="0092299C">
            <w:pPr>
              <w:pStyle w:val="ARtabletext"/>
            </w:pPr>
            <w:r w:rsidRPr="00FB2C11">
              <w:t>Review, working with the suicidal person: Clinical practice guideline for emergency departments and mental health services</w:t>
            </w:r>
          </w:p>
        </w:tc>
        <w:tc>
          <w:tcPr>
            <w:tcW w:w="1275" w:type="dxa"/>
            <w:noWrap/>
            <w:hideMark/>
          </w:tcPr>
          <w:p w:rsidR="0092299C" w:rsidRPr="00FB2C11" w:rsidRDefault="0092299C" w:rsidP="0092299C">
            <w:pPr>
              <w:pStyle w:val="ARtabletextright"/>
            </w:pPr>
            <w:r w:rsidRPr="00FB2C11">
              <w:t>$48,940</w:t>
            </w:r>
          </w:p>
        </w:tc>
        <w:tc>
          <w:tcPr>
            <w:tcW w:w="1276" w:type="dxa"/>
            <w:noWrap/>
            <w:hideMark/>
          </w:tcPr>
          <w:p w:rsidR="0092299C" w:rsidRPr="00FB2C11" w:rsidRDefault="0092299C" w:rsidP="0092299C">
            <w:pPr>
              <w:pStyle w:val="ARtabletextright"/>
            </w:pPr>
            <w:r w:rsidRPr="00FB2C11">
              <w:t>$26,759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Evaluation and monitoring framework, Mental Health and Drugs workforce</w:t>
            </w:r>
          </w:p>
        </w:tc>
        <w:tc>
          <w:tcPr>
            <w:tcW w:w="1275" w:type="dxa"/>
            <w:noWrap/>
            <w:hideMark/>
          </w:tcPr>
          <w:p w:rsidR="0092299C" w:rsidRPr="00FB2C11" w:rsidRDefault="0092299C" w:rsidP="0092299C">
            <w:pPr>
              <w:pStyle w:val="ARtabletextright"/>
            </w:pPr>
            <w:r w:rsidRPr="00FB2C11">
              <w:t>$169,685</w:t>
            </w:r>
          </w:p>
        </w:tc>
        <w:tc>
          <w:tcPr>
            <w:tcW w:w="1276" w:type="dxa"/>
            <w:noWrap/>
            <w:hideMark/>
          </w:tcPr>
          <w:p w:rsidR="0092299C" w:rsidRPr="00FB2C11" w:rsidRDefault="0092299C" w:rsidP="0092299C">
            <w:pPr>
              <w:pStyle w:val="ARtabletextright"/>
            </w:pPr>
            <w:r w:rsidRPr="00FB2C11">
              <w:t>$136,415</w:t>
            </w:r>
          </w:p>
        </w:tc>
        <w:tc>
          <w:tcPr>
            <w:tcW w:w="1276" w:type="dxa"/>
            <w:noWrap/>
            <w:hideMark/>
          </w:tcPr>
          <w:p w:rsidR="0092299C" w:rsidRPr="00FB2C11" w:rsidRDefault="0092299C" w:rsidP="0092299C">
            <w:pPr>
              <w:pStyle w:val="ARtabletextright"/>
            </w:pPr>
            <w:r w:rsidRPr="00FB2C11">
              <w:t>$15,882</w:t>
            </w:r>
          </w:p>
        </w:tc>
      </w:tr>
      <w:tr w:rsidR="0092299C" w:rsidRPr="00FB2C11" w:rsidTr="0084694E">
        <w:tc>
          <w:tcPr>
            <w:tcW w:w="2194" w:type="dxa"/>
            <w:noWrap/>
            <w:hideMark/>
          </w:tcPr>
          <w:p w:rsidR="0092299C" w:rsidRPr="00FB2C11" w:rsidRDefault="0092299C" w:rsidP="0092299C">
            <w:pPr>
              <w:pStyle w:val="ARtabletext"/>
            </w:pPr>
            <w:r w:rsidRPr="00FB2C11">
              <w:t>ACIL Allen Consulting Pty Ltd</w:t>
            </w:r>
          </w:p>
        </w:tc>
        <w:tc>
          <w:tcPr>
            <w:tcW w:w="3771" w:type="dxa"/>
            <w:noWrap/>
            <w:hideMark/>
          </w:tcPr>
          <w:p w:rsidR="0092299C" w:rsidRPr="00FB2C11" w:rsidRDefault="0092299C" w:rsidP="0092299C">
            <w:pPr>
              <w:pStyle w:val="ARtabletext"/>
            </w:pPr>
            <w:r w:rsidRPr="00FB2C11">
              <w:t>Identify improvement opportunities, extending choice and enhancing productivity in Health and Human Services</w:t>
            </w:r>
          </w:p>
        </w:tc>
        <w:tc>
          <w:tcPr>
            <w:tcW w:w="1275" w:type="dxa"/>
            <w:noWrap/>
            <w:hideMark/>
          </w:tcPr>
          <w:p w:rsidR="0092299C" w:rsidRPr="00FB2C11" w:rsidRDefault="0092299C" w:rsidP="0092299C">
            <w:pPr>
              <w:pStyle w:val="ARtabletextright"/>
            </w:pPr>
            <w:r w:rsidRPr="00FB2C11">
              <w:t>$160,515</w:t>
            </w:r>
          </w:p>
        </w:tc>
        <w:tc>
          <w:tcPr>
            <w:tcW w:w="1276" w:type="dxa"/>
            <w:noWrap/>
            <w:hideMark/>
          </w:tcPr>
          <w:p w:rsidR="0092299C" w:rsidRPr="00FB2C11" w:rsidRDefault="0092299C" w:rsidP="0092299C">
            <w:pPr>
              <w:pStyle w:val="ARtabletextright"/>
            </w:pPr>
            <w:r w:rsidRPr="00FB2C11">
              <w:t>$131,528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Deloitte Access Economics Pty Ltd</w:t>
            </w:r>
          </w:p>
        </w:tc>
        <w:tc>
          <w:tcPr>
            <w:tcW w:w="3771" w:type="dxa"/>
            <w:noWrap/>
            <w:hideMark/>
          </w:tcPr>
          <w:p w:rsidR="0092299C" w:rsidRPr="00FB2C11" w:rsidRDefault="0092299C" w:rsidP="0092299C">
            <w:pPr>
              <w:pStyle w:val="ARtabletext"/>
            </w:pPr>
            <w:r w:rsidRPr="00FB2C11">
              <w:t>Review, scope of long</w:t>
            </w:r>
            <w:r>
              <w:t>-</w:t>
            </w:r>
            <w:r w:rsidRPr="00FB2C11">
              <w:t>term study into potential health effects from Hazelwood coal mine fire</w:t>
            </w:r>
          </w:p>
        </w:tc>
        <w:tc>
          <w:tcPr>
            <w:tcW w:w="1275" w:type="dxa"/>
            <w:noWrap/>
            <w:hideMark/>
          </w:tcPr>
          <w:p w:rsidR="0092299C" w:rsidRPr="00FB2C11" w:rsidRDefault="0092299C" w:rsidP="0092299C">
            <w:pPr>
              <w:pStyle w:val="ARtabletextright"/>
            </w:pPr>
            <w:r w:rsidRPr="00FB2C11">
              <w:t>$248,780</w:t>
            </w:r>
          </w:p>
        </w:tc>
        <w:tc>
          <w:tcPr>
            <w:tcW w:w="1276" w:type="dxa"/>
            <w:noWrap/>
            <w:hideMark/>
          </w:tcPr>
          <w:p w:rsidR="0092299C" w:rsidRPr="00FB2C11" w:rsidRDefault="0092299C" w:rsidP="0092299C">
            <w:pPr>
              <w:pStyle w:val="ARtabletextright"/>
            </w:pPr>
            <w:r w:rsidRPr="00FB2C11">
              <w:t>$182,416</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Australian Patient Safety Foundation </w:t>
            </w:r>
            <w:proofErr w:type="spellStart"/>
            <w:r w:rsidRPr="00FB2C11">
              <w:t>Inc</w:t>
            </w:r>
            <w:proofErr w:type="spellEnd"/>
          </w:p>
        </w:tc>
        <w:tc>
          <w:tcPr>
            <w:tcW w:w="3771" w:type="dxa"/>
            <w:noWrap/>
            <w:hideMark/>
          </w:tcPr>
          <w:p w:rsidR="0092299C" w:rsidRPr="00FB2C11" w:rsidRDefault="0092299C" w:rsidP="0092299C">
            <w:pPr>
              <w:pStyle w:val="ARtabletext"/>
            </w:pPr>
            <w:r w:rsidRPr="00FB2C11">
              <w:t xml:space="preserve">Review, sentinel events in Victorian </w:t>
            </w:r>
            <w:r>
              <w:t>h</w:t>
            </w:r>
            <w:r w:rsidRPr="00FB2C11">
              <w:t xml:space="preserve">ealth </w:t>
            </w:r>
            <w:r>
              <w:t>s</w:t>
            </w:r>
            <w:r w:rsidRPr="00FB2C11">
              <w:t>ervices, 2010</w:t>
            </w:r>
            <w:r>
              <w:t>–</w:t>
            </w:r>
            <w:r w:rsidRPr="00FB2C11">
              <w:t>2015</w:t>
            </w:r>
          </w:p>
        </w:tc>
        <w:tc>
          <w:tcPr>
            <w:tcW w:w="1275" w:type="dxa"/>
            <w:noWrap/>
            <w:hideMark/>
          </w:tcPr>
          <w:p w:rsidR="0092299C" w:rsidRPr="00FB2C11" w:rsidRDefault="0092299C" w:rsidP="0092299C">
            <w:pPr>
              <w:pStyle w:val="ARtabletextright"/>
            </w:pPr>
            <w:r w:rsidRPr="00FB2C11">
              <w:t>$181,325</w:t>
            </w:r>
          </w:p>
        </w:tc>
        <w:tc>
          <w:tcPr>
            <w:tcW w:w="1276" w:type="dxa"/>
            <w:noWrap/>
            <w:hideMark/>
          </w:tcPr>
          <w:p w:rsidR="0092299C" w:rsidRPr="00FB2C11" w:rsidRDefault="0092299C" w:rsidP="0092299C">
            <w:pPr>
              <w:pStyle w:val="ARtabletextright"/>
            </w:pPr>
            <w:r w:rsidRPr="00FB2C11">
              <w:t>$164,499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lastRenderedPageBreak/>
              <w:t>Monash University</w:t>
            </w:r>
          </w:p>
        </w:tc>
        <w:tc>
          <w:tcPr>
            <w:tcW w:w="3771" w:type="dxa"/>
            <w:noWrap/>
            <w:hideMark/>
          </w:tcPr>
          <w:p w:rsidR="0092299C" w:rsidRPr="00FB2C11" w:rsidRDefault="0092299C" w:rsidP="0092299C">
            <w:pPr>
              <w:pStyle w:val="ARtabletext"/>
            </w:pPr>
            <w:r w:rsidRPr="00FB2C11">
              <w:t>Evaluation, Family Violence Risk Assessment and Management Framework</w:t>
            </w:r>
          </w:p>
        </w:tc>
        <w:tc>
          <w:tcPr>
            <w:tcW w:w="1275" w:type="dxa"/>
            <w:noWrap/>
            <w:hideMark/>
          </w:tcPr>
          <w:p w:rsidR="0092299C" w:rsidRPr="00FB2C11" w:rsidRDefault="0092299C" w:rsidP="0092299C">
            <w:pPr>
              <w:pStyle w:val="ARtabletextright"/>
            </w:pPr>
            <w:r w:rsidRPr="00FB2C11">
              <w:t>$228,257</w:t>
            </w:r>
          </w:p>
        </w:tc>
        <w:tc>
          <w:tcPr>
            <w:tcW w:w="1276" w:type="dxa"/>
            <w:noWrap/>
            <w:hideMark/>
          </w:tcPr>
          <w:p w:rsidR="0092299C" w:rsidRPr="00FB2C11" w:rsidRDefault="0092299C" w:rsidP="0092299C">
            <w:pPr>
              <w:pStyle w:val="ARtabletextright"/>
            </w:pPr>
            <w:r w:rsidRPr="00FB2C11">
              <w:t>$25,328</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Enterprise Architects Vic Pty Ltd</w:t>
            </w:r>
          </w:p>
        </w:tc>
        <w:tc>
          <w:tcPr>
            <w:tcW w:w="3771" w:type="dxa"/>
            <w:noWrap/>
            <w:hideMark/>
          </w:tcPr>
          <w:p w:rsidR="0092299C" w:rsidRPr="00FB2C11" w:rsidRDefault="0092299C" w:rsidP="0092299C">
            <w:pPr>
              <w:pStyle w:val="ARtabletext"/>
            </w:pPr>
            <w:r w:rsidRPr="00FB2C11">
              <w:t xml:space="preserve">Develop enterprise architecture, </w:t>
            </w:r>
            <w:r>
              <w:t>h</w:t>
            </w:r>
            <w:r w:rsidRPr="00FB2C11">
              <w:t>ealth</w:t>
            </w:r>
          </w:p>
        </w:tc>
        <w:tc>
          <w:tcPr>
            <w:tcW w:w="1275" w:type="dxa"/>
            <w:noWrap/>
            <w:hideMark/>
          </w:tcPr>
          <w:p w:rsidR="0092299C" w:rsidRPr="00FB2C11" w:rsidRDefault="0092299C" w:rsidP="0092299C">
            <w:pPr>
              <w:pStyle w:val="ARtabletextright"/>
            </w:pPr>
            <w:r w:rsidRPr="00FB2C11">
              <w:t>$193,391</w:t>
            </w:r>
          </w:p>
        </w:tc>
        <w:tc>
          <w:tcPr>
            <w:tcW w:w="1276" w:type="dxa"/>
            <w:noWrap/>
            <w:hideMark/>
          </w:tcPr>
          <w:p w:rsidR="0092299C" w:rsidRPr="00FB2C11" w:rsidRDefault="0092299C" w:rsidP="0092299C">
            <w:pPr>
              <w:pStyle w:val="ARtabletextright"/>
            </w:pPr>
            <w:r w:rsidRPr="00FB2C11">
              <w:t>$193,000</w:t>
            </w:r>
          </w:p>
        </w:tc>
        <w:tc>
          <w:tcPr>
            <w:tcW w:w="1276" w:type="dxa"/>
            <w:noWrap/>
            <w:hideMark/>
          </w:tcPr>
          <w:p w:rsidR="0092299C" w:rsidRPr="00FB2C11" w:rsidRDefault="0092299C" w:rsidP="0092299C">
            <w:pPr>
              <w:pStyle w:val="ARtabletextright"/>
            </w:pPr>
            <w:r w:rsidRPr="00FB2C11">
              <w:t>$391</w:t>
            </w:r>
          </w:p>
        </w:tc>
      </w:tr>
      <w:tr w:rsidR="0092299C" w:rsidRPr="00FB2C11" w:rsidTr="0084694E">
        <w:tc>
          <w:tcPr>
            <w:tcW w:w="2194" w:type="dxa"/>
            <w:noWrap/>
            <w:hideMark/>
          </w:tcPr>
          <w:p w:rsidR="0092299C" w:rsidRPr="00FB2C11" w:rsidRDefault="0092299C" w:rsidP="0092299C">
            <w:pPr>
              <w:pStyle w:val="ARtabletext"/>
            </w:pPr>
            <w:r w:rsidRPr="00FB2C11">
              <w:t>Cube Group Management Consulting</w:t>
            </w:r>
          </w:p>
        </w:tc>
        <w:tc>
          <w:tcPr>
            <w:tcW w:w="3771" w:type="dxa"/>
            <w:noWrap/>
            <w:hideMark/>
          </w:tcPr>
          <w:p w:rsidR="0092299C" w:rsidRPr="00FB2C11" w:rsidRDefault="0092299C" w:rsidP="0092299C">
            <w:pPr>
              <w:pStyle w:val="ARtabletext"/>
            </w:pPr>
            <w:r w:rsidRPr="00FB2C11">
              <w:t>Operational planning and implementation (National Disability Insurance Scheme)</w:t>
            </w:r>
          </w:p>
        </w:tc>
        <w:tc>
          <w:tcPr>
            <w:tcW w:w="1275" w:type="dxa"/>
            <w:noWrap/>
            <w:hideMark/>
          </w:tcPr>
          <w:p w:rsidR="0092299C" w:rsidRPr="00FB2C11" w:rsidRDefault="0092299C" w:rsidP="0092299C">
            <w:pPr>
              <w:pStyle w:val="ARtabletextright"/>
            </w:pPr>
            <w:r w:rsidRPr="00FB2C11">
              <w:t>$1,463,280</w:t>
            </w:r>
          </w:p>
        </w:tc>
        <w:tc>
          <w:tcPr>
            <w:tcW w:w="1276" w:type="dxa"/>
            <w:noWrap/>
            <w:hideMark/>
          </w:tcPr>
          <w:p w:rsidR="0092299C" w:rsidRPr="00FB2C11" w:rsidRDefault="0092299C" w:rsidP="0092299C">
            <w:pPr>
              <w:pStyle w:val="ARtabletextright"/>
            </w:pPr>
            <w:r w:rsidRPr="00FB2C11">
              <w:t>$706,568</w:t>
            </w:r>
          </w:p>
        </w:tc>
        <w:tc>
          <w:tcPr>
            <w:tcW w:w="1276" w:type="dxa"/>
            <w:noWrap/>
            <w:hideMark/>
          </w:tcPr>
          <w:p w:rsidR="0092299C" w:rsidRPr="00FB2C11" w:rsidRDefault="0092299C" w:rsidP="0092299C">
            <w:pPr>
              <w:pStyle w:val="ARtabletextright"/>
            </w:pPr>
            <w:r w:rsidRPr="00FB2C11">
              <w:t>$530,204</w:t>
            </w:r>
          </w:p>
        </w:tc>
      </w:tr>
      <w:tr w:rsidR="0092299C" w:rsidRPr="00FB2C11" w:rsidTr="0084694E">
        <w:tc>
          <w:tcPr>
            <w:tcW w:w="2194" w:type="dxa"/>
            <w:noWrap/>
            <w:hideMark/>
          </w:tcPr>
          <w:p w:rsidR="0092299C" w:rsidRPr="00FB2C11" w:rsidRDefault="0092299C" w:rsidP="0092299C">
            <w:pPr>
              <w:pStyle w:val="ARtabletext"/>
            </w:pPr>
            <w:r w:rsidRPr="00FB2C11">
              <w:t>Ernst &amp; Young</w:t>
            </w:r>
          </w:p>
        </w:tc>
        <w:tc>
          <w:tcPr>
            <w:tcW w:w="3771" w:type="dxa"/>
            <w:noWrap/>
            <w:hideMark/>
          </w:tcPr>
          <w:p w:rsidR="0092299C" w:rsidRPr="00FB2C11" w:rsidRDefault="0092299C" w:rsidP="0092299C">
            <w:pPr>
              <w:pStyle w:val="ARtabletext"/>
            </w:pPr>
            <w:r w:rsidRPr="00FB2C11">
              <w:t>Health data integrity audit, Victorian cost data collection</w:t>
            </w:r>
          </w:p>
        </w:tc>
        <w:tc>
          <w:tcPr>
            <w:tcW w:w="1275" w:type="dxa"/>
            <w:noWrap/>
            <w:hideMark/>
          </w:tcPr>
          <w:p w:rsidR="0092299C" w:rsidRPr="00FB2C11" w:rsidRDefault="0092299C" w:rsidP="0092299C">
            <w:pPr>
              <w:pStyle w:val="ARtabletextright"/>
            </w:pPr>
            <w:r w:rsidRPr="00FB2C11">
              <w:t>$185,900</w:t>
            </w:r>
          </w:p>
        </w:tc>
        <w:tc>
          <w:tcPr>
            <w:tcW w:w="1276" w:type="dxa"/>
            <w:noWrap/>
            <w:hideMark/>
          </w:tcPr>
          <w:p w:rsidR="0092299C" w:rsidRPr="00FB2C11" w:rsidRDefault="0092299C" w:rsidP="0092299C">
            <w:pPr>
              <w:pStyle w:val="ARtabletextright"/>
            </w:pPr>
            <w:r w:rsidRPr="00FB2C11">
              <w:t>$129,350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Christopher William Brook</w:t>
            </w:r>
          </w:p>
        </w:tc>
        <w:tc>
          <w:tcPr>
            <w:tcW w:w="3771" w:type="dxa"/>
            <w:noWrap/>
            <w:hideMark/>
          </w:tcPr>
          <w:p w:rsidR="0092299C" w:rsidRPr="00FB2C11" w:rsidRDefault="0092299C" w:rsidP="0092299C">
            <w:pPr>
              <w:pStyle w:val="ARtabletext"/>
            </w:pPr>
            <w:r w:rsidRPr="00FB2C11">
              <w:t>Advisory services, health system improvement</w:t>
            </w:r>
          </w:p>
        </w:tc>
        <w:tc>
          <w:tcPr>
            <w:tcW w:w="1275" w:type="dxa"/>
            <w:noWrap/>
            <w:hideMark/>
          </w:tcPr>
          <w:p w:rsidR="0092299C" w:rsidRPr="00FB2C11" w:rsidRDefault="0092299C" w:rsidP="0092299C">
            <w:pPr>
              <w:pStyle w:val="ARtabletextright"/>
            </w:pPr>
            <w:r w:rsidRPr="00FB2C11">
              <w:t>$88,140</w:t>
            </w:r>
          </w:p>
        </w:tc>
        <w:tc>
          <w:tcPr>
            <w:tcW w:w="1276" w:type="dxa"/>
            <w:noWrap/>
            <w:hideMark/>
          </w:tcPr>
          <w:p w:rsidR="0092299C" w:rsidRPr="00FB2C11" w:rsidRDefault="0092299C" w:rsidP="0092299C">
            <w:pPr>
              <w:pStyle w:val="ARtabletextright"/>
            </w:pPr>
            <w:r w:rsidRPr="00FB2C11">
              <w:t>$51,545</w:t>
            </w:r>
          </w:p>
        </w:tc>
        <w:tc>
          <w:tcPr>
            <w:tcW w:w="1276" w:type="dxa"/>
            <w:noWrap/>
            <w:hideMark/>
          </w:tcPr>
          <w:p w:rsidR="0092299C" w:rsidRPr="00FB2C11" w:rsidRDefault="0092299C" w:rsidP="0092299C">
            <w:pPr>
              <w:pStyle w:val="ARtabletextright"/>
            </w:pPr>
            <w:r w:rsidRPr="00FB2C11">
              <w:t>$21,340</w:t>
            </w:r>
          </w:p>
        </w:tc>
      </w:tr>
      <w:tr w:rsidR="0092299C" w:rsidRPr="00FB2C11" w:rsidTr="0084694E">
        <w:tc>
          <w:tcPr>
            <w:tcW w:w="2194" w:type="dxa"/>
            <w:noWrap/>
            <w:hideMark/>
          </w:tcPr>
          <w:p w:rsidR="0092299C" w:rsidRPr="00FB2C11" w:rsidRDefault="0092299C" w:rsidP="0092299C">
            <w:pPr>
              <w:pStyle w:val="ARtabletext"/>
            </w:pPr>
            <w:proofErr w:type="spellStart"/>
            <w:r w:rsidRPr="00FB2C11">
              <w:t>Wunan</w:t>
            </w:r>
            <w:proofErr w:type="spellEnd"/>
            <w:r w:rsidRPr="00FB2C11">
              <w:t xml:space="preserve"> Foundation </w:t>
            </w:r>
            <w:proofErr w:type="spellStart"/>
            <w:r w:rsidRPr="00FB2C11">
              <w:t>Inc</w:t>
            </w:r>
            <w:proofErr w:type="spellEnd"/>
          </w:p>
        </w:tc>
        <w:tc>
          <w:tcPr>
            <w:tcW w:w="3771" w:type="dxa"/>
            <w:noWrap/>
            <w:hideMark/>
          </w:tcPr>
          <w:p w:rsidR="0092299C" w:rsidRPr="00FB2C11" w:rsidRDefault="0092299C" w:rsidP="0092299C">
            <w:pPr>
              <w:pStyle w:val="ARtabletext"/>
            </w:pPr>
            <w:r w:rsidRPr="00FB2C11">
              <w:t xml:space="preserve">Evaluation and development, </w:t>
            </w:r>
            <w:r>
              <w:t>A</w:t>
            </w:r>
            <w:r w:rsidRPr="00FB2C11">
              <w:t>boriginal community engagement and consultation framework</w:t>
            </w:r>
          </w:p>
        </w:tc>
        <w:tc>
          <w:tcPr>
            <w:tcW w:w="1275" w:type="dxa"/>
            <w:noWrap/>
            <w:hideMark/>
          </w:tcPr>
          <w:p w:rsidR="0092299C" w:rsidRPr="00FB2C11" w:rsidRDefault="0092299C" w:rsidP="0092299C">
            <w:pPr>
              <w:pStyle w:val="ARtabletextright"/>
            </w:pPr>
            <w:r w:rsidRPr="00FB2C11">
              <w:t>$101,455</w:t>
            </w:r>
          </w:p>
        </w:tc>
        <w:tc>
          <w:tcPr>
            <w:tcW w:w="1276" w:type="dxa"/>
            <w:noWrap/>
            <w:hideMark/>
          </w:tcPr>
          <w:p w:rsidR="0092299C" w:rsidRPr="00FB2C11" w:rsidRDefault="0092299C" w:rsidP="0092299C">
            <w:pPr>
              <w:pStyle w:val="ARtabletextright"/>
            </w:pPr>
            <w:r w:rsidRPr="00FB2C11">
              <w:t>$32,909</w:t>
            </w:r>
          </w:p>
        </w:tc>
        <w:tc>
          <w:tcPr>
            <w:tcW w:w="1276" w:type="dxa"/>
            <w:noWrap/>
            <w:hideMark/>
          </w:tcPr>
          <w:p w:rsidR="0092299C" w:rsidRPr="00FB2C11" w:rsidRDefault="0092299C" w:rsidP="0092299C">
            <w:pPr>
              <w:pStyle w:val="ARtabletextright"/>
            </w:pPr>
            <w:r w:rsidRPr="00FB2C11">
              <w:t>$68,546</w:t>
            </w:r>
          </w:p>
        </w:tc>
      </w:tr>
      <w:tr w:rsidR="0092299C" w:rsidRPr="00FB2C11" w:rsidTr="0084694E">
        <w:tc>
          <w:tcPr>
            <w:tcW w:w="2194" w:type="dxa"/>
            <w:noWrap/>
            <w:hideMark/>
          </w:tcPr>
          <w:p w:rsidR="0092299C" w:rsidRPr="00FB2C11" w:rsidRDefault="0092299C" w:rsidP="0092299C">
            <w:pPr>
              <w:pStyle w:val="ARtabletext"/>
            </w:pPr>
            <w:r w:rsidRPr="00FB2C11">
              <w:t>Australian Healthcare Associates Pty Ltd</w:t>
            </w:r>
          </w:p>
        </w:tc>
        <w:tc>
          <w:tcPr>
            <w:tcW w:w="3771" w:type="dxa"/>
            <w:noWrap/>
            <w:hideMark/>
          </w:tcPr>
          <w:p w:rsidR="0092299C" w:rsidRPr="00FB2C11" w:rsidRDefault="0092299C" w:rsidP="0092299C">
            <w:pPr>
              <w:pStyle w:val="ARtabletext"/>
            </w:pPr>
            <w:r w:rsidRPr="00FB2C11">
              <w:t>Health data integrity audits, admitted subacute data</w:t>
            </w:r>
          </w:p>
        </w:tc>
        <w:tc>
          <w:tcPr>
            <w:tcW w:w="1275" w:type="dxa"/>
            <w:noWrap/>
            <w:hideMark/>
          </w:tcPr>
          <w:p w:rsidR="0092299C" w:rsidRPr="00FB2C11" w:rsidRDefault="0092299C" w:rsidP="0092299C">
            <w:pPr>
              <w:pStyle w:val="ARtabletextright"/>
            </w:pPr>
            <w:r w:rsidRPr="00FB2C11">
              <w:t>$96,338</w:t>
            </w:r>
          </w:p>
        </w:tc>
        <w:tc>
          <w:tcPr>
            <w:tcW w:w="1276" w:type="dxa"/>
            <w:noWrap/>
            <w:hideMark/>
          </w:tcPr>
          <w:p w:rsidR="0092299C" w:rsidRPr="00FB2C11" w:rsidRDefault="0092299C" w:rsidP="0092299C">
            <w:pPr>
              <w:pStyle w:val="ARtabletextright"/>
            </w:pPr>
            <w:r w:rsidRPr="00FB2C11">
              <w:t>$56,713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Carol Reeves Consulting</w:t>
            </w:r>
          </w:p>
        </w:tc>
        <w:tc>
          <w:tcPr>
            <w:tcW w:w="3771" w:type="dxa"/>
            <w:noWrap/>
            <w:hideMark/>
          </w:tcPr>
          <w:p w:rsidR="0092299C" w:rsidRPr="00FB2C11" w:rsidRDefault="0092299C" w:rsidP="0092299C">
            <w:pPr>
              <w:pStyle w:val="ARtabletext"/>
            </w:pPr>
            <w:r w:rsidRPr="00FB2C11">
              <w:t>Review, child death inquiry recommendations</w:t>
            </w:r>
          </w:p>
        </w:tc>
        <w:tc>
          <w:tcPr>
            <w:tcW w:w="1275" w:type="dxa"/>
            <w:noWrap/>
            <w:hideMark/>
          </w:tcPr>
          <w:p w:rsidR="0092299C" w:rsidRPr="00FB2C11" w:rsidRDefault="0092299C" w:rsidP="0092299C">
            <w:pPr>
              <w:pStyle w:val="ARtabletextright"/>
            </w:pPr>
            <w:r w:rsidRPr="00FB2C11">
              <w:t>$25,000</w:t>
            </w:r>
          </w:p>
        </w:tc>
        <w:tc>
          <w:tcPr>
            <w:tcW w:w="1276" w:type="dxa"/>
            <w:noWrap/>
            <w:hideMark/>
          </w:tcPr>
          <w:p w:rsidR="0092299C" w:rsidRPr="00FB2C11" w:rsidRDefault="0092299C" w:rsidP="0092299C">
            <w:pPr>
              <w:pStyle w:val="ARtabletextright"/>
            </w:pPr>
            <w:r w:rsidRPr="00FB2C11">
              <w:t>$25,000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Regina Hill Effective Consulting Pty Ltd</w:t>
            </w:r>
          </w:p>
        </w:tc>
        <w:tc>
          <w:tcPr>
            <w:tcW w:w="3771" w:type="dxa"/>
            <w:noWrap/>
            <w:hideMark/>
          </w:tcPr>
          <w:p w:rsidR="0092299C" w:rsidRPr="00FB2C11" w:rsidRDefault="0092299C" w:rsidP="0092299C">
            <w:pPr>
              <w:pStyle w:val="ARtabletext"/>
            </w:pPr>
            <w:r w:rsidRPr="00FB2C11">
              <w:t>Evaluation, children and youth area partnerships</w:t>
            </w:r>
          </w:p>
        </w:tc>
        <w:tc>
          <w:tcPr>
            <w:tcW w:w="1275" w:type="dxa"/>
            <w:noWrap/>
            <w:hideMark/>
          </w:tcPr>
          <w:p w:rsidR="0092299C" w:rsidRPr="00FB2C11" w:rsidRDefault="0092299C" w:rsidP="0092299C">
            <w:pPr>
              <w:pStyle w:val="ARtabletextright"/>
            </w:pPr>
            <w:r w:rsidRPr="00FB2C11">
              <w:t>$263,891</w:t>
            </w:r>
          </w:p>
        </w:tc>
        <w:tc>
          <w:tcPr>
            <w:tcW w:w="1276" w:type="dxa"/>
            <w:noWrap/>
            <w:hideMark/>
          </w:tcPr>
          <w:p w:rsidR="0092299C" w:rsidRPr="00FB2C11" w:rsidRDefault="0092299C" w:rsidP="0092299C">
            <w:pPr>
              <w:pStyle w:val="ARtabletextright"/>
            </w:pPr>
            <w:r w:rsidRPr="00FB2C11">
              <w:t>$140,149</w:t>
            </w:r>
          </w:p>
        </w:tc>
        <w:tc>
          <w:tcPr>
            <w:tcW w:w="1276" w:type="dxa"/>
            <w:noWrap/>
            <w:hideMark/>
          </w:tcPr>
          <w:p w:rsidR="0092299C" w:rsidRPr="00FB2C11" w:rsidRDefault="0092299C" w:rsidP="0092299C">
            <w:pPr>
              <w:pStyle w:val="ARtabletextright"/>
            </w:pPr>
            <w:r w:rsidRPr="00FB2C11">
              <w:t>$2,648</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Costing, future operating model (family violence)</w:t>
            </w:r>
          </w:p>
        </w:tc>
        <w:tc>
          <w:tcPr>
            <w:tcW w:w="1275" w:type="dxa"/>
            <w:noWrap/>
            <w:hideMark/>
          </w:tcPr>
          <w:p w:rsidR="0092299C" w:rsidRPr="00FB2C11" w:rsidRDefault="0092299C" w:rsidP="0092299C">
            <w:pPr>
              <w:pStyle w:val="ARtabletextright"/>
            </w:pPr>
            <w:r w:rsidRPr="00FB2C11">
              <w:t>$135,970</w:t>
            </w:r>
          </w:p>
        </w:tc>
        <w:tc>
          <w:tcPr>
            <w:tcW w:w="1276" w:type="dxa"/>
            <w:noWrap/>
            <w:hideMark/>
          </w:tcPr>
          <w:p w:rsidR="0092299C" w:rsidRPr="00FB2C11" w:rsidRDefault="0092299C" w:rsidP="0092299C">
            <w:pPr>
              <w:pStyle w:val="ARtabletextright"/>
            </w:pPr>
            <w:r w:rsidRPr="00FB2C11">
              <w:t>$36,510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Nous Group Pty Ltd</w:t>
            </w:r>
          </w:p>
        </w:tc>
        <w:tc>
          <w:tcPr>
            <w:tcW w:w="3771" w:type="dxa"/>
            <w:noWrap/>
            <w:hideMark/>
          </w:tcPr>
          <w:p w:rsidR="0092299C" w:rsidRPr="00FB2C11" w:rsidRDefault="0092299C" w:rsidP="0092299C">
            <w:pPr>
              <w:pStyle w:val="ARtabletext"/>
            </w:pPr>
            <w:r w:rsidRPr="00FB2C11">
              <w:t>Victorian identification system for children and young people</w:t>
            </w:r>
          </w:p>
        </w:tc>
        <w:tc>
          <w:tcPr>
            <w:tcW w:w="1275" w:type="dxa"/>
            <w:noWrap/>
            <w:hideMark/>
          </w:tcPr>
          <w:p w:rsidR="0092299C" w:rsidRPr="00FB2C11" w:rsidRDefault="0092299C" w:rsidP="0092299C">
            <w:pPr>
              <w:pStyle w:val="ARtabletextright"/>
            </w:pPr>
            <w:r w:rsidRPr="00FB2C11">
              <w:t>$170,045</w:t>
            </w:r>
          </w:p>
        </w:tc>
        <w:tc>
          <w:tcPr>
            <w:tcW w:w="1276" w:type="dxa"/>
            <w:noWrap/>
            <w:hideMark/>
          </w:tcPr>
          <w:p w:rsidR="0092299C" w:rsidRPr="00FB2C11" w:rsidRDefault="0092299C" w:rsidP="0092299C">
            <w:pPr>
              <w:pStyle w:val="ARtabletextright"/>
            </w:pPr>
            <w:r w:rsidRPr="00FB2C11">
              <w:t>$35,900</w:t>
            </w:r>
          </w:p>
        </w:tc>
        <w:tc>
          <w:tcPr>
            <w:tcW w:w="1276" w:type="dxa"/>
            <w:noWrap/>
            <w:hideMark/>
          </w:tcPr>
          <w:p w:rsidR="0092299C" w:rsidRPr="00FB2C11" w:rsidRDefault="0092299C" w:rsidP="0092299C">
            <w:pPr>
              <w:pStyle w:val="ARtabletextright"/>
            </w:pPr>
            <w:r w:rsidRPr="00FB2C11">
              <w:t>$4,438</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Asset transfer and treatment, Kardinia Park Stadium Trust</w:t>
            </w:r>
          </w:p>
        </w:tc>
        <w:tc>
          <w:tcPr>
            <w:tcW w:w="1275" w:type="dxa"/>
            <w:noWrap/>
            <w:hideMark/>
          </w:tcPr>
          <w:p w:rsidR="0092299C" w:rsidRPr="00FB2C11" w:rsidRDefault="0092299C" w:rsidP="0092299C">
            <w:pPr>
              <w:pStyle w:val="ARtabletextright"/>
            </w:pPr>
            <w:r w:rsidRPr="00FB2C11">
              <w:t>$136,175</w:t>
            </w:r>
          </w:p>
        </w:tc>
        <w:tc>
          <w:tcPr>
            <w:tcW w:w="1276" w:type="dxa"/>
            <w:noWrap/>
            <w:hideMark/>
          </w:tcPr>
          <w:p w:rsidR="0092299C" w:rsidRPr="00FB2C11" w:rsidRDefault="0092299C" w:rsidP="0092299C">
            <w:pPr>
              <w:pStyle w:val="ARtabletextright"/>
            </w:pPr>
            <w:r w:rsidRPr="00FB2C11">
              <w:t>$68,087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Targeted consultation, reportable conduct scheme</w:t>
            </w:r>
          </w:p>
        </w:tc>
        <w:tc>
          <w:tcPr>
            <w:tcW w:w="1275" w:type="dxa"/>
            <w:noWrap/>
            <w:hideMark/>
          </w:tcPr>
          <w:p w:rsidR="0092299C" w:rsidRPr="00FB2C11" w:rsidRDefault="0092299C" w:rsidP="0092299C">
            <w:pPr>
              <w:pStyle w:val="ARtabletextright"/>
            </w:pPr>
            <w:r w:rsidRPr="00FB2C11">
              <w:t>$58,143</w:t>
            </w:r>
          </w:p>
        </w:tc>
        <w:tc>
          <w:tcPr>
            <w:tcW w:w="1276" w:type="dxa"/>
            <w:noWrap/>
            <w:hideMark/>
          </w:tcPr>
          <w:p w:rsidR="0092299C" w:rsidRPr="00FB2C11" w:rsidRDefault="0092299C" w:rsidP="0092299C">
            <w:pPr>
              <w:pStyle w:val="ARtabletextright"/>
            </w:pPr>
            <w:r w:rsidRPr="00FB2C11">
              <w:t>$21,855</w:t>
            </w:r>
          </w:p>
        </w:tc>
        <w:tc>
          <w:tcPr>
            <w:tcW w:w="1276" w:type="dxa"/>
            <w:noWrap/>
            <w:hideMark/>
          </w:tcPr>
          <w:p w:rsidR="0092299C" w:rsidRPr="00FB2C11" w:rsidRDefault="0092299C" w:rsidP="0092299C">
            <w:pPr>
              <w:pStyle w:val="ARtabletextright"/>
            </w:pPr>
            <w:r w:rsidRPr="00FB2C11">
              <w:t>$1,035</w:t>
            </w:r>
          </w:p>
        </w:tc>
      </w:tr>
      <w:tr w:rsidR="0092299C" w:rsidRPr="00FB2C11" w:rsidTr="0084694E">
        <w:tc>
          <w:tcPr>
            <w:tcW w:w="2194" w:type="dxa"/>
            <w:noWrap/>
            <w:hideMark/>
          </w:tcPr>
          <w:p w:rsidR="0092299C" w:rsidRPr="00FB2C11" w:rsidRDefault="0092299C" w:rsidP="0092299C">
            <w:pPr>
              <w:pStyle w:val="ARtabletext"/>
            </w:pPr>
            <w:r w:rsidRPr="00FB2C11">
              <w:t>Jaguar Consulting Pty Ltd</w:t>
            </w:r>
          </w:p>
        </w:tc>
        <w:tc>
          <w:tcPr>
            <w:tcW w:w="3771" w:type="dxa"/>
            <w:noWrap/>
            <w:hideMark/>
          </w:tcPr>
          <w:p w:rsidR="0092299C" w:rsidRPr="00FB2C11" w:rsidRDefault="0092299C" w:rsidP="0092299C">
            <w:pPr>
              <w:pStyle w:val="ARtabletext"/>
            </w:pPr>
            <w:r w:rsidRPr="00FB2C11">
              <w:t>Legislative impact assessment, Kilojoule Labelling</w:t>
            </w:r>
          </w:p>
        </w:tc>
        <w:tc>
          <w:tcPr>
            <w:tcW w:w="1275" w:type="dxa"/>
            <w:noWrap/>
            <w:hideMark/>
          </w:tcPr>
          <w:p w:rsidR="0092299C" w:rsidRPr="00FB2C11" w:rsidRDefault="0092299C" w:rsidP="0092299C">
            <w:pPr>
              <w:pStyle w:val="ARtabletextright"/>
            </w:pPr>
            <w:r w:rsidRPr="00FB2C11">
              <w:t>$37,050</w:t>
            </w:r>
          </w:p>
        </w:tc>
        <w:tc>
          <w:tcPr>
            <w:tcW w:w="1276" w:type="dxa"/>
            <w:noWrap/>
            <w:hideMark/>
          </w:tcPr>
          <w:p w:rsidR="0092299C" w:rsidRPr="00FB2C11" w:rsidRDefault="0092299C" w:rsidP="0092299C">
            <w:pPr>
              <w:pStyle w:val="ARtabletextright"/>
            </w:pPr>
            <w:r w:rsidRPr="00FB2C11">
              <w:t>$3,900</w:t>
            </w:r>
          </w:p>
        </w:tc>
        <w:tc>
          <w:tcPr>
            <w:tcW w:w="1276" w:type="dxa"/>
            <w:noWrap/>
            <w:hideMark/>
          </w:tcPr>
          <w:p w:rsidR="0092299C" w:rsidRPr="00FB2C11" w:rsidRDefault="0092299C" w:rsidP="0092299C">
            <w:pPr>
              <w:pStyle w:val="ARtabletextright"/>
            </w:pPr>
            <w:r w:rsidRPr="00FB2C11">
              <w:t>$4,875</w:t>
            </w:r>
          </w:p>
        </w:tc>
      </w:tr>
      <w:tr w:rsidR="0092299C" w:rsidRPr="00FB2C11" w:rsidTr="0084694E">
        <w:tc>
          <w:tcPr>
            <w:tcW w:w="2194" w:type="dxa"/>
            <w:noWrap/>
            <w:hideMark/>
          </w:tcPr>
          <w:p w:rsidR="0092299C" w:rsidRPr="00FB2C11" w:rsidRDefault="0092299C" w:rsidP="0092299C">
            <w:pPr>
              <w:pStyle w:val="ARtabletext"/>
            </w:pPr>
            <w:r w:rsidRPr="00FB2C11">
              <w:t>Bridge Resolutions</w:t>
            </w:r>
          </w:p>
        </w:tc>
        <w:tc>
          <w:tcPr>
            <w:tcW w:w="3771" w:type="dxa"/>
            <w:noWrap/>
            <w:hideMark/>
          </w:tcPr>
          <w:p w:rsidR="0092299C" w:rsidRPr="00FB2C11" w:rsidRDefault="0092299C" w:rsidP="0092299C">
            <w:pPr>
              <w:pStyle w:val="ARtabletext"/>
            </w:pPr>
            <w:r w:rsidRPr="00FB2C11">
              <w:t>Model and training support to improve client engagement</w:t>
            </w:r>
          </w:p>
        </w:tc>
        <w:tc>
          <w:tcPr>
            <w:tcW w:w="1275" w:type="dxa"/>
            <w:noWrap/>
            <w:hideMark/>
          </w:tcPr>
          <w:p w:rsidR="0092299C" w:rsidRPr="00FB2C11" w:rsidRDefault="0092299C" w:rsidP="0092299C">
            <w:pPr>
              <w:pStyle w:val="ARtabletextright"/>
            </w:pPr>
            <w:r w:rsidRPr="00FB2C11">
              <w:t>$16,773</w:t>
            </w:r>
          </w:p>
        </w:tc>
        <w:tc>
          <w:tcPr>
            <w:tcW w:w="1276" w:type="dxa"/>
            <w:noWrap/>
            <w:hideMark/>
          </w:tcPr>
          <w:p w:rsidR="0092299C" w:rsidRPr="00FB2C11" w:rsidRDefault="0092299C" w:rsidP="0092299C">
            <w:pPr>
              <w:pStyle w:val="ARtabletextright"/>
            </w:pPr>
            <w:r w:rsidRPr="00FB2C11">
              <w:t>$6,346</w:t>
            </w:r>
          </w:p>
        </w:tc>
        <w:tc>
          <w:tcPr>
            <w:tcW w:w="1276" w:type="dxa"/>
            <w:noWrap/>
            <w:hideMark/>
          </w:tcPr>
          <w:p w:rsidR="0092299C" w:rsidRPr="00FB2C11" w:rsidRDefault="0092299C" w:rsidP="0092299C">
            <w:pPr>
              <w:pStyle w:val="ARtabletextright"/>
            </w:pPr>
            <w:r w:rsidRPr="00FB2C11">
              <w:t>$489</w:t>
            </w:r>
          </w:p>
        </w:tc>
      </w:tr>
      <w:tr w:rsidR="0092299C" w:rsidRPr="00FB2C11" w:rsidTr="0084694E">
        <w:tc>
          <w:tcPr>
            <w:tcW w:w="2194" w:type="dxa"/>
            <w:noWrap/>
            <w:hideMark/>
          </w:tcPr>
          <w:p w:rsidR="0092299C" w:rsidRPr="00FB2C11" w:rsidRDefault="0092299C" w:rsidP="0092299C">
            <w:pPr>
              <w:pStyle w:val="ARtabletext"/>
            </w:pPr>
            <w:proofErr w:type="spellStart"/>
            <w:r w:rsidRPr="00FB2C11">
              <w:t>Protiviti</w:t>
            </w:r>
            <w:proofErr w:type="spellEnd"/>
            <w:r w:rsidRPr="00FB2C11">
              <w:t xml:space="preserve"> Pty Ltd</w:t>
            </w:r>
          </w:p>
        </w:tc>
        <w:tc>
          <w:tcPr>
            <w:tcW w:w="3771" w:type="dxa"/>
            <w:noWrap/>
            <w:hideMark/>
          </w:tcPr>
          <w:p w:rsidR="0092299C" w:rsidRPr="00FB2C11" w:rsidRDefault="0092299C" w:rsidP="0092299C">
            <w:pPr>
              <w:pStyle w:val="ARtabletext"/>
            </w:pPr>
            <w:r w:rsidRPr="00FB2C11">
              <w:t>Health data integrity audits, specialist clinics data</w:t>
            </w:r>
          </w:p>
        </w:tc>
        <w:tc>
          <w:tcPr>
            <w:tcW w:w="1275" w:type="dxa"/>
            <w:noWrap/>
            <w:hideMark/>
          </w:tcPr>
          <w:p w:rsidR="0092299C" w:rsidRPr="00FB2C11" w:rsidRDefault="0092299C" w:rsidP="0092299C">
            <w:pPr>
              <w:pStyle w:val="ARtabletextright"/>
            </w:pPr>
            <w:r w:rsidRPr="00FB2C11">
              <w:t>$229,091</w:t>
            </w:r>
          </w:p>
        </w:tc>
        <w:tc>
          <w:tcPr>
            <w:tcW w:w="1276" w:type="dxa"/>
            <w:noWrap/>
            <w:hideMark/>
          </w:tcPr>
          <w:p w:rsidR="0092299C" w:rsidRPr="00FB2C11" w:rsidRDefault="0092299C" w:rsidP="0092299C">
            <w:pPr>
              <w:pStyle w:val="ARtabletextright"/>
            </w:pPr>
            <w:r w:rsidRPr="00FB2C11">
              <w:t>$123,272</w:t>
            </w:r>
          </w:p>
        </w:tc>
        <w:tc>
          <w:tcPr>
            <w:tcW w:w="1276" w:type="dxa"/>
            <w:noWrap/>
            <w:hideMark/>
          </w:tcPr>
          <w:p w:rsidR="0092299C" w:rsidRPr="00FB2C11" w:rsidRDefault="0092299C" w:rsidP="0092299C">
            <w:pPr>
              <w:pStyle w:val="ARtabletextright"/>
            </w:pPr>
            <w:r w:rsidRPr="00FB2C11">
              <w:t>$1</w:t>
            </w:r>
          </w:p>
        </w:tc>
      </w:tr>
      <w:tr w:rsidR="0092299C" w:rsidRPr="00FB2C11" w:rsidTr="0084694E">
        <w:tc>
          <w:tcPr>
            <w:tcW w:w="2194" w:type="dxa"/>
            <w:noWrap/>
            <w:hideMark/>
          </w:tcPr>
          <w:p w:rsidR="0092299C" w:rsidRPr="00FB2C11" w:rsidRDefault="0092299C" w:rsidP="0092299C">
            <w:pPr>
              <w:pStyle w:val="ARtabletext"/>
            </w:pPr>
            <w:proofErr w:type="spellStart"/>
            <w:r w:rsidRPr="00FB2C11">
              <w:t>Synergistiq</w:t>
            </w:r>
            <w:proofErr w:type="spellEnd"/>
            <w:r w:rsidRPr="00FB2C11">
              <w:t xml:space="preserve"> Pty Ltd</w:t>
            </w:r>
          </w:p>
        </w:tc>
        <w:tc>
          <w:tcPr>
            <w:tcW w:w="3771" w:type="dxa"/>
            <w:noWrap/>
            <w:hideMark/>
          </w:tcPr>
          <w:p w:rsidR="0092299C" w:rsidRPr="00FB2C11" w:rsidRDefault="0092299C" w:rsidP="0092299C">
            <w:pPr>
              <w:pStyle w:val="ARtabletext"/>
            </w:pPr>
            <w:r w:rsidRPr="00FB2C11">
              <w:t>Evaluation, personal safety</w:t>
            </w:r>
          </w:p>
        </w:tc>
        <w:tc>
          <w:tcPr>
            <w:tcW w:w="1275" w:type="dxa"/>
            <w:noWrap/>
            <w:hideMark/>
          </w:tcPr>
          <w:p w:rsidR="0092299C" w:rsidRPr="00FB2C11" w:rsidRDefault="0092299C" w:rsidP="0092299C">
            <w:pPr>
              <w:pStyle w:val="ARtabletextright"/>
            </w:pPr>
            <w:r w:rsidRPr="00FB2C11">
              <w:t>$174,048</w:t>
            </w:r>
          </w:p>
        </w:tc>
        <w:tc>
          <w:tcPr>
            <w:tcW w:w="1276" w:type="dxa"/>
            <w:noWrap/>
            <w:hideMark/>
          </w:tcPr>
          <w:p w:rsidR="0092299C" w:rsidRPr="00FB2C11" w:rsidRDefault="0092299C" w:rsidP="0092299C">
            <w:pPr>
              <w:pStyle w:val="ARtabletextright"/>
            </w:pPr>
            <w:r w:rsidRPr="00FB2C11">
              <w:t>$123,874</w:t>
            </w:r>
          </w:p>
        </w:tc>
        <w:tc>
          <w:tcPr>
            <w:tcW w:w="1276" w:type="dxa"/>
            <w:noWrap/>
            <w:hideMark/>
          </w:tcPr>
          <w:p w:rsidR="0092299C" w:rsidRPr="00FB2C11" w:rsidRDefault="0092299C" w:rsidP="0092299C">
            <w:pPr>
              <w:pStyle w:val="ARtabletextright"/>
            </w:pPr>
            <w:r w:rsidRPr="00FB2C11">
              <w:t>$29,789</w:t>
            </w:r>
          </w:p>
        </w:tc>
      </w:tr>
      <w:tr w:rsidR="0092299C" w:rsidRPr="00FB2C11" w:rsidTr="0084694E">
        <w:tc>
          <w:tcPr>
            <w:tcW w:w="2194" w:type="dxa"/>
            <w:noWrap/>
            <w:hideMark/>
          </w:tcPr>
          <w:p w:rsidR="0092299C" w:rsidRPr="00FB2C11" w:rsidRDefault="0092299C" w:rsidP="0092299C">
            <w:pPr>
              <w:pStyle w:val="ARtabletext"/>
            </w:pPr>
            <w:r w:rsidRPr="00FB2C11">
              <w:t xml:space="preserve">Murdoch </w:t>
            </w:r>
            <w:proofErr w:type="spellStart"/>
            <w:r w:rsidRPr="00FB2C11">
              <w:t>Childrens</w:t>
            </w:r>
            <w:proofErr w:type="spellEnd"/>
            <w:r w:rsidRPr="00FB2C11">
              <w:t xml:space="preserve"> Research Institute</w:t>
            </w:r>
          </w:p>
        </w:tc>
        <w:tc>
          <w:tcPr>
            <w:tcW w:w="3771" w:type="dxa"/>
            <w:noWrap/>
            <w:hideMark/>
          </w:tcPr>
          <w:p w:rsidR="0092299C" w:rsidRPr="00FB2C11" w:rsidRDefault="0092299C" w:rsidP="0092299C">
            <w:pPr>
              <w:pStyle w:val="ARtabletext"/>
            </w:pPr>
            <w:r w:rsidRPr="00FB2C11">
              <w:t>Better understanding disengagement from early parenting services</w:t>
            </w:r>
          </w:p>
        </w:tc>
        <w:tc>
          <w:tcPr>
            <w:tcW w:w="1275" w:type="dxa"/>
            <w:noWrap/>
            <w:hideMark/>
          </w:tcPr>
          <w:p w:rsidR="0092299C" w:rsidRPr="00FB2C11" w:rsidRDefault="0092299C" w:rsidP="0092299C">
            <w:pPr>
              <w:pStyle w:val="ARtabletextright"/>
            </w:pPr>
            <w:r w:rsidRPr="00FB2C11">
              <w:t>$36,037</w:t>
            </w:r>
          </w:p>
        </w:tc>
        <w:tc>
          <w:tcPr>
            <w:tcW w:w="1276" w:type="dxa"/>
            <w:noWrap/>
            <w:hideMark/>
          </w:tcPr>
          <w:p w:rsidR="0092299C" w:rsidRPr="00FB2C11" w:rsidRDefault="0092299C" w:rsidP="0092299C">
            <w:pPr>
              <w:pStyle w:val="ARtabletextright"/>
            </w:pPr>
            <w:r w:rsidRPr="00FB2C11">
              <w:t>$26,588</w:t>
            </w:r>
          </w:p>
        </w:tc>
        <w:tc>
          <w:tcPr>
            <w:tcW w:w="1276" w:type="dxa"/>
            <w:noWrap/>
            <w:hideMark/>
          </w:tcPr>
          <w:p w:rsidR="0092299C" w:rsidRPr="00FB2C11" w:rsidRDefault="0092299C" w:rsidP="0092299C">
            <w:pPr>
              <w:pStyle w:val="ARtabletextright"/>
            </w:pPr>
            <w:r w:rsidRPr="00FB2C11">
              <w:t>$983</w:t>
            </w:r>
          </w:p>
        </w:tc>
      </w:tr>
      <w:tr w:rsidR="0092299C" w:rsidRPr="00FB2C11" w:rsidTr="0084694E">
        <w:tc>
          <w:tcPr>
            <w:tcW w:w="2194" w:type="dxa"/>
            <w:noWrap/>
            <w:hideMark/>
          </w:tcPr>
          <w:p w:rsidR="0092299C" w:rsidRPr="00FB2C11" w:rsidRDefault="0092299C" w:rsidP="0092299C">
            <w:pPr>
              <w:pStyle w:val="ARtabletext"/>
            </w:pPr>
            <w:r w:rsidRPr="00FB2C11">
              <w:t>Dr Douglas George Travis</w:t>
            </w:r>
          </w:p>
        </w:tc>
        <w:tc>
          <w:tcPr>
            <w:tcW w:w="3771" w:type="dxa"/>
            <w:noWrap/>
            <w:hideMark/>
          </w:tcPr>
          <w:p w:rsidR="0092299C" w:rsidRPr="00FB2C11" w:rsidRDefault="0092299C" w:rsidP="0092299C">
            <w:pPr>
              <w:pStyle w:val="ARtabletext"/>
            </w:pPr>
            <w:r w:rsidRPr="00FB2C11">
              <w:t>Advice, establishment of Better Care Victoria</w:t>
            </w:r>
          </w:p>
        </w:tc>
        <w:tc>
          <w:tcPr>
            <w:tcW w:w="1275" w:type="dxa"/>
            <w:noWrap/>
            <w:hideMark/>
          </w:tcPr>
          <w:p w:rsidR="0092299C" w:rsidRPr="00FB2C11" w:rsidRDefault="0092299C" w:rsidP="0092299C">
            <w:pPr>
              <w:pStyle w:val="ARtabletextright"/>
            </w:pPr>
            <w:r w:rsidRPr="00FB2C11">
              <w:t>$511,091</w:t>
            </w:r>
          </w:p>
        </w:tc>
        <w:tc>
          <w:tcPr>
            <w:tcW w:w="1276" w:type="dxa"/>
            <w:noWrap/>
            <w:hideMark/>
          </w:tcPr>
          <w:p w:rsidR="0092299C" w:rsidRPr="00FB2C11" w:rsidRDefault="0092299C" w:rsidP="0092299C">
            <w:pPr>
              <w:pStyle w:val="ARtabletextright"/>
            </w:pPr>
            <w:r w:rsidRPr="00FB2C11">
              <w:t>$253,092</w:t>
            </w:r>
          </w:p>
        </w:tc>
        <w:tc>
          <w:tcPr>
            <w:tcW w:w="1276" w:type="dxa"/>
            <w:noWrap/>
            <w:hideMark/>
          </w:tcPr>
          <w:p w:rsidR="0092299C" w:rsidRPr="00FB2C11" w:rsidRDefault="0092299C" w:rsidP="0092299C">
            <w:pPr>
              <w:pStyle w:val="ARtabletextright"/>
            </w:pPr>
            <w:r w:rsidRPr="00FB2C11">
              <w:t>$174,332</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Evaluation, government investment in the pension-level supported residential services sector</w:t>
            </w:r>
          </w:p>
        </w:tc>
        <w:tc>
          <w:tcPr>
            <w:tcW w:w="1275" w:type="dxa"/>
            <w:noWrap/>
            <w:hideMark/>
          </w:tcPr>
          <w:p w:rsidR="0092299C" w:rsidRPr="00FB2C11" w:rsidRDefault="0092299C" w:rsidP="0092299C">
            <w:pPr>
              <w:pStyle w:val="ARtabletextright"/>
            </w:pPr>
            <w:r w:rsidRPr="00FB2C11">
              <w:t>$176,520</w:t>
            </w:r>
          </w:p>
        </w:tc>
        <w:tc>
          <w:tcPr>
            <w:tcW w:w="1276" w:type="dxa"/>
            <w:noWrap/>
            <w:hideMark/>
          </w:tcPr>
          <w:p w:rsidR="0092299C" w:rsidRPr="00FB2C11" w:rsidRDefault="0092299C" w:rsidP="0092299C">
            <w:pPr>
              <w:pStyle w:val="ARtabletextright"/>
            </w:pPr>
            <w:r w:rsidRPr="00FB2C11">
              <w:t>$70,608</w:t>
            </w:r>
          </w:p>
        </w:tc>
        <w:tc>
          <w:tcPr>
            <w:tcW w:w="1276" w:type="dxa"/>
            <w:noWrap/>
            <w:hideMark/>
          </w:tcPr>
          <w:p w:rsidR="0092299C" w:rsidRPr="00FB2C11" w:rsidRDefault="0092299C" w:rsidP="0092299C">
            <w:pPr>
              <w:pStyle w:val="ARtabletextright"/>
            </w:pPr>
            <w:r w:rsidRPr="00FB2C11">
              <w:t>$35,304</w:t>
            </w:r>
          </w:p>
        </w:tc>
      </w:tr>
      <w:tr w:rsidR="0092299C" w:rsidRPr="00FB2C11" w:rsidTr="0084694E">
        <w:tc>
          <w:tcPr>
            <w:tcW w:w="2194" w:type="dxa"/>
            <w:noWrap/>
            <w:hideMark/>
          </w:tcPr>
          <w:p w:rsidR="0092299C" w:rsidRPr="00FB2C11" w:rsidRDefault="0092299C" w:rsidP="0092299C">
            <w:pPr>
              <w:pStyle w:val="ARtabletext"/>
            </w:pPr>
            <w:r w:rsidRPr="00FB2C11">
              <w:t>Health and Community Consulting Group Pty Ltd</w:t>
            </w:r>
          </w:p>
        </w:tc>
        <w:tc>
          <w:tcPr>
            <w:tcW w:w="3771" w:type="dxa"/>
            <w:noWrap/>
            <w:hideMark/>
          </w:tcPr>
          <w:p w:rsidR="0092299C" w:rsidRPr="00FB2C11" w:rsidRDefault="0092299C" w:rsidP="0092299C">
            <w:pPr>
              <w:pStyle w:val="ARtabletext"/>
            </w:pPr>
            <w:r w:rsidRPr="00FB2C11">
              <w:t xml:space="preserve">Instrument design project, consumer and carer experience of heating survey </w:t>
            </w:r>
          </w:p>
        </w:tc>
        <w:tc>
          <w:tcPr>
            <w:tcW w:w="1275" w:type="dxa"/>
            <w:noWrap/>
            <w:hideMark/>
          </w:tcPr>
          <w:p w:rsidR="0092299C" w:rsidRPr="00FB2C11" w:rsidRDefault="0092299C" w:rsidP="0092299C">
            <w:pPr>
              <w:pStyle w:val="ARtabletextright"/>
            </w:pPr>
            <w:r w:rsidRPr="00FB2C11">
              <w:t>$24,023</w:t>
            </w:r>
          </w:p>
        </w:tc>
        <w:tc>
          <w:tcPr>
            <w:tcW w:w="1276" w:type="dxa"/>
            <w:noWrap/>
            <w:hideMark/>
          </w:tcPr>
          <w:p w:rsidR="0092299C" w:rsidRPr="00FB2C11" w:rsidRDefault="0092299C" w:rsidP="0092299C">
            <w:pPr>
              <w:pStyle w:val="ARtabletextright"/>
            </w:pPr>
            <w:r w:rsidRPr="00FB2C11">
              <w:t>$9,114</w:t>
            </w:r>
          </w:p>
        </w:tc>
        <w:tc>
          <w:tcPr>
            <w:tcW w:w="1276" w:type="dxa"/>
            <w:noWrap/>
            <w:hideMark/>
          </w:tcPr>
          <w:p w:rsidR="0092299C" w:rsidRPr="00FB2C11" w:rsidRDefault="0092299C" w:rsidP="0092299C">
            <w:pPr>
              <w:pStyle w:val="ARtabletextright"/>
            </w:pPr>
            <w:r w:rsidRPr="00FB2C11">
              <w:t>$10,909</w:t>
            </w:r>
          </w:p>
        </w:tc>
      </w:tr>
      <w:tr w:rsidR="0092299C" w:rsidRPr="00FB2C11" w:rsidTr="0084694E">
        <w:tc>
          <w:tcPr>
            <w:tcW w:w="2194" w:type="dxa"/>
            <w:noWrap/>
            <w:hideMark/>
          </w:tcPr>
          <w:p w:rsidR="0092299C" w:rsidRPr="00FB2C11" w:rsidRDefault="0092299C" w:rsidP="0092299C">
            <w:pPr>
              <w:pStyle w:val="ARtabletext"/>
            </w:pPr>
            <w:r w:rsidRPr="00FB2C11">
              <w:t>Jaguar Consulting Pty Ltd</w:t>
            </w:r>
          </w:p>
        </w:tc>
        <w:tc>
          <w:tcPr>
            <w:tcW w:w="3771" w:type="dxa"/>
            <w:noWrap/>
            <w:hideMark/>
          </w:tcPr>
          <w:p w:rsidR="0092299C" w:rsidRPr="00FB2C11" w:rsidRDefault="0092299C" w:rsidP="0092299C">
            <w:pPr>
              <w:pStyle w:val="ARtabletext"/>
            </w:pPr>
            <w:r w:rsidRPr="00FB2C11">
              <w:t>Regulatory impact statement for the Drugs, Poisons and Controlled Substances Regulations 2016</w:t>
            </w:r>
          </w:p>
        </w:tc>
        <w:tc>
          <w:tcPr>
            <w:tcW w:w="1275" w:type="dxa"/>
            <w:noWrap/>
            <w:hideMark/>
          </w:tcPr>
          <w:p w:rsidR="0092299C" w:rsidRPr="00FB2C11" w:rsidRDefault="0092299C" w:rsidP="0092299C">
            <w:pPr>
              <w:pStyle w:val="ARtabletextright"/>
            </w:pPr>
            <w:r w:rsidRPr="00FB2C11">
              <w:t>$39,600</w:t>
            </w:r>
          </w:p>
        </w:tc>
        <w:tc>
          <w:tcPr>
            <w:tcW w:w="1276" w:type="dxa"/>
            <w:noWrap/>
            <w:hideMark/>
          </w:tcPr>
          <w:p w:rsidR="0092299C" w:rsidRPr="00FB2C11" w:rsidRDefault="0092299C" w:rsidP="0092299C">
            <w:pPr>
              <w:pStyle w:val="ARtabletextright"/>
            </w:pPr>
            <w:r w:rsidRPr="00FB2C11">
              <w:t>$39,600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Assessment, service delivery funding models and capability</w:t>
            </w:r>
          </w:p>
        </w:tc>
        <w:tc>
          <w:tcPr>
            <w:tcW w:w="1275" w:type="dxa"/>
            <w:noWrap/>
            <w:hideMark/>
          </w:tcPr>
          <w:p w:rsidR="0092299C" w:rsidRPr="00FB2C11" w:rsidRDefault="0092299C" w:rsidP="0092299C">
            <w:pPr>
              <w:pStyle w:val="ARtabletextright"/>
            </w:pPr>
            <w:r w:rsidRPr="00FB2C11">
              <w:t>$256,720</w:t>
            </w:r>
          </w:p>
        </w:tc>
        <w:tc>
          <w:tcPr>
            <w:tcW w:w="1276" w:type="dxa"/>
            <w:noWrap/>
            <w:hideMark/>
          </w:tcPr>
          <w:p w:rsidR="0092299C" w:rsidRPr="00FB2C11" w:rsidRDefault="0092299C" w:rsidP="0092299C">
            <w:pPr>
              <w:pStyle w:val="ARtabletextright"/>
            </w:pPr>
            <w:r w:rsidRPr="00FB2C11">
              <w:t>$94,983</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lastRenderedPageBreak/>
              <w:t>Verso Consulting Pty Ltd</w:t>
            </w:r>
          </w:p>
        </w:tc>
        <w:tc>
          <w:tcPr>
            <w:tcW w:w="3771" w:type="dxa"/>
            <w:noWrap/>
            <w:hideMark/>
          </w:tcPr>
          <w:p w:rsidR="0092299C" w:rsidRPr="00FB2C11" w:rsidRDefault="0092299C" w:rsidP="0092299C">
            <w:pPr>
              <w:pStyle w:val="ARtabletext"/>
            </w:pPr>
            <w:r w:rsidRPr="00FB2C11">
              <w:t xml:space="preserve">Placement prevention and reunification for </w:t>
            </w:r>
            <w:r>
              <w:t>A</w:t>
            </w:r>
            <w:r w:rsidRPr="00FB2C11">
              <w:t>boriginal children</w:t>
            </w:r>
          </w:p>
        </w:tc>
        <w:tc>
          <w:tcPr>
            <w:tcW w:w="1275" w:type="dxa"/>
            <w:noWrap/>
            <w:hideMark/>
          </w:tcPr>
          <w:p w:rsidR="0092299C" w:rsidRPr="00FB2C11" w:rsidRDefault="0092299C" w:rsidP="0092299C">
            <w:pPr>
              <w:pStyle w:val="ARtabletextright"/>
            </w:pPr>
            <w:r w:rsidRPr="00FB2C11">
              <w:t>$277,850</w:t>
            </w:r>
          </w:p>
        </w:tc>
        <w:tc>
          <w:tcPr>
            <w:tcW w:w="1276" w:type="dxa"/>
            <w:noWrap/>
            <w:hideMark/>
          </w:tcPr>
          <w:p w:rsidR="0092299C" w:rsidRPr="00FB2C11" w:rsidRDefault="0092299C" w:rsidP="0092299C">
            <w:pPr>
              <w:pStyle w:val="ARtabletextright"/>
            </w:pPr>
            <w:r w:rsidRPr="00FB2C11">
              <w:t>$69,462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Ludus</w:t>
            </w:r>
            <w:proofErr w:type="spellEnd"/>
            <w:r w:rsidRPr="00FB2C11">
              <w:t xml:space="preserve"> Group</w:t>
            </w:r>
          </w:p>
        </w:tc>
        <w:tc>
          <w:tcPr>
            <w:tcW w:w="3771" w:type="dxa"/>
            <w:noWrap/>
            <w:hideMark/>
          </w:tcPr>
          <w:p w:rsidR="0092299C" w:rsidRPr="00FB2C11" w:rsidRDefault="0092299C" w:rsidP="0092299C">
            <w:pPr>
              <w:pStyle w:val="ARtabletext"/>
            </w:pPr>
            <w:r w:rsidRPr="00FB2C11">
              <w:t xml:space="preserve">Project management, value of </w:t>
            </w:r>
            <w:r>
              <w:t>s</w:t>
            </w:r>
            <w:r w:rsidRPr="00FB2C11">
              <w:t xml:space="preserve">port and </w:t>
            </w:r>
            <w:r>
              <w:t>r</w:t>
            </w:r>
            <w:r w:rsidRPr="00FB2C11">
              <w:t>ecreation in Victoria study</w:t>
            </w:r>
          </w:p>
        </w:tc>
        <w:tc>
          <w:tcPr>
            <w:tcW w:w="1275" w:type="dxa"/>
            <w:noWrap/>
            <w:hideMark/>
          </w:tcPr>
          <w:p w:rsidR="0092299C" w:rsidRPr="00FB2C11" w:rsidRDefault="0092299C" w:rsidP="0092299C">
            <w:pPr>
              <w:pStyle w:val="ARtabletextright"/>
            </w:pPr>
            <w:r w:rsidRPr="00FB2C11">
              <w:t>$89,700</w:t>
            </w:r>
          </w:p>
        </w:tc>
        <w:tc>
          <w:tcPr>
            <w:tcW w:w="1276" w:type="dxa"/>
            <w:noWrap/>
            <w:hideMark/>
          </w:tcPr>
          <w:p w:rsidR="0092299C" w:rsidRPr="00FB2C11" w:rsidRDefault="0092299C" w:rsidP="0092299C">
            <w:pPr>
              <w:pStyle w:val="ARtabletextright"/>
            </w:pPr>
            <w:r w:rsidRPr="00FB2C11">
              <w:t>$6,500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 xml:space="preserve">System planning, </w:t>
            </w:r>
            <w:proofErr w:type="spellStart"/>
            <w:r w:rsidRPr="00FB2C11">
              <w:t>statewide</w:t>
            </w:r>
            <w:proofErr w:type="spellEnd"/>
            <w:r w:rsidRPr="00FB2C11">
              <w:t xml:space="preserve"> service and infrastructure plan</w:t>
            </w:r>
          </w:p>
        </w:tc>
        <w:tc>
          <w:tcPr>
            <w:tcW w:w="1275" w:type="dxa"/>
            <w:noWrap/>
            <w:hideMark/>
          </w:tcPr>
          <w:p w:rsidR="0092299C" w:rsidRPr="00FB2C11" w:rsidRDefault="0092299C" w:rsidP="0092299C">
            <w:pPr>
              <w:pStyle w:val="ARtabletextright"/>
            </w:pPr>
            <w:r w:rsidRPr="00FB2C11">
              <w:t>$115,500</w:t>
            </w:r>
          </w:p>
        </w:tc>
        <w:tc>
          <w:tcPr>
            <w:tcW w:w="1276" w:type="dxa"/>
            <w:noWrap/>
            <w:hideMark/>
          </w:tcPr>
          <w:p w:rsidR="0092299C" w:rsidRPr="00FB2C11" w:rsidRDefault="0092299C" w:rsidP="0092299C">
            <w:pPr>
              <w:pStyle w:val="ARtabletextright"/>
            </w:pPr>
            <w:r w:rsidRPr="00FB2C11">
              <w:t>$24,000</w:t>
            </w:r>
          </w:p>
        </w:tc>
        <w:tc>
          <w:tcPr>
            <w:tcW w:w="1276" w:type="dxa"/>
            <w:noWrap/>
            <w:hideMark/>
          </w:tcPr>
          <w:p w:rsidR="0092299C" w:rsidRPr="00FB2C11" w:rsidRDefault="0092299C" w:rsidP="0092299C">
            <w:pPr>
              <w:pStyle w:val="ARtabletextright"/>
            </w:pPr>
            <w:r w:rsidRPr="00FB2C11">
              <w:t>$8,428</w:t>
            </w:r>
          </w:p>
        </w:tc>
      </w:tr>
      <w:tr w:rsidR="0092299C" w:rsidRPr="00FB2C11" w:rsidTr="0084694E">
        <w:tc>
          <w:tcPr>
            <w:tcW w:w="2194" w:type="dxa"/>
            <w:noWrap/>
            <w:hideMark/>
          </w:tcPr>
          <w:p w:rsidR="0092299C" w:rsidRPr="00FB2C11" w:rsidRDefault="0092299C" w:rsidP="0092299C">
            <w:pPr>
              <w:pStyle w:val="ARtabletext"/>
              <w:keepNext/>
              <w:keepLines/>
            </w:pPr>
            <w:r w:rsidRPr="00FB2C11">
              <w:t xml:space="preserve">Centre For Excellence In Child and Family Welfare </w:t>
            </w:r>
            <w:proofErr w:type="spellStart"/>
            <w:r w:rsidRPr="00FB2C11">
              <w:t>Inc</w:t>
            </w:r>
            <w:proofErr w:type="spellEnd"/>
          </w:p>
        </w:tc>
        <w:tc>
          <w:tcPr>
            <w:tcW w:w="3771" w:type="dxa"/>
            <w:noWrap/>
            <w:hideMark/>
          </w:tcPr>
          <w:p w:rsidR="0092299C" w:rsidRPr="00FB2C11" w:rsidRDefault="0092299C" w:rsidP="0092299C">
            <w:pPr>
              <w:pStyle w:val="ARtabletext"/>
            </w:pPr>
            <w:r w:rsidRPr="00FB2C11">
              <w:t>Child protection flexible responses initiative</w:t>
            </w:r>
          </w:p>
        </w:tc>
        <w:tc>
          <w:tcPr>
            <w:tcW w:w="1275" w:type="dxa"/>
            <w:noWrap/>
            <w:hideMark/>
          </w:tcPr>
          <w:p w:rsidR="0092299C" w:rsidRPr="00FB2C11" w:rsidRDefault="0092299C" w:rsidP="0092299C">
            <w:pPr>
              <w:pStyle w:val="ARtabletextright"/>
            </w:pPr>
            <w:r w:rsidRPr="00FB2C11">
              <w:t>$36,000</w:t>
            </w:r>
          </w:p>
        </w:tc>
        <w:tc>
          <w:tcPr>
            <w:tcW w:w="1276" w:type="dxa"/>
            <w:noWrap/>
            <w:hideMark/>
          </w:tcPr>
          <w:p w:rsidR="0092299C" w:rsidRPr="00FB2C11" w:rsidRDefault="0092299C" w:rsidP="0092299C">
            <w:pPr>
              <w:pStyle w:val="ARtabletextright"/>
            </w:pPr>
            <w:r w:rsidRPr="00FB2C11">
              <w:t>$11,220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Melbourne East General Practice Network Ltd</w:t>
            </w:r>
          </w:p>
        </w:tc>
        <w:tc>
          <w:tcPr>
            <w:tcW w:w="3771" w:type="dxa"/>
            <w:noWrap/>
            <w:hideMark/>
          </w:tcPr>
          <w:p w:rsidR="0092299C" w:rsidRPr="00FB2C11" w:rsidRDefault="0092299C" w:rsidP="0092299C">
            <w:pPr>
              <w:pStyle w:val="ARtabletext"/>
            </w:pPr>
            <w:r w:rsidRPr="00FB2C11">
              <w:t xml:space="preserve">Project management services, Victorian </w:t>
            </w:r>
            <w:proofErr w:type="spellStart"/>
            <w:r w:rsidRPr="00FB2C11">
              <w:t>eReferral</w:t>
            </w:r>
            <w:proofErr w:type="spellEnd"/>
            <w:r w:rsidRPr="00FB2C11">
              <w:t xml:space="preserve"> program</w:t>
            </w:r>
          </w:p>
        </w:tc>
        <w:tc>
          <w:tcPr>
            <w:tcW w:w="1275" w:type="dxa"/>
            <w:noWrap/>
            <w:hideMark/>
          </w:tcPr>
          <w:p w:rsidR="0092299C" w:rsidRPr="00FB2C11" w:rsidRDefault="0092299C" w:rsidP="0092299C">
            <w:pPr>
              <w:pStyle w:val="ARtabletextright"/>
            </w:pPr>
            <w:r w:rsidRPr="00FB2C11">
              <w:t>$660,000</w:t>
            </w:r>
          </w:p>
        </w:tc>
        <w:tc>
          <w:tcPr>
            <w:tcW w:w="1276" w:type="dxa"/>
            <w:noWrap/>
            <w:hideMark/>
          </w:tcPr>
          <w:p w:rsidR="0092299C" w:rsidRPr="00FB2C11" w:rsidRDefault="0092299C" w:rsidP="0092299C">
            <w:pPr>
              <w:pStyle w:val="ARtabletextright"/>
            </w:pPr>
            <w:r w:rsidRPr="00FB2C11">
              <w:t>$268,550</w:t>
            </w:r>
          </w:p>
        </w:tc>
        <w:tc>
          <w:tcPr>
            <w:tcW w:w="1276" w:type="dxa"/>
            <w:noWrap/>
            <w:hideMark/>
          </w:tcPr>
          <w:p w:rsidR="0092299C" w:rsidRPr="00FB2C11" w:rsidRDefault="0092299C" w:rsidP="0092299C">
            <w:pPr>
              <w:pStyle w:val="ARtabletextright"/>
            </w:pPr>
            <w:r w:rsidRPr="00FB2C11">
              <w:t>$259,450</w:t>
            </w:r>
          </w:p>
        </w:tc>
      </w:tr>
      <w:tr w:rsidR="0092299C" w:rsidRPr="00FB2C11" w:rsidTr="0084694E">
        <w:tc>
          <w:tcPr>
            <w:tcW w:w="2194" w:type="dxa"/>
            <w:noWrap/>
            <w:hideMark/>
          </w:tcPr>
          <w:p w:rsidR="0092299C" w:rsidRPr="00FB2C11" w:rsidRDefault="0092299C" w:rsidP="0092299C">
            <w:pPr>
              <w:pStyle w:val="ARtabletext"/>
            </w:pPr>
            <w:r w:rsidRPr="00FB2C11">
              <w:t>Enterprise Knowledge Pty Ltd</w:t>
            </w:r>
          </w:p>
        </w:tc>
        <w:tc>
          <w:tcPr>
            <w:tcW w:w="3771" w:type="dxa"/>
            <w:noWrap/>
            <w:hideMark/>
          </w:tcPr>
          <w:p w:rsidR="0092299C" w:rsidRPr="00FB2C11" w:rsidRDefault="0092299C" w:rsidP="0092299C">
            <w:pPr>
              <w:pStyle w:val="ARtabletext"/>
            </w:pPr>
            <w:r w:rsidRPr="00FB2C11">
              <w:t xml:space="preserve">Develop retention and disposal authority, patient information records </w:t>
            </w:r>
          </w:p>
        </w:tc>
        <w:tc>
          <w:tcPr>
            <w:tcW w:w="1275" w:type="dxa"/>
            <w:noWrap/>
            <w:hideMark/>
          </w:tcPr>
          <w:p w:rsidR="0092299C" w:rsidRPr="00FB2C11" w:rsidRDefault="0092299C" w:rsidP="0092299C">
            <w:pPr>
              <w:pStyle w:val="ARtabletextright"/>
            </w:pPr>
            <w:r w:rsidRPr="00FB2C11">
              <w:t>$78,182</w:t>
            </w:r>
          </w:p>
        </w:tc>
        <w:tc>
          <w:tcPr>
            <w:tcW w:w="1276" w:type="dxa"/>
            <w:noWrap/>
            <w:hideMark/>
          </w:tcPr>
          <w:p w:rsidR="0092299C" w:rsidRPr="00FB2C11" w:rsidRDefault="0092299C" w:rsidP="0092299C">
            <w:pPr>
              <w:pStyle w:val="ARtabletextright"/>
            </w:pPr>
            <w:r w:rsidRPr="00FB2C11">
              <w:t>$30,680</w:t>
            </w:r>
          </w:p>
        </w:tc>
        <w:tc>
          <w:tcPr>
            <w:tcW w:w="1276" w:type="dxa"/>
            <w:noWrap/>
            <w:hideMark/>
          </w:tcPr>
          <w:p w:rsidR="0092299C" w:rsidRPr="00FB2C11" w:rsidRDefault="0092299C" w:rsidP="0092299C">
            <w:pPr>
              <w:pStyle w:val="ARtabletextright"/>
            </w:pPr>
            <w:r w:rsidRPr="00FB2C11">
              <w:t>$14,742</w:t>
            </w:r>
          </w:p>
        </w:tc>
      </w:tr>
      <w:tr w:rsidR="0092299C" w:rsidRPr="00FB2C11" w:rsidTr="0084694E">
        <w:tc>
          <w:tcPr>
            <w:tcW w:w="2194" w:type="dxa"/>
            <w:noWrap/>
            <w:hideMark/>
          </w:tcPr>
          <w:p w:rsidR="0092299C" w:rsidRPr="00FB2C11" w:rsidRDefault="0092299C" w:rsidP="0092299C">
            <w:pPr>
              <w:pStyle w:val="ARtabletext"/>
            </w:pPr>
            <w:proofErr w:type="spellStart"/>
            <w:r w:rsidRPr="00FB2C11">
              <w:t>Aspex</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Review, nursing and midwifery graduate transition to practice programs in Victoria 2015</w:t>
            </w:r>
          </w:p>
        </w:tc>
        <w:tc>
          <w:tcPr>
            <w:tcW w:w="1275" w:type="dxa"/>
            <w:noWrap/>
            <w:hideMark/>
          </w:tcPr>
          <w:p w:rsidR="0092299C" w:rsidRPr="00FB2C11" w:rsidRDefault="0092299C" w:rsidP="0092299C">
            <w:pPr>
              <w:pStyle w:val="ARtabletextright"/>
            </w:pPr>
            <w:r w:rsidRPr="00FB2C11">
              <w:t>$202,875</w:t>
            </w:r>
          </w:p>
        </w:tc>
        <w:tc>
          <w:tcPr>
            <w:tcW w:w="1276" w:type="dxa"/>
            <w:noWrap/>
            <w:hideMark/>
          </w:tcPr>
          <w:p w:rsidR="0092299C" w:rsidRPr="00FB2C11" w:rsidRDefault="0092299C" w:rsidP="0092299C">
            <w:pPr>
              <w:pStyle w:val="ARtabletextright"/>
            </w:pPr>
            <w:r w:rsidRPr="00FB2C11">
              <w:t>$179,925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Leisure Planners</w:t>
            </w:r>
          </w:p>
        </w:tc>
        <w:tc>
          <w:tcPr>
            <w:tcW w:w="3771" w:type="dxa"/>
            <w:noWrap/>
            <w:hideMark/>
          </w:tcPr>
          <w:p w:rsidR="0092299C" w:rsidRPr="00FB2C11" w:rsidRDefault="0092299C" w:rsidP="0092299C">
            <w:pPr>
              <w:pStyle w:val="ARtabletext"/>
            </w:pPr>
            <w:r w:rsidRPr="00FB2C11">
              <w:t>Research project, non-council clubs</w:t>
            </w:r>
          </w:p>
        </w:tc>
        <w:tc>
          <w:tcPr>
            <w:tcW w:w="1275" w:type="dxa"/>
            <w:noWrap/>
            <w:hideMark/>
          </w:tcPr>
          <w:p w:rsidR="0092299C" w:rsidRPr="00FB2C11" w:rsidRDefault="0092299C" w:rsidP="0092299C">
            <w:pPr>
              <w:pStyle w:val="ARtabletextright"/>
            </w:pPr>
            <w:r w:rsidRPr="00FB2C11">
              <w:t>$25,000</w:t>
            </w:r>
          </w:p>
        </w:tc>
        <w:tc>
          <w:tcPr>
            <w:tcW w:w="1276" w:type="dxa"/>
            <w:noWrap/>
            <w:hideMark/>
          </w:tcPr>
          <w:p w:rsidR="0092299C" w:rsidRPr="00FB2C11" w:rsidRDefault="0092299C" w:rsidP="0092299C">
            <w:pPr>
              <w:pStyle w:val="ARtabletextright"/>
            </w:pPr>
            <w:r w:rsidRPr="00FB2C11">
              <w:t>$12,500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Develop and implement, client incident management system</w:t>
            </w:r>
          </w:p>
        </w:tc>
        <w:tc>
          <w:tcPr>
            <w:tcW w:w="1275" w:type="dxa"/>
            <w:noWrap/>
            <w:hideMark/>
          </w:tcPr>
          <w:p w:rsidR="0092299C" w:rsidRPr="00FB2C11" w:rsidRDefault="0092299C" w:rsidP="0092299C">
            <w:pPr>
              <w:pStyle w:val="ARtabletextright"/>
            </w:pPr>
            <w:r w:rsidRPr="00FB2C11">
              <w:t>$856,747</w:t>
            </w:r>
          </w:p>
        </w:tc>
        <w:tc>
          <w:tcPr>
            <w:tcW w:w="1276" w:type="dxa"/>
            <w:noWrap/>
            <w:hideMark/>
          </w:tcPr>
          <w:p w:rsidR="0092299C" w:rsidRPr="00FB2C11" w:rsidRDefault="0092299C" w:rsidP="0092299C">
            <w:pPr>
              <w:pStyle w:val="ARtabletextright"/>
            </w:pPr>
            <w:r w:rsidRPr="00FB2C11">
              <w:t>$48,174</w:t>
            </w:r>
          </w:p>
        </w:tc>
        <w:tc>
          <w:tcPr>
            <w:tcW w:w="1276" w:type="dxa"/>
            <w:noWrap/>
            <w:hideMark/>
          </w:tcPr>
          <w:p w:rsidR="0092299C" w:rsidRPr="00FB2C11" w:rsidRDefault="0092299C" w:rsidP="0092299C">
            <w:pPr>
              <w:pStyle w:val="ARtabletextright"/>
            </w:pPr>
            <w:r w:rsidRPr="00FB2C11">
              <w:t>$48,175</w:t>
            </w:r>
          </w:p>
        </w:tc>
      </w:tr>
      <w:tr w:rsidR="0092299C" w:rsidRPr="00FB2C11" w:rsidTr="0084694E">
        <w:tc>
          <w:tcPr>
            <w:tcW w:w="2194" w:type="dxa"/>
            <w:noWrap/>
            <w:hideMark/>
          </w:tcPr>
          <w:p w:rsidR="0092299C" w:rsidRPr="00FB2C11" w:rsidRDefault="0092299C" w:rsidP="0092299C">
            <w:pPr>
              <w:pStyle w:val="ARtabletext"/>
            </w:pPr>
            <w:r w:rsidRPr="00FB2C11">
              <w:t>Monash University</w:t>
            </w:r>
          </w:p>
        </w:tc>
        <w:tc>
          <w:tcPr>
            <w:tcW w:w="3771" w:type="dxa"/>
            <w:noWrap/>
            <w:hideMark/>
          </w:tcPr>
          <w:p w:rsidR="0092299C" w:rsidRPr="00FB2C11" w:rsidRDefault="0092299C" w:rsidP="0092299C">
            <w:pPr>
              <w:pStyle w:val="ARtabletext"/>
            </w:pPr>
            <w:r w:rsidRPr="00FB2C11">
              <w:t>Research, falls risk reduction practices among clients</w:t>
            </w:r>
          </w:p>
        </w:tc>
        <w:tc>
          <w:tcPr>
            <w:tcW w:w="1275" w:type="dxa"/>
            <w:noWrap/>
            <w:hideMark/>
          </w:tcPr>
          <w:p w:rsidR="0092299C" w:rsidRPr="00FB2C11" w:rsidRDefault="0092299C" w:rsidP="0092299C">
            <w:pPr>
              <w:pStyle w:val="ARtabletextright"/>
            </w:pPr>
            <w:r w:rsidRPr="00FB2C11">
              <w:t>$45,047</w:t>
            </w:r>
          </w:p>
        </w:tc>
        <w:tc>
          <w:tcPr>
            <w:tcW w:w="1276" w:type="dxa"/>
            <w:noWrap/>
            <w:hideMark/>
          </w:tcPr>
          <w:p w:rsidR="0092299C" w:rsidRPr="00FB2C11" w:rsidRDefault="0092299C" w:rsidP="0092299C">
            <w:pPr>
              <w:pStyle w:val="ARtabletextright"/>
            </w:pPr>
            <w:r w:rsidRPr="00FB2C11">
              <w:t>$45,047</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Battiston</w:t>
            </w:r>
            <w:proofErr w:type="spellEnd"/>
            <w:r w:rsidRPr="00FB2C11">
              <w:t xml:space="preserve"> Consulting Pty Ltd</w:t>
            </w:r>
          </w:p>
        </w:tc>
        <w:tc>
          <w:tcPr>
            <w:tcW w:w="3771" w:type="dxa"/>
            <w:noWrap/>
            <w:hideMark/>
          </w:tcPr>
          <w:p w:rsidR="0092299C" w:rsidRPr="00FB2C11" w:rsidRDefault="0092299C" w:rsidP="0092299C">
            <w:pPr>
              <w:pStyle w:val="ARtabletext"/>
            </w:pPr>
            <w:r w:rsidRPr="00FB2C11">
              <w:t>Advice, future role of health shared services and chief information office</w:t>
            </w:r>
          </w:p>
        </w:tc>
        <w:tc>
          <w:tcPr>
            <w:tcW w:w="1275" w:type="dxa"/>
            <w:noWrap/>
            <w:hideMark/>
          </w:tcPr>
          <w:p w:rsidR="0092299C" w:rsidRPr="00FB2C11" w:rsidRDefault="0092299C" w:rsidP="0092299C">
            <w:pPr>
              <w:pStyle w:val="ARtabletextright"/>
            </w:pPr>
            <w:r w:rsidRPr="00FB2C11">
              <w:t>$84,000</w:t>
            </w:r>
          </w:p>
        </w:tc>
        <w:tc>
          <w:tcPr>
            <w:tcW w:w="1276" w:type="dxa"/>
            <w:noWrap/>
            <w:hideMark/>
          </w:tcPr>
          <w:p w:rsidR="0092299C" w:rsidRPr="00FB2C11" w:rsidRDefault="0092299C" w:rsidP="0092299C">
            <w:pPr>
              <w:pStyle w:val="ARtabletextright"/>
            </w:pPr>
            <w:r w:rsidRPr="00FB2C11">
              <w:t>$18,000</w:t>
            </w:r>
          </w:p>
        </w:tc>
        <w:tc>
          <w:tcPr>
            <w:tcW w:w="1276" w:type="dxa"/>
            <w:noWrap/>
            <w:hideMark/>
          </w:tcPr>
          <w:p w:rsidR="0092299C" w:rsidRPr="00FB2C11" w:rsidRDefault="0092299C" w:rsidP="0092299C">
            <w:pPr>
              <w:pStyle w:val="ARtabletextright"/>
            </w:pPr>
            <w:r w:rsidRPr="00FB2C11">
              <w:t>$9,800</w:t>
            </w:r>
          </w:p>
        </w:tc>
      </w:tr>
      <w:tr w:rsidR="0092299C" w:rsidRPr="00FB2C11" w:rsidTr="0084694E">
        <w:tc>
          <w:tcPr>
            <w:tcW w:w="2194" w:type="dxa"/>
            <w:noWrap/>
            <w:hideMark/>
          </w:tcPr>
          <w:p w:rsidR="0092299C" w:rsidRPr="00FB2C11" w:rsidRDefault="0092299C" w:rsidP="0092299C">
            <w:pPr>
              <w:pStyle w:val="ARtabletext"/>
            </w:pPr>
            <w:r w:rsidRPr="00FB2C11">
              <w:t>IPSOS Public Affairs Pty Ltd</w:t>
            </w:r>
          </w:p>
        </w:tc>
        <w:tc>
          <w:tcPr>
            <w:tcW w:w="3771" w:type="dxa"/>
            <w:noWrap/>
            <w:hideMark/>
          </w:tcPr>
          <w:p w:rsidR="0092299C" w:rsidRPr="00FB2C11" w:rsidRDefault="0092299C" w:rsidP="0092299C">
            <w:pPr>
              <w:pStyle w:val="ARtabletext"/>
            </w:pPr>
            <w:r w:rsidRPr="00FB2C11">
              <w:t>Evaluation, clinical placement planning</w:t>
            </w:r>
          </w:p>
        </w:tc>
        <w:tc>
          <w:tcPr>
            <w:tcW w:w="1275" w:type="dxa"/>
            <w:noWrap/>
            <w:hideMark/>
          </w:tcPr>
          <w:p w:rsidR="0092299C" w:rsidRPr="00FB2C11" w:rsidRDefault="0092299C" w:rsidP="0092299C">
            <w:pPr>
              <w:pStyle w:val="ARtabletextright"/>
            </w:pPr>
            <w:r w:rsidRPr="00FB2C11">
              <w:t>$87,030</w:t>
            </w:r>
          </w:p>
        </w:tc>
        <w:tc>
          <w:tcPr>
            <w:tcW w:w="1276" w:type="dxa"/>
            <w:noWrap/>
            <w:hideMark/>
          </w:tcPr>
          <w:p w:rsidR="0092299C" w:rsidRPr="00FB2C11" w:rsidRDefault="0092299C" w:rsidP="0092299C">
            <w:pPr>
              <w:pStyle w:val="ARtabletextright"/>
            </w:pPr>
            <w:r w:rsidRPr="00FB2C11">
              <w:t>$44,100</w:t>
            </w:r>
          </w:p>
        </w:tc>
        <w:tc>
          <w:tcPr>
            <w:tcW w:w="1276" w:type="dxa"/>
            <w:noWrap/>
            <w:hideMark/>
          </w:tcPr>
          <w:p w:rsidR="0092299C" w:rsidRPr="00FB2C11" w:rsidRDefault="0092299C" w:rsidP="0092299C">
            <w:pPr>
              <w:pStyle w:val="ARtabletextright"/>
            </w:pPr>
            <w:r w:rsidRPr="00FB2C11">
              <w:t>$3,560</w:t>
            </w:r>
          </w:p>
        </w:tc>
      </w:tr>
      <w:tr w:rsidR="0092299C" w:rsidRPr="00FB2C11" w:rsidTr="0084694E">
        <w:tc>
          <w:tcPr>
            <w:tcW w:w="2194" w:type="dxa"/>
            <w:noWrap/>
            <w:hideMark/>
          </w:tcPr>
          <w:p w:rsidR="0092299C" w:rsidRPr="00FB2C11" w:rsidRDefault="0092299C" w:rsidP="0092299C">
            <w:pPr>
              <w:pStyle w:val="ARtabletext"/>
            </w:pPr>
            <w:r w:rsidRPr="00FB2C11">
              <w:t>Swinburne University of Technology</w:t>
            </w:r>
          </w:p>
        </w:tc>
        <w:tc>
          <w:tcPr>
            <w:tcW w:w="3771" w:type="dxa"/>
            <w:noWrap/>
            <w:hideMark/>
          </w:tcPr>
          <w:p w:rsidR="0092299C" w:rsidRPr="00FB2C11" w:rsidRDefault="0092299C" w:rsidP="0092299C">
            <w:pPr>
              <w:pStyle w:val="ARtabletext"/>
            </w:pPr>
            <w:r w:rsidRPr="00FB2C11">
              <w:t>Impact assessment, specific food ingestion on random drug testing protocols</w:t>
            </w:r>
          </w:p>
        </w:tc>
        <w:tc>
          <w:tcPr>
            <w:tcW w:w="1275" w:type="dxa"/>
            <w:noWrap/>
            <w:hideMark/>
          </w:tcPr>
          <w:p w:rsidR="0092299C" w:rsidRPr="00FB2C11" w:rsidRDefault="0092299C" w:rsidP="0092299C">
            <w:pPr>
              <w:pStyle w:val="ARtabletextright"/>
            </w:pPr>
            <w:r w:rsidRPr="00FB2C11">
              <w:t>$118,182</w:t>
            </w:r>
          </w:p>
        </w:tc>
        <w:tc>
          <w:tcPr>
            <w:tcW w:w="1276" w:type="dxa"/>
            <w:noWrap/>
            <w:hideMark/>
          </w:tcPr>
          <w:p w:rsidR="0092299C" w:rsidRPr="00FB2C11" w:rsidRDefault="0092299C" w:rsidP="0092299C">
            <w:pPr>
              <w:pStyle w:val="ARtabletextright"/>
            </w:pPr>
            <w:r w:rsidRPr="00FB2C11">
              <w:t>$50,909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Price Waterhouse Coopers Indigenous Consulting</w:t>
            </w:r>
          </w:p>
        </w:tc>
        <w:tc>
          <w:tcPr>
            <w:tcW w:w="3771" w:type="dxa"/>
            <w:noWrap/>
            <w:hideMark/>
          </w:tcPr>
          <w:p w:rsidR="0092299C" w:rsidRPr="00FB2C11" w:rsidRDefault="0092299C" w:rsidP="0092299C">
            <w:pPr>
              <w:pStyle w:val="ARtabletext"/>
            </w:pPr>
            <w:r w:rsidRPr="00FB2C11">
              <w:t>Aboriginal recruitment and retention strategy</w:t>
            </w:r>
          </w:p>
        </w:tc>
        <w:tc>
          <w:tcPr>
            <w:tcW w:w="1275" w:type="dxa"/>
            <w:noWrap/>
            <w:hideMark/>
          </w:tcPr>
          <w:p w:rsidR="0092299C" w:rsidRPr="00FB2C11" w:rsidRDefault="0092299C" w:rsidP="0092299C">
            <w:pPr>
              <w:pStyle w:val="ARtabletextright"/>
            </w:pPr>
            <w:r w:rsidRPr="00FB2C11">
              <w:t>$91,110</w:t>
            </w:r>
          </w:p>
        </w:tc>
        <w:tc>
          <w:tcPr>
            <w:tcW w:w="1276" w:type="dxa"/>
            <w:noWrap/>
            <w:hideMark/>
          </w:tcPr>
          <w:p w:rsidR="0092299C" w:rsidRPr="00FB2C11" w:rsidRDefault="0092299C" w:rsidP="0092299C">
            <w:pPr>
              <w:pStyle w:val="ARtabletextright"/>
            </w:pPr>
            <w:r w:rsidRPr="00FB2C11">
              <w:t>$30,297</w:t>
            </w:r>
          </w:p>
        </w:tc>
        <w:tc>
          <w:tcPr>
            <w:tcW w:w="1276" w:type="dxa"/>
            <w:noWrap/>
            <w:hideMark/>
          </w:tcPr>
          <w:p w:rsidR="0092299C" w:rsidRPr="00FB2C11" w:rsidRDefault="0092299C" w:rsidP="0092299C">
            <w:pPr>
              <w:pStyle w:val="ARtabletextright"/>
            </w:pPr>
            <w:r w:rsidRPr="00FB2C11">
              <w:t>$1,706</w:t>
            </w:r>
          </w:p>
        </w:tc>
      </w:tr>
      <w:tr w:rsidR="0092299C" w:rsidRPr="00FB2C11" w:rsidTr="0084694E">
        <w:tc>
          <w:tcPr>
            <w:tcW w:w="2194" w:type="dxa"/>
            <w:noWrap/>
            <w:hideMark/>
          </w:tcPr>
          <w:p w:rsidR="0092299C" w:rsidRPr="00FB2C11" w:rsidRDefault="0092299C" w:rsidP="0092299C">
            <w:pPr>
              <w:pStyle w:val="ARtabletext"/>
            </w:pPr>
            <w:r w:rsidRPr="00FB2C11">
              <w:t>SAL Consulting Pty Ltd</w:t>
            </w:r>
          </w:p>
        </w:tc>
        <w:tc>
          <w:tcPr>
            <w:tcW w:w="3771" w:type="dxa"/>
            <w:noWrap/>
            <w:hideMark/>
          </w:tcPr>
          <w:p w:rsidR="0092299C" w:rsidRPr="00FB2C11" w:rsidRDefault="0092299C" w:rsidP="0092299C">
            <w:pPr>
              <w:pStyle w:val="ARtabletext"/>
            </w:pPr>
            <w:r w:rsidRPr="00FB2C11">
              <w:t>Review, disability forensic assessment treatment service</w:t>
            </w:r>
          </w:p>
        </w:tc>
        <w:tc>
          <w:tcPr>
            <w:tcW w:w="1275" w:type="dxa"/>
            <w:noWrap/>
            <w:hideMark/>
          </w:tcPr>
          <w:p w:rsidR="0092299C" w:rsidRPr="00FB2C11" w:rsidRDefault="0092299C" w:rsidP="0092299C">
            <w:pPr>
              <w:pStyle w:val="ARtabletextright"/>
            </w:pPr>
            <w:r w:rsidRPr="00FB2C11">
              <w:t>$52,500</w:t>
            </w:r>
          </w:p>
        </w:tc>
        <w:tc>
          <w:tcPr>
            <w:tcW w:w="1276" w:type="dxa"/>
            <w:noWrap/>
            <w:hideMark/>
          </w:tcPr>
          <w:p w:rsidR="0092299C" w:rsidRPr="00FB2C11" w:rsidRDefault="0092299C" w:rsidP="0092299C">
            <w:pPr>
              <w:pStyle w:val="ARtabletextright"/>
            </w:pPr>
            <w:r w:rsidRPr="00FB2C11">
              <w:t>$8,750</w:t>
            </w:r>
          </w:p>
        </w:tc>
        <w:tc>
          <w:tcPr>
            <w:tcW w:w="1276" w:type="dxa"/>
            <w:noWrap/>
            <w:hideMark/>
          </w:tcPr>
          <w:p w:rsidR="0092299C" w:rsidRPr="00FB2C11" w:rsidRDefault="0092299C" w:rsidP="0092299C">
            <w:pPr>
              <w:pStyle w:val="ARtabletextright"/>
            </w:pPr>
            <w:r w:rsidRPr="00FB2C11">
              <w:t>$20,540</w:t>
            </w:r>
          </w:p>
        </w:tc>
      </w:tr>
      <w:tr w:rsidR="0092299C" w:rsidRPr="00FB2C11" w:rsidTr="0084694E">
        <w:tc>
          <w:tcPr>
            <w:tcW w:w="2194" w:type="dxa"/>
            <w:noWrap/>
            <w:hideMark/>
          </w:tcPr>
          <w:p w:rsidR="0092299C" w:rsidRPr="00FB2C11" w:rsidRDefault="0092299C" w:rsidP="0092299C">
            <w:pPr>
              <w:pStyle w:val="ARtabletext"/>
            </w:pPr>
            <w:proofErr w:type="spellStart"/>
            <w:r w:rsidRPr="00FB2C11">
              <w:t>Biruu</w:t>
            </w:r>
            <w:proofErr w:type="spellEnd"/>
            <w:r w:rsidRPr="00FB2C11">
              <w:t xml:space="preserve"> Pty Ltd</w:t>
            </w:r>
          </w:p>
        </w:tc>
        <w:tc>
          <w:tcPr>
            <w:tcW w:w="3771" w:type="dxa"/>
            <w:noWrap/>
            <w:hideMark/>
          </w:tcPr>
          <w:p w:rsidR="0092299C" w:rsidRPr="00FB2C11" w:rsidRDefault="0092299C" w:rsidP="0092299C">
            <w:pPr>
              <w:pStyle w:val="ARtabletext"/>
            </w:pPr>
            <w:r w:rsidRPr="00FB2C11">
              <w:t>Barwon catchment clinical mental health service plan</w:t>
            </w:r>
          </w:p>
        </w:tc>
        <w:tc>
          <w:tcPr>
            <w:tcW w:w="1275" w:type="dxa"/>
            <w:noWrap/>
            <w:hideMark/>
          </w:tcPr>
          <w:p w:rsidR="0092299C" w:rsidRPr="00FB2C11" w:rsidRDefault="0092299C" w:rsidP="0092299C">
            <w:pPr>
              <w:pStyle w:val="ARtabletextright"/>
            </w:pPr>
            <w:r w:rsidRPr="00FB2C11">
              <w:t>$90,100</w:t>
            </w:r>
          </w:p>
        </w:tc>
        <w:tc>
          <w:tcPr>
            <w:tcW w:w="1276" w:type="dxa"/>
            <w:noWrap/>
            <w:hideMark/>
          </w:tcPr>
          <w:p w:rsidR="0092299C" w:rsidRPr="00FB2C11" w:rsidRDefault="0092299C" w:rsidP="0092299C">
            <w:pPr>
              <w:pStyle w:val="ARtabletextright"/>
            </w:pPr>
            <w:r w:rsidRPr="00FB2C11">
              <w:t>$21,000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Linchpin Pty Ltd</w:t>
            </w:r>
          </w:p>
        </w:tc>
        <w:tc>
          <w:tcPr>
            <w:tcW w:w="3771" w:type="dxa"/>
            <w:noWrap/>
            <w:hideMark/>
          </w:tcPr>
          <w:p w:rsidR="0092299C" w:rsidRPr="00FB2C11" w:rsidRDefault="0092299C" w:rsidP="0092299C">
            <w:pPr>
              <w:pStyle w:val="ARtabletext"/>
            </w:pPr>
            <w:r w:rsidRPr="00FB2C11">
              <w:t>Systems and process map, Mental Health Complaints Commissioner</w:t>
            </w:r>
          </w:p>
        </w:tc>
        <w:tc>
          <w:tcPr>
            <w:tcW w:w="1275" w:type="dxa"/>
            <w:noWrap/>
            <w:hideMark/>
          </w:tcPr>
          <w:p w:rsidR="0092299C" w:rsidRPr="00FB2C11" w:rsidRDefault="0092299C" w:rsidP="0092299C">
            <w:pPr>
              <w:pStyle w:val="ARtabletextright"/>
            </w:pPr>
            <w:r w:rsidRPr="00FB2C11">
              <w:t>$15,600</w:t>
            </w:r>
          </w:p>
        </w:tc>
        <w:tc>
          <w:tcPr>
            <w:tcW w:w="1276" w:type="dxa"/>
            <w:noWrap/>
            <w:hideMark/>
          </w:tcPr>
          <w:p w:rsidR="0092299C" w:rsidRPr="00FB2C11" w:rsidRDefault="0092299C" w:rsidP="0092299C">
            <w:pPr>
              <w:pStyle w:val="ARtabletextright"/>
            </w:pPr>
            <w:r w:rsidRPr="00FB2C11">
              <w:t>$15,600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Australian Healthcare Associates Pty Ltd</w:t>
            </w:r>
          </w:p>
        </w:tc>
        <w:tc>
          <w:tcPr>
            <w:tcW w:w="3771" w:type="dxa"/>
            <w:noWrap/>
            <w:hideMark/>
          </w:tcPr>
          <w:p w:rsidR="0092299C" w:rsidRPr="00FB2C11" w:rsidRDefault="0092299C" w:rsidP="0092299C">
            <w:pPr>
              <w:pStyle w:val="ARtabletext"/>
            </w:pPr>
            <w:r w:rsidRPr="00FB2C11">
              <w:t xml:space="preserve">Evaluation, Victoria's </w:t>
            </w:r>
            <w:r>
              <w:t>A</w:t>
            </w:r>
            <w:r w:rsidRPr="00FB2C11">
              <w:t>boriginal workforce development strategies</w:t>
            </w:r>
          </w:p>
        </w:tc>
        <w:tc>
          <w:tcPr>
            <w:tcW w:w="1275" w:type="dxa"/>
            <w:noWrap/>
            <w:hideMark/>
          </w:tcPr>
          <w:p w:rsidR="0092299C" w:rsidRPr="00FB2C11" w:rsidRDefault="0092299C" w:rsidP="0092299C">
            <w:pPr>
              <w:pStyle w:val="ARtabletextright"/>
            </w:pPr>
            <w:r w:rsidRPr="00FB2C11">
              <w:t>$132,309</w:t>
            </w:r>
          </w:p>
        </w:tc>
        <w:tc>
          <w:tcPr>
            <w:tcW w:w="1276" w:type="dxa"/>
            <w:noWrap/>
            <w:hideMark/>
          </w:tcPr>
          <w:p w:rsidR="0092299C" w:rsidRPr="00FB2C11" w:rsidRDefault="0092299C" w:rsidP="0092299C">
            <w:pPr>
              <w:pStyle w:val="ARtabletextright"/>
            </w:pPr>
            <w:r w:rsidRPr="00FB2C11">
              <w:t>$114,609</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Wunan</w:t>
            </w:r>
            <w:proofErr w:type="spellEnd"/>
            <w:r w:rsidRPr="00FB2C11">
              <w:t xml:space="preserve"> Foundation </w:t>
            </w:r>
            <w:proofErr w:type="spellStart"/>
            <w:r w:rsidRPr="00FB2C11">
              <w:t>Inc</w:t>
            </w:r>
            <w:proofErr w:type="spellEnd"/>
          </w:p>
        </w:tc>
        <w:tc>
          <w:tcPr>
            <w:tcW w:w="3771" w:type="dxa"/>
            <w:noWrap/>
            <w:hideMark/>
          </w:tcPr>
          <w:p w:rsidR="0092299C" w:rsidRPr="00FB2C11" w:rsidRDefault="0092299C" w:rsidP="0092299C">
            <w:pPr>
              <w:pStyle w:val="ARtabletext"/>
            </w:pPr>
            <w:r w:rsidRPr="00FB2C11">
              <w:t>Evaluation, strategies for improving cultural responsiveness of mainstream health services</w:t>
            </w:r>
          </w:p>
        </w:tc>
        <w:tc>
          <w:tcPr>
            <w:tcW w:w="1275" w:type="dxa"/>
            <w:noWrap/>
            <w:hideMark/>
          </w:tcPr>
          <w:p w:rsidR="0092299C" w:rsidRPr="00FB2C11" w:rsidRDefault="0092299C" w:rsidP="0092299C">
            <w:pPr>
              <w:pStyle w:val="ARtabletextright"/>
            </w:pPr>
            <w:r w:rsidRPr="00FB2C11">
              <w:t>$159,091</w:t>
            </w:r>
          </w:p>
        </w:tc>
        <w:tc>
          <w:tcPr>
            <w:tcW w:w="1276" w:type="dxa"/>
            <w:noWrap/>
            <w:hideMark/>
          </w:tcPr>
          <w:p w:rsidR="0092299C" w:rsidRPr="00FB2C11" w:rsidRDefault="0092299C" w:rsidP="0092299C">
            <w:pPr>
              <w:pStyle w:val="ARtabletextright"/>
            </w:pPr>
            <w:r w:rsidRPr="00FB2C11">
              <w:t>$45,000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Effective Change Pty Ltd</w:t>
            </w:r>
          </w:p>
        </w:tc>
        <w:tc>
          <w:tcPr>
            <w:tcW w:w="3771" w:type="dxa"/>
            <w:noWrap/>
            <w:hideMark/>
          </w:tcPr>
          <w:p w:rsidR="0092299C" w:rsidRPr="00FB2C11" w:rsidRDefault="0092299C" w:rsidP="0092299C">
            <w:pPr>
              <w:pStyle w:val="ARtabletext"/>
            </w:pPr>
            <w:r w:rsidRPr="00FB2C11">
              <w:t xml:space="preserve">Evaluation, </w:t>
            </w:r>
            <w:r>
              <w:t>A</w:t>
            </w:r>
            <w:r w:rsidRPr="00FB2C11">
              <w:t xml:space="preserve">boriginal health care coordination </w:t>
            </w:r>
            <w:r>
              <w:t>and</w:t>
            </w:r>
            <w:r w:rsidRPr="00FB2C11">
              <w:t xml:space="preserve"> case management models</w:t>
            </w:r>
          </w:p>
        </w:tc>
        <w:tc>
          <w:tcPr>
            <w:tcW w:w="1275" w:type="dxa"/>
            <w:noWrap/>
            <w:hideMark/>
          </w:tcPr>
          <w:p w:rsidR="0092299C" w:rsidRPr="00FB2C11" w:rsidRDefault="0092299C" w:rsidP="0092299C">
            <w:pPr>
              <w:pStyle w:val="ARtabletextright"/>
            </w:pPr>
            <w:r w:rsidRPr="00FB2C11">
              <w:t>$208,455</w:t>
            </w:r>
          </w:p>
        </w:tc>
        <w:tc>
          <w:tcPr>
            <w:tcW w:w="1276" w:type="dxa"/>
            <w:noWrap/>
            <w:hideMark/>
          </w:tcPr>
          <w:p w:rsidR="0092299C" w:rsidRPr="00FB2C11" w:rsidRDefault="0092299C" w:rsidP="0092299C">
            <w:pPr>
              <w:pStyle w:val="ARtabletextright"/>
            </w:pPr>
            <w:r w:rsidRPr="00FB2C11">
              <w:t>$71,625</w:t>
            </w:r>
          </w:p>
        </w:tc>
        <w:tc>
          <w:tcPr>
            <w:tcW w:w="1276" w:type="dxa"/>
            <w:noWrap/>
            <w:hideMark/>
          </w:tcPr>
          <w:p w:rsidR="0092299C" w:rsidRPr="00FB2C11" w:rsidRDefault="0092299C" w:rsidP="0092299C">
            <w:pPr>
              <w:pStyle w:val="ARtabletextright"/>
            </w:pPr>
            <w:r w:rsidRPr="00FB2C11">
              <w:t>$3,051</w:t>
            </w:r>
          </w:p>
        </w:tc>
      </w:tr>
      <w:tr w:rsidR="0092299C" w:rsidRPr="00FB2C11" w:rsidTr="0084694E">
        <w:tc>
          <w:tcPr>
            <w:tcW w:w="2194" w:type="dxa"/>
            <w:noWrap/>
            <w:hideMark/>
          </w:tcPr>
          <w:p w:rsidR="0092299C" w:rsidRPr="00FB2C11" w:rsidRDefault="0092299C" w:rsidP="0092299C">
            <w:pPr>
              <w:pStyle w:val="ARtabletext"/>
            </w:pPr>
            <w:r w:rsidRPr="00FB2C11">
              <w:t>The University of Melbourne</w:t>
            </w:r>
          </w:p>
        </w:tc>
        <w:tc>
          <w:tcPr>
            <w:tcW w:w="3771" w:type="dxa"/>
            <w:noWrap/>
            <w:hideMark/>
          </w:tcPr>
          <w:p w:rsidR="0092299C" w:rsidRPr="00FB2C11" w:rsidRDefault="0092299C" w:rsidP="0092299C">
            <w:pPr>
              <w:pStyle w:val="ARtabletext"/>
            </w:pPr>
            <w:r w:rsidRPr="00FB2C11">
              <w:t>Documentation, achievements of Gathering Places an</w:t>
            </w:r>
            <w:r w:rsidR="001F2E2D">
              <w:t>d community-</w:t>
            </w:r>
            <w:r w:rsidR="001F2E2D" w:rsidRPr="00FB2C11">
              <w:t xml:space="preserve">controlled health organisations </w:t>
            </w:r>
            <w:r w:rsidRPr="00FB2C11">
              <w:t>in Victoria</w:t>
            </w:r>
          </w:p>
        </w:tc>
        <w:tc>
          <w:tcPr>
            <w:tcW w:w="1275" w:type="dxa"/>
            <w:noWrap/>
            <w:hideMark/>
          </w:tcPr>
          <w:p w:rsidR="0092299C" w:rsidRPr="00FB2C11" w:rsidRDefault="0092299C" w:rsidP="0092299C">
            <w:pPr>
              <w:pStyle w:val="ARtabletextright"/>
            </w:pPr>
            <w:r w:rsidRPr="00FB2C11">
              <w:t>$88,767</w:t>
            </w:r>
          </w:p>
        </w:tc>
        <w:tc>
          <w:tcPr>
            <w:tcW w:w="1276" w:type="dxa"/>
            <w:noWrap/>
            <w:hideMark/>
          </w:tcPr>
          <w:p w:rsidR="0092299C" w:rsidRPr="00FB2C11" w:rsidRDefault="0092299C" w:rsidP="0092299C">
            <w:pPr>
              <w:pStyle w:val="ARtabletextright"/>
            </w:pPr>
            <w:r w:rsidRPr="00FB2C11">
              <w:t>$41,965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Deloitte </w:t>
            </w:r>
            <w:proofErr w:type="spellStart"/>
            <w:r w:rsidRPr="00FB2C11">
              <w:t>Touche</w:t>
            </w:r>
            <w:proofErr w:type="spellEnd"/>
            <w:r w:rsidRPr="00FB2C11">
              <w:t xml:space="preserve"> Tohmatsu</w:t>
            </w:r>
          </w:p>
        </w:tc>
        <w:tc>
          <w:tcPr>
            <w:tcW w:w="3771" w:type="dxa"/>
            <w:noWrap/>
            <w:hideMark/>
          </w:tcPr>
          <w:p w:rsidR="0092299C" w:rsidRPr="00FB2C11" w:rsidRDefault="0092299C" w:rsidP="0092299C">
            <w:pPr>
              <w:pStyle w:val="ARtabletext"/>
            </w:pPr>
            <w:r w:rsidRPr="00FB2C11">
              <w:t xml:space="preserve">Roadmap to </w:t>
            </w:r>
            <w:r>
              <w:t>s</w:t>
            </w:r>
            <w:r w:rsidRPr="00FB2C11">
              <w:t xml:space="preserve">ystemic </w:t>
            </w:r>
            <w:r>
              <w:t>r</w:t>
            </w:r>
            <w:r w:rsidRPr="00FB2C11">
              <w:t>eform (review early intervention services)</w:t>
            </w:r>
          </w:p>
        </w:tc>
        <w:tc>
          <w:tcPr>
            <w:tcW w:w="1275" w:type="dxa"/>
            <w:noWrap/>
            <w:hideMark/>
          </w:tcPr>
          <w:p w:rsidR="0092299C" w:rsidRPr="00FB2C11" w:rsidRDefault="0092299C" w:rsidP="0092299C">
            <w:pPr>
              <w:pStyle w:val="ARtabletextright"/>
            </w:pPr>
            <w:r w:rsidRPr="00FB2C11">
              <w:t>$839,333</w:t>
            </w:r>
          </w:p>
        </w:tc>
        <w:tc>
          <w:tcPr>
            <w:tcW w:w="1276" w:type="dxa"/>
            <w:noWrap/>
            <w:hideMark/>
          </w:tcPr>
          <w:p w:rsidR="0092299C" w:rsidRPr="00FB2C11" w:rsidRDefault="0092299C" w:rsidP="0092299C">
            <w:pPr>
              <w:pStyle w:val="ARtabletextright"/>
            </w:pPr>
            <w:r w:rsidRPr="00FB2C11">
              <w:t>$25,346</w:t>
            </w:r>
          </w:p>
        </w:tc>
        <w:tc>
          <w:tcPr>
            <w:tcW w:w="1276" w:type="dxa"/>
            <w:noWrap/>
            <w:hideMark/>
          </w:tcPr>
          <w:p w:rsidR="0092299C" w:rsidRPr="00FB2C11" w:rsidRDefault="0092299C" w:rsidP="0092299C">
            <w:pPr>
              <w:pStyle w:val="ARtabletextright"/>
            </w:pPr>
            <w:r w:rsidRPr="00FB2C11">
              <w:t>$41,394</w:t>
            </w:r>
          </w:p>
        </w:tc>
      </w:tr>
      <w:tr w:rsidR="0092299C" w:rsidRPr="00FB2C11" w:rsidTr="0084694E">
        <w:tc>
          <w:tcPr>
            <w:tcW w:w="2194" w:type="dxa"/>
            <w:noWrap/>
            <w:hideMark/>
          </w:tcPr>
          <w:p w:rsidR="0092299C" w:rsidRPr="00FB2C11" w:rsidRDefault="0092299C" w:rsidP="0092299C">
            <w:pPr>
              <w:pStyle w:val="ARtabletext"/>
            </w:pPr>
            <w:r w:rsidRPr="00FB2C11">
              <w:t>Eastern Health</w:t>
            </w:r>
          </w:p>
        </w:tc>
        <w:tc>
          <w:tcPr>
            <w:tcW w:w="3771" w:type="dxa"/>
            <w:noWrap/>
            <w:hideMark/>
          </w:tcPr>
          <w:p w:rsidR="0092299C" w:rsidRPr="00FB2C11" w:rsidRDefault="0092299C" w:rsidP="0092299C">
            <w:pPr>
              <w:pStyle w:val="ARtabletext"/>
            </w:pPr>
            <w:r w:rsidRPr="00FB2C11">
              <w:t>Education, family and community ice training</w:t>
            </w:r>
          </w:p>
        </w:tc>
        <w:tc>
          <w:tcPr>
            <w:tcW w:w="1275" w:type="dxa"/>
            <w:noWrap/>
            <w:hideMark/>
          </w:tcPr>
          <w:p w:rsidR="0092299C" w:rsidRPr="00FB2C11" w:rsidRDefault="0092299C" w:rsidP="0092299C">
            <w:pPr>
              <w:pStyle w:val="ARtabletextright"/>
            </w:pPr>
            <w:r w:rsidRPr="00FB2C11">
              <w:t>$1,354,223</w:t>
            </w:r>
          </w:p>
        </w:tc>
        <w:tc>
          <w:tcPr>
            <w:tcW w:w="1276" w:type="dxa"/>
            <w:noWrap/>
            <w:hideMark/>
          </w:tcPr>
          <w:p w:rsidR="0092299C" w:rsidRPr="00FB2C11" w:rsidRDefault="0092299C" w:rsidP="0092299C">
            <w:pPr>
              <w:pStyle w:val="ARtabletextright"/>
            </w:pPr>
            <w:r w:rsidRPr="00FB2C11">
              <w:t>$389,548</w:t>
            </w:r>
          </w:p>
        </w:tc>
        <w:tc>
          <w:tcPr>
            <w:tcW w:w="1276" w:type="dxa"/>
            <w:noWrap/>
            <w:hideMark/>
          </w:tcPr>
          <w:p w:rsidR="0092299C" w:rsidRPr="00FB2C11" w:rsidRDefault="0092299C" w:rsidP="0092299C">
            <w:pPr>
              <w:pStyle w:val="ARtabletextright"/>
            </w:pPr>
            <w:r w:rsidRPr="00FB2C11">
              <w:t>$764,457</w:t>
            </w:r>
          </w:p>
        </w:tc>
      </w:tr>
      <w:tr w:rsidR="0092299C" w:rsidRPr="00FB2C11" w:rsidTr="0084694E">
        <w:tc>
          <w:tcPr>
            <w:tcW w:w="2194" w:type="dxa"/>
            <w:noWrap/>
            <w:hideMark/>
          </w:tcPr>
          <w:p w:rsidR="0092299C" w:rsidRPr="00FB2C11" w:rsidRDefault="0092299C" w:rsidP="0092299C">
            <w:pPr>
              <w:pStyle w:val="ARtabletext"/>
            </w:pPr>
            <w:proofErr w:type="spellStart"/>
            <w:r w:rsidRPr="00FB2C11">
              <w:lastRenderedPageBreak/>
              <w:t>Biruu</w:t>
            </w:r>
            <w:proofErr w:type="spellEnd"/>
            <w:r w:rsidRPr="00FB2C11">
              <w:t xml:space="preserve"> Pty Ltd</w:t>
            </w:r>
          </w:p>
        </w:tc>
        <w:tc>
          <w:tcPr>
            <w:tcW w:w="3771" w:type="dxa"/>
            <w:noWrap/>
            <w:hideMark/>
          </w:tcPr>
          <w:p w:rsidR="0092299C" w:rsidRPr="00FB2C11" w:rsidRDefault="0092299C" w:rsidP="0092299C">
            <w:pPr>
              <w:pStyle w:val="ARtabletext"/>
            </w:pPr>
            <w:r w:rsidRPr="00FB2C11">
              <w:t>Develop Bellarine Peninsula strategic service plan</w:t>
            </w:r>
          </w:p>
        </w:tc>
        <w:tc>
          <w:tcPr>
            <w:tcW w:w="1275" w:type="dxa"/>
            <w:noWrap/>
            <w:hideMark/>
          </w:tcPr>
          <w:p w:rsidR="0092299C" w:rsidRPr="00FB2C11" w:rsidRDefault="0092299C" w:rsidP="0092299C">
            <w:pPr>
              <w:pStyle w:val="ARtabletextright"/>
            </w:pPr>
            <w:r w:rsidRPr="00FB2C11">
              <w:t>$80,050</w:t>
            </w:r>
          </w:p>
        </w:tc>
        <w:tc>
          <w:tcPr>
            <w:tcW w:w="1276" w:type="dxa"/>
            <w:noWrap/>
            <w:hideMark/>
          </w:tcPr>
          <w:p w:rsidR="0092299C" w:rsidRPr="00FB2C11" w:rsidRDefault="0092299C" w:rsidP="0092299C">
            <w:pPr>
              <w:pStyle w:val="ARtabletextright"/>
            </w:pPr>
            <w:r w:rsidRPr="00FB2C11">
              <w:t>$80,050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 xml:space="preserve">Lewis </w:t>
            </w:r>
            <w:proofErr w:type="spellStart"/>
            <w:r w:rsidRPr="00FB2C11">
              <w:t>Wanstall</w:t>
            </w:r>
            <w:proofErr w:type="spellEnd"/>
            <w:r w:rsidRPr="00FB2C11">
              <w:t xml:space="preserve"> &amp; Associates</w:t>
            </w:r>
          </w:p>
        </w:tc>
        <w:tc>
          <w:tcPr>
            <w:tcW w:w="3771" w:type="dxa"/>
            <w:noWrap/>
            <w:hideMark/>
          </w:tcPr>
          <w:p w:rsidR="0092299C" w:rsidRPr="00FB2C11" w:rsidRDefault="0092299C" w:rsidP="0092299C">
            <w:pPr>
              <w:pStyle w:val="ARtabletext"/>
            </w:pPr>
            <w:r w:rsidRPr="00FB2C11">
              <w:t>Undertake grievance reviews</w:t>
            </w:r>
          </w:p>
        </w:tc>
        <w:tc>
          <w:tcPr>
            <w:tcW w:w="1275" w:type="dxa"/>
            <w:noWrap/>
            <w:hideMark/>
          </w:tcPr>
          <w:p w:rsidR="0092299C" w:rsidRPr="00FB2C11" w:rsidRDefault="0092299C" w:rsidP="0092299C">
            <w:pPr>
              <w:pStyle w:val="ARtabletextright"/>
            </w:pPr>
            <w:r w:rsidRPr="00FB2C11">
              <w:t>$45,455</w:t>
            </w:r>
          </w:p>
        </w:tc>
        <w:tc>
          <w:tcPr>
            <w:tcW w:w="1276" w:type="dxa"/>
            <w:noWrap/>
            <w:hideMark/>
          </w:tcPr>
          <w:p w:rsidR="0092299C" w:rsidRPr="00FB2C11" w:rsidRDefault="0092299C" w:rsidP="0092299C">
            <w:pPr>
              <w:pStyle w:val="ARtabletextright"/>
            </w:pPr>
            <w:r w:rsidRPr="00FB2C11">
              <w:t>$1,260</w:t>
            </w:r>
          </w:p>
        </w:tc>
        <w:tc>
          <w:tcPr>
            <w:tcW w:w="1276" w:type="dxa"/>
            <w:noWrap/>
            <w:hideMark/>
          </w:tcPr>
          <w:p w:rsidR="0092299C" w:rsidRPr="00FB2C11" w:rsidRDefault="0092299C" w:rsidP="0092299C">
            <w:pPr>
              <w:pStyle w:val="ARtabletextright"/>
            </w:pPr>
            <w:r w:rsidRPr="00FB2C11">
              <w:t>$41,083</w:t>
            </w:r>
          </w:p>
        </w:tc>
      </w:tr>
      <w:tr w:rsidR="0092299C" w:rsidRPr="00FB2C11" w:rsidTr="0084694E">
        <w:tc>
          <w:tcPr>
            <w:tcW w:w="2194" w:type="dxa"/>
            <w:noWrap/>
            <w:hideMark/>
          </w:tcPr>
          <w:p w:rsidR="0092299C" w:rsidRPr="00FB2C11" w:rsidRDefault="0092299C" w:rsidP="0092299C">
            <w:pPr>
              <w:pStyle w:val="ARtabletext"/>
            </w:pPr>
            <w:r w:rsidRPr="00FB2C11">
              <w:t>KPMG</w:t>
            </w:r>
          </w:p>
        </w:tc>
        <w:tc>
          <w:tcPr>
            <w:tcW w:w="3771" w:type="dxa"/>
            <w:noWrap/>
            <w:hideMark/>
          </w:tcPr>
          <w:p w:rsidR="0092299C" w:rsidRPr="00FB2C11" w:rsidRDefault="0092299C" w:rsidP="0092299C">
            <w:pPr>
              <w:pStyle w:val="ARtabletext"/>
            </w:pPr>
            <w:r w:rsidRPr="00FB2C11">
              <w:t>Data integrity audit, Victorian emergency minimum dataset</w:t>
            </w:r>
          </w:p>
        </w:tc>
        <w:tc>
          <w:tcPr>
            <w:tcW w:w="1275" w:type="dxa"/>
            <w:noWrap/>
            <w:hideMark/>
          </w:tcPr>
          <w:p w:rsidR="0092299C" w:rsidRPr="00FB2C11" w:rsidRDefault="0092299C" w:rsidP="0092299C">
            <w:pPr>
              <w:pStyle w:val="ARtabletextright"/>
            </w:pPr>
            <w:r w:rsidRPr="00FB2C11">
              <w:t>$391,498</w:t>
            </w:r>
          </w:p>
        </w:tc>
        <w:tc>
          <w:tcPr>
            <w:tcW w:w="1276" w:type="dxa"/>
            <w:noWrap/>
            <w:hideMark/>
          </w:tcPr>
          <w:p w:rsidR="0092299C" w:rsidRPr="00FB2C11" w:rsidRDefault="0092299C" w:rsidP="0092299C">
            <w:pPr>
              <w:pStyle w:val="ARtabletextright"/>
            </w:pPr>
            <w:r w:rsidRPr="00FB2C11">
              <w:t>$130,023</w:t>
            </w:r>
          </w:p>
        </w:tc>
        <w:tc>
          <w:tcPr>
            <w:tcW w:w="1276" w:type="dxa"/>
            <w:noWrap/>
            <w:hideMark/>
          </w:tcPr>
          <w:p w:rsidR="0092299C" w:rsidRPr="00FB2C11" w:rsidRDefault="0092299C" w:rsidP="0092299C">
            <w:pPr>
              <w:pStyle w:val="ARtabletextright"/>
            </w:pPr>
            <w:r w:rsidRPr="00FB2C11">
              <w:t>$1,331</w:t>
            </w:r>
          </w:p>
        </w:tc>
      </w:tr>
      <w:tr w:rsidR="0092299C" w:rsidRPr="00FB2C11" w:rsidTr="0084694E">
        <w:tc>
          <w:tcPr>
            <w:tcW w:w="2194" w:type="dxa"/>
            <w:noWrap/>
            <w:hideMark/>
          </w:tcPr>
          <w:p w:rsidR="0092299C" w:rsidRPr="00FB2C11" w:rsidRDefault="0092299C" w:rsidP="0092299C">
            <w:pPr>
              <w:pStyle w:val="ARtabletext"/>
            </w:pPr>
            <w:r>
              <w:t>PwC</w:t>
            </w:r>
          </w:p>
        </w:tc>
        <w:tc>
          <w:tcPr>
            <w:tcW w:w="3771" w:type="dxa"/>
            <w:noWrap/>
            <w:hideMark/>
          </w:tcPr>
          <w:p w:rsidR="0092299C" w:rsidRPr="00FB2C11" w:rsidRDefault="0092299C" w:rsidP="0092299C">
            <w:pPr>
              <w:pStyle w:val="ARtabletext"/>
            </w:pPr>
            <w:r w:rsidRPr="00FB2C11">
              <w:t>Evaluate, Services Connect trials</w:t>
            </w:r>
          </w:p>
        </w:tc>
        <w:tc>
          <w:tcPr>
            <w:tcW w:w="1275" w:type="dxa"/>
            <w:noWrap/>
            <w:hideMark/>
          </w:tcPr>
          <w:p w:rsidR="0092299C" w:rsidRPr="00FB2C11" w:rsidRDefault="0092299C" w:rsidP="0092299C">
            <w:pPr>
              <w:pStyle w:val="ARtabletextright"/>
            </w:pPr>
            <w:r w:rsidRPr="00FB2C11">
              <w:t>$771,202</w:t>
            </w:r>
          </w:p>
        </w:tc>
        <w:tc>
          <w:tcPr>
            <w:tcW w:w="1276" w:type="dxa"/>
            <w:noWrap/>
            <w:hideMark/>
          </w:tcPr>
          <w:p w:rsidR="0092299C" w:rsidRPr="00FB2C11" w:rsidRDefault="0092299C" w:rsidP="0092299C">
            <w:pPr>
              <w:pStyle w:val="ARtabletextright"/>
            </w:pPr>
            <w:r w:rsidRPr="00FB2C11">
              <w:t>$316,830</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proofErr w:type="spellStart"/>
            <w:r w:rsidRPr="00FB2C11">
              <w:t>Protiviti</w:t>
            </w:r>
            <w:proofErr w:type="spellEnd"/>
            <w:r w:rsidRPr="00FB2C11">
              <w:t xml:space="preserve"> Pty Ltd</w:t>
            </w:r>
          </w:p>
        </w:tc>
        <w:tc>
          <w:tcPr>
            <w:tcW w:w="3771" w:type="dxa"/>
            <w:noWrap/>
            <w:hideMark/>
          </w:tcPr>
          <w:p w:rsidR="0092299C" w:rsidRPr="00FB2C11" w:rsidRDefault="0092299C" w:rsidP="0092299C">
            <w:pPr>
              <w:pStyle w:val="ARtabletext"/>
            </w:pPr>
            <w:r w:rsidRPr="00FB2C11">
              <w:t>Data integrity audit, elective surgery information system</w:t>
            </w:r>
          </w:p>
        </w:tc>
        <w:tc>
          <w:tcPr>
            <w:tcW w:w="1275" w:type="dxa"/>
            <w:noWrap/>
            <w:hideMark/>
          </w:tcPr>
          <w:p w:rsidR="0092299C" w:rsidRPr="00FB2C11" w:rsidRDefault="0092299C" w:rsidP="0092299C">
            <w:pPr>
              <w:pStyle w:val="ARtabletextright"/>
            </w:pPr>
            <w:r w:rsidRPr="00FB2C11">
              <w:t>$289,473</w:t>
            </w:r>
          </w:p>
        </w:tc>
        <w:tc>
          <w:tcPr>
            <w:tcW w:w="1276" w:type="dxa"/>
            <w:noWrap/>
            <w:hideMark/>
          </w:tcPr>
          <w:p w:rsidR="0092299C" w:rsidRPr="00FB2C11" w:rsidRDefault="0092299C" w:rsidP="0092299C">
            <w:pPr>
              <w:pStyle w:val="ARtabletextright"/>
            </w:pPr>
            <w:r w:rsidRPr="00FB2C11">
              <w:t>$83,182</w:t>
            </w:r>
          </w:p>
        </w:tc>
        <w:tc>
          <w:tcPr>
            <w:tcW w:w="1276" w:type="dxa"/>
            <w:noWrap/>
            <w:hideMark/>
          </w:tcPr>
          <w:p w:rsidR="0092299C" w:rsidRPr="00FB2C11" w:rsidRDefault="0092299C" w:rsidP="0092299C">
            <w:pPr>
              <w:pStyle w:val="ARtabletextright"/>
            </w:pPr>
            <w:r w:rsidRPr="00FB2C11">
              <w:t>$16,636</w:t>
            </w:r>
          </w:p>
        </w:tc>
      </w:tr>
      <w:tr w:rsidR="0092299C" w:rsidRPr="00FB2C11" w:rsidTr="0084694E">
        <w:tc>
          <w:tcPr>
            <w:tcW w:w="2194" w:type="dxa"/>
            <w:noWrap/>
            <w:hideMark/>
          </w:tcPr>
          <w:p w:rsidR="0092299C" w:rsidRPr="00FB2C11" w:rsidRDefault="0092299C" w:rsidP="0092299C">
            <w:pPr>
              <w:pStyle w:val="ARtabletext"/>
            </w:pPr>
            <w:r w:rsidRPr="00FB2C11">
              <w:t>Psych Health Australia Pty Ltd</w:t>
            </w:r>
          </w:p>
        </w:tc>
        <w:tc>
          <w:tcPr>
            <w:tcW w:w="3771" w:type="dxa"/>
            <w:noWrap/>
            <w:hideMark/>
          </w:tcPr>
          <w:p w:rsidR="0092299C" w:rsidRPr="00FB2C11" w:rsidRDefault="0092299C" w:rsidP="0092299C">
            <w:pPr>
              <w:pStyle w:val="ARtabletext"/>
            </w:pPr>
            <w:r w:rsidRPr="00FB2C11">
              <w:t xml:space="preserve">Program </w:t>
            </w:r>
            <w:r>
              <w:t>s</w:t>
            </w:r>
            <w:r w:rsidRPr="00FB2C11">
              <w:t>ervices, multi</w:t>
            </w:r>
            <w:r>
              <w:t>-</w:t>
            </w:r>
            <w:r w:rsidRPr="00FB2C11">
              <w:t>diagnosis disability learning</w:t>
            </w:r>
          </w:p>
        </w:tc>
        <w:tc>
          <w:tcPr>
            <w:tcW w:w="1275" w:type="dxa"/>
            <w:noWrap/>
            <w:hideMark/>
          </w:tcPr>
          <w:p w:rsidR="0092299C" w:rsidRPr="00FB2C11" w:rsidRDefault="0092299C" w:rsidP="0092299C">
            <w:pPr>
              <w:pStyle w:val="ARtabletextright"/>
            </w:pPr>
            <w:r w:rsidRPr="00FB2C11">
              <w:t>$273,219</w:t>
            </w:r>
          </w:p>
        </w:tc>
        <w:tc>
          <w:tcPr>
            <w:tcW w:w="1276" w:type="dxa"/>
            <w:noWrap/>
            <w:hideMark/>
          </w:tcPr>
          <w:p w:rsidR="0092299C" w:rsidRPr="00FB2C11" w:rsidRDefault="0092299C" w:rsidP="0092299C">
            <w:pPr>
              <w:pStyle w:val="ARtabletextright"/>
            </w:pPr>
            <w:r w:rsidRPr="00FB2C11">
              <w:t>$29,836</w:t>
            </w:r>
          </w:p>
        </w:tc>
        <w:tc>
          <w:tcPr>
            <w:tcW w:w="1276" w:type="dxa"/>
            <w:noWrap/>
            <w:hideMark/>
          </w:tcPr>
          <w:p w:rsidR="0092299C" w:rsidRPr="00FB2C11" w:rsidRDefault="0092299C" w:rsidP="0092299C">
            <w:pPr>
              <w:pStyle w:val="ARtabletextright"/>
            </w:pPr>
            <w:r w:rsidRPr="00FB2C11">
              <w:t>$172,751</w:t>
            </w:r>
          </w:p>
        </w:tc>
      </w:tr>
      <w:tr w:rsidR="0092299C" w:rsidRPr="00FB2C11" w:rsidTr="0084694E">
        <w:tc>
          <w:tcPr>
            <w:tcW w:w="2194" w:type="dxa"/>
            <w:noWrap/>
            <w:hideMark/>
          </w:tcPr>
          <w:p w:rsidR="0092299C" w:rsidRPr="00FB2C11" w:rsidRDefault="0092299C" w:rsidP="0092299C">
            <w:pPr>
              <w:pStyle w:val="ARtabletext"/>
            </w:pPr>
            <w:r w:rsidRPr="00FB2C11">
              <w:t>LKA Group</w:t>
            </w:r>
          </w:p>
        </w:tc>
        <w:tc>
          <w:tcPr>
            <w:tcW w:w="3771" w:type="dxa"/>
            <w:noWrap/>
            <w:hideMark/>
          </w:tcPr>
          <w:p w:rsidR="0092299C" w:rsidRPr="00FB2C11" w:rsidRDefault="0092299C" w:rsidP="0092299C">
            <w:pPr>
              <w:pStyle w:val="ARtabletext"/>
            </w:pPr>
            <w:r w:rsidRPr="00FB2C11">
              <w:t>Loss adjustor service, public housing</w:t>
            </w:r>
          </w:p>
        </w:tc>
        <w:tc>
          <w:tcPr>
            <w:tcW w:w="1275" w:type="dxa"/>
            <w:noWrap/>
            <w:hideMark/>
          </w:tcPr>
          <w:p w:rsidR="0092299C" w:rsidRPr="00FB2C11" w:rsidRDefault="0092299C" w:rsidP="0092299C">
            <w:pPr>
              <w:pStyle w:val="ARtabletextright"/>
            </w:pPr>
            <w:r w:rsidRPr="00FB2C11">
              <w:t>$100,000</w:t>
            </w:r>
          </w:p>
        </w:tc>
        <w:tc>
          <w:tcPr>
            <w:tcW w:w="1276" w:type="dxa"/>
            <w:noWrap/>
            <w:hideMark/>
          </w:tcPr>
          <w:p w:rsidR="0092299C" w:rsidRPr="00FB2C11" w:rsidRDefault="0092299C" w:rsidP="0092299C">
            <w:pPr>
              <w:pStyle w:val="ARtabletextright"/>
            </w:pPr>
            <w:r w:rsidRPr="00FB2C11">
              <w:t>$19,455</w:t>
            </w:r>
          </w:p>
        </w:tc>
        <w:tc>
          <w:tcPr>
            <w:tcW w:w="1276" w:type="dxa"/>
            <w:noWrap/>
            <w:hideMark/>
          </w:tcPr>
          <w:p w:rsidR="0092299C" w:rsidRPr="00FB2C11" w:rsidRDefault="0092299C" w:rsidP="0092299C">
            <w:pPr>
              <w:pStyle w:val="ARtabletextright"/>
            </w:pPr>
            <w:r w:rsidRPr="00FB2C11">
              <w:t>$30,542</w:t>
            </w:r>
          </w:p>
        </w:tc>
      </w:tr>
      <w:tr w:rsidR="0092299C" w:rsidRPr="00FB2C11" w:rsidTr="0084694E">
        <w:tc>
          <w:tcPr>
            <w:tcW w:w="2194" w:type="dxa"/>
            <w:noWrap/>
            <w:hideMark/>
          </w:tcPr>
          <w:p w:rsidR="0092299C" w:rsidRPr="00FB2C11" w:rsidRDefault="0092299C" w:rsidP="0092299C">
            <w:pPr>
              <w:pStyle w:val="ARtabletext"/>
            </w:pPr>
            <w:r w:rsidRPr="00FB2C11">
              <w:t>Australian Institute of Criminology</w:t>
            </w:r>
          </w:p>
        </w:tc>
        <w:tc>
          <w:tcPr>
            <w:tcW w:w="3771" w:type="dxa"/>
            <w:noWrap/>
            <w:hideMark/>
          </w:tcPr>
          <w:p w:rsidR="0092299C" w:rsidRPr="00FB2C11" w:rsidRDefault="0092299C" w:rsidP="0092299C">
            <w:pPr>
              <w:pStyle w:val="ARtabletext"/>
            </w:pPr>
            <w:r w:rsidRPr="00FB2C11">
              <w:t>Evaluate, adolescent family violence pilot programs</w:t>
            </w:r>
          </w:p>
        </w:tc>
        <w:tc>
          <w:tcPr>
            <w:tcW w:w="1275" w:type="dxa"/>
            <w:noWrap/>
            <w:hideMark/>
          </w:tcPr>
          <w:p w:rsidR="0092299C" w:rsidRPr="00FB2C11" w:rsidRDefault="0092299C" w:rsidP="0092299C">
            <w:pPr>
              <w:pStyle w:val="ARtabletextright"/>
            </w:pPr>
            <w:r w:rsidRPr="00FB2C11">
              <w:t>$222,275</w:t>
            </w:r>
          </w:p>
        </w:tc>
        <w:tc>
          <w:tcPr>
            <w:tcW w:w="1276" w:type="dxa"/>
            <w:noWrap/>
            <w:hideMark/>
          </w:tcPr>
          <w:p w:rsidR="0092299C" w:rsidRPr="00FB2C11" w:rsidRDefault="0092299C" w:rsidP="0092299C">
            <w:pPr>
              <w:pStyle w:val="ARtabletextright"/>
            </w:pPr>
            <w:r w:rsidRPr="00FB2C11">
              <w:t>$66,365</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Australian Healthcare Associates Pty Ltd</w:t>
            </w:r>
          </w:p>
        </w:tc>
        <w:tc>
          <w:tcPr>
            <w:tcW w:w="3771" w:type="dxa"/>
            <w:noWrap/>
            <w:hideMark/>
          </w:tcPr>
          <w:p w:rsidR="0092299C" w:rsidRPr="00FB2C11" w:rsidRDefault="0092299C" w:rsidP="0092299C">
            <w:pPr>
              <w:pStyle w:val="ARtabletext"/>
            </w:pPr>
            <w:r w:rsidRPr="00FB2C11">
              <w:t>Data integrity audit, admitted patient, elective surgery and emergency department</w:t>
            </w:r>
          </w:p>
        </w:tc>
        <w:tc>
          <w:tcPr>
            <w:tcW w:w="1275" w:type="dxa"/>
            <w:noWrap/>
            <w:hideMark/>
          </w:tcPr>
          <w:p w:rsidR="0092299C" w:rsidRPr="00FB2C11" w:rsidRDefault="0092299C" w:rsidP="0092299C">
            <w:pPr>
              <w:pStyle w:val="ARtabletextright"/>
            </w:pPr>
            <w:r w:rsidRPr="00FB2C11">
              <w:t>$2,667,145</w:t>
            </w:r>
          </w:p>
        </w:tc>
        <w:tc>
          <w:tcPr>
            <w:tcW w:w="1276" w:type="dxa"/>
            <w:noWrap/>
            <w:hideMark/>
          </w:tcPr>
          <w:p w:rsidR="0092299C" w:rsidRPr="00FB2C11" w:rsidRDefault="0092299C" w:rsidP="0092299C">
            <w:pPr>
              <w:pStyle w:val="ARtabletextright"/>
            </w:pPr>
            <w:r w:rsidRPr="00FB2C11">
              <w:t>$522,736</w:t>
            </w:r>
          </w:p>
        </w:tc>
        <w:tc>
          <w:tcPr>
            <w:tcW w:w="1276" w:type="dxa"/>
            <w:noWrap/>
            <w:hideMark/>
          </w:tcPr>
          <w:p w:rsidR="0092299C" w:rsidRPr="00FB2C11" w:rsidRDefault="0092299C" w:rsidP="0092299C">
            <w:pPr>
              <w:pStyle w:val="ARtabletextright"/>
            </w:pPr>
            <w:r w:rsidRPr="00FB2C11">
              <w:t>$93,000</w:t>
            </w:r>
          </w:p>
        </w:tc>
      </w:tr>
      <w:tr w:rsidR="0092299C" w:rsidRPr="00FB2C11" w:rsidTr="0084694E">
        <w:tc>
          <w:tcPr>
            <w:tcW w:w="2194" w:type="dxa"/>
            <w:noWrap/>
            <w:hideMark/>
          </w:tcPr>
          <w:p w:rsidR="0092299C" w:rsidRPr="00FB2C11" w:rsidRDefault="0092299C" w:rsidP="0092299C">
            <w:pPr>
              <w:pStyle w:val="ARtabletext"/>
            </w:pPr>
            <w:r w:rsidRPr="00FB2C11">
              <w:t>Deloitte Access Economics Pty ltd</w:t>
            </w:r>
          </w:p>
        </w:tc>
        <w:tc>
          <w:tcPr>
            <w:tcW w:w="3771" w:type="dxa"/>
            <w:noWrap/>
            <w:hideMark/>
          </w:tcPr>
          <w:p w:rsidR="0092299C" w:rsidRPr="00FB2C11" w:rsidRDefault="0092299C" w:rsidP="0092299C">
            <w:pPr>
              <w:pStyle w:val="ARtabletext"/>
            </w:pPr>
            <w:r w:rsidRPr="00FB2C11">
              <w:t>Evaluation, mental health hospital admission program</w:t>
            </w:r>
          </w:p>
        </w:tc>
        <w:tc>
          <w:tcPr>
            <w:tcW w:w="1275" w:type="dxa"/>
            <w:noWrap/>
            <w:hideMark/>
          </w:tcPr>
          <w:p w:rsidR="0092299C" w:rsidRPr="00FB2C11" w:rsidRDefault="0092299C" w:rsidP="0092299C">
            <w:pPr>
              <w:pStyle w:val="ARtabletextright"/>
            </w:pPr>
            <w:r w:rsidRPr="00FB2C11">
              <w:t>$679,345</w:t>
            </w:r>
          </w:p>
        </w:tc>
        <w:tc>
          <w:tcPr>
            <w:tcW w:w="1276" w:type="dxa"/>
            <w:noWrap/>
            <w:hideMark/>
          </w:tcPr>
          <w:p w:rsidR="0092299C" w:rsidRPr="00FB2C11" w:rsidRDefault="0092299C" w:rsidP="0092299C">
            <w:pPr>
              <w:pStyle w:val="ARtabletextright"/>
            </w:pPr>
            <w:r w:rsidRPr="00FB2C11">
              <w:t>$21,582</w:t>
            </w:r>
          </w:p>
        </w:tc>
        <w:tc>
          <w:tcPr>
            <w:tcW w:w="1276" w:type="dxa"/>
            <w:noWrap/>
            <w:hideMark/>
          </w:tcPr>
          <w:p w:rsidR="0092299C" w:rsidRPr="00FB2C11" w:rsidRDefault="0092299C" w:rsidP="0092299C">
            <w:pPr>
              <w:pStyle w:val="ARtabletextright"/>
            </w:pPr>
            <w:r w:rsidRPr="00FB2C11">
              <w:t>$0</w:t>
            </w:r>
          </w:p>
        </w:tc>
      </w:tr>
      <w:tr w:rsidR="0092299C" w:rsidRPr="00FB2C11" w:rsidTr="0084694E">
        <w:tc>
          <w:tcPr>
            <w:tcW w:w="2194" w:type="dxa"/>
            <w:noWrap/>
            <w:hideMark/>
          </w:tcPr>
          <w:p w:rsidR="0092299C" w:rsidRPr="00FB2C11" w:rsidRDefault="0092299C" w:rsidP="0092299C">
            <w:pPr>
              <w:pStyle w:val="ARtabletext"/>
            </w:pPr>
            <w:r w:rsidRPr="00FB2C11">
              <w:t>Australian Institute of Family Studies</w:t>
            </w:r>
          </w:p>
        </w:tc>
        <w:tc>
          <w:tcPr>
            <w:tcW w:w="3771" w:type="dxa"/>
            <w:noWrap/>
            <w:hideMark/>
          </w:tcPr>
          <w:p w:rsidR="0092299C" w:rsidRPr="00FB2C11" w:rsidRDefault="0092299C" w:rsidP="0092299C">
            <w:pPr>
              <w:pStyle w:val="ARtabletext"/>
            </w:pPr>
            <w:r w:rsidRPr="00FB2C11">
              <w:t xml:space="preserve">Evaluate, cradle to kinder and </w:t>
            </w:r>
            <w:r>
              <w:t>A</w:t>
            </w:r>
            <w:r w:rsidRPr="00FB2C11">
              <w:t>boriginal cradle to kinder programs</w:t>
            </w:r>
          </w:p>
        </w:tc>
        <w:tc>
          <w:tcPr>
            <w:tcW w:w="1275" w:type="dxa"/>
            <w:noWrap/>
            <w:hideMark/>
          </w:tcPr>
          <w:p w:rsidR="0092299C" w:rsidRPr="00FB2C11" w:rsidRDefault="0092299C" w:rsidP="0092299C">
            <w:pPr>
              <w:pStyle w:val="ARtabletextright"/>
            </w:pPr>
            <w:r w:rsidRPr="00FB2C11">
              <w:t>$678,192</w:t>
            </w:r>
          </w:p>
        </w:tc>
        <w:tc>
          <w:tcPr>
            <w:tcW w:w="1276" w:type="dxa"/>
            <w:noWrap/>
            <w:hideMark/>
          </w:tcPr>
          <w:p w:rsidR="0092299C" w:rsidRPr="00FB2C11" w:rsidRDefault="0092299C" w:rsidP="0092299C">
            <w:pPr>
              <w:pStyle w:val="ARtabletextright"/>
            </w:pPr>
            <w:r w:rsidRPr="00FB2C11">
              <w:t>$50,592</w:t>
            </w:r>
          </w:p>
        </w:tc>
        <w:tc>
          <w:tcPr>
            <w:tcW w:w="1276" w:type="dxa"/>
            <w:noWrap/>
            <w:hideMark/>
          </w:tcPr>
          <w:p w:rsidR="0092299C" w:rsidRPr="00FB2C11" w:rsidRDefault="0092299C" w:rsidP="0092299C">
            <w:pPr>
              <w:pStyle w:val="ARtabletextright"/>
            </w:pPr>
            <w:r w:rsidRPr="00FB2C11">
              <w:t>$264,503</w:t>
            </w:r>
          </w:p>
        </w:tc>
      </w:tr>
      <w:tr w:rsidR="0092299C" w:rsidRPr="00FB2C11" w:rsidTr="0084694E">
        <w:tc>
          <w:tcPr>
            <w:tcW w:w="2194" w:type="dxa"/>
            <w:noWrap/>
            <w:hideMark/>
          </w:tcPr>
          <w:p w:rsidR="0092299C" w:rsidRPr="00FB2C11" w:rsidRDefault="0092299C" w:rsidP="0092299C">
            <w:pPr>
              <w:pStyle w:val="ARtabletext"/>
            </w:pPr>
            <w:r w:rsidRPr="00FB2C11">
              <w:t>Australian Institute of Family Studies</w:t>
            </w:r>
          </w:p>
        </w:tc>
        <w:tc>
          <w:tcPr>
            <w:tcW w:w="3771" w:type="dxa"/>
            <w:noWrap/>
            <w:hideMark/>
          </w:tcPr>
          <w:p w:rsidR="0092299C" w:rsidRPr="00FB2C11" w:rsidRDefault="0092299C" w:rsidP="0092299C">
            <w:pPr>
              <w:pStyle w:val="ARtabletext"/>
            </w:pPr>
            <w:r w:rsidRPr="00FB2C11">
              <w:t>Longitudinal study on leaving care</w:t>
            </w:r>
          </w:p>
        </w:tc>
        <w:tc>
          <w:tcPr>
            <w:tcW w:w="1275" w:type="dxa"/>
            <w:noWrap/>
            <w:hideMark/>
          </w:tcPr>
          <w:p w:rsidR="0092299C" w:rsidRPr="00FB2C11" w:rsidRDefault="0092299C" w:rsidP="0092299C">
            <w:pPr>
              <w:pStyle w:val="ARtabletextright"/>
            </w:pPr>
            <w:r w:rsidRPr="00FB2C11">
              <w:t>$938,825</w:t>
            </w:r>
          </w:p>
        </w:tc>
        <w:tc>
          <w:tcPr>
            <w:tcW w:w="1276" w:type="dxa"/>
            <w:noWrap/>
            <w:hideMark/>
          </w:tcPr>
          <w:p w:rsidR="0092299C" w:rsidRPr="00FB2C11" w:rsidRDefault="0092299C" w:rsidP="0092299C">
            <w:pPr>
              <w:pStyle w:val="ARtabletextright"/>
            </w:pPr>
            <w:r w:rsidRPr="00FB2C11">
              <w:t>$159,091</w:t>
            </w:r>
          </w:p>
        </w:tc>
        <w:tc>
          <w:tcPr>
            <w:tcW w:w="1276" w:type="dxa"/>
            <w:noWrap/>
            <w:hideMark/>
          </w:tcPr>
          <w:p w:rsidR="0092299C" w:rsidRPr="00FB2C11" w:rsidRDefault="0092299C" w:rsidP="0092299C">
            <w:pPr>
              <w:pStyle w:val="ARtabletextright"/>
            </w:pPr>
            <w:r w:rsidRPr="00FB2C11">
              <w:t>$243,843</w:t>
            </w:r>
          </w:p>
        </w:tc>
      </w:tr>
      <w:tr w:rsidR="0092299C" w:rsidRPr="00FB2C11" w:rsidTr="0084694E">
        <w:tc>
          <w:tcPr>
            <w:tcW w:w="2194" w:type="dxa"/>
            <w:noWrap/>
            <w:hideMark/>
          </w:tcPr>
          <w:p w:rsidR="0092299C" w:rsidRPr="00FB2C11" w:rsidRDefault="0092299C" w:rsidP="0092299C">
            <w:pPr>
              <w:pStyle w:val="ARtabletext"/>
            </w:pPr>
            <w:r w:rsidRPr="00FB2C11">
              <w:t>Cadre</w:t>
            </w:r>
          </w:p>
        </w:tc>
        <w:tc>
          <w:tcPr>
            <w:tcW w:w="3771" w:type="dxa"/>
            <w:noWrap/>
            <w:hideMark/>
          </w:tcPr>
          <w:p w:rsidR="0092299C" w:rsidRPr="00FB2C11" w:rsidRDefault="0092299C" w:rsidP="0092299C">
            <w:pPr>
              <w:pStyle w:val="ARtabletext"/>
            </w:pPr>
            <w:r w:rsidRPr="00FB2C11">
              <w:t>Develop and deliver online development program, mental health workforce</w:t>
            </w:r>
          </w:p>
        </w:tc>
        <w:tc>
          <w:tcPr>
            <w:tcW w:w="1275" w:type="dxa"/>
            <w:noWrap/>
            <w:hideMark/>
          </w:tcPr>
          <w:p w:rsidR="0092299C" w:rsidRPr="00FB2C11" w:rsidRDefault="0092299C" w:rsidP="0092299C">
            <w:pPr>
              <w:pStyle w:val="ARtabletextright"/>
            </w:pPr>
            <w:r w:rsidRPr="00FB2C11">
              <w:t>$2,989,270</w:t>
            </w:r>
          </w:p>
        </w:tc>
        <w:tc>
          <w:tcPr>
            <w:tcW w:w="1276" w:type="dxa"/>
            <w:noWrap/>
            <w:hideMark/>
          </w:tcPr>
          <w:p w:rsidR="0092299C" w:rsidRPr="00FB2C11" w:rsidRDefault="0092299C" w:rsidP="0092299C">
            <w:pPr>
              <w:pStyle w:val="ARtabletextright"/>
            </w:pPr>
            <w:r w:rsidRPr="00FB2C11">
              <w:t>$151,230</w:t>
            </w:r>
          </w:p>
        </w:tc>
        <w:tc>
          <w:tcPr>
            <w:tcW w:w="1276" w:type="dxa"/>
            <w:noWrap/>
            <w:hideMark/>
          </w:tcPr>
          <w:p w:rsidR="0092299C" w:rsidRPr="00FB2C11" w:rsidRDefault="0092299C" w:rsidP="0092299C">
            <w:pPr>
              <w:pStyle w:val="ARtabletextright"/>
            </w:pPr>
            <w:r w:rsidRPr="00FB2C11">
              <w:t>$1,605,398</w:t>
            </w:r>
          </w:p>
        </w:tc>
      </w:tr>
    </w:tbl>
    <w:p w:rsidR="0092299C" w:rsidRPr="003C3F08" w:rsidRDefault="0092299C" w:rsidP="003C3F08">
      <w:pPr>
        <w:pStyle w:val="ARbody"/>
      </w:pPr>
    </w:p>
    <w:p w:rsidR="002A6868" w:rsidRDefault="002A6868" w:rsidP="002A6868">
      <w:pPr>
        <w:pStyle w:val="ARfinbody"/>
        <w:rPr>
          <w:rStyle w:val="Strong"/>
          <w:rFonts w:cs="Arial"/>
          <w:bCs w:val="0"/>
        </w:rPr>
        <w:sectPr w:rsidR="002A6868" w:rsidSect="005C3EA7">
          <w:headerReference w:type="even" r:id="rId74"/>
          <w:headerReference w:type="default" r:id="rId75"/>
          <w:footerReference w:type="even" r:id="rId76"/>
          <w:footerReference w:type="default" r:id="rId77"/>
          <w:headerReference w:type="first" r:id="rId78"/>
          <w:footerReference w:type="first" r:id="rId79"/>
          <w:endnotePr>
            <w:numFmt w:val="decimal"/>
          </w:endnotePr>
          <w:type w:val="nextColumn"/>
          <w:pgSz w:w="11900" w:h="16840" w:code="9"/>
          <w:pgMar w:top="1531" w:right="851" w:bottom="680" w:left="1418" w:header="510" w:footer="340" w:gutter="0"/>
          <w:cols w:space="454"/>
        </w:sectPr>
      </w:pPr>
      <w:bookmarkStart w:id="61" w:name="_Ref492904920"/>
      <w:bookmarkStart w:id="62" w:name="_Ref492895394"/>
    </w:p>
    <w:p w:rsidR="002A6868" w:rsidRPr="00D428E7" w:rsidRDefault="002A6868" w:rsidP="002A6868">
      <w:pPr>
        <w:pStyle w:val="Heading2"/>
        <w:spacing w:before="0"/>
        <w:rPr>
          <w:rStyle w:val="Heading3Char"/>
          <w:bCs/>
          <w:szCs w:val="30"/>
        </w:rPr>
      </w:pPr>
      <w:r w:rsidRPr="00D428E7">
        <w:rPr>
          <w:rStyle w:val="Heading3Char"/>
          <w:bCs/>
          <w:szCs w:val="30"/>
        </w:rPr>
        <w:lastRenderedPageBreak/>
        <w:t>Details of government advertising expenditure for 2016–17 (campaigns with a media spend of $100,000 or greater)</w:t>
      </w:r>
    </w:p>
    <w:tbl>
      <w:tblPr>
        <w:tblStyle w:val="TableGrid"/>
        <w:tblW w:w="14459" w:type="dxa"/>
        <w:tblLayout w:type="fixed"/>
        <w:tblLook w:val="0620" w:firstRow="1" w:lastRow="0" w:firstColumn="0" w:lastColumn="0" w:noHBand="1" w:noVBand="1"/>
      </w:tblPr>
      <w:tblGrid>
        <w:gridCol w:w="1402"/>
        <w:gridCol w:w="3249"/>
        <w:gridCol w:w="1402"/>
        <w:gridCol w:w="1401"/>
        <w:gridCol w:w="1401"/>
        <w:gridCol w:w="1401"/>
        <w:gridCol w:w="1401"/>
        <w:gridCol w:w="1401"/>
        <w:gridCol w:w="1401"/>
      </w:tblGrid>
      <w:tr w:rsidR="002A6868" w:rsidRPr="00F052FE" w:rsidTr="00497218">
        <w:trPr>
          <w:cnfStyle w:val="100000000000" w:firstRow="1" w:lastRow="0" w:firstColumn="0" w:lastColumn="0" w:oddVBand="0" w:evenVBand="0" w:oddHBand="0" w:evenHBand="0" w:firstRowFirstColumn="0" w:firstRowLastColumn="0" w:lastRowFirstColumn="0" w:lastRowLastColumn="0"/>
          <w:tblHeader/>
        </w:trPr>
        <w:tc>
          <w:tcPr>
            <w:tcW w:w="1418" w:type="dxa"/>
          </w:tcPr>
          <w:p w:rsidR="002A6868" w:rsidRPr="00D428E7" w:rsidRDefault="002A6868" w:rsidP="001C38A5">
            <w:pPr>
              <w:pStyle w:val="ARtablecolhead"/>
              <w:rPr>
                <w:sz w:val="16"/>
                <w:szCs w:val="16"/>
              </w:rPr>
            </w:pPr>
            <w:r w:rsidRPr="00D428E7">
              <w:rPr>
                <w:sz w:val="16"/>
                <w:szCs w:val="16"/>
              </w:rPr>
              <w:t>Name of campaign</w:t>
            </w:r>
          </w:p>
        </w:tc>
        <w:tc>
          <w:tcPr>
            <w:tcW w:w="1418" w:type="dxa"/>
          </w:tcPr>
          <w:p w:rsidR="002A6868" w:rsidRPr="00D428E7" w:rsidRDefault="002A6868" w:rsidP="001C38A5">
            <w:pPr>
              <w:pStyle w:val="ARtablecolhead"/>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Campaign summary</w:t>
            </w:r>
          </w:p>
        </w:tc>
        <w:tc>
          <w:tcPr>
            <w:tcW w:w="1418" w:type="dxa"/>
          </w:tcPr>
          <w:p w:rsidR="002A6868" w:rsidRPr="00D428E7" w:rsidRDefault="002A6868" w:rsidP="001C38A5">
            <w:pPr>
              <w:pStyle w:val="ARtablecolhead"/>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Start/ end date</w:t>
            </w:r>
          </w:p>
        </w:tc>
        <w:tc>
          <w:tcPr>
            <w:tcW w:w="1418" w:type="dxa"/>
          </w:tcPr>
          <w:p w:rsidR="002A6868" w:rsidRPr="00D428E7" w:rsidRDefault="002A6868" w:rsidP="001C38A5">
            <w:pPr>
              <w:pStyle w:val="ARtablecolhead"/>
              <w:jc w:val="right"/>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Advertising (media) expenditure</w:t>
            </w:r>
            <w:r w:rsidRPr="00D428E7">
              <w:rPr>
                <w:sz w:val="16"/>
                <w:szCs w:val="16"/>
              </w:rPr>
              <w:br/>
              <w:t>(excl. GST)</w:t>
            </w:r>
          </w:p>
        </w:tc>
        <w:tc>
          <w:tcPr>
            <w:tcW w:w="1418" w:type="dxa"/>
          </w:tcPr>
          <w:p w:rsidR="002A6868" w:rsidRPr="00D428E7" w:rsidRDefault="002A6868" w:rsidP="001C38A5">
            <w:pPr>
              <w:pStyle w:val="ARtablecolhead"/>
              <w:jc w:val="right"/>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Creative and campaign development expenditure (excl. GST)</w:t>
            </w:r>
          </w:p>
        </w:tc>
        <w:tc>
          <w:tcPr>
            <w:tcW w:w="1418" w:type="dxa"/>
          </w:tcPr>
          <w:p w:rsidR="002A6868" w:rsidRPr="00D428E7" w:rsidRDefault="002A6868" w:rsidP="001C38A5">
            <w:pPr>
              <w:pStyle w:val="ARtablecolhead"/>
              <w:jc w:val="right"/>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Research and evaluation expenditure (excl. GST)</w:t>
            </w:r>
          </w:p>
        </w:tc>
        <w:tc>
          <w:tcPr>
            <w:tcW w:w="1418" w:type="dxa"/>
          </w:tcPr>
          <w:p w:rsidR="002A6868" w:rsidRPr="00D428E7" w:rsidRDefault="002A6868" w:rsidP="001C38A5">
            <w:pPr>
              <w:pStyle w:val="ARtablecolhead"/>
              <w:jc w:val="right"/>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Print and collateral expenditure (excl. GST)</w:t>
            </w:r>
          </w:p>
        </w:tc>
        <w:tc>
          <w:tcPr>
            <w:tcW w:w="1418" w:type="dxa"/>
          </w:tcPr>
          <w:p w:rsidR="002A6868" w:rsidRPr="00D428E7" w:rsidRDefault="002A6868" w:rsidP="001C38A5">
            <w:pPr>
              <w:pStyle w:val="ARtablecolhead"/>
              <w:jc w:val="right"/>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Other campaign expenditure (excl. GST)</w:t>
            </w:r>
          </w:p>
        </w:tc>
        <w:tc>
          <w:tcPr>
            <w:tcW w:w="1418" w:type="dxa"/>
          </w:tcPr>
          <w:p w:rsidR="002A6868" w:rsidRPr="0095425D" w:rsidRDefault="002A6868" w:rsidP="001C38A5">
            <w:pPr>
              <w:pStyle w:val="ARtablecolhead"/>
              <w:jc w:val="right"/>
              <w:cnfStyle w:val="000000000000" w:firstRow="0" w:lastRow="0" w:firstColumn="0" w:lastColumn="0" w:oddVBand="0" w:evenVBand="0" w:oddHBand="0" w:evenHBand="0" w:firstRowFirstColumn="0" w:firstRowLastColumn="0" w:lastRowFirstColumn="0" w:lastRowLastColumn="0"/>
              <w:rPr>
                <w:sz w:val="16"/>
                <w:szCs w:val="16"/>
              </w:rPr>
            </w:pPr>
            <w:r w:rsidRPr="00D428E7">
              <w:rPr>
                <w:sz w:val="16"/>
                <w:szCs w:val="16"/>
              </w:rPr>
              <w:t>Total</w:t>
            </w:r>
          </w:p>
        </w:tc>
      </w:tr>
      <w:tr w:rsidR="002A6868" w:rsidRPr="00F052FE" w:rsidTr="00497218">
        <w:tc>
          <w:tcPr>
            <w:tcW w:w="1418" w:type="dxa"/>
          </w:tcPr>
          <w:p w:rsidR="002A6868" w:rsidRPr="0095425D" w:rsidRDefault="00F052FE" w:rsidP="001C38A5">
            <w:pPr>
              <w:pStyle w:val="ARbody"/>
              <w:spacing w:before="120" w:line="240" w:lineRule="auto"/>
              <w:rPr>
                <w:sz w:val="16"/>
                <w:szCs w:val="16"/>
              </w:rPr>
            </w:pPr>
            <w:r>
              <w:rPr>
                <w:sz w:val="16"/>
                <w:szCs w:val="16"/>
              </w:rPr>
              <w:t>Heat Health 2016–</w:t>
            </w:r>
            <w:r w:rsidR="002A6868" w:rsidRPr="0095425D">
              <w:rPr>
                <w:sz w:val="16"/>
                <w:szCs w:val="16"/>
              </w:rPr>
              <w:t>17</w:t>
            </w:r>
          </w:p>
        </w:tc>
        <w:tc>
          <w:tcPr>
            <w:tcW w:w="3289" w:type="dxa"/>
          </w:tcPr>
          <w:p w:rsidR="002A6868" w:rsidRPr="0095425D" w:rsidRDefault="002A6868" w:rsidP="001C38A5">
            <w:pPr>
              <w:pStyle w:val="ARbody"/>
              <w:spacing w:before="120" w:line="240" w:lineRule="auto"/>
              <w:rPr>
                <w:sz w:val="16"/>
                <w:szCs w:val="16"/>
              </w:rPr>
            </w:pPr>
            <w:r w:rsidRPr="0095425D">
              <w:rPr>
                <w:sz w:val="16"/>
                <w:szCs w:val="16"/>
              </w:rPr>
              <w:t>Ensure the community understands the risks of extreme heat to their health and how to manage these risks appropriately</w:t>
            </w:r>
          </w:p>
        </w:tc>
        <w:tc>
          <w:tcPr>
            <w:tcW w:w="1418" w:type="dxa"/>
          </w:tcPr>
          <w:p w:rsidR="002A6868" w:rsidRPr="0095425D" w:rsidRDefault="00F052FE" w:rsidP="001C38A5">
            <w:pPr>
              <w:pStyle w:val="ARbody"/>
              <w:spacing w:before="120" w:line="240" w:lineRule="auto"/>
              <w:rPr>
                <w:sz w:val="16"/>
                <w:szCs w:val="16"/>
              </w:rPr>
            </w:pPr>
            <w:r>
              <w:rPr>
                <w:sz w:val="16"/>
                <w:szCs w:val="16"/>
              </w:rPr>
              <w:t>4 Dec 2016 to 31 </w:t>
            </w:r>
            <w:r w:rsidR="002A6868" w:rsidRPr="0095425D">
              <w:rPr>
                <w:sz w:val="16"/>
                <w:szCs w:val="16"/>
              </w:rPr>
              <w:t>March 2017</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$268,900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$35,800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$33,000</w:t>
            </w:r>
          </w:p>
        </w:tc>
        <w:tc>
          <w:tcPr>
            <w:tcW w:w="1418" w:type="dxa"/>
          </w:tcPr>
          <w:p w:rsidR="002A6868" w:rsidRPr="0095425D" w:rsidRDefault="002A6868" w:rsidP="001C38A5">
            <w:pPr>
              <w:pStyle w:val="ARbody"/>
              <w:spacing w:before="120" w:line="240" w:lineRule="auto"/>
              <w:jc w:val="right"/>
              <w:rPr>
                <w:sz w:val="16"/>
                <w:szCs w:val="16"/>
              </w:rPr>
            </w:pP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$82,500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$420,200</w:t>
            </w:r>
          </w:p>
        </w:tc>
      </w:tr>
      <w:tr w:rsidR="002A6868" w:rsidRPr="00F052FE" w:rsidTr="00497218">
        <w:tc>
          <w:tcPr>
            <w:tcW w:w="1418" w:type="dxa"/>
          </w:tcPr>
          <w:p w:rsidR="002A6868" w:rsidRPr="0095425D" w:rsidRDefault="00F052FE" w:rsidP="001C38A5">
            <w:pPr>
              <w:pStyle w:val="ARbody"/>
              <w:spacing w:before="120" w:line="240" w:lineRule="auto"/>
              <w:rPr>
                <w:sz w:val="16"/>
                <w:szCs w:val="16"/>
              </w:rPr>
            </w:pPr>
            <w:r>
              <w:rPr>
                <w:sz w:val="16"/>
                <w:szCs w:val="16"/>
              </w:rPr>
              <w:t>Smoke and Your Health 2016–</w:t>
            </w:r>
            <w:r w:rsidR="002A6868" w:rsidRPr="0095425D">
              <w:rPr>
                <w:sz w:val="16"/>
                <w:szCs w:val="16"/>
              </w:rPr>
              <w:t>17</w:t>
            </w:r>
          </w:p>
        </w:tc>
        <w:tc>
          <w:tcPr>
            <w:tcW w:w="3289" w:type="dxa"/>
          </w:tcPr>
          <w:p w:rsidR="002A6868" w:rsidRPr="0095425D" w:rsidRDefault="002A6868" w:rsidP="001C38A5">
            <w:pPr>
              <w:pStyle w:val="ARbody"/>
              <w:spacing w:before="120" w:line="240" w:lineRule="auto"/>
              <w:rPr>
                <w:sz w:val="16"/>
                <w:szCs w:val="16"/>
              </w:rPr>
            </w:pPr>
            <w:r w:rsidRPr="0095425D">
              <w:rPr>
                <w:sz w:val="16"/>
                <w:szCs w:val="16"/>
              </w:rPr>
              <w:t>Educate Victorians about how they can protect their health from smoke from planned burns and bushfires.</w:t>
            </w:r>
          </w:p>
        </w:tc>
        <w:tc>
          <w:tcPr>
            <w:tcW w:w="1418" w:type="dxa"/>
          </w:tcPr>
          <w:p w:rsidR="002A6868" w:rsidRPr="0095425D" w:rsidRDefault="00F052FE" w:rsidP="001C38A5">
            <w:pPr>
              <w:pStyle w:val="ARbody"/>
              <w:spacing w:before="120" w:line="240" w:lineRule="auto"/>
              <w:rPr>
                <w:sz w:val="16"/>
                <w:szCs w:val="16"/>
              </w:rPr>
            </w:pPr>
            <w:r>
              <w:rPr>
                <w:sz w:val="16"/>
                <w:szCs w:val="16"/>
              </w:rPr>
              <w:t>17 Jan 2017 to 30 </w:t>
            </w:r>
            <w:r w:rsidR="002A6868" w:rsidRPr="0095425D">
              <w:rPr>
                <w:sz w:val="16"/>
                <w:szCs w:val="16"/>
              </w:rPr>
              <w:t>April 2017</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$197,29</w:t>
            </w:r>
            <w:r>
              <w:rPr>
                <w:sz w:val="16"/>
                <w:szCs w:val="16"/>
              </w:rPr>
              <w:t>8</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$63,161</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$45,000</w:t>
            </w:r>
          </w:p>
        </w:tc>
        <w:tc>
          <w:tcPr>
            <w:tcW w:w="1418" w:type="dxa"/>
          </w:tcPr>
          <w:p w:rsidR="002A6868" w:rsidRPr="0095425D" w:rsidRDefault="002A6868" w:rsidP="001C38A5">
            <w:pPr>
              <w:pStyle w:val="ARbody"/>
              <w:spacing w:before="120" w:line="240" w:lineRule="auto"/>
              <w:jc w:val="right"/>
              <w:rPr>
                <w:sz w:val="16"/>
                <w:szCs w:val="16"/>
              </w:rPr>
            </w:pPr>
          </w:p>
        </w:tc>
        <w:tc>
          <w:tcPr>
            <w:tcW w:w="1418" w:type="dxa"/>
          </w:tcPr>
          <w:p w:rsidR="002A6868" w:rsidRPr="0095425D" w:rsidRDefault="002A6868" w:rsidP="001C38A5">
            <w:pPr>
              <w:pStyle w:val="ARbody"/>
              <w:spacing w:before="120" w:line="240" w:lineRule="auto"/>
              <w:jc w:val="right"/>
              <w:rPr>
                <w:sz w:val="16"/>
                <w:szCs w:val="16"/>
              </w:rPr>
            </w:pP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$305,459</w:t>
            </w:r>
          </w:p>
        </w:tc>
      </w:tr>
      <w:tr w:rsidR="002A6868" w:rsidRPr="00F052FE" w:rsidTr="00497218">
        <w:tc>
          <w:tcPr>
            <w:tcW w:w="1418" w:type="dxa"/>
          </w:tcPr>
          <w:p w:rsidR="002A6868" w:rsidRPr="0095425D" w:rsidRDefault="002A6868" w:rsidP="001C38A5">
            <w:pPr>
              <w:pStyle w:val="ARbody"/>
              <w:spacing w:before="120" w:line="240" w:lineRule="auto"/>
              <w:rPr>
                <w:sz w:val="16"/>
                <w:szCs w:val="16"/>
              </w:rPr>
            </w:pPr>
            <w:r w:rsidRPr="0095425D">
              <w:rPr>
                <w:sz w:val="16"/>
                <w:szCs w:val="16"/>
              </w:rPr>
              <w:t>Childhood Immunisation – No Jab No Play</w:t>
            </w:r>
          </w:p>
        </w:tc>
        <w:tc>
          <w:tcPr>
            <w:tcW w:w="3289" w:type="dxa"/>
          </w:tcPr>
          <w:p w:rsidR="002A6868" w:rsidRPr="0095425D" w:rsidRDefault="002A6868" w:rsidP="001C38A5">
            <w:pPr>
              <w:pStyle w:val="ARbody"/>
              <w:spacing w:before="120" w:line="240" w:lineRule="auto"/>
              <w:rPr>
                <w:sz w:val="16"/>
                <w:szCs w:val="16"/>
              </w:rPr>
            </w:pPr>
            <w:r w:rsidRPr="0095425D">
              <w:rPr>
                <w:sz w:val="16"/>
                <w:szCs w:val="16"/>
              </w:rPr>
              <w:t xml:space="preserve">Increase awareness of the importance of immunisation and the introduction of No Jab No Play legislation </w:t>
            </w:r>
          </w:p>
        </w:tc>
        <w:tc>
          <w:tcPr>
            <w:tcW w:w="1418" w:type="dxa"/>
          </w:tcPr>
          <w:p w:rsidR="002A6868" w:rsidRPr="0095425D" w:rsidRDefault="00F052FE" w:rsidP="001C38A5">
            <w:pPr>
              <w:pStyle w:val="ARbody"/>
              <w:spacing w:before="120" w:line="240" w:lineRule="auto"/>
              <w:rPr>
                <w:sz w:val="16"/>
                <w:szCs w:val="16"/>
              </w:rPr>
            </w:pPr>
            <w:r>
              <w:rPr>
                <w:sz w:val="16"/>
                <w:szCs w:val="16"/>
              </w:rPr>
              <w:t>15 Jan 2017 to 30 </w:t>
            </w:r>
            <w:r w:rsidR="002A6868" w:rsidRPr="0095425D">
              <w:rPr>
                <w:sz w:val="16"/>
                <w:szCs w:val="16"/>
              </w:rPr>
              <w:t>June 2017</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$594,064</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$73,493</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$50,000</w:t>
            </w:r>
          </w:p>
        </w:tc>
        <w:tc>
          <w:tcPr>
            <w:tcW w:w="1418" w:type="dxa"/>
          </w:tcPr>
          <w:p w:rsidR="002A6868" w:rsidRPr="0095425D" w:rsidRDefault="002A6868" w:rsidP="001C38A5">
            <w:pPr>
              <w:pStyle w:val="ARbody"/>
              <w:spacing w:before="120" w:line="240" w:lineRule="auto"/>
              <w:jc w:val="right"/>
              <w:rPr>
                <w:sz w:val="16"/>
                <w:szCs w:val="16"/>
              </w:rPr>
            </w:pPr>
          </w:p>
        </w:tc>
        <w:tc>
          <w:tcPr>
            <w:tcW w:w="1418" w:type="dxa"/>
          </w:tcPr>
          <w:p w:rsidR="002A6868" w:rsidRPr="0095425D" w:rsidRDefault="002A6868" w:rsidP="001C38A5">
            <w:pPr>
              <w:pStyle w:val="ARbody"/>
              <w:spacing w:before="120" w:line="240" w:lineRule="auto"/>
              <w:jc w:val="right"/>
              <w:rPr>
                <w:sz w:val="16"/>
                <w:szCs w:val="16"/>
              </w:rPr>
            </w:pP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$717,557</w:t>
            </w:r>
          </w:p>
        </w:tc>
      </w:tr>
      <w:tr w:rsidR="002A6868" w:rsidRPr="00F052FE" w:rsidTr="00497218">
        <w:tc>
          <w:tcPr>
            <w:tcW w:w="1418" w:type="dxa"/>
          </w:tcPr>
          <w:p w:rsidR="002A6868" w:rsidRPr="0095425D" w:rsidRDefault="00F052FE" w:rsidP="001C38A5">
            <w:pPr>
              <w:pStyle w:val="ARbody"/>
              <w:spacing w:before="120" w:line="240" w:lineRule="auto"/>
              <w:rPr>
                <w:sz w:val="16"/>
                <w:szCs w:val="16"/>
              </w:rPr>
            </w:pPr>
            <w:r>
              <w:rPr>
                <w:sz w:val="16"/>
                <w:szCs w:val="16"/>
              </w:rPr>
              <w:t>Save Lives. Save </w:t>
            </w:r>
            <w:r w:rsidR="002A6868" w:rsidRPr="0095425D">
              <w:rPr>
                <w:sz w:val="16"/>
                <w:szCs w:val="16"/>
              </w:rPr>
              <w:t>000 For Emergencies</w:t>
            </w:r>
          </w:p>
        </w:tc>
        <w:tc>
          <w:tcPr>
            <w:tcW w:w="3289" w:type="dxa"/>
          </w:tcPr>
          <w:p w:rsidR="002A6868" w:rsidRPr="0095425D" w:rsidRDefault="002A6868" w:rsidP="001C38A5">
            <w:pPr>
              <w:pStyle w:val="ARbody"/>
              <w:spacing w:before="120" w:line="240" w:lineRule="auto"/>
              <w:rPr>
                <w:sz w:val="16"/>
                <w:szCs w:val="16"/>
              </w:rPr>
            </w:pPr>
            <w:r w:rsidRPr="0095425D">
              <w:rPr>
                <w:sz w:val="16"/>
                <w:szCs w:val="16"/>
              </w:rPr>
              <w:t>To remind Victorians of the role of Ambulance Victoria as an emergency service and encourage them to use other parts of the health system for non-emergencies</w:t>
            </w:r>
          </w:p>
        </w:tc>
        <w:tc>
          <w:tcPr>
            <w:tcW w:w="1418" w:type="dxa"/>
          </w:tcPr>
          <w:p w:rsidR="002A6868" w:rsidRPr="0095425D" w:rsidRDefault="00F052FE" w:rsidP="001C38A5">
            <w:pPr>
              <w:pStyle w:val="ARbody"/>
              <w:spacing w:before="120" w:line="240" w:lineRule="auto"/>
              <w:rPr>
                <w:sz w:val="16"/>
                <w:szCs w:val="16"/>
              </w:rPr>
            </w:pPr>
            <w:r>
              <w:rPr>
                <w:sz w:val="16"/>
                <w:szCs w:val="16"/>
              </w:rPr>
              <w:t>5 Mar 201 to 30 </w:t>
            </w:r>
            <w:r w:rsidR="002A6868" w:rsidRPr="0095425D">
              <w:rPr>
                <w:sz w:val="16"/>
                <w:szCs w:val="16"/>
              </w:rPr>
              <w:t>June 2017</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$1,325,243</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$527,186</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$141,174</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$8,679</w:t>
            </w:r>
          </w:p>
        </w:tc>
        <w:tc>
          <w:tcPr>
            <w:tcW w:w="1418" w:type="dxa"/>
          </w:tcPr>
          <w:p w:rsidR="002A6868" w:rsidRPr="0095425D" w:rsidRDefault="002A6868" w:rsidP="001C38A5">
            <w:pPr>
              <w:pStyle w:val="ARbody"/>
              <w:spacing w:before="120" w:line="240" w:lineRule="auto"/>
              <w:jc w:val="right"/>
              <w:rPr>
                <w:sz w:val="16"/>
                <w:szCs w:val="16"/>
              </w:rPr>
            </w:pP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$2,002,282</w:t>
            </w:r>
          </w:p>
        </w:tc>
      </w:tr>
      <w:tr w:rsidR="002A6868" w:rsidRPr="00F052FE" w:rsidTr="00497218">
        <w:tc>
          <w:tcPr>
            <w:tcW w:w="1418" w:type="dxa"/>
          </w:tcPr>
          <w:p w:rsidR="002A6868" w:rsidRPr="0095425D" w:rsidRDefault="002A6868" w:rsidP="001C38A5">
            <w:pPr>
              <w:pStyle w:val="ARbody"/>
              <w:spacing w:before="120" w:line="240" w:lineRule="auto"/>
              <w:rPr>
                <w:sz w:val="16"/>
                <w:szCs w:val="16"/>
              </w:rPr>
            </w:pPr>
            <w:r w:rsidRPr="0095425D">
              <w:rPr>
                <w:sz w:val="16"/>
                <w:szCs w:val="16"/>
              </w:rPr>
              <w:t>Beat the Bite</w:t>
            </w:r>
          </w:p>
        </w:tc>
        <w:tc>
          <w:tcPr>
            <w:tcW w:w="3289" w:type="dxa"/>
          </w:tcPr>
          <w:p w:rsidR="002A6868" w:rsidRPr="0095425D" w:rsidRDefault="002A6868" w:rsidP="001C38A5">
            <w:pPr>
              <w:pStyle w:val="ARbody"/>
              <w:spacing w:before="120" w:line="240" w:lineRule="auto"/>
              <w:rPr>
                <w:sz w:val="16"/>
                <w:szCs w:val="16"/>
              </w:rPr>
            </w:pPr>
            <w:r w:rsidRPr="0095425D">
              <w:rPr>
                <w:sz w:val="16"/>
                <w:szCs w:val="16"/>
              </w:rPr>
              <w:t>Educate Victorians about the most effective protective measures to avoid mosquito bites</w:t>
            </w:r>
          </w:p>
        </w:tc>
        <w:tc>
          <w:tcPr>
            <w:tcW w:w="1418" w:type="dxa"/>
          </w:tcPr>
          <w:p w:rsidR="002A6868" w:rsidRPr="0095425D" w:rsidRDefault="002A6868" w:rsidP="001C38A5">
            <w:pPr>
              <w:pStyle w:val="ARbody"/>
              <w:spacing w:before="120" w:line="240" w:lineRule="auto"/>
              <w:rPr>
                <w:sz w:val="16"/>
                <w:szCs w:val="16"/>
              </w:rPr>
            </w:pPr>
            <w:r w:rsidRPr="0095425D">
              <w:rPr>
                <w:sz w:val="16"/>
                <w:szCs w:val="16"/>
              </w:rPr>
              <w:t>Dec 16 to Mar 17</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$290,000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$30,000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$40,000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$10,000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$10,000</w:t>
            </w:r>
          </w:p>
        </w:tc>
        <w:tc>
          <w:tcPr>
            <w:tcW w:w="1418" w:type="dxa"/>
          </w:tcPr>
          <w:p w:rsidR="002A6868" w:rsidRPr="0095425D" w:rsidRDefault="002A6868" w:rsidP="001C38A5">
            <w:pPr>
              <w:pStyle w:val="ARbody"/>
              <w:spacing w:before="120" w:line="240" w:lineRule="auto"/>
              <w:jc w:val="right"/>
              <w:rPr>
                <w:sz w:val="16"/>
                <w:szCs w:val="16"/>
              </w:rPr>
            </w:pPr>
            <w:r w:rsidRPr="0095425D">
              <w:rPr>
                <w:sz w:val="16"/>
                <w:szCs w:val="16"/>
              </w:rPr>
              <w:t>$380,000</w:t>
            </w:r>
          </w:p>
        </w:tc>
      </w:tr>
    </w:tbl>
    <w:p w:rsidR="002A6868" w:rsidRPr="00AB62BD" w:rsidRDefault="002A6868" w:rsidP="002A6868">
      <w:pPr>
        <w:pStyle w:val="ARfinbody"/>
        <w:rPr>
          <w:lang w:eastAsia="en-AU"/>
        </w:rPr>
      </w:pPr>
    </w:p>
    <w:p w:rsidR="002A6868" w:rsidRDefault="002A6868" w:rsidP="002A6868">
      <w:pPr>
        <w:pStyle w:val="ARfinbody"/>
        <w:rPr>
          <w:lang w:eastAsia="en-AU"/>
        </w:rPr>
        <w:sectPr w:rsidR="002A6868" w:rsidSect="00C232A3">
          <w:headerReference w:type="even" r:id="rId80"/>
          <w:headerReference w:type="default" r:id="rId81"/>
          <w:endnotePr>
            <w:numFmt w:val="decimal"/>
          </w:endnotePr>
          <w:pgSz w:w="16840" w:h="11900" w:orient="landscape" w:code="9"/>
          <w:pgMar w:top="1418" w:right="1531" w:bottom="851" w:left="851" w:header="794" w:footer="340" w:gutter="0"/>
          <w:cols w:space="454"/>
          <w:docGrid w:linePitch="272"/>
        </w:sectPr>
      </w:pPr>
    </w:p>
    <w:bookmarkEnd w:id="61"/>
    <w:p w:rsidR="0092299C" w:rsidRPr="003D33F4" w:rsidRDefault="0092299C" w:rsidP="00B174C3">
      <w:pPr>
        <w:pStyle w:val="Heading2"/>
        <w:spacing w:before="0"/>
        <w:rPr>
          <w:rStyle w:val="Heading3Char"/>
          <w:bCs/>
          <w:color w:val="404040"/>
          <w:sz w:val="30"/>
          <w:szCs w:val="30"/>
        </w:rPr>
      </w:pPr>
      <w:r w:rsidRPr="003D33F4">
        <w:rPr>
          <w:rStyle w:val="Heading3Char"/>
          <w:bCs/>
          <w:color w:val="404040"/>
          <w:sz w:val="30"/>
          <w:szCs w:val="30"/>
        </w:rPr>
        <w:lastRenderedPageBreak/>
        <w:t xml:space="preserve">Details of </w:t>
      </w:r>
      <w:r>
        <w:rPr>
          <w:rStyle w:val="Heading3Char"/>
          <w:bCs/>
          <w:color w:val="404040"/>
          <w:sz w:val="30"/>
          <w:szCs w:val="30"/>
        </w:rPr>
        <w:t>i</w:t>
      </w:r>
      <w:r w:rsidRPr="003D33F4">
        <w:rPr>
          <w:rStyle w:val="Heading3Char"/>
          <w:bCs/>
          <w:color w:val="404040"/>
          <w:sz w:val="30"/>
          <w:szCs w:val="30"/>
        </w:rPr>
        <w:t xml:space="preserve">nformation and </w:t>
      </w:r>
      <w:r>
        <w:rPr>
          <w:rStyle w:val="Heading3Char"/>
          <w:bCs/>
          <w:color w:val="404040"/>
          <w:sz w:val="30"/>
          <w:szCs w:val="30"/>
        </w:rPr>
        <w:t>c</w:t>
      </w:r>
      <w:r w:rsidRPr="003D33F4">
        <w:rPr>
          <w:rStyle w:val="Heading3Char"/>
          <w:bCs/>
          <w:color w:val="404040"/>
          <w:sz w:val="30"/>
          <w:szCs w:val="30"/>
        </w:rPr>
        <w:t xml:space="preserve">ommunication </w:t>
      </w:r>
      <w:r>
        <w:rPr>
          <w:rStyle w:val="Heading3Char"/>
          <w:bCs/>
          <w:color w:val="404040"/>
          <w:sz w:val="30"/>
          <w:szCs w:val="30"/>
        </w:rPr>
        <w:t>t</w:t>
      </w:r>
      <w:r w:rsidRPr="003D33F4">
        <w:rPr>
          <w:rStyle w:val="Heading3Char"/>
          <w:bCs/>
          <w:color w:val="404040"/>
          <w:sz w:val="30"/>
          <w:szCs w:val="30"/>
        </w:rPr>
        <w:t>echnology (ICT) expenditure</w:t>
      </w:r>
      <w:bookmarkEnd w:id="62"/>
    </w:p>
    <w:p w:rsidR="0092299C" w:rsidRPr="003D33F4" w:rsidRDefault="0092299C" w:rsidP="0092299C">
      <w:pPr>
        <w:pStyle w:val="ARbody"/>
      </w:pPr>
      <w:r w:rsidRPr="003D33F4">
        <w:t>For the 2016–17 reporting period, the department had a total ICT expenditure of, $256,084,026.23 with the details shown below.</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474"/>
        <w:gridCol w:w="2450"/>
        <w:gridCol w:w="2449"/>
        <w:gridCol w:w="2306"/>
      </w:tblGrid>
      <w:tr w:rsidR="0092299C" w:rsidRPr="004F66F4" w:rsidTr="00B174C3">
        <w:trPr>
          <w:cantSplit/>
          <w:tblHeader/>
        </w:trPr>
        <w:tc>
          <w:tcPr>
            <w:tcW w:w="2474" w:type="dxa"/>
            <w:shd w:val="clear" w:color="auto" w:fill="FFFFFF" w:themeFill="background1"/>
            <w:noWrap/>
            <w:vAlign w:val="bottom"/>
          </w:tcPr>
          <w:p w:rsidR="0092299C" w:rsidRPr="00A03B99" w:rsidRDefault="0092299C" w:rsidP="0092299C">
            <w:pPr>
              <w:pStyle w:val="ARtablecolhead"/>
              <w:rPr>
                <w:i/>
                <w:color w:val="FFFFFF" w:themeColor="background1"/>
                <w:lang w:eastAsia="en-AU"/>
              </w:rPr>
            </w:pPr>
          </w:p>
        </w:tc>
        <w:tc>
          <w:tcPr>
            <w:tcW w:w="7205" w:type="dxa"/>
            <w:gridSpan w:val="3"/>
            <w:shd w:val="clear" w:color="auto" w:fill="FFFFFF" w:themeFill="background1"/>
            <w:noWrap/>
            <w:vAlign w:val="bottom"/>
          </w:tcPr>
          <w:p w:rsidR="0092299C" w:rsidRPr="00A03B99" w:rsidRDefault="0092299C" w:rsidP="0092299C">
            <w:pPr>
              <w:pStyle w:val="ARtablecolhead"/>
              <w:jc w:val="right"/>
              <w:rPr>
                <w:lang w:eastAsia="en-AU"/>
              </w:rPr>
            </w:pPr>
            <w:r>
              <w:rPr>
                <w:lang w:eastAsia="en-AU"/>
              </w:rPr>
              <w:t>($</w:t>
            </w:r>
            <w:r w:rsidR="005F5CF8">
              <w:rPr>
                <w:lang w:eastAsia="en-AU"/>
              </w:rPr>
              <w:t>’000</w:t>
            </w:r>
            <w:r>
              <w:rPr>
                <w:lang w:eastAsia="en-AU"/>
              </w:rPr>
              <w:t>)</w:t>
            </w:r>
          </w:p>
        </w:tc>
      </w:tr>
      <w:tr w:rsidR="0092299C" w:rsidRPr="003D33F4" w:rsidTr="00B174C3">
        <w:trPr>
          <w:cantSplit/>
          <w:tblHeader/>
        </w:trPr>
        <w:tc>
          <w:tcPr>
            <w:tcW w:w="2474" w:type="dxa"/>
            <w:shd w:val="clear" w:color="auto" w:fill="FFFFFF" w:themeFill="background1"/>
            <w:noWrap/>
            <w:vAlign w:val="bottom"/>
          </w:tcPr>
          <w:p w:rsidR="0092299C" w:rsidRPr="003D33F4" w:rsidRDefault="0092299C" w:rsidP="0092299C">
            <w:pPr>
              <w:pStyle w:val="ARtablecolhead"/>
            </w:pPr>
            <w:r w:rsidRPr="003D33F4">
              <w:t>All operational ICT expenditure</w:t>
            </w:r>
          </w:p>
        </w:tc>
        <w:tc>
          <w:tcPr>
            <w:tcW w:w="7205" w:type="dxa"/>
            <w:gridSpan w:val="3"/>
            <w:shd w:val="clear" w:color="auto" w:fill="FFFFFF" w:themeFill="background1"/>
            <w:noWrap/>
            <w:vAlign w:val="bottom"/>
          </w:tcPr>
          <w:p w:rsidR="0092299C" w:rsidRPr="003D33F4" w:rsidRDefault="0092299C" w:rsidP="0092299C">
            <w:pPr>
              <w:pStyle w:val="ARtablecolheadright"/>
            </w:pPr>
            <w:r w:rsidRPr="003D33F4">
              <w:t>ICT expenditure related to projects to create or enhance ICT capabilities</w:t>
            </w:r>
          </w:p>
        </w:tc>
      </w:tr>
      <w:tr w:rsidR="0092299C" w:rsidRPr="003D33F4" w:rsidTr="00B174C3">
        <w:trPr>
          <w:cantSplit/>
          <w:tblHeader/>
        </w:trPr>
        <w:tc>
          <w:tcPr>
            <w:tcW w:w="2474" w:type="dxa"/>
            <w:shd w:val="clear" w:color="auto" w:fill="FFFFFF" w:themeFill="background1"/>
            <w:noWrap/>
            <w:vAlign w:val="bottom"/>
          </w:tcPr>
          <w:p w:rsidR="0092299C" w:rsidRPr="003D33F4" w:rsidRDefault="0092299C" w:rsidP="0092299C">
            <w:pPr>
              <w:pStyle w:val="ARtablecolhead"/>
            </w:pPr>
            <w:r w:rsidRPr="003D33F4">
              <w:t xml:space="preserve">Business </w:t>
            </w:r>
            <w:r>
              <w:t>a</w:t>
            </w:r>
            <w:r w:rsidRPr="003D33F4">
              <w:t xml:space="preserve">s </w:t>
            </w:r>
            <w:r>
              <w:t>u</w:t>
            </w:r>
            <w:r w:rsidRPr="003D33F4">
              <w:t>sual (BAU) ICT expenditure</w:t>
            </w:r>
          </w:p>
        </w:tc>
        <w:tc>
          <w:tcPr>
            <w:tcW w:w="2450" w:type="dxa"/>
            <w:shd w:val="clear" w:color="auto" w:fill="FFFFFF" w:themeFill="background1"/>
            <w:noWrap/>
            <w:vAlign w:val="bottom"/>
          </w:tcPr>
          <w:p w:rsidR="0092299C" w:rsidRPr="003D33F4" w:rsidRDefault="0092299C" w:rsidP="0092299C">
            <w:pPr>
              <w:pStyle w:val="ARtablecolheadright"/>
            </w:pPr>
            <w:r w:rsidRPr="003D33F4">
              <w:t>Non-</w:t>
            </w:r>
            <w:r>
              <w:t>b</w:t>
            </w:r>
            <w:r w:rsidRPr="003D33F4">
              <w:t xml:space="preserve">usiness </w:t>
            </w:r>
            <w:r>
              <w:t>a</w:t>
            </w:r>
            <w:r w:rsidRPr="003D33F4">
              <w:t xml:space="preserve">s </w:t>
            </w:r>
            <w:r>
              <w:t>u</w:t>
            </w:r>
            <w:r w:rsidRPr="003D33F4">
              <w:t>sual (BAU) ICT expenditure</w:t>
            </w:r>
          </w:p>
        </w:tc>
        <w:tc>
          <w:tcPr>
            <w:tcW w:w="2449" w:type="dxa"/>
            <w:shd w:val="clear" w:color="auto" w:fill="FFFFFF" w:themeFill="background1"/>
            <w:noWrap/>
            <w:vAlign w:val="bottom"/>
          </w:tcPr>
          <w:p w:rsidR="0092299C" w:rsidRPr="003D33F4" w:rsidRDefault="0092299C" w:rsidP="0092299C">
            <w:pPr>
              <w:pStyle w:val="ARtablecolheadright"/>
            </w:pPr>
            <w:r w:rsidRPr="003D33F4">
              <w:t xml:space="preserve">Operational </w:t>
            </w:r>
            <w:r w:rsidRPr="003D33F4">
              <w:br/>
              <w:t>expenditure</w:t>
            </w:r>
          </w:p>
        </w:tc>
        <w:tc>
          <w:tcPr>
            <w:tcW w:w="2306" w:type="dxa"/>
            <w:shd w:val="clear" w:color="auto" w:fill="FFFFFF" w:themeFill="background1"/>
            <w:noWrap/>
            <w:vAlign w:val="bottom"/>
          </w:tcPr>
          <w:p w:rsidR="0092299C" w:rsidRPr="003D33F4" w:rsidRDefault="0092299C" w:rsidP="0092299C">
            <w:pPr>
              <w:pStyle w:val="ARtablecolheadright"/>
            </w:pPr>
            <w:r w:rsidRPr="003D33F4">
              <w:t xml:space="preserve">Capital </w:t>
            </w:r>
            <w:r w:rsidRPr="003D33F4">
              <w:br/>
              <w:t>expenditure</w:t>
            </w:r>
          </w:p>
        </w:tc>
      </w:tr>
      <w:tr w:rsidR="0092299C" w:rsidRPr="004F66F4" w:rsidTr="00B174C3">
        <w:trPr>
          <w:cantSplit/>
          <w:tblHeader/>
        </w:trPr>
        <w:tc>
          <w:tcPr>
            <w:tcW w:w="2474" w:type="dxa"/>
            <w:shd w:val="clear" w:color="auto" w:fill="auto"/>
            <w:noWrap/>
            <w:vAlign w:val="bottom"/>
            <w:hideMark/>
          </w:tcPr>
          <w:p w:rsidR="0092299C" w:rsidRPr="00A03B99" w:rsidRDefault="0092299C" w:rsidP="0092299C">
            <w:pPr>
              <w:pStyle w:val="ARtabletextright"/>
            </w:pPr>
            <w:r w:rsidRPr="00A03B99">
              <w:t>(Total)</w:t>
            </w:r>
          </w:p>
        </w:tc>
        <w:tc>
          <w:tcPr>
            <w:tcW w:w="2450" w:type="dxa"/>
            <w:shd w:val="clear" w:color="auto" w:fill="auto"/>
            <w:noWrap/>
            <w:vAlign w:val="bottom"/>
            <w:hideMark/>
          </w:tcPr>
          <w:p w:rsidR="0092299C" w:rsidRPr="00A03B99" w:rsidRDefault="0092299C" w:rsidP="0092299C">
            <w:pPr>
              <w:pStyle w:val="ARtabletextright"/>
            </w:pPr>
            <w:r>
              <w:t>(</w:t>
            </w:r>
            <w:r w:rsidRPr="004F66F4">
              <w:t xml:space="preserve">Total = </w:t>
            </w:r>
            <w:r>
              <w:t>o</w:t>
            </w:r>
            <w:r w:rsidRPr="004F66F4">
              <w:t xml:space="preserve">perational expenditure and </w:t>
            </w:r>
            <w:r>
              <w:t>c</w:t>
            </w:r>
            <w:r w:rsidRPr="004F66F4">
              <w:t>apital expenditure</w:t>
            </w:r>
            <w:r>
              <w:t>)</w:t>
            </w:r>
          </w:p>
        </w:tc>
        <w:tc>
          <w:tcPr>
            <w:tcW w:w="2449" w:type="dxa"/>
            <w:shd w:val="clear" w:color="auto" w:fill="auto"/>
            <w:noWrap/>
            <w:vAlign w:val="bottom"/>
            <w:hideMark/>
          </w:tcPr>
          <w:p w:rsidR="0092299C" w:rsidRPr="004F66F4" w:rsidRDefault="0092299C" w:rsidP="0092299C">
            <w:pPr>
              <w:pStyle w:val="ARtabletextright"/>
              <w:rPr>
                <w:b/>
              </w:rPr>
            </w:pPr>
          </w:p>
        </w:tc>
        <w:tc>
          <w:tcPr>
            <w:tcW w:w="2306" w:type="dxa"/>
            <w:shd w:val="clear" w:color="auto" w:fill="auto"/>
            <w:noWrap/>
            <w:vAlign w:val="bottom"/>
            <w:hideMark/>
          </w:tcPr>
          <w:p w:rsidR="0092299C" w:rsidRPr="004F66F4" w:rsidRDefault="0092299C" w:rsidP="0092299C">
            <w:pPr>
              <w:pStyle w:val="ARtabletextright"/>
              <w:rPr>
                <w:b/>
              </w:rPr>
            </w:pPr>
          </w:p>
        </w:tc>
      </w:tr>
      <w:tr w:rsidR="0092299C" w:rsidRPr="004F66F4" w:rsidTr="00B174C3">
        <w:trPr>
          <w:cantSplit/>
          <w:trHeight w:val="300"/>
        </w:trPr>
        <w:tc>
          <w:tcPr>
            <w:tcW w:w="2474" w:type="dxa"/>
            <w:shd w:val="clear" w:color="auto" w:fill="auto"/>
            <w:noWrap/>
            <w:hideMark/>
          </w:tcPr>
          <w:p w:rsidR="0092299C" w:rsidRPr="004D1E79" w:rsidRDefault="0092299C" w:rsidP="0092299C">
            <w:pPr>
              <w:pStyle w:val="ARtabletextright"/>
            </w:pPr>
            <w:r>
              <w:t>157,616</w:t>
            </w:r>
          </w:p>
        </w:tc>
        <w:tc>
          <w:tcPr>
            <w:tcW w:w="2450" w:type="dxa"/>
            <w:shd w:val="clear" w:color="auto" w:fill="auto"/>
            <w:noWrap/>
            <w:hideMark/>
          </w:tcPr>
          <w:p w:rsidR="0092299C" w:rsidRPr="004D1E79" w:rsidRDefault="0092299C" w:rsidP="0092299C">
            <w:pPr>
              <w:pStyle w:val="ARtabletextright"/>
            </w:pPr>
            <w:r>
              <w:t>98,467</w:t>
            </w:r>
          </w:p>
        </w:tc>
        <w:tc>
          <w:tcPr>
            <w:tcW w:w="2449" w:type="dxa"/>
            <w:shd w:val="clear" w:color="auto" w:fill="auto"/>
            <w:noWrap/>
            <w:hideMark/>
          </w:tcPr>
          <w:p w:rsidR="0092299C" w:rsidRPr="004D1E79" w:rsidRDefault="0092299C" w:rsidP="0092299C">
            <w:pPr>
              <w:pStyle w:val="ARtabletextright"/>
            </w:pPr>
            <w:r>
              <w:t>87,046</w:t>
            </w:r>
          </w:p>
        </w:tc>
        <w:tc>
          <w:tcPr>
            <w:tcW w:w="2306" w:type="dxa"/>
            <w:shd w:val="clear" w:color="auto" w:fill="auto"/>
            <w:noWrap/>
            <w:hideMark/>
          </w:tcPr>
          <w:p w:rsidR="0092299C" w:rsidRPr="004D1E79" w:rsidRDefault="0092299C" w:rsidP="0092299C">
            <w:pPr>
              <w:pStyle w:val="ARtabletextright"/>
            </w:pPr>
            <w:r>
              <w:t>11,421</w:t>
            </w:r>
          </w:p>
        </w:tc>
      </w:tr>
    </w:tbl>
    <w:p w:rsidR="0092299C" w:rsidRPr="00065307" w:rsidRDefault="0092299C" w:rsidP="0092299C">
      <w:pPr>
        <w:pStyle w:val="ARtablefootnote"/>
        <w:rPr>
          <w:lang w:eastAsia="en-AU"/>
        </w:rPr>
      </w:pPr>
      <w:r w:rsidRPr="00065307">
        <w:rPr>
          <w:lang w:eastAsia="en-AU"/>
        </w:rPr>
        <w:t>ICT expenditure refers to the department’s costs in providing business</w:t>
      </w:r>
      <w:r>
        <w:rPr>
          <w:lang w:eastAsia="en-AU"/>
        </w:rPr>
        <w:t>-</w:t>
      </w:r>
      <w:r w:rsidRPr="00065307">
        <w:rPr>
          <w:lang w:eastAsia="en-AU"/>
        </w:rPr>
        <w:t xml:space="preserve">enabling ICT services within the current reporting period. It comprises </w:t>
      </w:r>
      <w:r>
        <w:rPr>
          <w:lang w:eastAsia="en-AU"/>
        </w:rPr>
        <w:t>b</w:t>
      </w:r>
      <w:r w:rsidRPr="00065307">
        <w:rPr>
          <w:lang w:eastAsia="en-AU"/>
        </w:rPr>
        <w:t xml:space="preserve">usiness </w:t>
      </w:r>
      <w:r>
        <w:rPr>
          <w:lang w:eastAsia="en-AU"/>
        </w:rPr>
        <w:t>a</w:t>
      </w:r>
      <w:r w:rsidRPr="00065307">
        <w:rPr>
          <w:lang w:eastAsia="en-AU"/>
        </w:rPr>
        <w:t xml:space="preserve">s </w:t>
      </w:r>
      <w:r>
        <w:rPr>
          <w:lang w:eastAsia="en-AU"/>
        </w:rPr>
        <w:t>u</w:t>
      </w:r>
      <w:r w:rsidRPr="00065307">
        <w:rPr>
          <w:lang w:eastAsia="en-AU"/>
        </w:rPr>
        <w:t xml:space="preserve">sual (BAU) ICT expenditure and </w:t>
      </w:r>
      <w:r>
        <w:rPr>
          <w:lang w:eastAsia="en-AU"/>
        </w:rPr>
        <w:t>n</w:t>
      </w:r>
      <w:r w:rsidRPr="00065307">
        <w:rPr>
          <w:lang w:eastAsia="en-AU"/>
        </w:rPr>
        <w:t>on-</w:t>
      </w:r>
      <w:r>
        <w:rPr>
          <w:lang w:eastAsia="en-AU"/>
        </w:rPr>
        <w:t>b</w:t>
      </w:r>
      <w:r w:rsidRPr="00065307">
        <w:rPr>
          <w:lang w:eastAsia="en-AU"/>
        </w:rPr>
        <w:t xml:space="preserve">usiness </w:t>
      </w:r>
      <w:r>
        <w:rPr>
          <w:lang w:eastAsia="en-AU"/>
        </w:rPr>
        <w:t>a</w:t>
      </w:r>
      <w:r w:rsidRPr="00065307">
        <w:rPr>
          <w:lang w:eastAsia="en-AU"/>
        </w:rPr>
        <w:t xml:space="preserve">s </w:t>
      </w:r>
      <w:r>
        <w:rPr>
          <w:lang w:eastAsia="en-AU"/>
        </w:rPr>
        <w:t>u</w:t>
      </w:r>
      <w:r w:rsidRPr="00065307">
        <w:rPr>
          <w:lang w:eastAsia="en-AU"/>
        </w:rPr>
        <w:t>sual (Non-BAU) ICT expenditure.</w:t>
      </w:r>
    </w:p>
    <w:p w:rsidR="0092299C" w:rsidRPr="00065307" w:rsidRDefault="0092299C" w:rsidP="0092299C">
      <w:pPr>
        <w:pStyle w:val="ARtablefootnote"/>
        <w:rPr>
          <w:lang w:eastAsia="en-AU"/>
        </w:rPr>
      </w:pPr>
      <w:r w:rsidRPr="00065307">
        <w:rPr>
          <w:lang w:eastAsia="en-AU"/>
        </w:rPr>
        <w:t xml:space="preserve">Non-BAU ICT expenditure relates to extending or enhancing the </w:t>
      </w:r>
      <w:r>
        <w:rPr>
          <w:lang w:eastAsia="en-AU"/>
        </w:rPr>
        <w:t>d</w:t>
      </w:r>
      <w:r w:rsidRPr="00065307">
        <w:rPr>
          <w:lang w:eastAsia="en-AU"/>
        </w:rPr>
        <w:t>epartment’s current ICT capabilities.</w:t>
      </w:r>
    </w:p>
    <w:p w:rsidR="0092299C" w:rsidRPr="0044494C" w:rsidRDefault="0092299C" w:rsidP="0092299C">
      <w:pPr>
        <w:pStyle w:val="ARtablefootnote"/>
        <w:rPr>
          <w:lang w:eastAsia="en-AU"/>
        </w:rPr>
        <w:sectPr w:rsidR="0092299C" w:rsidRPr="0044494C" w:rsidSect="0093192F">
          <w:headerReference w:type="even" r:id="rId82"/>
          <w:headerReference w:type="default" r:id="rId83"/>
          <w:type w:val="continuous"/>
          <w:pgSz w:w="11906" w:h="16838"/>
          <w:pgMar w:top="1531" w:right="851" w:bottom="680" w:left="1418" w:header="510" w:footer="340" w:gutter="0"/>
          <w:cols w:space="708"/>
          <w:docGrid w:linePitch="360"/>
        </w:sectPr>
      </w:pPr>
      <w:r w:rsidRPr="00065307">
        <w:rPr>
          <w:lang w:eastAsia="en-AU"/>
        </w:rPr>
        <w:t>BAU ICT expenditure is all remaining ICT expenditure, which primarily relates to ongoing activities to operate and maintain the current ICT capability</w:t>
      </w:r>
      <w:r>
        <w:rPr>
          <w:sz w:val="18"/>
          <w:szCs w:val="18"/>
          <w:lang w:eastAsia="en-AU"/>
        </w:rPr>
        <w:t>.</w:t>
      </w:r>
    </w:p>
    <w:p w:rsidR="0092299C" w:rsidRPr="00611AB6" w:rsidRDefault="0092299C" w:rsidP="0092299C">
      <w:pPr>
        <w:pStyle w:val="Heading2"/>
        <w:spacing w:before="0"/>
      </w:pPr>
      <w:bookmarkStart w:id="63" w:name="_Ref492895142"/>
      <w:r w:rsidRPr="00611AB6">
        <w:lastRenderedPageBreak/>
        <w:t>Freedom of information</w:t>
      </w:r>
      <w:bookmarkEnd w:id="63"/>
    </w:p>
    <w:p w:rsidR="0092299C" w:rsidRPr="00611AB6" w:rsidRDefault="0092299C" w:rsidP="0092299C">
      <w:pPr>
        <w:pStyle w:val="ARbody"/>
      </w:pPr>
      <w:r w:rsidRPr="00611AB6">
        <w:t xml:space="preserve">The </w:t>
      </w:r>
      <w:r w:rsidRPr="00611AB6">
        <w:rPr>
          <w:i/>
        </w:rPr>
        <w:t>Freedom of Information Act 1982</w:t>
      </w:r>
      <w:r w:rsidRPr="00611AB6">
        <w:t xml:space="preserve"> allows the public a right of access to documents held by the department.</w:t>
      </w:r>
    </w:p>
    <w:p w:rsidR="0092299C" w:rsidRPr="00611AB6" w:rsidRDefault="0092299C" w:rsidP="0092299C">
      <w:pPr>
        <w:pStyle w:val="ARbody"/>
      </w:pPr>
      <w:r w:rsidRPr="00611AB6">
        <w:t xml:space="preserve">In </w:t>
      </w:r>
      <w:r w:rsidRPr="006F0DB4">
        <w:t>2016–17</w:t>
      </w:r>
      <w:r w:rsidRPr="00611AB6">
        <w:t>, the department received 1,647 freedom</w:t>
      </w:r>
      <w:r>
        <w:t xml:space="preserve"> </w:t>
      </w:r>
      <w:r w:rsidRPr="00611AB6">
        <w:t>of</w:t>
      </w:r>
      <w:r>
        <w:t xml:space="preserve"> </w:t>
      </w:r>
      <w:r w:rsidRPr="00611AB6">
        <w:t>information requests. Of these requests, 75 were from Members of Parliament, 51 were from the media and the remainder from the general public. Of the requests received by the department, the majority were granted in part.</w:t>
      </w:r>
    </w:p>
    <w:p w:rsidR="0092299C" w:rsidRPr="00611AB6" w:rsidRDefault="0092299C" w:rsidP="0092299C">
      <w:pPr>
        <w:pStyle w:val="ARbody"/>
      </w:pPr>
      <w:r w:rsidRPr="00611AB6">
        <w:t xml:space="preserve">In </w:t>
      </w:r>
      <w:r w:rsidRPr="006F0DB4">
        <w:t>2016–17</w:t>
      </w:r>
      <w:r w:rsidRPr="00611AB6">
        <w:t>, 54 decisions were reviewed by the Freedom of Information Commissioner and six appeals were made to the Victorian Civil and Administrative Tribunal.</w:t>
      </w:r>
    </w:p>
    <w:p w:rsidR="0092299C" w:rsidRPr="00611AB6" w:rsidRDefault="0092299C" w:rsidP="0092299C">
      <w:pPr>
        <w:pStyle w:val="Heading3"/>
      </w:pPr>
      <w:r w:rsidRPr="00611AB6">
        <w:t>Making a request</w:t>
      </w:r>
    </w:p>
    <w:p w:rsidR="0092299C" w:rsidRPr="00611AB6" w:rsidRDefault="0092299C" w:rsidP="0092299C">
      <w:pPr>
        <w:pStyle w:val="ARbody"/>
      </w:pPr>
      <w:r w:rsidRPr="00611AB6">
        <w:t>Access to documents may be obtained through written request to the Freedom of Informa</w:t>
      </w:r>
      <w:r>
        <w:t>tion Manager, as detailed in s.</w:t>
      </w:r>
      <w:r w:rsidRPr="00611AB6">
        <w:t xml:space="preserve">17 of the </w:t>
      </w:r>
      <w:r w:rsidRPr="00611AB6">
        <w:rPr>
          <w:i/>
        </w:rPr>
        <w:t>Freedom of Information Act 1982.</w:t>
      </w:r>
    </w:p>
    <w:p w:rsidR="0092299C" w:rsidRPr="00611AB6" w:rsidRDefault="0092299C" w:rsidP="0092299C">
      <w:pPr>
        <w:pStyle w:val="ARbody"/>
      </w:pPr>
      <w:r w:rsidRPr="00611AB6">
        <w:t>In summary</w:t>
      </w:r>
      <w:r>
        <w:t>,</w:t>
      </w:r>
      <w:r w:rsidRPr="00611AB6">
        <w:t xml:space="preserve"> the requirements for making a request are:</w:t>
      </w:r>
    </w:p>
    <w:p w:rsidR="0092299C" w:rsidRPr="00611AB6" w:rsidRDefault="0092299C" w:rsidP="0092299C">
      <w:pPr>
        <w:pStyle w:val="ARbullet1"/>
        <w:numPr>
          <w:ilvl w:val="0"/>
          <w:numId w:val="19"/>
        </w:numPr>
      </w:pPr>
      <w:r w:rsidRPr="00611AB6">
        <w:t>it must be in writing</w:t>
      </w:r>
    </w:p>
    <w:p w:rsidR="0092299C" w:rsidRPr="00611AB6" w:rsidRDefault="0092299C" w:rsidP="0092299C">
      <w:pPr>
        <w:pStyle w:val="ARbullet1"/>
        <w:numPr>
          <w:ilvl w:val="0"/>
          <w:numId w:val="19"/>
        </w:numPr>
      </w:pPr>
      <w:r w:rsidRPr="00611AB6">
        <w:t>it should identify as clearly as possible the document being requested</w:t>
      </w:r>
    </w:p>
    <w:p w:rsidR="0092299C" w:rsidRPr="00611AB6" w:rsidRDefault="0092299C" w:rsidP="0092299C">
      <w:pPr>
        <w:pStyle w:val="ARbullet1"/>
        <w:numPr>
          <w:ilvl w:val="0"/>
          <w:numId w:val="19"/>
        </w:numPr>
      </w:pPr>
      <w:r w:rsidRPr="00611AB6">
        <w:t>it should be accompanied by the appropriate application fee (the fee may be waived in certain circumstances).</w:t>
      </w:r>
    </w:p>
    <w:p w:rsidR="0092299C" w:rsidRPr="00611AB6" w:rsidRDefault="0092299C" w:rsidP="00F91CA3">
      <w:pPr>
        <w:pStyle w:val="ARbodyafterbullets"/>
      </w:pPr>
      <w:r w:rsidRPr="00611AB6">
        <w:t>Requests for documents in the possession of the Department of Health and Human Services should be addressed to:</w:t>
      </w:r>
    </w:p>
    <w:p w:rsidR="0092299C" w:rsidRPr="00611AB6" w:rsidRDefault="0092299C" w:rsidP="0092299C">
      <w:pPr>
        <w:pStyle w:val="ARbodynospace"/>
        <w:ind w:left="284"/>
      </w:pPr>
      <w:r w:rsidRPr="00611AB6">
        <w:t>Manager, Freedom of Information</w:t>
      </w:r>
    </w:p>
    <w:p w:rsidR="0092299C" w:rsidRPr="00611AB6" w:rsidRDefault="0092299C" w:rsidP="0092299C">
      <w:pPr>
        <w:pStyle w:val="ARbodynospace"/>
        <w:ind w:left="284"/>
      </w:pPr>
      <w:r w:rsidRPr="00611AB6">
        <w:t>Department of Health and Human Services</w:t>
      </w:r>
    </w:p>
    <w:p w:rsidR="0092299C" w:rsidRPr="00611AB6" w:rsidRDefault="0092299C" w:rsidP="0092299C">
      <w:pPr>
        <w:pStyle w:val="ARbodynospace"/>
        <w:ind w:left="284"/>
      </w:pPr>
      <w:r w:rsidRPr="00611AB6">
        <w:t>GPO Box 4057</w:t>
      </w:r>
    </w:p>
    <w:p w:rsidR="0092299C" w:rsidRPr="00611AB6" w:rsidRDefault="0092299C" w:rsidP="0092299C">
      <w:pPr>
        <w:pStyle w:val="ARbody"/>
        <w:ind w:left="284"/>
      </w:pPr>
      <w:r w:rsidRPr="00611AB6">
        <w:t>Melbourne V</w:t>
      </w:r>
      <w:r w:rsidR="005F5CF8">
        <w:t>IC</w:t>
      </w:r>
      <w:r w:rsidRPr="00611AB6">
        <w:t xml:space="preserve"> 3001</w:t>
      </w:r>
    </w:p>
    <w:p w:rsidR="0092299C" w:rsidRPr="00611AB6" w:rsidRDefault="0092299C" w:rsidP="0092299C">
      <w:pPr>
        <w:pStyle w:val="ARbody"/>
      </w:pPr>
      <w:r w:rsidRPr="00611AB6">
        <w:t>Requests and</w:t>
      </w:r>
      <w:r w:rsidR="00117B25">
        <w:t xml:space="preserve"> payment of the application fee </w:t>
      </w:r>
      <w:r w:rsidRPr="00611AB6">
        <w:t xml:space="preserve">can also be </w:t>
      </w:r>
      <w:hyperlink r:id="rId84" w:history="1">
        <w:r w:rsidRPr="00C70AE3">
          <w:rPr>
            <w:rStyle w:val="Hyperlink"/>
          </w:rPr>
          <w:t>lodged online</w:t>
        </w:r>
      </w:hyperlink>
      <w:r w:rsidRPr="00611AB6">
        <w:t xml:space="preserve"> at &lt;</w:t>
      </w:r>
      <w:r w:rsidR="004A644F">
        <w:t>http://</w:t>
      </w:r>
      <w:r w:rsidRPr="005D353C">
        <w:t>www.foi.vic.gov.au</w:t>
      </w:r>
      <w:r w:rsidRPr="00611AB6">
        <w:t>&gt;.</w:t>
      </w:r>
    </w:p>
    <w:p w:rsidR="0092299C" w:rsidRPr="00611AB6" w:rsidRDefault="0092299C" w:rsidP="0092299C">
      <w:pPr>
        <w:pStyle w:val="ARbody"/>
      </w:pPr>
      <w:r w:rsidRPr="00611AB6">
        <w:t>Telephone enquiries can be made by calling 03 9096 8449.</w:t>
      </w:r>
    </w:p>
    <w:p w:rsidR="0092299C" w:rsidRPr="00611AB6" w:rsidRDefault="0092299C" w:rsidP="0092299C">
      <w:pPr>
        <w:pStyle w:val="ARbody"/>
      </w:pPr>
      <w:r w:rsidRPr="00611AB6">
        <w:t>Access charges for photocopying and search retrieval may also apply once the request has been finalised.</w:t>
      </w:r>
    </w:p>
    <w:p w:rsidR="0092299C" w:rsidRPr="00611AB6" w:rsidRDefault="0092299C" w:rsidP="0092299C">
      <w:pPr>
        <w:pStyle w:val="ARbody"/>
      </w:pPr>
      <w:r w:rsidRPr="00611AB6">
        <w:t xml:space="preserve">Further information can be found </w:t>
      </w:r>
      <w:r>
        <w:t xml:space="preserve">on the Victorian Government’s </w:t>
      </w:r>
      <w:hyperlink r:id="rId85" w:history="1">
        <w:r w:rsidRPr="00C70AE3">
          <w:rPr>
            <w:rStyle w:val="Hyperlink"/>
          </w:rPr>
          <w:t>freedom of information website</w:t>
        </w:r>
      </w:hyperlink>
      <w:r w:rsidRPr="00611AB6">
        <w:t xml:space="preserve"> &lt;</w:t>
      </w:r>
      <w:r w:rsidR="004A644F">
        <w:t>http://</w:t>
      </w:r>
      <w:r w:rsidRPr="005D353C">
        <w:t>www.foi.vic.gov.au</w:t>
      </w:r>
      <w:r w:rsidRPr="00611AB6">
        <w:t>&gt;.</w:t>
      </w:r>
      <w:r w:rsidRPr="00611AB6">
        <w:br w:type="column"/>
      </w:r>
      <w:r w:rsidRPr="00C96C69">
        <w:rPr>
          <w:rStyle w:val="Heading3Char"/>
        </w:rPr>
        <w:lastRenderedPageBreak/>
        <w:t>Compliance</w:t>
      </w:r>
    </w:p>
    <w:p w:rsidR="0092299C" w:rsidRPr="00611AB6" w:rsidRDefault="0092299C" w:rsidP="0092299C">
      <w:pPr>
        <w:pStyle w:val="ARbody"/>
      </w:pPr>
      <w:r w:rsidRPr="00611AB6">
        <w:t xml:space="preserve">In </w:t>
      </w:r>
      <w:r w:rsidRPr="006F0DB4">
        <w:t>2016–17</w:t>
      </w:r>
      <w:r w:rsidRPr="00611AB6">
        <w:t>, the department processed 86 per cent of requests within statutory requirements, 9.6 per</w:t>
      </w:r>
      <w:r>
        <w:t> </w:t>
      </w:r>
      <w:r w:rsidRPr="00611AB6">
        <w:t>cent of requests within 46 to 90 days and 4.4 per cent of requests in over 90 days. The average time taken to finalise requests was 40 days, which is within the 45</w:t>
      </w:r>
      <w:r>
        <w:t>-</w:t>
      </w:r>
      <w:r w:rsidRPr="00611AB6">
        <w:t>day statutory time limit.</w:t>
      </w:r>
    </w:p>
    <w:p w:rsidR="0092299C" w:rsidRPr="004333C2" w:rsidRDefault="0092299C" w:rsidP="0092299C">
      <w:pPr>
        <w:pStyle w:val="Heading2"/>
        <w:rPr>
          <w:rFonts w:cs="Arial"/>
          <w:lang w:eastAsia="en-AU"/>
        </w:rPr>
      </w:pPr>
      <w:bookmarkStart w:id="64" w:name="_Ref492912699"/>
      <w:r w:rsidRPr="004333C2">
        <w:t>Drugs Poisons and Controlled Substances Act 1981</w:t>
      </w:r>
      <w:bookmarkEnd w:id="64"/>
    </w:p>
    <w:p w:rsidR="0092299C" w:rsidRPr="004333C2" w:rsidRDefault="0092299C" w:rsidP="0092299C">
      <w:pPr>
        <w:pStyle w:val="ARbody"/>
        <w:rPr>
          <w:lang w:eastAsia="en-AU"/>
        </w:rPr>
      </w:pPr>
      <w:r w:rsidRPr="004333C2">
        <w:rPr>
          <w:lang w:eastAsia="en-AU"/>
        </w:rPr>
        <w:t xml:space="preserve">Section 60S of the </w:t>
      </w:r>
      <w:r w:rsidRPr="004333C2">
        <w:rPr>
          <w:i/>
          <w:lang w:eastAsia="en-AU"/>
        </w:rPr>
        <w:t xml:space="preserve">Drugs, Poisons and Controlled Substances Act 1981 </w:t>
      </w:r>
      <w:r w:rsidRPr="004333C2">
        <w:rPr>
          <w:lang w:eastAsia="en-AU"/>
        </w:rPr>
        <w:t xml:space="preserve">states that the Chief Commissioner must report on actions under this division, and must provide a report for inclusion in the annual report of operations under Part 7 of the </w:t>
      </w:r>
      <w:r w:rsidRPr="004333C2">
        <w:rPr>
          <w:i/>
          <w:lang w:eastAsia="en-AU"/>
        </w:rPr>
        <w:t>Financial Management Act 1994</w:t>
      </w:r>
      <w:r w:rsidRPr="004333C2">
        <w:rPr>
          <w:lang w:eastAsia="en-AU"/>
        </w:rPr>
        <w:t xml:space="preserve"> a report for the financial year containing the following items:</w:t>
      </w:r>
    </w:p>
    <w:p w:rsidR="0092299C" w:rsidRPr="004333C2" w:rsidRDefault="005F5CF8" w:rsidP="0092299C">
      <w:pPr>
        <w:pStyle w:val="ARtablecaption"/>
      </w:pPr>
      <w:r>
        <w:t xml:space="preserve">(a) </w:t>
      </w:r>
      <w:r w:rsidR="0092299C" w:rsidRPr="004333C2">
        <w:t>Number of searches without warrant under s. 60E</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3411"/>
        <w:gridCol w:w="1182"/>
      </w:tblGrid>
      <w:tr w:rsidR="0092299C" w:rsidRPr="004333C2" w:rsidTr="0092299C">
        <w:trPr>
          <w:cantSplit/>
        </w:trPr>
        <w:tc>
          <w:tcPr>
            <w:tcW w:w="3411" w:type="dxa"/>
            <w:tcBorders>
              <w:top w:val="single" w:sz="4" w:space="0" w:color="auto"/>
            </w:tcBorders>
            <w:shd w:val="clear" w:color="auto" w:fill="auto"/>
          </w:tcPr>
          <w:p w:rsidR="0092299C" w:rsidRPr="004333C2" w:rsidRDefault="0092299C" w:rsidP="0092299C">
            <w:pPr>
              <w:pStyle w:val="ARtabletext"/>
            </w:pPr>
            <w:r w:rsidRPr="004333C2">
              <w:t>Persons under 18 years searched</w:t>
            </w:r>
          </w:p>
        </w:tc>
        <w:tc>
          <w:tcPr>
            <w:tcW w:w="1182" w:type="dxa"/>
            <w:tcBorders>
              <w:top w:val="single" w:sz="4" w:space="0" w:color="auto"/>
            </w:tcBorders>
            <w:shd w:val="clear" w:color="auto" w:fill="auto"/>
          </w:tcPr>
          <w:p w:rsidR="0092299C" w:rsidRPr="004333C2" w:rsidRDefault="0092299C" w:rsidP="0092299C">
            <w:pPr>
              <w:pStyle w:val="ARtabletextright"/>
            </w:pPr>
            <w:r w:rsidRPr="004333C2">
              <w:t>7</w:t>
            </w:r>
          </w:p>
        </w:tc>
      </w:tr>
    </w:tbl>
    <w:p w:rsidR="0092299C" w:rsidRPr="004333C2" w:rsidRDefault="005F5CF8" w:rsidP="0092299C">
      <w:pPr>
        <w:pStyle w:val="ARtablecaption"/>
      </w:pPr>
      <w:r>
        <w:t xml:space="preserve">(b) </w:t>
      </w:r>
      <w:r w:rsidR="0092299C" w:rsidRPr="004333C2">
        <w:t>Number of searches of persons irrespective of age without warrant under s. 60F</w:t>
      </w:r>
    </w:p>
    <w:tbl>
      <w:tblPr>
        <w:tblW w:w="4593" w:type="dxa"/>
        <w:tblBorders>
          <w:top w:val="single" w:sz="4" w:space="0" w:color="auto"/>
          <w:left w:val="single" w:sz="4" w:space="0" w:color="FFFFFF"/>
          <w:bottom w:val="single" w:sz="4" w:space="0" w:color="auto"/>
          <w:right w:val="single" w:sz="4" w:space="0" w:color="FFFFFF"/>
          <w:insideH w:val="single" w:sz="4" w:space="0" w:color="FFFFFF"/>
          <w:insideV w:val="single" w:sz="4" w:space="0" w:color="FFFFFF"/>
        </w:tblBorders>
        <w:tblCellMar>
          <w:left w:w="0" w:type="dxa"/>
        </w:tblCellMar>
        <w:tblLook w:val="04A0" w:firstRow="1" w:lastRow="0" w:firstColumn="1" w:lastColumn="0" w:noHBand="0" w:noVBand="1"/>
      </w:tblPr>
      <w:tblGrid>
        <w:gridCol w:w="3411"/>
        <w:gridCol w:w="1182"/>
      </w:tblGrid>
      <w:tr w:rsidR="0092299C" w:rsidRPr="004333C2" w:rsidTr="0092299C">
        <w:trPr>
          <w:cantSplit/>
        </w:trPr>
        <w:tc>
          <w:tcPr>
            <w:tcW w:w="3411" w:type="dxa"/>
            <w:shd w:val="clear" w:color="auto" w:fill="auto"/>
          </w:tcPr>
          <w:p w:rsidR="0092299C" w:rsidRPr="004333C2" w:rsidRDefault="0092299C" w:rsidP="0092299C">
            <w:pPr>
              <w:pStyle w:val="ARtabletext"/>
            </w:pPr>
            <w:r w:rsidRPr="004333C2">
              <w:t>Persons searched irrespective of age</w:t>
            </w:r>
          </w:p>
        </w:tc>
        <w:tc>
          <w:tcPr>
            <w:tcW w:w="1182" w:type="dxa"/>
            <w:shd w:val="clear" w:color="auto" w:fill="auto"/>
          </w:tcPr>
          <w:p w:rsidR="0092299C" w:rsidRPr="004333C2" w:rsidRDefault="0092299C" w:rsidP="0092299C">
            <w:pPr>
              <w:pStyle w:val="ARtabletextright"/>
            </w:pPr>
            <w:r w:rsidRPr="004333C2">
              <w:t>11</w:t>
            </w:r>
          </w:p>
        </w:tc>
      </w:tr>
    </w:tbl>
    <w:p w:rsidR="0092299C" w:rsidRPr="004333C2" w:rsidRDefault="005F5CF8" w:rsidP="0092299C">
      <w:pPr>
        <w:pStyle w:val="ARtablecaption"/>
      </w:pPr>
      <w:r>
        <w:t xml:space="preserve">(c) </w:t>
      </w:r>
      <w:r w:rsidR="0092299C" w:rsidRPr="004333C2">
        <w:t xml:space="preserve">Number and type of volatile substances and items used to inhale a volatile substance </w:t>
      </w:r>
      <w:r w:rsidR="0092299C" w:rsidRPr="004333C2">
        <w:rPr>
          <w:u w:val="single"/>
        </w:rPr>
        <w:t>seized</w:t>
      </w:r>
      <w:r w:rsidR="0092299C" w:rsidRPr="004333C2">
        <w:t xml:space="preserve"> as a result of conducting those searches</w:t>
      </w:r>
      <w:r w:rsidR="0092299C">
        <w:t>*</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3806"/>
        <w:gridCol w:w="787"/>
      </w:tblGrid>
      <w:tr w:rsidR="0092299C" w:rsidRPr="004333C2" w:rsidTr="0092299C">
        <w:trPr>
          <w:cantSplit/>
        </w:trPr>
        <w:tc>
          <w:tcPr>
            <w:tcW w:w="3411" w:type="dxa"/>
            <w:shd w:val="clear" w:color="auto" w:fill="auto"/>
          </w:tcPr>
          <w:p w:rsidR="0092299C" w:rsidRPr="004333C2" w:rsidRDefault="0092299C" w:rsidP="0092299C">
            <w:pPr>
              <w:pStyle w:val="ARtabletext"/>
            </w:pPr>
            <w:r w:rsidRPr="004333C2">
              <w:t>Aerosol paint</w:t>
            </w:r>
          </w:p>
        </w:tc>
        <w:tc>
          <w:tcPr>
            <w:tcW w:w="705" w:type="dxa"/>
            <w:shd w:val="clear" w:color="auto" w:fill="auto"/>
          </w:tcPr>
          <w:p w:rsidR="0092299C" w:rsidRPr="004333C2" w:rsidRDefault="0092299C" w:rsidP="0092299C">
            <w:pPr>
              <w:pStyle w:val="ARtabletextright"/>
            </w:pPr>
          </w:p>
        </w:tc>
      </w:tr>
      <w:tr w:rsidR="0092299C" w:rsidRPr="004333C2" w:rsidTr="0092299C">
        <w:trPr>
          <w:cantSplit/>
        </w:trPr>
        <w:tc>
          <w:tcPr>
            <w:tcW w:w="3411" w:type="dxa"/>
            <w:shd w:val="clear" w:color="auto" w:fill="auto"/>
          </w:tcPr>
          <w:p w:rsidR="0092299C" w:rsidRPr="004333C2" w:rsidRDefault="0092299C" w:rsidP="0092299C">
            <w:pPr>
              <w:pStyle w:val="ARtabletext"/>
            </w:pPr>
            <w:r w:rsidRPr="004333C2">
              <w:t>Solvent (glue)</w:t>
            </w:r>
          </w:p>
        </w:tc>
        <w:tc>
          <w:tcPr>
            <w:tcW w:w="705" w:type="dxa"/>
            <w:shd w:val="clear" w:color="auto" w:fill="auto"/>
          </w:tcPr>
          <w:p w:rsidR="0092299C" w:rsidRPr="004333C2" w:rsidRDefault="0092299C" w:rsidP="0092299C">
            <w:pPr>
              <w:pStyle w:val="ARtabletextright"/>
            </w:pPr>
          </w:p>
        </w:tc>
      </w:tr>
      <w:tr w:rsidR="0092299C" w:rsidRPr="004333C2" w:rsidTr="0092299C">
        <w:trPr>
          <w:cantSplit/>
        </w:trPr>
        <w:tc>
          <w:tcPr>
            <w:tcW w:w="3411" w:type="dxa"/>
            <w:shd w:val="clear" w:color="auto" w:fill="auto"/>
          </w:tcPr>
          <w:p w:rsidR="0092299C" w:rsidRPr="004333C2" w:rsidRDefault="0092299C" w:rsidP="0092299C">
            <w:pPr>
              <w:pStyle w:val="ARtabletext"/>
            </w:pPr>
            <w:r w:rsidRPr="004333C2">
              <w:t>Plastic bag</w:t>
            </w:r>
          </w:p>
        </w:tc>
        <w:tc>
          <w:tcPr>
            <w:tcW w:w="705" w:type="dxa"/>
            <w:shd w:val="clear" w:color="auto" w:fill="auto"/>
          </w:tcPr>
          <w:p w:rsidR="0092299C" w:rsidRPr="004333C2" w:rsidRDefault="0092299C" w:rsidP="0092299C">
            <w:pPr>
              <w:pStyle w:val="ARtabletextright"/>
            </w:pPr>
          </w:p>
        </w:tc>
      </w:tr>
      <w:tr w:rsidR="0092299C" w:rsidRPr="004333C2" w:rsidTr="0092299C">
        <w:trPr>
          <w:cantSplit/>
        </w:trPr>
        <w:tc>
          <w:tcPr>
            <w:tcW w:w="3411" w:type="dxa"/>
            <w:shd w:val="clear" w:color="auto" w:fill="auto"/>
          </w:tcPr>
          <w:p w:rsidR="0092299C" w:rsidRPr="004333C2" w:rsidRDefault="0092299C" w:rsidP="0092299C">
            <w:pPr>
              <w:pStyle w:val="ARtabletext"/>
            </w:pPr>
            <w:r w:rsidRPr="004333C2">
              <w:t>Paper bag</w:t>
            </w:r>
          </w:p>
        </w:tc>
        <w:tc>
          <w:tcPr>
            <w:tcW w:w="705" w:type="dxa"/>
            <w:shd w:val="clear" w:color="auto" w:fill="auto"/>
          </w:tcPr>
          <w:p w:rsidR="0092299C" w:rsidRPr="004333C2" w:rsidRDefault="0092299C" w:rsidP="0092299C">
            <w:pPr>
              <w:pStyle w:val="ARtabletextright"/>
            </w:pPr>
          </w:p>
        </w:tc>
      </w:tr>
      <w:tr w:rsidR="0092299C" w:rsidRPr="004333C2" w:rsidTr="0092299C">
        <w:trPr>
          <w:cantSplit/>
        </w:trPr>
        <w:tc>
          <w:tcPr>
            <w:tcW w:w="3411" w:type="dxa"/>
            <w:shd w:val="clear" w:color="auto" w:fill="auto"/>
          </w:tcPr>
          <w:p w:rsidR="0092299C" w:rsidRPr="004333C2" w:rsidRDefault="0092299C" w:rsidP="0092299C">
            <w:pPr>
              <w:pStyle w:val="ARtabletext"/>
            </w:pPr>
            <w:r w:rsidRPr="004333C2">
              <w:t>Gases</w:t>
            </w:r>
          </w:p>
        </w:tc>
        <w:tc>
          <w:tcPr>
            <w:tcW w:w="705" w:type="dxa"/>
            <w:shd w:val="clear" w:color="auto" w:fill="auto"/>
          </w:tcPr>
          <w:p w:rsidR="0092299C" w:rsidRPr="004333C2" w:rsidRDefault="0092299C" w:rsidP="0092299C">
            <w:pPr>
              <w:pStyle w:val="ARtabletextright"/>
            </w:pPr>
          </w:p>
        </w:tc>
      </w:tr>
      <w:tr w:rsidR="0092299C" w:rsidRPr="004333C2" w:rsidTr="0092299C">
        <w:trPr>
          <w:cantSplit/>
        </w:trPr>
        <w:tc>
          <w:tcPr>
            <w:tcW w:w="3411" w:type="dxa"/>
            <w:shd w:val="clear" w:color="auto" w:fill="auto"/>
          </w:tcPr>
          <w:p w:rsidR="0092299C" w:rsidRPr="004333C2" w:rsidRDefault="0092299C" w:rsidP="0092299C">
            <w:pPr>
              <w:pStyle w:val="ARtabletext"/>
            </w:pPr>
            <w:r w:rsidRPr="004333C2">
              <w:t>Deodorant</w:t>
            </w:r>
          </w:p>
        </w:tc>
        <w:tc>
          <w:tcPr>
            <w:tcW w:w="705" w:type="dxa"/>
            <w:shd w:val="clear" w:color="auto" w:fill="auto"/>
          </w:tcPr>
          <w:p w:rsidR="0092299C" w:rsidRPr="004333C2" w:rsidRDefault="0092299C" w:rsidP="0092299C">
            <w:pPr>
              <w:pStyle w:val="ARtabletextright"/>
            </w:pPr>
            <w:r w:rsidRPr="004333C2">
              <w:t>3</w:t>
            </w:r>
          </w:p>
        </w:tc>
      </w:tr>
      <w:tr w:rsidR="0092299C" w:rsidRPr="004333C2" w:rsidTr="0092299C">
        <w:trPr>
          <w:cantSplit/>
        </w:trPr>
        <w:tc>
          <w:tcPr>
            <w:tcW w:w="3411" w:type="dxa"/>
            <w:shd w:val="clear" w:color="auto" w:fill="auto"/>
          </w:tcPr>
          <w:p w:rsidR="0092299C" w:rsidRPr="004333C2" w:rsidRDefault="0092299C" w:rsidP="0092299C">
            <w:pPr>
              <w:pStyle w:val="ARtabletext"/>
            </w:pPr>
            <w:r w:rsidRPr="004333C2">
              <w:t>Other</w:t>
            </w:r>
          </w:p>
        </w:tc>
        <w:tc>
          <w:tcPr>
            <w:tcW w:w="705" w:type="dxa"/>
            <w:shd w:val="clear" w:color="auto" w:fill="auto"/>
          </w:tcPr>
          <w:p w:rsidR="0092299C" w:rsidRPr="004333C2" w:rsidRDefault="0092299C" w:rsidP="0092299C">
            <w:pPr>
              <w:pStyle w:val="ARtabletextright"/>
            </w:pPr>
          </w:p>
        </w:tc>
      </w:tr>
    </w:tbl>
    <w:p w:rsidR="0092299C" w:rsidRPr="00226DE8" w:rsidRDefault="0092299C" w:rsidP="0092299C">
      <w:pPr>
        <w:pStyle w:val="ARtablefootnote"/>
      </w:pPr>
      <w:r w:rsidRPr="00226DE8">
        <w:t>* More than one item can be seized per search.</w:t>
      </w:r>
    </w:p>
    <w:p w:rsidR="0092299C" w:rsidRPr="004333C2" w:rsidRDefault="005F5CF8" w:rsidP="0092299C">
      <w:pPr>
        <w:pStyle w:val="ARtablecaption"/>
      </w:pPr>
      <w:r>
        <w:t xml:space="preserve">(d) </w:t>
      </w:r>
      <w:r w:rsidR="0092299C" w:rsidRPr="004333C2">
        <w:t xml:space="preserve">Number and type of volatile substances and items used to inhale a volatile substance received by members of the police force </w:t>
      </w:r>
      <w:r w:rsidR="0092299C" w:rsidRPr="004333C2">
        <w:rPr>
          <w:u w:val="single"/>
        </w:rPr>
        <w:t>when produced</w:t>
      </w:r>
      <w:r w:rsidR="0092299C" w:rsidRPr="004333C2">
        <w:t xml:space="preserve"> in accordance with a request under </w:t>
      </w:r>
      <w:r w:rsidR="001F7D66">
        <w:br/>
      </w:r>
      <w:r w:rsidR="0092299C" w:rsidRPr="004333C2">
        <w:t>s. 60H(1)(b)</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3289"/>
        <w:gridCol w:w="1304"/>
      </w:tblGrid>
      <w:tr w:rsidR="0092299C" w:rsidRPr="004333C2" w:rsidTr="0092299C">
        <w:trPr>
          <w:cantSplit/>
        </w:trPr>
        <w:tc>
          <w:tcPr>
            <w:tcW w:w="3289" w:type="dxa"/>
            <w:shd w:val="clear" w:color="auto" w:fill="auto"/>
          </w:tcPr>
          <w:p w:rsidR="0092299C" w:rsidRPr="004333C2" w:rsidRDefault="0092299C" w:rsidP="0092299C">
            <w:pPr>
              <w:pStyle w:val="ARtabletext"/>
            </w:pPr>
            <w:r w:rsidRPr="004333C2">
              <w:t>Nil substances of items produced under s. 60H(1)(b)</w:t>
            </w:r>
          </w:p>
        </w:tc>
        <w:tc>
          <w:tcPr>
            <w:tcW w:w="1304" w:type="dxa"/>
            <w:shd w:val="clear" w:color="auto" w:fill="auto"/>
          </w:tcPr>
          <w:p w:rsidR="0092299C" w:rsidRPr="004333C2" w:rsidRDefault="0092299C" w:rsidP="0092299C">
            <w:pPr>
              <w:spacing w:before="80" w:after="60"/>
              <w:jc w:val="right"/>
              <w:rPr>
                <w:rFonts w:eastAsia="Times" w:cs="Arial"/>
                <w:sz w:val="18"/>
                <w:szCs w:val="18"/>
                <w:lang w:eastAsia="en-AU"/>
              </w:rPr>
            </w:pPr>
          </w:p>
        </w:tc>
      </w:tr>
    </w:tbl>
    <w:p w:rsidR="0092299C" w:rsidRPr="004333C2" w:rsidRDefault="005F5CF8" w:rsidP="0092299C">
      <w:pPr>
        <w:pStyle w:val="ARtablecaption"/>
      </w:pPr>
      <w:r>
        <w:lastRenderedPageBreak/>
        <w:t xml:space="preserve">(e) </w:t>
      </w:r>
      <w:r w:rsidR="0092299C" w:rsidRPr="004333C2">
        <w:t xml:space="preserve">Number and </w:t>
      </w:r>
      <w:r w:rsidR="009C1C31">
        <w:t>type of volatile substances and </w:t>
      </w:r>
      <w:r w:rsidR="0092299C" w:rsidRPr="004333C2">
        <w:t xml:space="preserve">items used to inhale a volatile substance </w:t>
      </w:r>
      <w:r w:rsidR="0092299C" w:rsidRPr="004333C2">
        <w:rPr>
          <w:u w:val="single"/>
        </w:rPr>
        <w:t>returned</w:t>
      </w:r>
      <w:r w:rsidR="0092299C" w:rsidRPr="004333C2">
        <w:t xml:space="preserve"> to persons under s. 60N</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3289"/>
        <w:gridCol w:w="1304"/>
      </w:tblGrid>
      <w:tr w:rsidR="0092299C" w:rsidRPr="004333C2" w:rsidTr="0092299C">
        <w:trPr>
          <w:cantSplit/>
        </w:trPr>
        <w:tc>
          <w:tcPr>
            <w:tcW w:w="3289" w:type="dxa"/>
            <w:shd w:val="clear" w:color="auto" w:fill="auto"/>
          </w:tcPr>
          <w:p w:rsidR="0092299C" w:rsidRPr="004333C2" w:rsidRDefault="0092299C" w:rsidP="0092299C">
            <w:pPr>
              <w:pStyle w:val="ARtabletext"/>
            </w:pPr>
            <w:r w:rsidRPr="004333C2">
              <w:t>Nil substances or items returned under s60N.</w:t>
            </w:r>
          </w:p>
        </w:tc>
        <w:tc>
          <w:tcPr>
            <w:tcW w:w="1304" w:type="dxa"/>
            <w:shd w:val="clear" w:color="auto" w:fill="auto"/>
          </w:tcPr>
          <w:p w:rsidR="0092299C" w:rsidRPr="004333C2" w:rsidRDefault="0092299C" w:rsidP="0092299C">
            <w:pPr>
              <w:spacing w:before="80" w:after="60"/>
              <w:jc w:val="right"/>
              <w:rPr>
                <w:rFonts w:eastAsia="Times" w:cs="Arial"/>
                <w:sz w:val="18"/>
                <w:szCs w:val="18"/>
                <w:lang w:eastAsia="en-AU"/>
              </w:rPr>
            </w:pPr>
          </w:p>
        </w:tc>
      </w:tr>
    </w:tbl>
    <w:p w:rsidR="0092299C" w:rsidRPr="004333C2" w:rsidRDefault="005F5CF8" w:rsidP="0092299C">
      <w:pPr>
        <w:pStyle w:val="ARtablecaption"/>
      </w:pPr>
      <w:r>
        <w:t xml:space="preserve">(f) </w:t>
      </w:r>
      <w:r w:rsidR="0092299C" w:rsidRPr="004333C2">
        <w:t xml:space="preserve">Number and </w:t>
      </w:r>
      <w:r w:rsidR="009C1C31">
        <w:t>type of volatile substances and </w:t>
      </w:r>
      <w:r w:rsidR="0092299C" w:rsidRPr="004333C2">
        <w:t xml:space="preserve">items used to inhale a volatile substance </w:t>
      </w:r>
      <w:r w:rsidR="0092299C" w:rsidRPr="004333C2">
        <w:rPr>
          <w:u w:val="single"/>
        </w:rPr>
        <w:t>disposed</w:t>
      </w:r>
      <w:r w:rsidR="0092299C" w:rsidRPr="004333C2">
        <w:t xml:space="preserve"> of or made safe under s. 60O</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1666"/>
        <w:gridCol w:w="1666"/>
        <w:gridCol w:w="1261"/>
      </w:tblGrid>
      <w:tr w:rsidR="0092299C" w:rsidRPr="004333C2" w:rsidTr="0092299C">
        <w:trPr>
          <w:cantSplit/>
        </w:trPr>
        <w:tc>
          <w:tcPr>
            <w:tcW w:w="3332" w:type="dxa"/>
            <w:gridSpan w:val="2"/>
            <w:shd w:val="clear" w:color="auto" w:fill="auto"/>
          </w:tcPr>
          <w:p w:rsidR="0092299C" w:rsidRPr="004333C2" w:rsidRDefault="0092299C" w:rsidP="0092299C">
            <w:pPr>
              <w:pStyle w:val="ARtabletext"/>
            </w:pPr>
            <w:r w:rsidRPr="004333C2">
              <w:t>1 report of substances disposed under s</w:t>
            </w:r>
            <w:r w:rsidR="002E3080">
              <w:t>.</w:t>
            </w:r>
            <w:r w:rsidRPr="004333C2">
              <w:t xml:space="preserve"> 60O consisting of:</w:t>
            </w:r>
          </w:p>
        </w:tc>
        <w:tc>
          <w:tcPr>
            <w:tcW w:w="1261" w:type="dxa"/>
            <w:shd w:val="clear" w:color="auto" w:fill="auto"/>
          </w:tcPr>
          <w:p w:rsidR="0092299C" w:rsidRPr="004333C2" w:rsidRDefault="0092299C" w:rsidP="0092299C">
            <w:pPr>
              <w:spacing w:before="80" w:after="60"/>
              <w:jc w:val="right"/>
              <w:rPr>
                <w:rFonts w:eastAsia="Times" w:cs="Arial"/>
                <w:sz w:val="18"/>
                <w:szCs w:val="18"/>
                <w:lang w:eastAsia="en-AU"/>
              </w:rPr>
            </w:pPr>
          </w:p>
        </w:tc>
      </w:tr>
      <w:tr w:rsidR="0092299C" w:rsidRPr="004333C2" w:rsidTr="0092299C">
        <w:trPr>
          <w:cantSplit/>
        </w:trPr>
        <w:tc>
          <w:tcPr>
            <w:tcW w:w="1666" w:type="dxa"/>
            <w:shd w:val="clear" w:color="auto" w:fill="auto"/>
          </w:tcPr>
          <w:p w:rsidR="0092299C" w:rsidRPr="004333C2" w:rsidRDefault="0092299C" w:rsidP="0092299C">
            <w:pPr>
              <w:pStyle w:val="ARtabletext"/>
            </w:pPr>
            <w:r>
              <w:t xml:space="preserve">Deodorant: </w:t>
            </w:r>
          </w:p>
        </w:tc>
        <w:tc>
          <w:tcPr>
            <w:tcW w:w="2927" w:type="dxa"/>
            <w:gridSpan w:val="2"/>
            <w:shd w:val="clear" w:color="auto" w:fill="auto"/>
          </w:tcPr>
          <w:p w:rsidR="0092299C" w:rsidRPr="004333C2" w:rsidRDefault="0092299C" w:rsidP="002E3080">
            <w:pPr>
              <w:pStyle w:val="ARtabletextright"/>
            </w:pPr>
            <w:r>
              <w:t>6</w:t>
            </w:r>
          </w:p>
        </w:tc>
      </w:tr>
    </w:tbl>
    <w:p w:rsidR="0092299C" w:rsidRPr="004333C2" w:rsidRDefault="00814CAD" w:rsidP="0092299C">
      <w:pPr>
        <w:pStyle w:val="ARtablecaption"/>
      </w:pPr>
      <w:r>
        <w:t xml:space="preserve">(g) </w:t>
      </w:r>
      <w:r w:rsidR="0092299C" w:rsidRPr="004333C2">
        <w:t xml:space="preserve">Number and </w:t>
      </w:r>
      <w:r w:rsidR="009C1C31">
        <w:t>type of volatile substances and </w:t>
      </w:r>
      <w:r w:rsidR="0092299C" w:rsidRPr="004333C2">
        <w:t xml:space="preserve">items used to inhale a volatile substance </w:t>
      </w:r>
      <w:r w:rsidR="0092299C" w:rsidRPr="004333C2">
        <w:rPr>
          <w:u w:val="single"/>
        </w:rPr>
        <w:t>forfeited</w:t>
      </w:r>
      <w:r w:rsidR="0092299C" w:rsidRPr="004333C2">
        <w:t xml:space="preserve"> to the Crown under s. 60P</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3372"/>
        <w:gridCol w:w="1221"/>
      </w:tblGrid>
      <w:tr w:rsidR="0092299C" w:rsidRPr="004333C2" w:rsidTr="0092299C">
        <w:trPr>
          <w:cantSplit/>
        </w:trPr>
        <w:tc>
          <w:tcPr>
            <w:tcW w:w="3372" w:type="dxa"/>
            <w:shd w:val="clear" w:color="auto" w:fill="auto"/>
          </w:tcPr>
          <w:p w:rsidR="0092299C" w:rsidRPr="004333C2" w:rsidRDefault="0092299C" w:rsidP="002E3080">
            <w:pPr>
              <w:pStyle w:val="ARtabletext"/>
            </w:pPr>
            <w:r w:rsidRPr="004333C2">
              <w:t>Nil substances or items forfeited</w:t>
            </w:r>
            <w:r w:rsidR="002E3080">
              <w:t> </w:t>
            </w:r>
            <w:r w:rsidRPr="004333C2">
              <w:t>u</w:t>
            </w:r>
            <w:r w:rsidR="00AF1826">
              <w:t xml:space="preserve">nder </w:t>
            </w:r>
            <w:r w:rsidRPr="004333C2">
              <w:t>s.</w:t>
            </w:r>
            <w:r w:rsidR="00AF1826">
              <w:t> </w:t>
            </w:r>
            <w:r w:rsidRPr="004333C2">
              <w:t>60P</w:t>
            </w:r>
          </w:p>
        </w:tc>
        <w:tc>
          <w:tcPr>
            <w:tcW w:w="1221" w:type="dxa"/>
            <w:shd w:val="clear" w:color="auto" w:fill="auto"/>
          </w:tcPr>
          <w:p w:rsidR="0092299C" w:rsidRPr="004333C2" w:rsidRDefault="0092299C" w:rsidP="0092299C">
            <w:pPr>
              <w:spacing w:before="80" w:after="60"/>
              <w:jc w:val="right"/>
              <w:rPr>
                <w:rFonts w:eastAsia="Times" w:cs="Arial"/>
                <w:sz w:val="18"/>
                <w:szCs w:val="18"/>
                <w:lang w:eastAsia="en-AU"/>
              </w:rPr>
            </w:pPr>
          </w:p>
        </w:tc>
      </w:tr>
    </w:tbl>
    <w:p w:rsidR="0092299C" w:rsidRPr="004333C2" w:rsidRDefault="00814CAD" w:rsidP="0092299C">
      <w:pPr>
        <w:pStyle w:val="ARtablecaption"/>
      </w:pPr>
      <w:r>
        <w:t xml:space="preserve">(h) </w:t>
      </w:r>
      <w:r w:rsidR="0092299C" w:rsidRPr="004333C2">
        <w:t>Number of persons apprehended and detained without warrant under s. 60L</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3372"/>
        <w:gridCol w:w="1221"/>
      </w:tblGrid>
      <w:tr w:rsidR="0092299C" w:rsidRPr="004333C2" w:rsidTr="0092299C">
        <w:trPr>
          <w:cantSplit/>
        </w:trPr>
        <w:tc>
          <w:tcPr>
            <w:tcW w:w="3266" w:type="dxa"/>
            <w:shd w:val="clear" w:color="auto" w:fill="auto"/>
          </w:tcPr>
          <w:p w:rsidR="0092299C" w:rsidRPr="00226DE8" w:rsidRDefault="0092299C" w:rsidP="0092299C">
            <w:pPr>
              <w:pStyle w:val="ARtabletext"/>
            </w:pPr>
            <w:r w:rsidRPr="00226DE8">
              <w:t>Persons (under 18 years) apprehended and detained</w:t>
            </w:r>
          </w:p>
        </w:tc>
        <w:tc>
          <w:tcPr>
            <w:tcW w:w="1182" w:type="dxa"/>
            <w:shd w:val="clear" w:color="auto" w:fill="auto"/>
          </w:tcPr>
          <w:p w:rsidR="0092299C" w:rsidRPr="00226DE8" w:rsidRDefault="002E3080" w:rsidP="0092299C">
            <w:pPr>
              <w:pStyle w:val="ARtabletextright"/>
            </w:pPr>
            <w:r>
              <w:t xml:space="preserve"> </w:t>
            </w:r>
            <w:r w:rsidR="0092299C" w:rsidRPr="00226DE8">
              <w:t>0</w:t>
            </w:r>
          </w:p>
        </w:tc>
      </w:tr>
      <w:tr w:rsidR="0092299C" w:rsidRPr="004333C2" w:rsidTr="0092299C">
        <w:trPr>
          <w:cantSplit/>
        </w:trPr>
        <w:tc>
          <w:tcPr>
            <w:tcW w:w="3266" w:type="dxa"/>
            <w:shd w:val="clear" w:color="auto" w:fill="auto"/>
          </w:tcPr>
          <w:p w:rsidR="0092299C" w:rsidRPr="00226DE8" w:rsidRDefault="0092299C" w:rsidP="0092299C">
            <w:pPr>
              <w:pStyle w:val="ARtabletext"/>
            </w:pPr>
            <w:r w:rsidRPr="00226DE8">
              <w:t>Persons (irrespective of age) apprehended and detained</w:t>
            </w:r>
          </w:p>
        </w:tc>
        <w:tc>
          <w:tcPr>
            <w:tcW w:w="1182" w:type="dxa"/>
            <w:shd w:val="clear" w:color="auto" w:fill="auto"/>
          </w:tcPr>
          <w:p w:rsidR="0092299C" w:rsidRPr="00226DE8" w:rsidRDefault="0092299C" w:rsidP="0092299C">
            <w:pPr>
              <w:pStyle w:val="ARtabletextright"/>
            </w:pPr>
            <w:r w:rsidRPr="00226DE8">
              <w:t>0</w:t>
            </w:r>
          </w:p>
        </w:tc>
      </w:tr>
      <w:tr w:rsidR="0092299C" w:rsidRPr="004333C2" w:rsidTr="0092299C">
        <w:trPr>
          <w:cantSplit/>
        </w:trPr>
        <w:tc>
          <w:tcPr>
            <w:tcW w:w="3266" w:type="dxa"/>
            <w:shd w:val="clear" w:color="auto" w:fill="auto"/>
          </w:tcPr>
          <w:p w:rsidR="0092299C" w:rsidRPr="00226DE8" w:rsidRDefault="0092299C" w:rsidP="0092299C">
            <w:pPr>
              <w:pStyle w:val="ARtabletext"/>
            </w:pPr>
            <w:r w:rsidRPr="00226DE8">
              <w:t>Total persons apprehended and detained</w:t>
            </w:r>
          </w:p>
        </w:tc>
        <w:tc>
          <w:tcPr>
            <w:tcW w:w="1182" w:type="dxa"/>
            <w:shd w:val="clear" w:color="auto" w:fill="auto"/>
          </w:tcPr>
          <w:p w:rsidR="0092299C" w:rsidRPr="00226DE8" w:rsidRDefault="0092299C" w:rsidP="0092299C">
            <w:pPr>
              <w:pStyle w:val="ARtabletextright"/>
            </w:pPr>
            <w:r w:rsidRPr="00226DE8">
              <w:t>0</w:t>
            </w:r>
          </w:p>
        </w:tc>
      </w:tr>
      <w:tr w:rsidR="0092299C" w:rsidRPr="004333C2" w:rsidTr="0092299C">
        <w:trPr>
          <w:cantSplit/>
        </w:trPr>
        <w:tc>
          <w:tcPr>
            <w:tcW w:w="3266" w:type="dxa"/>
            <w:shd w:val="clear" w:color="auto" w:fill="auto"/>
          </w:tcPr>
          <w:p w:rsidR="0092299C" w:rsidRPr="00226DE8" w:rsidRDefault="0092299C" w:rsidP="0092299C">
            <w:pPr>
              <w:pStyle w:val="ARtabletext"/>
            </w:pPr>
            <w:r w:rsidRPr="00226DE8">
              <w:t>Male</w:t>
            </w:r>
          </w:p>
        </w:tc>
        <w:tc>
          <w:tcPr>
            <w:tcW w:w="1182" w:type="dxa"/>
            <w:shd w:val="clear" w:color="auto" w:fill="auto"/>
          </w:tcPr>
          <w:p w:rsidR="0092299C" w:rsidRPr="00226DE8" w:rsidRDefault="0092299C" w:rsidP="0092299C">
            <w:pPr>
              <w:pStyle w:val="ARtabletextright"/>
            </w:pPr>
            <w:r w:rsidRPr="00226DE8">
              <w:t>0</w:t>
            </w:r>
          </w:p>
        </w:tc>
      </w:tr>
      <w:tr w:rsidR="0092299C" w:rsidRPr="004333C2" w:rsidTr="0092299C">
        <w:trPr>
          <w:cantSplit/>
        </w:trPr>
        <w:tc>
          <w:tcPr>
            <w:tcW w:w="3266" w:type="dxa"/>
            <w:shd w:val="clear" w:color="auto" w:fill="auto"/>
          </w:tcPr>
          <w:p w:rsidR="0092299C" w:rsidRPr="00226DE8" w:rsidRDefault="0092299C" w:rsidP="0092299C">
            <w:pPr>
              <w:pStyle w:val="ARtabletext"/>
            </w:pPr>
            <w:r w:rsidRPr="00226DE8">
              <w:t>Female</w:t>
            </w:r>
          </w:p>
        </w:tc>
        <w:tc>
          <w:tcPr>
            <w:tcW w:w="1182" w:type="dxa"/>
            <w:shd w:val="clear" w:color="auto" w:fill="auto"/>
          </w:tcPr>
          <w:p w:rsidR="0092299C" w:rsidRPr="00226DE8" w:rsidRDefault="0092299C" w:rsidP="0092299C">
            <w:pPr>
              <w:pStyle w:val="ARtabletextright"/>
            </w:pPr>
            <w:r w:rsidRPr="00226DE8">
              <w:t>0</w:t>
            </w:r>
          </w:p>
        </w:tc>
      </w:tr>
      <w:tr w:rsidR="0092299C" w:rsidRPr="004333C2" w:rsidTr="0092299C">
        <w:trPr>
          <w:cantSplit/>
        </w:trPr>
        <w:tc>
          <w:tcPr>
            <w:tcW w:w="3266" w:type="dxa"/>
            <w:shd w:val="clear" w:color="auto" w:fill="auto"/>
          </w:tcPr>
          <w:p w:rsidR="0092299C" w:rsidRPr="00226DE8" w:rsidRDefault="0092299C" w:rsidP="0092299C">
            <w:pPr>
              <w:pStyle w:val="ARtabletext"/>
            </w:pPr>
            <w:r w:rsidRPr="00226DE8">
              <w:t>Indigenous</w:t>
            </w:r>
          </w:p>
        </w:tc>
        <w:tc>
          <w:tcPr>
            <w:tcW w:w="1182" w:type="dxa"/>
            <w:shd w:val="clear" w:color="auto" w:fill="auto"/>
          </w:tcPr>
          <w:p w:rsidR="0092299C" w:rsidRPr="00226DE8" w:rsidRDefault="0092299C" w:rsidP="0092299C">
            <w:pPr>
              <w:pStyle w:val="ARtabletextright"/>
            </w:pPr>
            <w:r w:rsidRPr="00226DE8">
              <w:t>0</w:t>
            </w:r>
          </w:p>
        </w:tc>
      </w:tr>
      <w:tr w:rsidR="0092299C" w:rsidRPr="004333C2" w:rsidTr="0092299C">
        <w:trPr>
          <w:cantSplit/>
        </w:trPr>
        <w:tc>
          <w:tcPr>
            <w:tcW w:w="3266" w:type="dxa"/>
            <w:shd w:val="clear" w:color="auto" w:fill="auto"/>
          </w:tcPr>
          <w:p w:rsidR="0092299C" w:rsidRPr="00226DE8" w:rsidRDefault="005F5CF8" w:rsidP="0092299C">
            <w:pPr>
              <w:pStyle w:val="ARtabletext"/>
            </w:pPr>
            <w:r>
              <w:t>Non-I</w:t>
            </w:r>
            <w:r w:rsidR="0092299C" w:rsidRPr="00226DE8">
              <w:t>ndigenous</w:t>
            </w:r>
          </w:p>
        </w:tc>
        <w:tc>
          <w:tcPr>
            <w:tcW w:w="1182" w:type="dxa"/>
            <w:shd w:val="clear" w:color="auto" w:fill="auto"/>
          </w:tcPr>
          <w:p w:rsidR="0092299C" w:rsidRPr="00226DE8" w:rsidRDefault="0092299C" w:rsidP="0092299C">
            <w:pPr>
              <w:pStyle w:val="ARtabletextright"/>
            </w:pPr>
            <w:r w:rsidRPr="00226DE8">
              <w:t>0</w:t>
            </w:r>
          </w:p>
        </w:tc>
      </w:tr>
    </w:tbl>
    <w:p w:rsidR="0092299C" w:rsidRPr="00065307" w:rsidRDefault="0092299C" w:rsidP="0092299C">
      <w:pPr>
        <w:pStyle w:val="Heading2"/>
      </w:pPr>
      <w:bookmarkStart w:id="65" w:name="_Ref492912653"/>
      <w:r w:rsidRPr="00065307">
        <w:t>Cemeteries and Crematoria Act 2003</w:t>
      </w:r>
      <w:bookmarkEnd w:id="65"/>
    </w:p>
    <w:p w:rsidR="0092299C" w:rsidRPr="00065307" w:rsidRDefault="0092299C" w:rsidP="0092299C">
      <w:pPr>
        <w:pStyle w:val="ARbody"/>
      </w:pPr>
      <w:r w:rsidRPr="00065307">
        <w:t xml:space="preserve">In 2009 the </w:t>
      </w:r>
      <w:r w:rsidRPr="00065307">
        <w:rPr>
          <w:i/>
        </w:rPr>
        <w:t>Cemeteries and Crematoria Act 2003</w:t>
      </w:r>
      <w:r w:rsidRPr="00065307">
        <w:t> was amended to require Class A cemetery trusts to pay a levy. The levy is intended to assist in defraying the cost of administering the Act, make improvements to cemetery trust governance and administration, and, to provide services to the community.</w:t>
      </w:r>
    </w:p>
    <w:p w:rsidR="0092299C" w:rsidRDefault="0092299C" w:rsidP="0092299C">
      <w:pPr>
        <w:pStyle w:val="ARbody"/>
        <w:rPr>
          <w:lang w:eastAsia="en-AU"/>
        </w:rPr>
      </w:pPr>
      <w:r w:rsidRPr="00065307">
        <w:rPr>
          <w:lang w:eastAsia="en-AU"/>
        </w:rPr>
        <w:t xml:space="preserve">The levy is set at </w:t>
      </w:r>
      <w:r>
        <w:rPr>
          <w:lang w:eastAsia="en-AU"/>
        </w:rPr>
        <w:t>three</w:t>
      </w:r>
      <w:r w:rsidRPr="00065307">
        <w:rPr>
          <w:lang w:eastAsia="en-AU"/>
        </w:rPr>
        <w:t xml:space="preserve"> per cent, or a rate determined by the Minister for Health up to a maximum of </w:t>
      </w:r>
      <w:r>
        <w:rPr>
          <w:lang w:eastAsia="en-AU"/>
        </w:rPr>
        <w:t>five </w:t>
      </w:r>
      <w:r w:rsidRPr="00065307">
        <w:rPr>
          <w:lang w:eastAsia="en-AU"/>
        </w:rPr>
        <w:t>per</w:t>
      </w:r>
      <w:r>
        <w:rPr>
          <w:lang w:eastAsia="en-AU"/>
        </w:rPr>
        <w:t> </w:t>
      </w:r>
      <w:r w:rsidRPr="00065307">
        <w:rPr>
          <w:lang w:eastAsia="en-AU"/>
        </w:rPr>
        <w:t>cent, of each Class A cemetery trust’s gross earnings from the previous financial year. The following table details the amount paid as levy, the amount appropriated and the matters on which the appropriated money was expended.</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522"/>
        <w:gridCol w:w="2071"/>
      </w:tblGrid>
      <w:tr w:rsidR="0092299C" w:rsidRPr="00065307" w:rsidTr="005F5CF8">
        <w:trPr>
          <w:cantSplit/>
          <w:tblHeader/>
        </w:trPr>
        <w:tc>
          <w:tcPr>
            <w:tcW w:w="2522" w:type="dxa"/>
            <w:shd w:val="clear" w:color="auto" w:fill="auto"/>
            <w:vAlign w:val="bottom"/>
          </w:tcPr>
          <w:p w:rsidR="0092299C" w:rsidRPr="00065307" w:rsidRDefault="0092299C" w:rsidP="005F5CF8">
            <w:pPr>
              <w:pStyle w:val="ARtablecolhead"/>
              <w:keepNext/>
            </w:pPr>
            <w:r w:rsidRPr="00065307">
              <w:lastRenderedPageBreak/>
              <w:br w:type="column"/>
            </w:r>
            <w:r w:rsidRPr="00065307">
              <w:br w:type="column"/>
              <w:t>Collection of levy</w:t>
            </w:r>
          </w:p>
        </w:tc>
        <w:tc>
          <w:tcPr>
            <w:tcW w:w="2071" w:type="dxa"/>
            <w:shd w:val="clear" w:color="auto" w:fill="auto"/>
            <w:vAlign w:val="bottom"/>
          </w:tcPr>
          <w:p w:rsidR="0092299C" w:rsidRPr="00C96C69" w:rsidRDefault="0092299C" w:rsidP="0092299C">
            <w:pPr>
              <w:pStyle w:val="ARtablecolheadright"/>
            </w:pPr>
            <w:r w:rsidRPr="00C96C69">
              <w:t>2016–17</w:t>
            </w:r>
          </w:p>
        </w:tc>
      </w:tr>
      <w:tr w:rsidR="0092299C" w:rsidRPr="00065307" w:rsidTr="005F5CF8">
        <w:trPr>
          <w:cantSplit/>
        </w:trPr>
        <w:tc>
          <w:tcPr>
            <w:tcW w:w="2522" w:type="dxa"/>
            <w:shd w:val="clear" w:color="auto" w:fill="auto"/>
          </w:tcPr>
          <w:p w:rsidR="0092299C" w:rsidRPr="00065307" w:rsidRDefault="0092299C" w:rsidP="0092299C">
            <w:pPr>
              <w:pStyle w:val="ARtabletext"/>
            </w:pPr>
            <w:r w:rsidRPr="00065307">
              <w:t>Metropolitan trusts</w:t>
            </w:r>
          </w:p>
        </w:tc>
        <w:tc>
          <w:tcPr>
            <w:tcW w:w="2071" w:type="dxa"/>
            <w:shd w:val="clear" w:color="auto" w:fill="auto"/>
          </w:tcPr>
          <w:p w:rsidR="0092299C" w:rsidRPr="00065307" w:rsidRDefault="0092299C" w:rsidP="0092299C">
            <w:pPr>
              <w:pStyle w:val="ARtabletextright"/>
            </w:pPr>
            <w:r w:rsidRPr="00065307">
              <w:t>$3,708,000</w:t>
            </w:r>
          </w:p>
        </w:tc>
      </w:tr>
      <w:tr w:rsidR="0092299C" w:rsidRPr="00065307" w:rsidTr="005F5CF8">
        <w:trPr>
          <w:cantSplit/>
        </w:trPr>
        <w:tc>
          <w:tcPr>
            <w:tcW w:w="2522" w:type="dxa"/>
            <w:shd w:val="clear" w:color="auto" w:fill="auto"/>
          </w:tcPr>
          <w:p w:rsidR="0092299C" w:rsidRPr="00065307" w:rsidRDefault="0092299C" w:rsidP="0092299C">
            <w:pPr>
              <w:pStyle w:val="ARtabletext"/>
            </w:pPr>
            <w:r w:rsidRPr="00065307">
              <w:t>Rural trusts</w:t>
            </w:r>
          </w:p>
        </w:tc>
        <w:tc>
          <w:tcPr>
            <w:tcW w:w="2071" w:type="dxa"/>
            <w:shd w:val="clear" w:color="auto" w:fill="auto"/>
          </w:tcPr>
          <w:p w:rsidR="0092299C" w:rsidRPr="00065307" w:rsidRDefault="0092299C" w:rsidP="0092299C">
            <w:pPr>
              <w:pStyle w:val="ARtabletextright"/>
            </w:pPr>
            <w:r w:rsidRPr="00065307">
              <w:t>$332,245</w:t>
            </w:r>
          </w:p>
        </w:tc>
      </w:tr>
      <w:tr w:rsidR="0092299C" w:rsidRPr="00065307" w:rsidTr="005F5CF8">
        <w:trPr>
          <w:cantSplit/>
        </w:trPr>
        <w:tc>
          <w:tcPr>
            <w:tcW w:w="2522" w:type="dxa"/>
            <w:shd w:val="clear" w:color="auto" w:fill="auto"/>
          </w:tcPr>
          <w:p w:rsidR="0092299C" w:rsidRPr="00065307" w:rsidRDefault="0092299C" w:rsidP="0092299C">
            <w:pPr>
              <w:pStyle w:val="ARtabletextbold"/>
            </w:pPr>
            <w:r w:rsidRPr="00065307">
              <w:t>Total amount collected</w:t>
            </w:r>
          </w:p>
        </w:tc>
        <w:tc>
          <w:tcPr>
            <w:tcW w:w="2071" w:type="dxa"/>
            <w:shd w:val="clear" w:color="auto" w:fill="auto"/>
          </w:tcPr>
          <w:p w:rsidR="0092299C" w:rsidRPr="00C96C69" w:rsidRDefault="0092299C" w:rsidP="0092299C">
            <w:pPr>
              <w:pStyle w:val="ARtabletextright"/>
              <w:rPr>
                <w:b/>
              </w:rPr>
            </w:pPr>
            <w:r w:rsidRPr="00C96C69">
              <w:rPr>
                <w:b/>
                <w:bCs/>
              </w:rPr>
              <w:t xml:space="preserve">$4,040,245 </w:t>
            </w:r>
          </w:p>
        </w:tc>
      </w:tr>
    </w:tbl>
    <w:p w:rsidR="0092299C" w:rsidRPr="00065307" w:rsidRDefault="0092299C" w:rsidP="00E560D2">
      <w:pPr>
        <w:pStyle w:val="ARbody"/>
      </w:pP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2873"/>
        <w:gridCol w:w="1720"/>
      </w:tblGrid>
      <w:tr w:rsidR="0092299C" w:rsidRPr="00065307" w:rsidTr="00971C4E">
        <w:trPr>
          <w:cantSplit/>
          <w:tblHeader/>
        </w:trPr>
        <w:tc>
          <w:tcPr>
            <w:tcW w:w="2840" w:type="dxa"/>
            <w:shd w:val="clear" w:color="auto" w:fill="auto"/>
            <w:vAlign w:val="bottom"/>
          </w:tcPr>
          <w:p w:rsidR="0092299C" w:rsidRPr="00065307" w:rsidRDefault="0092299C" w:rsidP="0092299C">
            <w:pPr>
              <w:pStyle w:val="ARtablecolhead"/>
            </w:pPr>
            <w:r w:rsidRPr="00065307">
              <w:t>Departmental expenditure (category)</w:t>
            </w:r>
          </w:p>
        </w:tc>
        <w:tc>
          <w:tcPr>
            <w:tcW w:w="1701" w:type="dxa"/>
            <w:shd w:val="clear" w:color="auto" w:fill="auto"/>
            <w:vAlign w:val="bottom"/>
          </w:tcPr>
          <w:p w:rsidR="0092299C" w:rsidRPr="00065307" w:rsidRDefault="0092299C" w:rsidP="0092299C">
            <w:pPr>
              <w:pStyle w:val="ARtablecolheadright"/>
            </w:pPr>
            <w:r w:rsidRPr="00065307">
              <w:t>2016–17</w:t>
            </w:r>
          </w:p>
        </w:tc>
      </w:tr>
      <w:tr w:rsidR="0092299C" w:rsidRPr="00065307" w:rsidTr="00971C4E">
        <w:trPr>
          <w:cantSplit/>
        </w:trPr>
        <w:tc>
          <w:tcPr>
            <w:tcW w:w="2840" w:type="dxa"/>
            <w:shd w:val="clear" w:color="auto" w:fill="auto"/>
          </w:tcPr>
          <w:p w:rsidR="0092299C" w:rsidRPr="00065307" w:rsidRDefault="0092299C" w:rsidP="0092299C">
            <w:pPr>
              <w:pStyle w:val="ARtabletext"/>
            </w:pPr>
            <w:r w:rsidRPr="00065307">
              <w:t>Sector reform initiatives</w:t>
            </w:r>
          </w:p>
        </w:tc>
        <w:tc>
          <w:tcPr>
            <w:tcW w:w="1701" w:type="dxa"/>
            <w:shd w:val="clear" w:color="auto" w:fill="auto"/>
          </w:tcPr>
          <w:p w:rsidR="0092299C" w:rsidRPr="00065307" w:rsidRDefault="0092299C" w:rsidP="0092299C">
            <w:pPr>
              <w:pStyle w:val="ARtabletextright"/>
            </w:pPr>
            <w:r w:rsidRPr="00065307">
              <w:t>$0</w:t>
            </w:r>
          </w:p>
        </w:tc>
      </w:tr>
      <w:tr w:rsidR="0092299C" w:rsidRPr="00065307" w:rsidTr="00971C4E">
        <w:trPr>
          <w:cantSplit/>
        </w:trPr>
        <w:tc>
          <w:tcPr>
            <w:tcW w:w="2840" w:type="dxa"/>
            <w:shd w:val="clear" w:color="auto" w:fill="auto"/>
          </w:tcPr>
          <w:p w:rsidR="0092299C" w:rsidRPr="00065307" w:rsidRDefault="0092299C" w:rsidP="0092299C">
            <w:pPr>
              <w:pStyle w:val="ARtabletext"/>
            </w:pPr>
            <w:r w:rsidRPr="00065307">
              <w:t>Governance support</w:t>
            </w:r>
          </w:p>
        </w:tc>
        <w:tc>
          <w:tcPr>
            <w:tcW w:w="1701" w:type="dxa"/>
            <w:shd w:val="clear" w:color="auto" w:fill="auto"/>
          </w:tcPr>
          <w:p w:rsidR="0092299C" w:rsidRPr="00065307" w:rsidRDefault="0092299C" w:rsidP="0092299C">
            <w:pPr>
              <w:pStyle w:val="ARtabletextright"/>
            </w:pPr>
            <w:r w:rsidRPr="00065307">
              <w:t>$1,071,150</w:t>
            </w:r>
          </w:p>
        </w:tc>
      </w:tr>
      <w:tr w:rsidR="0092299C" w:rsidRPr="00065307" w:rsidTr="00971C4E">
        <w:trPr>
          <w:cantSplit/>
        </w:trPr>
        <w:tc>
          <w:tcPr>
            <w:tcW w:w="2840" w:type="dxa"/>
            <w:shd w:val="clear" w:color="auto" w:fill="auto"/>
          </w:tcPr>
          <w:p w:rsidR="0092299C" w:rsidRPr="00065307" w:rsidRDefault="0092299C" w:rsidP="0092299C">
            <w:pPr>
              <w:pStyle w:val="ARtabletext"/>
            </w:pPr>
            <w:r w:rsidRPr="00065307">
              <w:t xml:space="preserve">Sector grants </w:t>
            </w:r>
          </w:p>
        </w:tc>
        <w:tc>
          <w:tcPr>
            <w:tcW w:w="1701" w:type="dxa"/>
            <w:shd w:val="clear" w:color="auto" w:fill="auto"/>
          </w:tcPr>
          <w:p w:rsidR="0092299C" w:rsidRPr="00065307" w:rsidRDefault="0092299C" w:rsidP="0092299C">
            <w:pPr>
              <w:pStyle w:val="ARtabletextright"/>
            </w:pPr>
            <w:r w:rsidRPr="00065307">
              <w:t>$1,256,432</w:t>
            </w:r>
          </w:p>
        </w:tc>
      </w:tr>
      <w:tr w:rsidR="0092299C" w:rsidRPr="00065307" w:rsidTr="00971C4E">
        <w:trPr>
          <w:cantSplit/>
        </w:trPr>
        <w:tc>
          <w:tcPr>
            <w:tcW w:w="2840" w:type="dxa"/>
            <w:shd w:val="clear" w:color="auto" w:fill="auto"/>
          </w:tcPr>
          <w:p w:rsidR="0092299C" w:rsidRPr="00065307" w:rsidRDefault="0092299C" w:rsidP="0092299C">
            <w:pPr>
              <w:pStyle w:val="ARtabletext"/>
            </w:pPr>
            <w:r w:rsidRPr="00065307">
              <w:t>Sector policy, development and coordination</w:t>
            </w:r>
          </w:p>
        </w:tc>
        <w:tc>
          <w:tcPr>
            <w:tcW w:w="1701" w:type="dxa"/>
            <w:shd w:val="clear" w:color="auto" w:fill="auto"/>
          </w:tcPr>
          <w:p w:rsidR="0092299C" w:rsidRPr="00065307" w:rsidRDefault="0092299C" w:rsidP="0092299C">
            <w:pPr>
              <w:pStyle w:val="ARtabletextright"/>
            </w:pPr>
            <w:r w:rsidRPr="00065307">
              <w:t>$541,367</w:t>
            </w:r>
          </w:p>
        </w:tc>
      </w:tr>
      <w:tr w:rsidR="0092299C" w:rsidRPr="00065307" w:rsidTr="00971C4E">
        <w:trPr>
          <w:cantSplit/>
        </w:trPr>
        <w:tc>
          <w:tcPr>
            <w:tcW w:w="2840" w:type="dxa"/>
            <w:shd w:val="clear" w:color="auto" w:fill="auto"/>
          </w:tcPr>
          <w:p w:rsidR="0092299C" w:rsidRPr="00065307" w:rsidRDefault="0092299C" w:rsidP="0092299C">
            <w:pPr>
              <w:pStyle w:val="ARtabletext"/>
            </w:pPr>
            <w:r w:rsidRPr="00065307">
              <w:t>Insurance premiums and claims</w:t>
            </w:r>
          </w:p>
        </w:tc>
        <w:tc>
          <w:tcPr>
            <w:tcW w:w="1701" w:type="dxa"/>
            <w:shd w:val="clear" w:color="auto" w:fill="auto"/>
          </w:tcPr>
          <w:p w:rsidR="0092299C" w:rsidRPr="00065307" w:rsidRDefault="0092299C" w:rsidP="0092299C">
            <w:pPr>
              <w:pStyle w:val="ARtabletextright"/>
            </w:pPr>
            <w:r w:rsidRPr="00065307">
              <w:t>$1,545,606</w:t>
            </w:r>
          </w:p>
        </w:tc>
      </w:tr>
      <w:tr w:rsidR="0092299C" w:rsidRPr="00065307" w:rsidTr="00971C4E">
        <w:trPr>
          <w:cantSplit/>
        </w:trPr>
        <w:tc>
          <w:tcPr>
            <w:tcW w:w="2840" w:type="dxa"/>
            <w:shd w:val="clear" w:color="auto" w:fill="auto"/>
          </w:tcPr>
          <w:p w:rsidR="0092299C" w:rsidRPr="00065307" w:rsidRDefault="0092299C" w:rsidP="0092299C">
            <w:pPr>
              <w:pStyle w:val="ARtabletextbold"/>
            </w:pPr>
            <w:r w:rsidRPr="00065307">
              <w:t>Total expenditure</w:t>
            </w:r>
          </w:p>
        </w:tc>
        <w:tc>
          <w:tcPr>
            <w:tcW w:w="1701" w:type="dxa"/>
            <w:shd w:val="clear" w:color="auto" w:fill="auto"/>
          </w:tcPr>
          <w:p w:rsidR="0092299C" w:rsidRPr="00C96C69" w:rsidRDefault="0092299C" w:rsidP="0092299C">
            <w:pPr>
              <w:pStyle w:val="ARtabletextright"/>
              <w:rPr>
                <w:b/>
              </w:rPr>
            </w:pPr>
            <w:r w:rsidRPr="00C96C69">
              <w:rPr>
                <w:b/>
              </w:rPr>
              <w:t>$4,414,555</w:t>
            </w:r>
          </w:p>
        </w:tc>
      </w:tr>
    </w:tbl>
    <w:p w:rsidR="0092299C" w:rsidRPr="00FE6C9D" w:rsidRDefault="0092299C" w:rsidP="0092299C">
      <w:pPr>
        <w:pStyle w:val="Heading2"/>
      </w:pPr>
      <w:r w:rsidRPr="00FE6C9D">
        <w:t>Public Health and Wellbeing Act 2008</w:t>
      </w:r>
    </w:p>
    <w:p w:rsidR="0092299C" w:rsidRPr="00FE6C9D" w:rsidRDefault="0092299C" w:rsidP="0092299C">
      <w:pPr>
        <w:pStyle w:val="ARbody"/>
      </w:pPr>
      <w:r w:rsidRPr="00FE6C9D">
        <w:t xml:space="preserve">The </w:t>
      </w:r>
      <w:r w:rsidRPr="00226DE8">
        <w:rPr>
          <w:i/>
        </w:rPr>
        <w:t>Public Health and Wellbeing Act 2008 (the Act) and the Public Health and Wellbeing Regulations 2009</w:t>
      </w:r>
      <w:r w:rsidRPr="00FE6C9D">
        <w:t xml:space="preserve"> came into effect on 1 January 2010.</w:t>
      </w:r>
    </w:p>
    <w:p w:rsidR="0092299C" w:rsidRPr="00FE6C9D" w:rsidRDefault="0092299C" w:rsidP="0092299C">
      <w:pPr>
        <w:pStyle w:val="ARbody"/>
      </w:pPr>
      <w:r w:rsidRPr="00FE6C9D">
        <w:t>The Act protects public health through the prevention and control of communicable diseases.</w:t>
      </w:r>
    </w:p>
    <w:p w:rsidR="0092299C" w:rsidRPr="00FE6C9D" w:rsidRDefault="0092299C" w:rsidP="0092299C">
      <w:pPr>
        <w:pStyle w:val="ARbody"/>
      </w:pPr>
      <w:r w:rsidRPr="00FE6C9D">
        <w:t>Under s. 21 of the Act, the Chief Health Officer has a number of functions and powers. These include:</w:t>
      </w:r>
    </w:p>
    <w:p w:rsidR="0092299C" w:rsidRPr="00FE6C9D" w:rsidRDefault="0092299C" w:rsidP="0092299C">
      <w:pPr>
        <w:pStyle w:val="ARbullet1"/>
        <w:numPr>
          <w:ilvl w:val="0"/>
          <w:numId w:val="19"/>
        </w:numPr>
      </w:pPr>
      <w:r w:rsidRPr="00FE6C9D">
        <w:t>to develop and implement strategies to promote and protect public health and wellbeing</w:t>
      </w:r>
    </w:p>
    <w:p w:rsidR="0092299C" w:rsidRPr="00FE6C9D" w:rsidRDefault="0092299C" w:rsidP="0092299C">
      <w:pPr>
        <w:pStyle w:val="ARbullet1"/>
        <w:numPr>
          <w:ilvl w:val="0"/>
          <w:numId w:val="19"/>
        </w:numPr>
      </w:pPr>
      <w:r w:rsidRPr="00FE6C9D">
        <w:t>to provide advice to the Minister for Health or the Secretary on matters relating to public health and wellbeing</w:t>
      </w:r>
    </w:p>
    <w:p w:rsidR="0092299C" w:rsidRPr="00FE6C9D" w:rsidRDefault="0092299C" w:rsidP="0092299C">
      <w:pPr>
        <w:pStyle w:val="ARbullet1"/>
        <w:numPr>
          <w:ilvl w:val="0"/>
          <w:numId w:val="19"/>
        </w:numPr>
      </w:pPr>
      <w:r w:rsidRPr="00FE6C9D">
        <w:t>to publish on a biennial basis and make available in an accessible manner to members of the public a comprehensive report on public health and wellbeing in Victoria</w:t>
      </w:r>
    </w:p>
    <w:p w:rsidR="0092299C" w:rsidRPr="00FE6C9D" w:rsidRDefault="0092299C" w:rsidP="00F91CA3">
      <w:pPr>
        <w:pStyle w:val="ARbullet1"/>
      </w:pPr>
      <w:r w:rsidRPr="00FE6C9D">
        <w:t>to perform any other functions or exercise any powers specified under this Act or any other Act or under any regulations made under this or any other Act.</w:t>
      </w:r>
    </w:p>
    <w:p w:rsidR="0092299C" w:rsidRPr="00FE6C9D" w:rsidRDefault="0092299C" w:rsidP="0092299C">
      <w:pPr>
        <w:pStyle w:val="ARbodyafterbullets"/>
      </w:pPr>
      <w:r w:rsidRPr="00FE6C9D">
        <w:t>Under the Act, the Chief Health Officer is also empowered to make certain orders that may impact on individuals in order to protect the community. These include orders to compel a person to be examined or tested or to refrain from certain activities that may pose a serious risk to public health.</w:t>
      </w:r>
    </w:p>
    <w:p w:rsidR="0092299C" w:rsidRPr="00FE6C9D" w:rsidRDefault="0092299C" w:rsidP="0092299C">
      <w:pPr>
        <w:pStyle w:val="ARbody"/>
      </w:pPr>
      <w:r w:rsidRPr="00FE6C9D">
        <w:t xml:space="preserve">The limited circumstances in which these orders may be made are clearly set out in the legislation </w:t>
      </w:r>
      <w:r w:rsidRPr="00FE6C9D">
        <w:lastRenderedPageBreak/>
        <w:t>and there are extensive human rights protections including rights to internal and external review.</w:t>
      </w:r>
    </w:p>
    <w:p w:rsidR="0092299C" w:rsidRDefault="0092299C" w:rsidP="0092299C">
      <w:pPr>
        <w:pStyle w:val="ARbody"/>
      </w:pPr>
      <w:r w:rsidRPr="00FE6C9D">
        <w:t>The following table reports the number of orders made, and reasons for making them, as outlined in s. 143 of the Act.</w:t>
      </w:r>
    </w:p>
    <w:p w:rsidR="0092299C" w:rsidRPr="00FE6C9D" w:rsidRDefault="0092299C" w:rsidP="0092299C">
      <w:pPr>
        <w:pStyle w:val="ARtablecaption"/>
      </w:pPr>
      <w:r w:rsidRPr="00FE6C9D">
        <w:t>Orders made by the Chief Health Officer from 1 July 2016 – 30 June 2017</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786"/>
        <w:gridCol w:w="1460"/>
        <w:gridCol w:w="789"/>
        <w:gridCol w:w="1558"/>
      </w:tblGrid>
      <w:tr w:rsidR="0092299C" w:rsidRPr="00FE6C9D" w:rsidTr="00971C4E">
        <w:trPr>
          <w:cantSplit/>
          <w:tblHeader/>
        </w:trPr>
        <w:tc>
          <w:tcPr>
            <w:tcW w:w="0" w:type="auto"/>
            <w:shd w:val="clear" w:color="auto" w:fill="auto"/>
            <w:vAlign w:val="bottom"/>
          </w:tcPr>
          <w:p w:rsidR="0092299C" w:rsidRPr="00FE6C9D" w:rsidRDefault="0092299C" w:rsidP="0092299C">
            <w:pPr>
              <w:pStyle w:val="ARtablecolhead"/>
            </w:pPr>
            <w:r w:rsidRPr="00FE6C9D">
              <w:t>Section</w:t>
            </w:r>
          </w:p>
        </w:tc>
        <w:tc>
          <w:tcPr>
            <w:tcW w:w="1460" w:type="dxa"/>
            <w:shd w:val="clear" w:color="auto" w:fill="auto"/>
            <w:vAlign w:val="bottom"/>
          </w:tcPr>
          <w:p w:rsidR="0092299C" w:rsidRPr="00FE6C9D" w:rsidRDefault="0092299C" w:rsidP="0092299C">
            <w:pPr>
              <w:pStyle w:val="ARtablecolhead"/>
            </w:pPr>
            <w:r w:rsidRPr="00FE6C9D">
              <w:t>Order type</w:t>
            </w:r>
          </w:p>
        </w:tc>
        <w:tc>
          <w:tcPr>
            <w:tcW w:w="789" w:type="dxa"/>
            <w:shd w:val="clear" w:color="auto" w:fill="auto"/>
            <w:vAlign w:val="bottom"/>
          </w:tcPr>
          <w:p w:rsidR="0092299C" w:rsidRPr="00FE6C9D" w:rsidRDefault="0092299C" w:rsidP="001F7D66">
            <w:pPr>
              <w:pStyle w:val="ARtablecolhead"/>
              <w:jc w:val="center"/>
            </w:pPr>
            <w:r w:rsidRPr="00FE6C9D">
              <w:t>Number</w:t>
            </w:r>
          </w:p>
        </w:tc>
        <w:tc>
          <w:tcPr>
            <w:tcW w:w="1558" w:type="dxa"/>
            <w:shd w:val="clear" w:color="auto" w:fill="auto"/>
            <w:vAlign w:val="bottom"/>
          </w:tcPr>
          <w:p w:rsidR="0092299C" w:rsidRPr="00FE6C9D" w:rsidRDefault="0092299C" w:rsidP="0092299C">
            <w:pPr>
              <w:pStyle w:val="ARtablecolhead"/>
            </w:pPr>
            <w:r w:rsidRPr="00FE6C9D">
              <w:t>Reason</w:t>
            </w:r>
          </w:p>
        </w:tc>
      </w:tr>
      <w:tr w:rsidR="0092299C" w:rsidRPr="00FE6C9D" w:rsidTr="00971C4E">
        <w:trPr>
          <w:cantSplit/>
        </w:trPr>
        <w:tc>
          <w:tcPr>
            <w:tcW w:w="0" w:type="auto"/>
            <w:shd w:val="clear" w:color="auto" w:fill="auto"/>
          </w:tcPr>
          <w:p w:rsidR="0092299C" w:rsidRPr="00FE6C9D" w:rsidRDefault="0092299C" w:rsidP="0092299C">
            <w:pPr>
              <w:pStyle w:val="ARtabletext"/>
            </w:pPr>
            <w:r w:rsidRPr="00FE6C9D">
              <w:t>113</w:t>
            </w:r>
          </w:p>
        </w:tc>
        <w:tc>
          <w:tcPr>
            <w:tcW w:w="1460" w:type="dxa"/>
            <w:shd w:val="clear" w:color="auto" w:fill="auto"/>
          </w:tcPr>
          <w:p w:rsidR="0092299C" w:rsidRPr="00FE6C9D" w:rsidRDefault="0092299C" w:rsidP="0092299C">
            <w:pPr>
              <w:pStyle w:val="ARtabletext"/>
            </w:pPr>
            <w:r w:rsidRPr="00FE6C9D">
              <w:t>Examination and testing order</w:t>
            </w:r>
          </w:p>
        </w:tc>
        <w:tc>
          <w:tcPr>
            <w:tcW w:w="789" w:type="dxa"/>
            <w:shd w:val="clear" w:color="auto" w:fill="auto"/>
          </w:tcPr>
          <w:p w:rsidR="0092299C" w:rsidRPr="00FE6C9D" w:rsidRDefault="0092299C" w:rsidP="001F7D66">
            <w:pPr>
              <w:pStyle w:val="ARtabletextright"/>
              <w:jc w:val="center"/>
            </w:pPr>
            <w:r w:rsidRPr="00FE6C9D">
              <w:t>0</w:t>
            </w:r>
          </w:p>
        </w:tc>
        <w:tc>
          <w:tcPr>
            <w:tcW w:w="1558" w:type="dxa"/>
            <w:shd w:val="clear" w:color="auto" w:fill="auto"/>
          </w:tcPr>
          <w:p w:rsidR="0092299C" w:rsidRPr="00FE6C9D" w:rsidRDefault="0092299C" w:rsidP="0092299C">
            <w:pPr>
              <w:pStyle w:val="ARtabletext"/>
            </w:pPr>
          </w:p>
        </w:tc>
      </w:tr>
      <w:tr w:rsidR="0092299C" w:rsidRPr="00FE6C9D" w:rsidTr="00971C4E">
        <w:trPr>
          <w:cantSplit/>
        </w:trPr>
        <w:tc>
          <w:tcPr>
            <w:tcW w:w="0" w:type="auto"/>
            <w:shd w:val="clear" w:color="auto" w:fill="auto"/>
          </w:tcPr>
          <w:p w:rsidR="0092299C" w:rsidRPr="00FE6C9D" w:rsidRDefault="0092299C" w:rsidP="0092299C">
            <w:pPr>
              <w:pStyle w:val="ARtabletext"/>
            </w:pPr>
            <w:r w:rsidRPr="00FE6C9D">
              <w:t>117</w:t>
            </w:r>
          </w:p>
        </w:tc>
        <w:tc>
          <w:tcPr>
            <w:tcW w:w="1460" w:type="dxa"/>
            <w:shd w:val="clear" w:color="auto" w:fill="auto"/>
          </w:tcPr>
          <w:p w:rsidR="0092299C" w:rsidRPr="00FE6C9D" w:rsidRDefault="0092299C" w:rsidP="0092299C">
            <w:pPr>
              <w:pStyle w:val="ARtabletext"/>
            </w:pPr>
            <w:r w:rsidRPr="00FE6C9D">
              <w:t>Public health order</w:t>
            </w:r>
          </w:p>
        </w:tc>
        <w:tc>
          <w:tcPr>
            <w:tcW w:w="789" w:type="dxa"/>
            <w:shd w:val="clear" w:color="auto" w:fill="auto"/>
          </w:tcPr>
          <w:p w:rsidR="0092299C" w:rsidRPr="00FE6C9D" w:rsidRDefault="0092299C" w:rsidP="001F7D66">
            <w:pPr>
              <w:pStyle w:val="ARtabletextright"/>
              <w:jc w:val="center"/>
            </w:pPr>
            <w:r w:rsidRPr="00FE6C9D">
              <w:t>1</w:t>
            </w:r>
          </w:p>
        </w:tc>
        <w:tc>
          <w:tcPr>
            <w:tcW w:w="1558" w:type="dxa"/>
            <w:shd w:val="clear" w:color="auto" w:fill="auto"/>
          </w:tcPr>
          <w:p w:rsidR="0092299C" w:rsidRPr="00FE6C9D" w:rsidRDefault="0092299C" w:rsidP="0092299C">
            <w:pPr>
              <w:pStyle w:val="ARtabletext"/>
            </w:pPr>
            <w:r w:rsidRPr="00FE6C9D">
              <w:t>To eliminate or reduce the risk of a person causing a serious risk to public health</w:t>
            </w:r>
          </w:p>
        </w:tc>
      </w:tr>
      <w:tr w:rsidR="0092299C" w:rsidRPr="00FE6C9D" w:rsidTr="00971C4E">
        <w:trPr>
          <w:cantSplit/>
        </w:trPr>
        <w:tc>
          <w:tcPr>
            <w:tcW w:w="0" w:type="auto"/>
            <w:shd w:val="clear" w:color="auto" w:fill="auto"/>
          </w:tcPr>
          <w:p w:rsidR="0092299C" w:rsidRPr="00FE6C9D" w:rsidRDefault="0092299C" w:rsidP="0092299C">
            <w:pPr>
              <w:pStyle w:val="ARtabletext"/>
            </w:pPr>
            <w:r w:rsidRPr="00FE6C9D">
              <w:t xml:space="preserve">118 </w:t>
            </w:r>
          </w:p>
        </w:tc>
        <w:tc>
          <w:tcPr>
            <w:tcW w:w="1460" w:type="dxa"/>
            <w:shd w:val="clear" w:color="auto" w:fill="auto"/>
          </w:tcPr>
          <w:p w:rsidR="0092299C" w:rsidRPr="00FE6C9D" w:rsidRDefault="0092299C" w:rsidP="0092299C">
            <w:pPr>
              <w:pStyle w:val="ARtabletext"/>
            </w:pPr>
            <w:r w:rsidRPr="00FE6C9D">
              <w:t>Extension of public health order</w:t>
            </w:r>
          </w:p>
        </w:tc>
        <w:tc>
          <w:tcPr>
            <w:tcW w:w="789" w:type="dxa"/>
            <w:shd w:val="clear" w:color="auto" w:fill="auto"/>
          </w:tcPr>
          <w:p w:rsidR="0092299C" w:rsidRPr="00FE6C9D" w:rsidRDefault="0092299C" w:rsidP="001F7D66">
            <w:pPr>
              <w:pStyle w:val="ARtabletextright"/>
              <w:jc w:val="center"/>
            </w:pPr>
            <w:r w:rsidRPr="00FE6C9D">
              <w:t>2</w:t>
            </w:r>
          </w:p>
        </w:tc>
        <w:tc>
          <w:tcPr>
            <w:tcW w:w="1558" w:type="dxa"/>
            <w:shd w:val="clear" w:color="auto" w:fill="auto"/>
          </w:tcPr>
          <w:p w:rsidR="0092299C" w:rsidRPr="00FE6C9D" w:rsidRDefault="0092299C" w:rsidP="0092299C">
            <w:pPr>
              <w:pStyle w:val="ARtabletext"/>
            </w:pPr>
            <w:r w:rsidRPr="00FE6C9D">
              <w:t>To eliminate or reduce the risk of a person causing a serious risk to public health</w:t>
            </w:r>
          </w:p>
        </w:tc>
      </w:tr>
      <w:tr w:rsidR="0092299C" w:rsidRPr="00FE6C9D" w:rsidTr="00971C4E">
        <w:trPr>
          <w:cantSplit/>
        </w:trPr>
        <w:tc>
          <w:tcPr>
            <w:tcW w:w="0" w:type="auto"/>
            <w:shd w:val="clear" w:color="auto" w:fill="auto"/>
          </w:tcPr>
          <w:p w:rsidR="0092299C" w:rsidRPr="00FE6C9D" w:rsidRDefault="0092299C" w:rsidP="0092299C">
            <w:pPr>
              <w:pStyle w:val="ARtabletext"/>
            </w:pPr>
            <w:r w:rsidRPr="00FE6C9D">
              <w:t>134</w:t>
            </w:r>
          </w:p>
        </w:tc>
        <w:tc>
          <w:tcPr>
            <w:tcW w:w="1460" w:type="dxa"/>
            <w:shd w:val="clear" w:color="auto" w:fill="auto"/>
          </w:tcPr>
          <w:p w:rsidR="0092299C" w:rsidRPr="00FE6C9D" w:rsidRDefault="0092299C" w:rsidP="0092299C">
            <w:pPr>
              <w:pStyle w:val="ARtabletext"/>
            </w:pPr>
            <w:r w:rsidRPr="00FE6C9D">
              <w:t>Orders for tests if an incident has occurred</w:t>
            </w:r>
          </w:p>
        </w:tc>
        <w:tc>
          <w:tcPr>
            <w:tcW w:w="789" w:type="dxa"/>
            <w:shd w:val="clear" w:color="auto" w:fill="auto"/>
          </w:tcPr>
          <w:p w:rsidR="0092299C" w:rsidRPr="00FE6C9D" w:rsidRDefault="0092299C" w:rsidP="001F7D66">
            <w:pPr>
              <w:pStyle w:val="ARtabletextright"/>
              <w:jc w:val="center"/>
            </w:pPr>
            <w:r w:rsidRPr="00FE6C9D">
              <w:t>0</w:t>
            </w:r>
          </w:p>
        </w:tc>
        <w:tc>
          <w:tcPr>
            <w:tcW w:w="1558" w:type="dxa"/>
            <w:shd w:val="clear" w:color="auto" w:fill="auto"/>
          </w:tcPr>
          <w:p w:rsidR="0092299C" w:rsidRPr="00FE6C9D" w:rsidRDefault="0092299C" w:rsidP="0092299C">
            <w:pPr>
              <w:pStyle w:val="ARtabletext"/>
            </w:pPr>
          </w:p>
        </w:tc>
      </w:tr>
    </w:tbl>
    <w:p w:rsidR="0092299C" w:rsidRPr="00FE6C9D" w:rsidRDefault="0092299C" w:rsidP="0092299C">
      <w:pPr>
        <w:pStyle w:val="Heading2"/>
      </w:pPr>
      <w:r>
        <w:t xml:space="preserve">Ministerial Statements of </w:t>
      </w:r>
      <w:r w:rsidRPr="00FE6C9D">
        <w:t>Expectations</w:t>
      </w:r>
    </w:p>
    <w:p w:rsidR="0092299C" w:rsidRPr="00FE6C9D" w:rsidRDefault="0092299C" w:rsidP="0092299C">
      <w:pPr>
        <w:pStyle w:val="ARbody"/>
      </w:pPr>
      <w:r w:rsidRPr="00FE6C9D">
        <w:t xml:space="preserve">Ministerial Statements of Expectations for regulators aim to improve regulatory governance and performance. The Ministerial Statements articulate the Victorian Government’s priorities and objectives for regulatory functions within each department. The department’s regulatory functions to which the Ministerial Statements apply relate to areas such as drugs and poisons, food safety, tobacco control, safe drinking water and services provided, and registered under, the </w:t>
      </w:r>
      <w:r w:rsidRPr="005D353C">
        <w:rPr>
          <w:i/>
        </w:rPr>
        <w:t>Children, Youth and Families Act 2005</w:t>
      </w:r>
      <w:r w:rsidRPr="00FE6C9D">
        <w:t xml:space="preserve"> and the </w:t>
      </w:r>
      <w:r w:rsidRPr="005D353C">
        <w:rPr>
          <w:i/>
        </w:rPr>
        <w:t>Disability Act 2006</w:t>
      </w:r>
      <w:r w:rsidRPr="00FE6C9D">
        <w:t>.</w:t>
      </w:r>
    </w:p>
    <w:p w:rsidR="0092299C" w:rsidRDefault="0092299C" w:rsidP="0092299C">
      <w:pPr>
        <w:pStyle w:val="ARbody"/>
      </w:pPr>
      <w:r w:rsidRPr="00FE6C9D">
        <w:t>During 2016–17</w:t>
      </w:r>
      <w:r>
        <w:t>,</w:t>
      </w:r>
      <w:r w:rsidRPr="00FE6C9D">
        <w:t xml:space="preserve"> Ministerial Statements of Expectations were issued to regulatory business units within the department and to statutory authorities. Consistent with the revised </w:t>
      </w:r>
      <w:r>
        <w:rPr>
          <w:i/>
        </w:rPr>
        <w:t>Statement of expectations framework for r</w:t>
      </w:r>
      <w:r w:rsidRPr="00F44345">
        <w:rPr>
          <w:i/>
        </w:rPr>
        <w:t>egulators</w:t>
      </w:r>
      <w:r w:rsidRPr="00FE6C9D">
        <w:t xml:space="preserve"> (</w:t>
      </w:r>
      <w:r>
        <w:t>fr</w:t>
      </w:r>
      <w:r w:rsidRPr="00FE6C9D">
        <w:t xml:space="preserve">amework), these Ministerial Statements have been extended until no later than 31 December 2017. New </w:t>
      </w:r>
      <w:r>
        <w:t>2017–19</w:t>
      </w:r>
      <w:r w:rsidRPr="00FE6C9D">
        <w:t xml:space="preserve"> Ministerial Statements with revised regulatory improvements and targets will </w:t>
      </w:r>
      <w:r w:rsidR="00120697">
        <w:br/>
      </w:r>
      <w:r w:rsidRPr="00FE6C9D">
        <w:t xml:space="preserve">be issued to the department before 31 December 2017. These will replace the extended </w:t>
      </w:r>
      <w:r w:rsidRPr="006F0DB4">
        <w:t>2016–17</w:t>
      </w:r>
      <w:r w:rsidRPr="00FE6C9D">
        <w:t xml:space="preserve"> Ministerial Statements and reflect the new </w:t>
      </w:r>
      <w:r>
        <w:t>f</w:t>
      </w:r>
      <w:r w:rsidRPr="00FE6C9D">
        <w:t>ramework. Ministerial Statements and additional information are available on the department’s websites:</w:t>
      </w:r>
    </w:p>
    <w:p w:rsidR="0092299C" w:rsidRDefault="00EF589D" w:rsidP="0092299C">
      <w:pPr>
        <w:pStyle w:val="ARbullet1"/>
        <w:numPr>
          <w:ilvl w:val="0"/>
          <w:numId w:val="19"/>
        </w:numPr>
        <w:rPr>
          <w:color w:val="000000" w:themeColor="text1"/>
        </w:rPr>
      </w:pPr>
      <w:hyperlink r:id="rId86" w:history="1">
        <w:r w:rsidR="0092299C" w:rsidRPr="00F44345">
          <w:rPr>
            <w:rStyle w:val="Hyperlink"/>
          </w:rPr>
          <w:t>Ministerial Statements of Expectations</w:t>
        </w:r>
      </w:hyperlink>
      <w:r w:rsidR="0092299C">
        <w:t xml:space="preserve"> &lt;</w:t>
      </w:r>
      <w:r w:rsidR="0092299C" w:rsidRPr="00040B79">
        <w:rPr>
          <w:color w:val="000000" w:themeColor="text1"/>
        </w:rPr>
        <w:t>https://www2.health.vic.gov.au/about/health-strategies/ministerial-statements-of-expectations</w:t>
      </w:r>
      <w:r w:rsidR="0092299C">
        <w:rPr>
          <w:color w:val="000000" w:themeColor="text1"/>
        </w:rPr>
        <w:t>&gt;</w:t>
      </w:r>
    </w:p>
    <w:p w:rsidR="0092299C" w:rsidRPr="00FE6C9D" w:rsidRDefault="00EF589D" w:rsidP="00F91CA3">
      <w:pPr>
        <w:pStyle w:val="ARbullet1"/>
      </w:pPr>
      <w:hyperlink r:id="rId87" w:history="1">
        <w:r w:rsidR="0092299C">
          <w:rPr>
            <w:rStyle w:val="Hyperlink"/>
          </w:rPr>
          <w:t>d</w:t>
        </w:r>
        <w:r w:rsidR="0092299C" w:rsidRPr="00040B79">
          <w:rPr>
            <w:rStyle w:val="Hyperlink"/>
          </w:rPr>
          <w:t>ocuments and resources</w:t>
        </w:r>
      </w:hyperlink>
      <w:r w:rsidR="0092299C">
        <w:rPr>
          <w:color w:val="000000" w:themeColor="text1"/>
        </w:rPr>
        <w:t xml:space="preserve"> </w:t>
      </w:r>
      <w:r w:rsidR="0092299C">
        <w:t>&lt;</w:t>
      </w:r>
      <w:r w:rsidR="004A644F">
        <w:t>http://</w:t>
      </w:r>
      <w:r w:rsidR="0092299C" w:rsidRPr="00FE6C9D">
        <w:t>www.dhs.vic.gov.au/about-the-department/documents-and-resources/reports-publications/statement-of-expectations</w:t>
      </w:r>
      <w:r w:rsidR="0092299C">
        <w:t>&gt;</w:t>
      </w:r>
    </w:p>
    <w:p w:rsidR="0092299C" w:rsidRPr="00FE6C9D" w:rsidRDefault="0092299C" w:rsidP="00F91CA3">
      <w:pPr>
        <w:pStyle w:val="ARbodyafterbullets"/>
        <w:rPr>
          <w:rFonts w:asciiTheme="minorHAnsi" w:eastAsiaTheme="minorHAnsi" w:hAnsiTheme="minorHAnsi" w:cstheme="minorBidi"/>
          <w:sz w:val="22"/>
          <w:szCs w:val="22"/>
        </w:rPr>
      </w:pPr>
      <w:r w:rsidRPr="00FE6C9D">
        <w:t>In relation to reporting requirements, the department will report on progress to achieve</w:t>
      </w:r>
    </w:p>
    <w:p w:rsidR="0092299C" w:rsidRPr="00FE6C9D" w:rsidRDefault="0092299C" w:rsidP="0092299C">
      <w:pPr>
        <w:pStyle w:val="Heading2"/>
      </w:pPr>
      <w:bookmarkStart w:id="66" w:name="_Ref492912671"/>
      <w:r w:rsidRPr="00FE6C9D">
        <w:t>Disability action plan</w:t>
      </w:r>
      <w:bookmarkEnd w:id="66"/>
    </w:p>
    <w:p w:rsidR="0092299C" w:rsidRPr="00065307" w:rsidRDefault="0092299C" w:rsidP="0092299C">
      <w:pPr>
        <w:pStyle w:val="ARbody"/>
      </w:pPr>
      <w:r w:rsidRPr="00065307">
        <w:t xml:space="preserve">The </w:t>
      </w:r>
      <w:r w:rsidRPr="005D353C">
        <w:rPr>
          <w:i/>
        </w:rPr>
        <w:t>Disability Act 2006</w:t>
      </w:r>
      <w:r w:rsidRPr="00065307">
        <w:t xml:space="preserve"> requires Victorian agencies to develop a disability action plan to reduce barriers and enhance opportunitie</w:t>
      </w:r>
      <w:r>
        <w:t>s for people with a disability.</w:t>
      </w:r>
    </w:p>
    <w:p w:rsidR="0092299C" w:rsidRPr="00065307" w:rsidRDefault="0092299C" w:rsidP="0092299C">
      <w:pPr>
        <w:pStyle w:val="ARbody"/>
      </w:pPr>
      <w:r w:rsidRPr="00065307">
        <w:t xml:space="preserve">During </w:t>
      </w:r>
      <w:r w:rsidRPr="00FE6C9D">
        <w:t>2016–17</w:t>
      </w:r>
      <w:r>
        <w:t>,</w:t>
      </w:r>
      <w:r w:rsidRPr="00065307">
        <w:t xml:space="preserve"> the department progressed a number of initiatives in line with the Department of Human Services’ </w:t>
      </w:r>
      <w:r w:rsidRPr="00065307">
        <w:rPr>
          <w:i/>
        </w:rPr>
        <w:t xml:space="preserve">Delivering for all: access and equity framework </w:t>
      </w:r>
      <w:r>
        <w:t>2013</w:t>
      </w:r>
      <w:r w:rsidRPr="00FE6C9D">
        <w:t>–17</w:t>
      </w:r>
      <w:r w:rsidRPr="00065307">
        <w:t xml:space="preserve"> and the Department of Health’s </w:t>
      </w:r>
      <w:r w:rsidRPr="00065307">
        <w:rPr>
          <w:i/>
        </w:rPr>
        <w:t>Working together: disability action plan</w:t>
      </w:r>
      <w:r w:rsidRPr="00065307">
        <w:t xml:space="preserve">, to assist in removing barriers for people with a disability under four outcome areas. The Department of Health and Human Services is in the process of developing a new disability action plan to align with </w:t>
      </w:r>
      <w:r w:rsidRPr="00065307">
        <w:rPr>
          <w:i/>
        </w:rPr>
        <w:t xml:space="preserve">Absolutely </w:t>
      </w:r>
      <w:r>
        <w:rPr>
          <w:i/>
        </w:rPr>
        <w:t>e</w:t>
      </w:r>
      <w:r w:rsidRPr="00065307">
        <w:rPr>
          <w:i/>
        </w:rPr>
        <w:t>veryone: state disability plan 2017</w:t>
      </w:r>
      <w:r w:rsidRPr="00FE6C9D">
        <w:t>–</w:t>
      </w:r>
      <w:r w:rsidRPr="00065307">
        <w:rPr>
          <w:i/>
        </w:rPr>
        <w:t>20</w:t>
      </w:r>
      <w:r w:rsidRPr="00065307">
        <w:t>.</w:t>
      </w:r>
    </w:p>
    <w:p w:rsidR="0092299C" w:rsidRPr="00065307" w:rsidRDefault="0092299C" w:rsidP="0092299C">
      <w:pPr>
        <w:pStyle w:val="Heading3"/>
      </w:pPr>
      <w:r w:rsidRPr="00065307">
        <w:t>Reducing barriers to accessing goods, services and facilities</w:t>
      </w:r>
    </w:p>
    <w:p w:rsidR="0092299C" w:rsidRPr="00065307" w:rsidRDefault="0092299C" w:rsidP="0092299C">
      <w:pPr>
        <w:pStyle w:val="ARbody"/>
      </w:pPr>
      <w:r w:rsidRPr="00065307">
        <w:t xml:space="preserve">The department invested $1.5 million in the construction of 15 Changing Places facilities across Victoria. Changing </w:t>
      </w:r>
      <w:r w:rsidRPr="004B051D">
        <w:t>Places</w:t>
      </w:r>
      <w:r w:rsidRPr="00065307">
        <w:t xml:space="preserve"> toilet facilities are larger than standard accessible toilets and have a tracking hoist and adult change table to enable greater participation in the community.</w:t>
      </w:r>
    </w:p>
    <w:p w:rsidR="0092299C" w:rsidRPr="00065307" w:rsidRDefault="0092299C" w:rsidP="0092299C">
      <w:pPr>
        <w:pStyle w:val="ARbody"/>
      </w:pPr>
      <w:r w:rsidRPr="00065307">
        <w:t xml:space="preserve">The department’s North Division funded the Victorian Refugee Health Network to assess the needs of and service </w:t>
      </w:r>
      <w:r w:rsidRPr="004B051D">
        <w:t>responses</w:t>
      </w:r>
      <w:r w:rsidRPr="00065307">
        <w:t xml:space="preserve"> for a growing number of refugees settling in the north metropolitan region of Melbourne in the past 12 months. A roundtable was held with key stakeholders in May 2017 to discuss the project findings and recommendations are being developed to inform future work in this area.</w:t>
      </w:r>
    </w:p>
    <w:p w:rsidR="0092299C" w:rsidRPr="00065307" w:rsidRDefault="0092299C" w:rsidP="0092299C">
      <w:pPr>
        <w:pStyle w:val="Heading3"/>
      </w:pPr>
      <w:r w:rsidRPr="00065307">
        <w:t>Reducing barriers to persons with a disability obtai</w:t>
      </w:r>
      <w:r>
        <w:t>ning and maintaining employment</w:t>
      </w:r>
    </w:p>
    <w:p w:rsidR="0092299C" w:rsidRPr="00065307" w:rsidRDefault="0092299C" w:rsidP="0092299C">
      <w:pPr>
        <w:pStyle w:val="ARbody"/>
      </w:pPr>
      <w:r w:rsidRPr="00065307">
        <w:t xml:space="preserve">The department is committed to workplace diversity and inclusion that reflects the significant diversity of the Victorian community including people with a </w:t>
      </w:r>
      <w:r w:rsidRPr="00065307">
        <w:lastRenderedPageBreak/>
        <w:t xml:space="preserve">disability. The department’s </w:t>
      </w:r>
      <w:r w:rsidRPr="00065307">
        <w:rPr>
          <w:i/>
        </w:rPr>
        <w:t xml:space="preserve">People </w:t>
      </w:r>
      <w:r>
        <w:rPr>
          <w:i/>
        </w:rPr>
        <w:t>s</w:t>
      </w:r>
      <w:r w:rsidRPr="00065307">
        <w:rPr>
          <w:i/>
        </w:rPr>
        <w:t>trategy 2020</w:t>
      </w:r>
      <w:r w:rsidRPr="00065307">
        <w:t xml:space="preserve">, sets an objective to increase employment for individuals with a disability from </w:t>
      </w:r>
      <w:r>
        <w:t>four</w:t>
      </w:r>
      <w:r w:rsidRPr="00065307">
        <w:t xml:space="preserve"> per cent to </w:t>
      </w:r>
      <w:r>
        <w:t>five </w:t>
      </w:r>
      <w:r w:rsidRPr="00065307">
        <w:t>per</w:t>
      </w:r>
      <w:r>
        <w:t> </w:t>
      </w:r>
      <w:r w:rsidRPr="00065307">
        <w:t>cent. This builds on ongoing support provided to potential and existing employees in relation to reasonable adjustment, and all advertised positions including a statement that promotes diversity and equal opportunity in employment.</w:t>
      </w:r>
    </w:p>
    <w:p w:rsidR="0092299C" w:rsidRPr="00065307" w:rsidRDefault="0092299C" w:rsidP="0092299C">
      <w:pPr>
        <w:pStyle w:val="ARbody"/>
      </w:pPr>
      <w:r w:rsidRPr="00065307">
        <w:t xml:space="preserve">The department has continued to participate in the Australian Network on Disability’s </w:t>
      </w:r>
      <w:r w:rsidRPr="00065307">
        <w:rPr>
          <w:i/>
        </w:rPr>
        <w:t>Stepping Into Internship</w:t>
      </w:r>
      <w:r w:rsidRPr="00065307">
        <w:t xml:space="preserve"> program assisting final year university students to undertake internships with the department, with an individual student securing employment. The department has supported the Enablers Network, a group of employees with a disability and their supporters to host a range of events to establish itself and raise its profile.</w:t>
      </w:r>
    </w:p>
    <w:p w:rsidR="0092299C" w:rsidRPr="00065307" w:rsidRDefault="0092299C" w:rsidP="0092299C">
      <w:pPr>
        <w:pStyle w:val="Heading3"/>
      </w:pPr>
      <w:r w:rsidRPr="00065307">
        <w:t>Promoting inclusion and participation in the community</w:t>
      </w:r>
    </w:p>
    <w:p w:rsidR="0092299C" w:rsidRPr="00065307" w:rsidRDefault="0092299C" w:rsidP="0092299C">
      <w:pPr>
        <w:pStyle w:val="ARbody"/>
      </w:pPr>
      <w:r w:rsidRPr="00065307">
        <w:t xml:space="preserve">The Victorian Government launched </w:t>
      </w:r>
      <w:r w:rsidRPr="00065307">
        <w:rPr>
          <w:i/>
        </w:rPr>
        <w:t xml:space="preserve">Absolutely </w:t>
      </w:r>
      <w:r>
        <w:rPr>
          <w:i/>
        </w:rPr>
        <w:t>e</w:t>
      </w:r>
      <w:r w:rsidRPr="00065307">
        <w:rPr>
          <w:i/>
        </w:rPr>
        <w:t xml:space="preserve">veryone: state disability plan </w:t>
      </w:r>
      <w:r>
        <w:t>2017–20</w:t>
      </w:r>
      <w:r w:rsidRPr="00065307">
        <w:t xml:space="preserve"> on </w:t>
      </w:r>
      <w:r>
        <w:br/>
      </w:r>
      <w:r w:rsidRPr="00065307">
        <w:t xml:space="preserve">3 December 2016, International Day of People with Disability. It is the third state disability plan, and provides a whole-of-government framework for </w:t>
      </w:r>
      <w:r w:rsidRPr="004B051D">
        <w:t xml:space="preserve">promoting the inclusion of people with a disability. </w:t>
      </w:r>
      <w:r w:rsidR="00120697">
        <w:br/>
      </w:r>
      <w:r w:rsidRPr="004B051D">
        <w:t xml:space="preserve">It </w:t>
      </w:r>
      <w:r w:rsidRPr="00065307">
        <w:t>aims to tackle the barriers and exclusion that people with a disability deal with on a daily bas</w:t>
      </w:r>
      <w:r>
        <w:t>is.</w:t>
      </w:r>
    </w:p>
    <w:p w:rsidR="0092299C" w:rsidRPr="00065307" w:rsidRDefault="0092299C" w:rsidP="0092299C">
      <w:pPr>
        <w:pStyle w:val="ARbody"/>
      </w:pPr>
      <w:r w:rsidRPr="00065307">
        <w:t>Other initiati</w:t>
      </w:r>
      <w:r>
        <w:t>ves that took place during 2016</w:t>
      </w:r>
      <w:r w:rsidRPr="00065307">
        <w:t>–17 to promote the inclusion and participation of people with a disability in the community included:</w:t>
      </w:r>
    </w:p>
    <w:p w:rsidR="0092299C" w:rsidRPr="00065307" w:rsidRDefault="0092299C" w:rsidP="0092299C">
      <w:pPr>
        <w:pStyle w:val="ARbullet1"/>
        <w:numPr>
          <w:ilvl w:val="0"/>
          <w:numId w:val="19"/>
        </w:numPr>
      </w:pPr>
      <w:r w:rsidRPr="00065307">
        <w:t>funding Rainbow Rights and Advocacy, Victoria’s first self</w:t>
      </w:r>
      <w:r>
        <w:t>-</w:t>
      </w:r>
      <w:r w:rsidRPr="00065307">
        <w:t xml:space="preserve">advocacy group run by and for people with an intellectual disability who identify as LGBTI to host an event during the 2017 </w:t>
      </w:r>
      <w:proofErr w:type="spellStart"/>
      <w:r w:rsidRPr="00065307">
        <w:t>Midsumma</w:t>
      </w:r>
      <w:proofErr w:type="spellEnd"/>
      <w:r w:rsidRPr="00065307">
        <w:t xml:space="preserve"> Festival</w:t>
      </w:r>
    </w:p>
    <w:p w:rsidR="0092299C" w:rsidRPr="00065307" w:rsidRDefault="0092299C" w:rsidP="00F91CA3">
      <w:pPr>
        <w:pStyle w:val="ARbullet1"/>
      </w:pPr>
      <w:r w:rsidRPr="00065307">
        <w:t>supporting delegates with a disability to attend the World Congress of the International Association for the Scientific Study of Intellectual and Developmental Disabilities, held in Melbourne August 20</w:t>
      </w:r>
      <w:r>
        <w:t>16.</w:t>
      </w:r>
    </w:p>
    <w:p w:rsidR="0092299C" w:rsidRPr="00065307" w:rsidRDefault="0092299C" w:rsidP="0092299C">
      <w:pPr>
        <w:pStyle w:val="Heading3"/>
      </w:pPr>
      <w:r w:rsidRPr="00065307">
        <w:t>Achieving tangible changes in attitudes and practices that discriminate against people with a disability</w:t>
      </w:r>
    </w:p>
    <w:p w:rsidR="0092299C" w:rsidRPr="00065307" w:rsidRDefault="0092299C" w:rsidP="0092299C">
      <w:pPr>
        <w:pStyle w:val="ARbody"/>
      </w:pPr>
      <w:r w:rsidRPr="00065307">
        <w:t xml:space="preserve">An additional $1.5 million has been invested to support the Victorian disability advocacy sector through a Disability Advocacy Innovation Fund. This fund will support 21 advocacy initiatives with a strong focus on self-advocacy, advocacy for Aboriginal communities, improved service provision </w:t>
      </w:r>
      <w:r w:rsidRPr="00065307">
        <w:lastRenderedPageBreak/>
        <w:t>in rural and regional areas and advocacy for migrants, refugees</w:t>
      </w:r>
      <w:r>
        <w:t xml:space="preserve"> and LGBTI communities.</w:t>
      </w:r>
    </w:p>
    <w:p w:rsidR="0092299C" w:rsidRPr="00065307" w:rsidRDefault="0092299C" w:rsidP="0092299C">
      <w:pPr>
        <w:pStyle w:val="ARbody"/>
      </w:pPr>
      <w:r w:rsidRPr="00065307">
        <w:t xml:space="preserve">The department continued to oversee sponsorship of the Victorian Government Quill for Reporting on Disability Issues. The award and its partnership with the Melbourne Press Club is a key strategy to influence the positive portrayal of people with a disability through mainstream media. The winner of the 2016 award was Beau </w:t>
      </w:r>
      <w:proofErr w:type="spellStart"/>
      <w:r w:rsidRPr="00065307">
        <w:t>Donelly</w:t>
      </w:r>
      <w:proofErr w:type="spellEnd"/>
      <w:r w:rsidRPr="00065307">
        <w:t xml:space="preserve"> for his piece 'Anthony's </w:t>
      </w:r>
      <w:r>
        <w:t>d</w:t>
      </w:r>
      <w:r w:rsidRPr="00065307">
        <w:t xml:space="preserve">ecision to </w:t>
      </w:r>
      <w:r>
        <w:t>d</w:t>
      </w:r>
      <w:r w:rsidRPr="00065307">
        <w:t xml:space="preserve">ie' in the </w:t>
      </w:r>
      <w:r w:rsidRPr="005D353C">
        <w:rPr>
          <w:i/>
        </w:rPr>
        <w:t>Sunday Age</w:t>
      </w:r>
      <w:r w:rsidRPr="00065307">
        <w:t>.</w:t>
      </w:r>
    </w:p>
    <w:p w:rsidR="0092299C" w:rsidRPr="00065307" w:rsidRDefault="0092299C" w:rsidP="0092299C">
      <w:pPr>
        <w:pStyle w:val="ARbody"/>
      </w:pPr>
      <w:r w:rsidRPr="00065307">
        <w:t xml:space="preserve">The department continued to </w:t>
      </w:r>
      <w:r w:rsidRPr="003D33F4">
        <w:t>provide</w:t>
      </w:r>
      <w:r w:rsidRPr="00065307">
        <w:t xml:space="preserve"> Ethel Temby research grants valued at $9,000 for staff in the human services workforce to complete a research project and presentation and/or a publication. The research will investigate new approaches which work towards the vision of </w:t>
      </w:r>
      <w:r w:rsidRPr="005D353C">
        <w:rPr>
          <w:i/>
        </w:rPr>
        <w:t>Absolutely everyone</w:t>
      </w:r>
      <w:r w:rsidRPr="00065307">
        <w:t>, and may be undertaken locally, interstate or overseas.</w:t>
      </w:r>
    </w:p>
    <w:p w:rsidR="0092299C" w:rsidRPr="00065307" w:rsidRDefault="0092299C" w:rsidP="0092299C">
      <w:pPr>
        <w:pStyle w:val="Heading2"/>
      </w:pPr>
      <w:r w:rsidRPr="00065307">
        <w:t>Report of the Commissioner for Senior Victorians</w:t>
      </w:r>
    </w:p>
    <w:p w:rsidR="0092299C" w:rsidRPr="00065307" w:rsidRDefault="0092299C" w:rsidP="0092299C">
      <w:pPr>
        <w:pStyle w:val="ARbody"/>
      </w:pPr>
      <w:r w:rsidRPr="00065307">
        <w:t>Mr Gerard Mansour was appointed as Commissioner for Senior Victorians and Chair of the Ministerial Advisory Committee of Senior Victorians in 2013. He was reappointed for a further two years in May 2017.</w:t>
      </w:r>
    </w:p>
    <w:p w:rsidR="0092299C" w:rsidRPr="00065307" w:rsidRDefault="0092299C" w:rsidP="0092299C">
      <w:pPr>
        <w:pStyle w:val="ARbody"/>
      </w:pPr>
      <w:r w:rsidRPr="00065307">
        <w:t>The Commissioner provides policy advice to the Victorian Government on key issues for senior Victorians such as prevention of elder abuse, end of life planning, multicultural and emerging communities, volunteering and carer needs. The Commissioner reports directly to the Minister for Housing, Disability and Ageing.</w:t>
      </w:r>
    </w:p>
    <w:p w:rsidR="0092299C" w:rsidRPr="00065307" w:rsidRDefault="0092299C" w:rsidP="0092299C">
      <w:pPr>
        <w:pStyle w:val="ARbody"/>
      </w:pPr>
      <w:r w:rsidRPr="00065307">
        <w:t xml:space="preserve">Following the launch in April 2016 of the Commissioner’s report </w:t>
      </w:r>
      <w:r w:rsidRPr="00065307">
        <w:rPr>
          <w:i/>
        </w:rPr>
        <w:t>Ageing is everyone’s business: a report on isolation and loneliness among senior Victorians</w:t>
      </w:r>
      <w:r w:rsidRPr="00065307">
        <w:t xml:space="preserve"> and the Victorian Government response, there has been substantial community interest in the findings of this report, particularly the concerns of older people in having value and purpose in life and meaningful interests; balancing independence and decision</w:t>
      </w:r>
      <w:r>
        <w:t>-</w:t>
      </w:r>
      <w:r w:rsidRPr="00065307">
        <w:t>making control; being respected, including being heard; and family, friendship, companionship and relationships as key protective factors related to isolation and loneliness.</w:t>
      </w:r>
    </w:p>
    <w:p w:rsidR="0092299C" w:rsidRPr="00065307" w:rsidRDefault="0092299C" w:rsidP="0092299C">
      <w:pPr>
        <w:pStyle w:val="ARbody"/>
      </w:pPr>
      <w:r w:rsidRPr="00065307">
        <w:t xml:space="preserve">The Commissioner has been leading work through the </w:t>
      </w:r>
      <w:r w:rsidRPr="005D353C">
        <w:t>Strengthening Seniors Inclusion and Participation in Communities</w:t>
      </w:r>
      <w:r w:rsidRPr="00065307">
        <w:t xml:space="preserve"> project in seven locations, with local project information sessions in each location, including Latrobe City in liaison with the Latrobe Health Assembly.</w:t>
      </w:r>
    </w:p>
    <w:p w:rsidR="0092299C" w:rsidRPr="00065307" w:rsidRDefault="0092299C" w:rsidP="0092299C">
      <w:pPr>
        <w:pStyle w:val="ARbody"/>
      </w:pPr>
      <w:r w:rsidRPr="00065307">
        <w:lastRenderedPageBreak/>
        <w:t>Following a presentation and discussion with the Adult, Community Education and Further Education Board, the Commissioner has obtained a commitment to expand access to in-depth information technology courses for older people through t</w:t>
      </w:r>
      <w:r>
        <w:t>he Learn Local service network.</w:t>
      </w:r>
    </w:p>
    <w:p w:rsidR="0092299C" w:rsidRPr="00065307" w:rsidRDefault="0092299C" w:rsidP="0092299C">
      <w:pPr>
        <w:pStyle w:val="ARbody"/>
      </w:pPr>
      <w:r w:rsidRPr="00065307">
        <w:t xml:space="preserve">Together with Helen </w:t>
      </w:r>
      <w:proofErr w:type="spellStart"/>
      <w:r w:rsidRPr="00065307">
        <w:t>Kapalos</w:t>
      </w:r>
      <w:proofErr w:type="spellEnd"/>
      <w:r w:rsidRPr="00065307">
        <w:t>, Chair, Victorian Multicultural Commission, the Commissioner has met with the Australian Unity CALD Alliance to discuss building capacity for the aged care and seniors community participation needs of emerging CALD communities.</w:t>
      </w:r>
    </w:p>
    <w:p w:rsidR="0092299C" w:rsidRPr="00065307" w:rsidRDefault="0092299C" w:rsidP="0092299C">
      <w:pPr>
        <w:pStyle w:val="ARbody"/>
      </w:pPr>
      <w:r w:rsidRPr="00065307">
        <w:t xml:space="preserve">The Commissioner participated in </w:t>
      </w:r>
      <w:r>
        <w:t>t</w:t>
      </w:r>
      <w:r w:rsidRPr="00423706">
        <w:t>he Tango</w:t>
      </w:r>
      <w:r w:rsidRPr="00065307">
        <w:t xml:space="preserve"> project: Building a bridge between LGBTI elders </w:t>
      </w:r>
      <w:r w:rsidR="00120697">
        <w:br/>
      </w:r>
      <w:r w:rsidRPr="00065307">
        <w:t>in Victoria and Advocacy, Compliant and Support Services which culminated in the 2016 Victorian Seniors Festival New Moves High Tea where lesbian, gay, bisexual, transgender and intersex seniors were able to meet with government commissioners and advocacy organisations.</w:t>
      </w:r>
    </w:p>
    <w:p w:rsidR="0092299C" w:rsidRPr="00065307" w:rsidRDefault="0092299C" w:rsidP="0092299C">
      <w:pPr>
        <w:pStyle w:val="ARbody"/>
      </w:pPr>
      <w:r w:rsidRPr="00065307">
        <w:t xml:space="preserve">In December 2016 as part of the Government’s Victoria Against Violence campaign, the Commissioner’s role was expanded to include the role of Ambassador for Elder Abuse Prevention. </w:t>
      </w:r>
      <w:r w:rsidR="00120697">
        <w:br/>
      </w:r>
      <w:r w:rsidRPr="00065307">
        <w:t>In this role, the Commissioner has delivered presentations and conducted workshops to increase the awareness of older Victorians about elder abuse and that help is available; and to educate the wider community so they can identify abuse and take action. Presentations on World Elder Abuse Awareness Day included a Victoria Police Professional Development Event and the Moreland City Council World E</w:t>
      </w:r>
      <w:r>
        <w:t>lder Abuse Awareness Day Forum.</w:t>
      </w:r>
    </w:p>
    <w:p w:rsidR="0092299C" w:rsidRPr="00065307" w:rsidRDefault="0092299C" w:rsidP="0092299C">
      <w:pPr>
        <w:pStyle w:val="ARbody"/>
      </w:pPr>
      <w:r w:rsidRPr="00065307">
        <w:t xml:space="preserve">Also in his role as Ambassador, the Commissioner led a project to develop information to assist people to understand the significance of enduring powers of attorney and the potential for their misuse, working with the Office of the Public Advocate and other relevant agencies. The booklet </w:t>
      </w:r>
      <w:r w:rsidRPr="005D353C">
        <w:rPr>
          <w:i/>
        </w:rPr>
        <w:t>Your voice: trust your choice – tips for seniors making enduring powers of attorney</w:t>
      </w:r>
      <w:r w:rsidRPr="00065307">
        <w:t xml:space="preserve"> was launched in Mornington on 22 </w:t>
      </w:r>
      <w:r>
        <w:t>June 2017.</w:t>
      </w:r>
    </w:p>
    <w:p w:rsidR="0092299C" w:rsidRPr="00065307" w:rsidRDefault="0092299C" w:rsidP="0092299C">
      <w:pPr>
        <w:pStyle w:val="ARbody"/>
      </w:pPr>
      <w:r w:rsidRPr="00065307">
        <w:t>The Commissioner chairs the End of Life and Palliative Care Framework implementation group and met with the Ministerial Advisory Panel as part of its consultations about the proposed Voluntary Assisted Dying Bill.</w:t>
      </w:r>
    </w:p>
    <w:p w:rsidR="0092299C" w:rsidRPr="00065307" w:rsidRDefault="00497218" w:rsidP="0092299C">
      <w:pPr>
        <w:pStyle w:val="ARbody"/>
      </w:pPr>
      <w:r>
        <w:br w:type="column"/>
      </w:r>
      <w:r w:rsidR="0092299C" w:rsidRPr="00065307">
        <w:lastRenderedPageBreak/>
        <w:t>The Commissioner speaks regularly on Golden Days Radio. Topics included the importance of physical activity, safety in car parks, age</w:t>
      </w:r>
      <w:r w:rsidR="0092299C">
        <w:t>-</w:t>
      </w:r>
      <w:r w:rsidR="0092299C" w:rsidRPr="00065307">
        <w:t>friendly communities, advanced care planning, retirement villages, elder abuse prevention and digital technology. The Commissioner has introduced listeners to the Victorian Equal Opportunities and Human Rights Commissioner, the Victorian Gender and Sexuality Commissioner and the Manager, Senior Rights Victoria.</w:t>
      </w:r>
    </w:p>
    <w:p w:rsidR="0092299C" w:rsidRPr="00065307" w:rsidRDefault="0092299C" w:rsidP="0092299C">
      <w:pPr>
        <w:pStyle w:val="ARbody"/>
      </w:pPr>
      <w:r w:rsidRPr="00065307">
        <w:t xml:space="preserve">The Commissioner made submissions to the Parliamentary Inquiry into end of Life Choices </w:t>
      </w:r>
      <w:r w:rsidR="00120697">
        <w:br/>
      </w:r>
      <w:r w:rsidRPr="00065307">
        <w:t>and the Australian Law Reform Commission’s Protecting the Rights of Older Australians from Abuse inquiry.</w:t>
      </w:r>
    </w:p>
    <w:p w:rsidR="0092299C" w:rsidRPr="00065307" w:rsidRDefault="0092299C" w:rsidP="0092299C">
      <w:pPr>
        <w:pStyle w:val="ARbody"/>
      </w:pPr>
      <w:r w:rsidRPr="00065307">
        <w:t xml:space="preserve">The Commissioner contributed to the Department of Justice and Regulation Access to Justice Review and liaised with staff from Transport </w:t>
      </w:r>
      <w:r>
        <w:t>f</w:t>
      </w:r>
      <w:r w:rsidRPr="00065307">
        <w:t>or Victoria to contribute to the review of accessible point</w:t>
      </w:r>
      <w:r>
        <w:t>-</w:t>
      </w:r>
      <w:r w:rsidRPr="00065307">
        <w:t>to</w:t>
      </w:r>
      <w:r>
        <w:t>-</w:t>
      </w:r>
      <w:r w:rsidRPr="00065307">
        <w:t>point transport by the Department of Economic Development, Jobs, Transport and Resources.</w:t>
      </w:r>
    </w:p>
    <w:p w:rsidR="0092299C" w:rsidRPr="00065307" w:rsidRDefault="0092299C" w:rsidP="0092299C">
      <w:pPr>
        <w:pStyle w:val="ARbody"/>
      </w:pPr>
      <w:r w:rsidRPr="00065307">
        <w:t>He also contributed to consultations regarding retirement villages regulations and dispute resolution following the Parliamentary Inquiry into Retirement Housing and the development of the Victorian Gender Equality Strategy.</w:t>
      </w:r>
    </w:p>
    <w:p w:rsidR="0092299C" w:rsidRPr="00065307" w:rsidRDefault="0092299C" w:rsidP="0092299C">
      <w:pPr>
        <w:pStyle w:val="ARbody"/>
      </w:pPr>
      <w:r w:rsidRPr="00065307">
        <w:t xml:space="preserve">The Commissioner was involved in public and community education activities including a total </w:t>
      </w:r>
      <w:r w:rsidR="00120697">
        <w:br/>
      </w:r>
      <w:r w:rsidRPr="00065307">
        <w:t>of 56 public forums and speaking engagements. Locations included Ballan, Ballarat, Bendigo, Box Hill, Cobram, Dandenong, Frankston, Maribyrnong, central Melbourne, Moonee Valley, Mornington, Morwell, Port Phillip and Whittlesea.</w:t>
      </w:r>
    </w:p>
    <w:p w:rsidR="0092299C" w:rsidRPr="00065307" w:rsidRDefault="0092299C" w:rsidP="0092299C">
      <w:pPr>
        <w:pStyle w:val="ARbody"/>
      </w:pPr>
      <w:r w:rsidRPr="00065307">
        <w:t>Public speaking engagements included annual general meetings for Housing for the Aged Action Group, Neighbourhood Houses Victoria and Victorian Community Transport Association</w:t>
      </w:r>
    </w:p>
    <w:p w:rsidR="0092299C" w:rsidRPr="00065307" w:rsidRDefault="0092299C" w:rsidP="0092299C">
      <w:pPr>
        <w:pStyle w:val="ARbody"/>
      </w:pPr>
      <w:r w:rsidRPr="00065307">
        <w:t xml:space="preserve">The Commissioner also addressed the CPA Australia Masters Series Corporate Lunch and </w:t>
      </w:r>
      <w:r w:rsidR="00120697">
        <w:br/>
      </w:r>
      <w:r w:rsidRPr="00065307">
        <w:t>the Ageing Australia Conference organised by National Seniors Australia and the National Council of Churches in Australia Safe as Churches Conference. He attended the 2016 Victorian Senior of the Year Awards and the Victorian Seniors Festival opening day at Federation Square.</w:t>
      </w:r>
    </w:p>
    <w:p w:rsidR="00497218" w:rsidRDefault="00497218" w:rsidP="0092299C">
      <w:pPr>
        <w:pStyle w:val="ARbody"/>
      </w:pPr>
      <w:r>
        <w:br w:type="page"/>
      </w:r>
    </w:p>
    <w:p w:rsidR="0092299C" w:rsidRPr="00065307" w:rsidRDefault="0092299C" w:rsidP="0092299C">
      <w:pPr>
        <w:pStyle w:val="ARbody"/>
      </w:pPr>
      <w:r w:rsidRPr="00065307">
        <w:lastRenderedPageBreak/>
        <w:t>In addition to responding to correspondence from the public, the Commissioner’s role includes raising public awareness of key issues facing seniors, including:</w:t>
      </w:r>
    </w:p>
    <w:p w:rsidR="0092299C" w:rsidRPr="004B051D" w:rsidRDefault="0092299C" w:rsidP="0092299C">
      <w:pPr>
        <w:pStyle w:val="ARbullet1"/>
        <w:numPr>
          <w:ilvl w:val="0"/>
          <w:numId w:val="19"/>
        </w:numPr>
      </w:pPr>
      <w:r w:rsidRPr="004B051D">
        <w:t>regular opinion pieces in print media and online, including the Seniors Card e-newsletter</w:t>
      </w:r>
    </w:p>
    <w:p w:rsidR="0092299C" w:rsidRPr="004B051D" w:rsidRDefault="0092299C" w:rsidP="0092299C">
      <w:pPr>
        <w:pStyle w:val="ARbullet1"/>
        <w:numPr>
          <w:ilvl w:val="0"/>
          <w:numId w:val="19"/>
        </w:numPr>
      </w:pPr>
      <w:r w:rsidRPr="004B051D">
        <w:t>preventive heat health messaging focusing on seniors via Seniors Online and in print media during summer 2016–17</w:t>
      </w:r>
    </w:p>
    <w:p w:rsidR="0092299C" w:rsidRPr="00065307" w:rsidRDefault="0092299C" w:rsidP="00F91CA3">
      <w:pPr>
        <w:pStyle w:val="ARbullet1"/>
      </w:pPr>
      <w:r w:rsidRPr="00065307">
        <w:t>print media and online promotion to increase awareness of the importance of elder abuse prevention on World Elder Abuse Awareness Day in June.</w:t>
      </w:r>
    </w:p>
    <w:p w:rsidR="0092299C" w:rsidRPr="00065307" w:rsidRDefault="0092299C" w:rsidP="0092299C">
      <w:pPr>
        <w:pStyle w:val="ARbodyafterbullets"/>
      </w:pPr>
      <w:r w:rsidRPr="00065307">
        <w:t>The Commissioner attended meetings to discuss matters relevant to the participation of seniors and the rights of older people with the Commonwealth Age Discrimination Commissioner; Victorian Equal Opportunities and Human Rights Commissioner; Commonwealth Aged Care Commissioner; CEO Australian Aged Care Quality Agency; CEO Aged Care Pricing Commissioner and the Victorian Public Advocate.</w:t>
      </w:r>
    </w:p>
    <w:p w:rsidR="0092299C" w:rsidRDefault="0092299C" w:rsidP="00C85285">
      <w:pPr>
        <w:pStyle w:val="ARbody"/>
      </w:pPr>
      <w:r w:rsidRPr="00065307">
        <w:t>The Commissioner is a member of the Victoria Police Human Rights Strategic Advisory Committee and the Family Safety Victoria Diverse Communities and Intersectionality Working Group. He also meets regularly with the CEO, COTA Victoria, and the Chair, National Seniors Australia Victorian Policy Advisory Group.</w:t>
      </w:r>
    </w:p>
    <w:p w:rsidR="00C85285" w:rsidRDefault="00C85285" w:rsidP="00C4439F">
      <w:pPr>
        <w:pStyle w:val="Heading2"/>
      </w:pPr>
      <w:bookmarkStart w:id="67" w:name="_Ref493061906"/>
      <w:r w:rsidRPr="00502BE7">
        <w:t xml:space="preserve">Human Services Standards </w:t>
      </w:r>
      <w:r w:rsidR="00C4439F">
        <w:t>annual report 2016–</w:t>
      </w:r>
      <w:r>
        <w:t>17</w:t>
      </w:r>
      <w:bookmarkEnd w:id="67"/>
    </w:p>
    <w:p w:rsidR="00C85285" w:rsidRDefault="00C85285" w:rsidP="00C85285">
      <w:pPr>
        <w:pStyle w:val="ARbody"/>
      </w:pPr>
      <w:r>
        <w:t>On 1 July 2012, the Department of Human Services Standards were implemented. Since the formation of the Department of Health and Human Services on 1 January 2015, the Standards are known as the Department of Health and Human Services Standards (Standards). Given these Standards apply to the direct-client contact human services activities (children, youth and families, disability services, homelessness services, family violence and sexual assault services), they are known as the Human Services Standards.</w:t>
      </w:r>
    </w:p>
    <w:p w:rsidR="00C85285" w:rsidRPr="006C7E61" w:rsidRDefault="00C85285" w:rsidP="00C85285">
      <w:pPr>
        <w:pStyle w:val="ARbody"/>
      </w:pPr>
      <w:r>
        <w:rPr>
          <w:color w:val="000000"/>
        </w:rPr>
        <w:t xml:space="preserve">Compliance with the Standards is an obligation of the </w:t>
      </w:r>
      <w:r w:rsidRPr="006C7E61">
        <w:rPr>
          <w:color w:val="000000"/>
        </w:rPr>
        <w:t xml:space="preserve">Service Agreement with the department, as well as a requirement of registration for organisations </w:t>
      </w:r>
      <w:r w:rsidRPr="006C7E61">
        <w:t xml:space="preserve">registered under the </w:t>
      </w:r>
      <w:r w:rsidR="00C4439F">
        <w:rPr>
          <w:i/>
          <w:iCs/>
        </w:rPr>
        <w:t>Children, Youth </w:t>
      </w:r>
      <w:r w:rsidRPr="006C7E61">
        <w:rPr>
          <w:i/>
          <w:iCs/>
        </w:rPr>
        <w:t xml:space="preserve">and Families Act 2005 </w:t>
      </w:r>
      <w:r w:rsidRPr="006C7E61">
        <w:rPr>
          <w:iCs/>
        </w:rPr>
        <w:t>or</w:t>
      </w:r>
      <w:r w:rsidRPr="006C7E61">
        <w:rPr>
          <w:i/>
          <w:iCs/>
        </w:rPr>
        <w:t xml:space="preserve"> </w:t>
      </w:r>
      <w:r w:rsidRPr="006C7E61">
        <w:t xml:space="preserve">the </w:t>
      </w:r>
      <w:r w:rsidR="00C4439F">
        <w:rPr>
          <w:i/>
          <w:iCs/>
        </w:rPr>
        <w:t>Disability Act </w:t>
      </w:r>
      <w:r w:rsidRPr="006C7E61">
        <w:rPr>
          <w:i/>
          <w:iCs/>
        </w:rPr>
        <w:t>2006</w:t>
      </w:r>
      <w:r w:rsidR="00C4439F">
        <w:t>, or both.</w:t>
      </w:r>
    </w:p>
    <w:p w:rsidR="00C85285" w:rsidRDefault="00CD075B" w:rsidP="00C85285">
      <w:pPr>
        <w:pStyle w:val="ARbody"/>
        <w:rPr>
          <w:color w:val="000000"/>
        </w:rPr>
      </w:pPr>
      <w:r>
        <w:rPr>
          <w:color w:val="000000"/>
        </w:rPr>
        <w:br w:type="column"/>
      </w:r>
      <w:r w:rsidR="00C85285">
        <w:rPr>
          <w:color w:val="000000"/>
        </w:rPr>
        <w:lastRenderedPageBreak/>
        <w:t>The implementation of the Standards includes a range of assurance activities including self-assessment, independent review and external accreditation/certification.</w:t>
      </w:r>
    </w:p>
    <w:p w:rsidR="00C85285" w:rsidRDefault="00C85285" w:rsidP="00C85285">
      <w:pPr>
        <w:pStyle w:val="ARbody"/>
        <w:rPr>
          <w:color w:val="000000"/>
        </w:rPr>
      </w:pPr>
      <w:r>
        <w:rPr>
          <w:color w:val="000000"/>
        </w:rPr>
        <w:t xml:space="preserve">To assure compliance with the </w:t>
      </w:r>
      <w:r w:rsidRPr="00D54AF7">
        <w:rPr>
          <w:color w:val="000000"/>
        </w:rPr>
        <w:t>Standards</w:t>
      </w:r>
      <w:r w:rsidRPr="00B408F4">
        <w:rPr>
          <w:color w:val="000000"/>
        </w:rPr>
        <w:t>,</w:t>
      </w:r>
      <w:r>
        <w:rPr>
          <w:color w:val="000000"/>
        </w:rPr>
        <w:t xml:space="preserve"> service providers need to:</w:t>
      </w:r>
    </w:p>
    <w:p w:rsidR="00C85285" w:rsidRPr="002F2001" w:rsidRDefault="00C85285" w:rsidP="00BA249F">
      <w:pPr>
        <w:pStyle w:val="ARbullet1"/>
      </w:pPr>
      <w:r w:rsidRPr="002F2001">
        <w:t xml:space="preserve">demonstrate compliance with the </w:t>
      </w:r>
      <w:r>
        <w:t>Standards and </w:t>
      </w:r>
      <w:r w:rsidRPr="002F2001">
        <w:t>the governance and management standards of</w:t>
      </w:r>
      <w:r>
        <w:t xml:space="preserve"> a department-endorsed independent review </w:t>
      </w:r>
      <w:r w:rsidRPr="002F2001">
        <w:t>body</w:t>
      </w:r>
    </w:p>
    <w:p w:rsidR="00C85285" w:rsidRPr="002F2001" w:rsidRDefault="00C85285" w:rsidP="00BA249F">
      <w:pPr>
        <w:pStyle w:val="ARbullet1"/>
      </w:pPr>
      <w:r w:rsidRPr="002F2001">
        <w:t>be independently reviewed by a department-endorsed independent review body once every three</w:t>
      </w:r>
      <w:r>
        <w:t xml:space="preserve"> years </w:t>
      </w:r>
    </w:p>
    <w:p w:rsidR="00C85285" w:rsidRPr="002F2001" w:rsidRDefault="00C85285" w:rsidP="00BA249F">
      <w:pPr>
        <w:pStyle w:val="ARbullet1"/>
      </w:pPr>
      <w:r w:rsidRPr="002F2001">
        <w:t>gain and maintain their accreditation/certificatio</w:t>
      </w:r>
      <w:r>
        <w:t xml:space="preserve">n with their independent review </w:t>
      </w:r>
      <w:r w:rsidRPr="002F2001">
        <w:t>body.</w:t>
      </w:r>
    </w:p>
    <w:p w:rsidR="00C85285" w:rsidRPr="00BA249F" w:rsidRDefault="00C85285" w:rsidP="00C4439F">
      <w:pPr>
        <w:pStyle w:val="ARbodyafterbullets"/>
      </w:pPr>
      <w:r w:rsidRPr="00BA249F">
        <w:t>In some circumstances the department make exempt a service provider from independent review and instead require a self</w:t>
      </w:r>
      <w:r w:rsidRPr="00BA249F">
        <w:noBreakHyphen/>
        <w:t>assessment process be undertaken. A range of criteria is considered to determine whether the benefits of the review process outweigh the costs of the review.</w:t>
      </w:r>
    </w:p>
    <w:p w:rsidR="00C85285" w:rsidRPr="008F00C5" w:rsidRDefault="00C85285" w:rsidP="00BA249F">
      <w:pPr>
        <w:pStyle w:val="ARtablecaption"/>
      </w:pPr>
      <w:r w:rsidRPr="008F00C5">
        <w:t>Number of service providers</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334"/>
        <w:gridCol w:w="1215"/>
        <w:gridCol w:w="1044"/>
      </w:tblGrid>
      <w:tr w:rsidR="00C85285" w:rsidTr="00C85285">
        <w:trPr>
          <w:cantSplit/>
          <w:tblHeader/>
        </w:trPr>
        <w:tc>
          <w:tcPr>
            <w:tcW w:w="3549" w:type="dxa"/>
            <w:gridSpan w:val="2"/>
            <w:vAlign w:val="bottom"/>
          </w:tcPr>
          <w:p w:rsidR="00C85285" w:rsidRDefault="00C85285" w:rsidP="00C85285">
            <w:pPr>
              <w:pStyle w:val="ARtablecolhead"/>
            </w:pPr>
            <w:r w:rsidRPr="00841B43">
              <w:rPr>
                <w:spacing w:val="-15"/>
              </w:rPr>
              <w:t>T</w:t>
            </w:r>
            <w:r>
              <w:t>ype</w:t>
            </w:r>
          </w:p>
        </w:tc>
        <w:tc>
          <w:tcPr>
            <w:tcW w:w="1044" w:type="dxa"/>
            <w:vAlign w:val="bottom"/>
          </w:tcPr>
          <w:p w:rsidR="00C85285" w:rsidRDefault="00C85285" w:rsidP="00C85285">
            <w:pPr>
              <w:pStyle w:val="ARtablecolhead"/>
              <w:jc w:val="right"/>
            </w:pPr>
            <w:r>
              <w:t>Number</w:t>
            </w:r>
          </w:p>
        </w:tc>
      </w:tr>
      <w:tr w:rsidR="00C85285" w:rsidTr="00C85285">
        <w:trPr>
          <w:cantSplit/>
        </w:trPr>
        <w:tc>
          <w:tcPr>
            <w:tcW w:w="3549" w:type="dxa"/>
            <w:gridSpan w:val="2"/>
          </w:tcPr>
          <w:p w:rsidR="00C85285" w:rsidRDefault="00C85285" w:rsidP="00C85285">
            <w:pPr>
              <w:pStyle w:val="ARtabletext"/>
            </w:pPr>
            <w:r>
              <w:t>Organisations</w:t>
            </w:r>
            <w:r w:rsidRPr="00841B43">
              <w:rPr>
                <w:spacing w:val="4"/>
              </w:rPr>
              <w:t xml:space="preserve"> </w:t>
            </w:r>
            <w:r>
              <w:t>exempt</w:t>
            </w:r>
            <w:r w:rsidRPr="00841B43">
              <w:rPr>
                <w:spacing w:val="5"/>
              </w:rPr>
              <w:t xml:space="preserve"> </w:t>
            </w:r>
            <w:r>
              <w:t>from independent</w:t>
            </w:r>
            <w:r w:rsidRPr="00841B43">
              <w:rPr>
                <w:spacing w:val="4"/>
              </w:rPr>
              <w:t xml:space="preserve"> </w:t>
            </w:r>
            <w:r>
              <w:t>review</w:t>
            </w:r>
            <w:r w:rsidRPr="00841B43">
              <w:rPr>
                <w:spacing w:val="4"/>
              </w:rPr>
              <w:t xml:space="preserve"> </w:t>
            </w:r>
            <w:r>
              <w:t>and self-assessment</w:t>
            </w:r>
            <w:r w:rsidRPr="00841B43">
              <w:rPr>
                <w:spacing w:val="3"/>
              </w:rPr>
              <w:t xml:space="preserve"> </w:t>
            </w:r>
          </w:p>
        </w:tc>
        <w:tc>
          <w:tcPr>
            <w:tcW w:w="1044" w:type="dxa"/>
          </w:tcPr>
          <w:p w:rsidR="00C85285" w:rsidRDefault="00C85285" w:rsidP="00C85285">
            <w:pPr>
              <w:pStyle w:val="ARtabletext"/>
              <w:jc w:val="right"/>
            </w:pPr>
            <w:r>
              <w:t>31</w:t>
            </w:r>
          </w:p>
        </w:tc>
      </w:tr>
      <w:tr w:rsidR="00C85285" w:rsidTr="00C85285">
        <w:trPr>
          <w:cantSplit/>
        </w:trPr>
        <w:tc>
          <w:tcPr>
            <w:tcW w:w="3549" w:type="dxa"/>
            <w:gridSpan w:val="2"/>
          </w:tcPr>
          <w:p w:rsidR="00C85285" w:rsidRDefault="00C85285" w:rsidP="00C85285">
            <w:pPr>
              <w:pStyle w:val="ARtabletext"/>
            </w:pPr>
            <w:r>
              <w:t>Organisations</w:t>
            </w:r>
            <w:r w:rsidRPr="00841B43">
              <w:rPr>
                <w:spacing w:val="3"/>
              </w:rPr>
              <w:t xml:space="preserve"> </w:t>
            </w:r>
            <w:r>
              <w:t>required</w:t>
            </w:r>
            <w:r w:rsidRPr="00841B43">
              <w:rPr>
                <w:spacing w:val="3"/>
              </w:rPr>
              <w:t xml:space="preserve"> </w:t>
            </w:r>
            <w:r>
              <w:t>to complete</w:t>
            </w:r>
            <w:r w:rsidRPr="00841B43">
              <w:rPr>
                <w:spacing w:val="4"/>
              </w:rPr>
              <w:t xml:space="preserve"> </w:t>
            </w:r>
            <w:r>
              <w:t>a</w:t>
            </w:r>
            <w:r w:rsidRPr="00841B43">
              <w:rPr>
                <w:spacing w:val="5"/>
              </w:rPr>
              <w:t xml:space="preserve"> </w:t>
            </w:r>
            <w:r>
              <w:t>self-assessment</w:t>
            </w:r>
          </w:p>
        </w:tc>
        <w:tc>
          <w:tcPr>
            <w:tcW w:w="1044" w:type="dxa"/>
          </w:tcPr>
          <w:p w:rsidR="00C85285" w:rsidRDefault="00C85285" w:rsidP="00C85285">
            <w:pPr>
              <w:pStyle w:val="ARbody"/>
              <w:jc w:val="right"/>
            </w:pPr>
            <w:r>
              <w:t>35</w:t>
            </w:r>
          </w:p>
        </w:tc>
      </w:tr>
      <w:tr w:rsidR="00C85285" w:rsidTr="00C85285">
        <w:trPr>
          <w:cantSplit/>
        </w:trPr>
        <w:tc>
          <w:tcPr>
            <w:tcW w:w="2334" w:type="dxa"/>
          </w:tcPr>
          <w:p w:rsidR="00C85285" w:rsidRDefault="00C85285" w:rsidP="00C85285">
            <w:pPr>
              <w:pStyle w:val="ARtabletext"/>
            </w:pPr>
            <w:r>
              <w:t>Organisations</w:t>
            </w:r>
            <w:r w:rsidRPr="00841B43">
              <w:rPr>
                <w:spacing w:val="3"/>
              </w:rPr>
              <w:t xml:space="preserve"> </w:t>
            </w:r>
            <w:r>
              <w:t>required</w:t>
            </w:r>
            <w:r w:rsidRPr="00841B43">
              <w:rPr>
                <w:spacing w:val="4"/>
              </w:rPr>
              <w:t xml:space="preserve"> </w:t>
            </w:r>
            <w:r>
              <w:t>to undertake</w:t>
            </w:r>
            <w:r w:rsidRPr="00841B43">
              <w:rPr>
                <w:spacing w:val="4"/>
              </w:rPr>
              <w:t xml:space="preserve"> </w:t>
            </w:r>
            <w:r>
              <w:t>an</w:t>
            </w:r>
            <w:r w:rsidRPr="00841B43">
              <w:rPr>
                <w:spacing w:val="5"/>
              </w:rPr>
              <w:t xml:space="preserve"> i</w:t>
            </w:r>
            <w:r>
              <w:t>ndependent</w:t>
            </w:r>
            <w:r w:rsidRPr="00841B43">
              <w:rPr>
                <w:spacing w:val="4"/>
              </w:rPr>
              <w:t xml:space="preserve"> </w:t>
            </w:r>
            <w:r>
              <w:t>review</w:t>
            </w:r>
          </w:p>
        </w:tc>
        <w:tc>
          <w:tcPr>
            <w:tcW w:w="2259" w:type="dxa"/>
            <w:gridSpan w:val="2"/>
          </w:tcPr>
          <w:p w:rsidR="00C85285" w:rsidRDefault="00C85285" w:rsidP="00C85285">
            <w:pPr>
              <w:pStyle w:val="ARbody"/>
              <w:jc w:val="right"/>
            </w:pPr>
            <w:r>
              <w:t>549</w:t>
            </w:r>
          </w:p>
        </w:tc>
      </w:tr>
    </w:tbl>
    <w:p w:rsidR="00C85285" w:rsidRDefault="00C85285" w:rsidP="00C85285">
      <w:pPr>
        <w:pStyle w:val="ARtablefootnote"/>
      </w:pPr>
      <w:r>
        <w:t>Includes organisations registered for National Disability Insurance Agency purposes.</w:t>
      </w:r>
    </w:p>
    <w:p w:rsidR="00C85285" w:rsidRPr="00110DAF" w:rsidRDefault="00C4439F" w:rsidP="00110DAF">
      <w:pPr>
        <w:pStyle w:val="ARtablecaption"/>
      </w:pPr>
      <w:r>
        <w:t>Reviews completed 2016–</w:t>
      </w:r>
      <w:r w:rsidR="00C85285" w:rsidRPr="00110DAF">
        <w:t>17</w:t>
      </w:r>
    </w:p>
    <w:tbl>
      <w:tblPr>
        <w:tblW w:w="0" w:type="auto"/>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3549"/>
        <w:gridCol w:w="1028"/>
      </w:tblGrid>
      <w:tr w:rsidR="00C85285" w:rsidTr="00C85285">
        <w:trPr>
          <w:cantSplit/>
          <w:tblHeader/>
        </w:trPr>
        <w:tc>
          <w:tcPr>
            <w:tcW w:w="3549" w:type="dxa"/>
            <w:vAlign w:val="bottom"/>
          </w:tcPr>
          <w:p w:rsidR="00C85285" w:rsidRDefault="00C85285" w:rsidP="00C85285">
            <w:pPr>
              <w:pStyle w:val="ARtablecolhead"/>
            </w:pPr>
            <w:r w:rsidRPr="00841B43">
              <w:rPr>
                <w:spacing w:val="-15"/>
              </w:rPr>
              <w:t>T</w:t>
            </w:r>
            <w:r>
              <w:t>ype</w:t>
            </w:r>
          </w:p>
        </w:tc>
        <w:tc>
          <w:tcPr>
            <w:tcW w:w="1028" w:type="dxa"/>
            <w:vAlign w:val="bottom"/>
          </w:tcPr>
          <w:p w:rsidR="00C85285" w:rsidRDefault="00C85285" w:rsidP="00C85285">
            <w:pPr>
              <w:pStyle w:val="ARtablecolhead"/>
              <w:jc w:val="right"/>
            </w:pPr>
            <w:r>
              <w:t>Number</w:t>
            </w:r>
          </w:p>
        </w:tc>
      </w:tr>
      <w:tr w:rsidR="00C85285" w:rsidTr="00C85285">
        <w:trPr>
          <w:cantSplit/>
        </w:trPr>
        <w:tc>
          <w:tcPr>
            <w:tcW w:w="3549" w:type="dxa"/>
          </w:tcPr>
          <w:p w:rsidR="00C85285" w:rsidRPr="00841B43" w:rsidRDefault="00C85285" w:rsidP="00C85285">
            <w:pPr>
              <w:pStyle w:val="ARtabletext"/>
            </w:pPr>
            <w:r w:rsidRPr="00841B43">
              <w:t>Number of independent reviews successfully completed</w:t>
            </w:r>
          </w:p>
        </w:tc>
        <w:tc>
          <w:tcPr>
            <w:tcW w:w="1028" w:type="dxa"/>
          </w:tcPr>
          <w:p w:rsidR="00C85285" w:rsidRDefault="00C85285" w:rsidP="00C85285">
            <w:pPr>
              <w:pStyle w:val="ARtabletext"/>
              <w:jc w:val="right"/>
            </w:pPr>
            <w:r>
              <w:t>292</w:t>
            </w:r>
          </w:p>
        </w:tc>
      </w:tr>
      <w:tr w:rsidR="00C85285" w:rsidTr="00C85285">
        <w:trPr>
          <w:cantSplit/>
        </w:trPr>
        <w:tc>
          <w:tcPr>
            <w:tcW w:w="3549" w:type="dxa"/>
          </w:tcPr>
          <w:p w:rsidR="00C85285" w:rsidRDefault="00C85285" w:rsidP="00C85285">
            <w:pPr>
              <w:pStyle w:val="ARtabletext"/>
            </w:pPr>
            <w:r w:rsidRPr="00841B43">
              <w:rPr>
                <w:color w:val="231F20"/>
              </w:rPr>
              <w:t>Number of independent</w:t>
            </w:r>
            <w:r w:rsidRPr="00841B43">
              <w:rPr>
                <w:color w:val="231F20"/>
                <w:spacing w:val="3"/>
              </w:rPr>
              <w:t xml:space="preserve"> </w:t>
            </w:r>
            <w:r w:rsidRPr="00841B43">
              <w:rPr>
                <w:color w:val="231F20"/>
              </w:rPr>
              <w:t>reviews not successfully completed or certification withdrawn</w:t>
            </w:r>
          </w:p>
        </w:tc>
        <w:tc>
          <w:tcPr>
            <w:tcW w:w="1028" w:type="dxa"/>
          </w:tcPr>
          <w:p w:rsidR="00C85285" w:rsidRDefault="00C85285" w:rsidP="00C85285">
            <w:pPr>
              <w:pStyle w:val="ARbody"/>
              <w:jc w:val="right"/>
            </w:pPr>
            <w:r>
              <w:t>2</w:t>
            </w:r>
          </w:p>
        </w:tc>
      </w:tr>
    </w:tbl>
    <w:p w:rsidR="00C85285" w:rsidRDefault="00C85285" w:rsidP="00C85285"/>
    <w:p w:rsidR="00C85285" w:rsidRDefault="00C85285" w:rsidP="00C85285">
      <w:pPr>
        <w:pStyle w:val="ARbody"/>
        <w:sectPr w:rsidR="00C85285" w:rsidSect="0093192F">
          <w:headerReference w:type="even" r:id="rId88"/>
          <w:headerReference w:type="default" r:id="rId89"/>
          <w:endnotePr>
            <w:numFmt w:val="decimal"/>
          </w:endnotePr>
          <w:pgSz w:w="11900" w:h="16840" w:code="9"/>
          <w:pgMar w:top="1531" w:right="851" w:bottom="680" w:left="1418" w:header="510" w:footer="340" w:gutter="0"/>
          <w:cols w:num="2" w:space="454"/>
        </w:sectPr>
      </w:pPr>
    </w:p>
    <w:p w:rsidR="0092299C" w:rsidRPr="00843E15" w:rsidRDefault="0092299C" w:rsidP="0092299C">
      <w:pPr>
        <w:pStyle w:val="Heading1"/>
        <w:sectPr w:rsidR="0092299C" w:rsidRPr="00843E15" w:rsidSect="0093192F">
          <w:headerReference w:type="even" r:id="rId90"/>
          <w:endnotePr>
            <w:numFmt w:val="decimal"/>
          </w:endnotePr>
          <w:pgSz w:w="11900" w:h="16840" w:code="9"/>
          <w:pgMar w:top="1531" w:right="851" w:bottom="680" w:left="1418" w:header="510" w:footer="340" w:gutter="0"/>
          <w:cols w:space="454"/>
        </w:sectPr>
      </w:pPr>
      <w:bookmarkStart w:id="68" w:name="_Ref492905722"/>
      <w:bookmarkStart w:id="69" w:name="_Toc493069464"/>
      <w:r w:rsidRPr="00843E15">
        <w:lastRenderedPageBreak/>
        <w:t xml:space="preserve">Environmental </w:t>
      </w:r>
      <w:r w:rsidRPr="000B2035">
        <w:t>s</w:t>
      </w:r>
      <w:r w:rsidRPr="00C257DA">
        <w:t>ustainability</w:t>
      </w:r>
      <w:r w:rsidRPr="00843E15">
        <w:t xml:space="preserve"> </w:t>
      </w:r>
      <w:r>
        <w:t>r</w:t>
      </w:r>
      <w:r w:rsidRPr="00843E15">
        <w:t>eport</w:t>
      </w:r>
      <w:bookmarkEnd w:id="68"/>
      <w:bookmarkEnd w:id="69"/>
    </w:p>
    <w:p w:rsidR="0092299C" w:rsidRDefault="0092299C" w:rsidP="0092299C">
      <w:pPr>
        <w:pStyle w:val="Heading2"/>
      </w:pPr>
      <w:bookmarkStart w:id="70" w:name="_Ref492895460"/>
      <w:r>
        <w:lastRenderedPageBreak/>
        <w:t xml:space="preserve">Environmental </w:t>
      </w:r>
      <w:r w:rsidRPr="00A150CB">
        <w:t>performance</w:t>
      </w:r>
      <w:r>
        <w:t xml:space="preserve"> and impacts</w:t>
      </w:r>
      <w:bookmarkEnd w:id="70"/>
    </w:p>
    <w:p w:rsidR="0092299C" w:rsidRPr="00C87EB0" w:rsidRDefault="0092299C" w:rsidP="0092299C">
      <w:pPr>
        <w:pStyle w:val="ARbody"/>
      </w:pPr>
      <w:r>
        <w:t>In 2016–17, the department continued to minimise its environmental footprint and to manage climate change risks for the department’s clients and assets by integrating sustainability considerations across its operations.</w:t>
      </w:r>
    </w:p>
    <w:p w:rsidR="0092299C" w:rsidRPr="0044029A" w:rsidRDefault="0092299C" w:rsidP="0092299C">
      <w:pPr>
        <w:pStyle w:val="ARbody"/>
      </w:pPr>
      <w:r>
        <w:t>The d</w:t>
      </w:r>
      <w:r w:rsidRPr="0044029A">
        <w:t xml:space="preserve">epartment has </w:t>
      </w:r>
      <w:r>
        <w:t>met all</w:t>
      </w:r>
      <w:r w:rsidRPr="0044029A">
        <w:t xml:space="preserve"> of the environme</w:t>
      </w:r>
      <w:r>
        <w:t xml:space="preserve">ntal targets set for the </w:t>
      </w:r>
      <w:r w:rsidRPr="0044029A">
        <w:t xml:space="preserve">period and continues to seek opportunities to maintain and improve </w:t>
      </w:r>
      <w:r>
        <w:t>the department’s</w:t>
      </w:r>
      <w:r w:rsidRPr="0044029A">
        <w:t xml:space="preserve"> environmental performance.</w:t>
      </w:r>
    </w:p>
    <w:p w:rsidR="0092299C" w:rsidRDefault="0092299C" w:rsidP="0092299C">
      <w:pPr>
        <w:pStyle w:val="ARbody"/>
      </w:pPr>
      <w:r>
        <w:t xml:space="preserve">Highlights for the </w:t>
      </w:r>
      <w:r w:rsidRPr="00C87EB0">
        <w:t>period include:</w:t>
      </w:r>
    </w:p>
    <w:p w:rsidR="0092299C" w:rsidRPr="0065234A" w:rsidRDefault="0092299C" w:rsidP="0092299C">
      <w:pPr>
        <w:pStyle w:val="ARbullet1"/>
      </w:pPr>
      <w:r w:rsidRPr="0065234A">
        <w:t xml:space="preserve">submitting a sector-level pledge under the Victorian </w:t>
      </w:r>
      <w:r>
        <w:t>G</w:t>
      </w:r>
      <w:r w:rsidRPr="0065234A">
        <w:t>overnment’s collective climate change pledge program</w:t>
      </w:r>
      <w:r>
        <w:t>,</w:t>
      </w:r>
      <w:r w:rsidRPr="0065234A">
        <w:t xml:space="preserve"> TAKE2. The department committed to 17 initiatives that will deliver emission reductions across the </w:t>
      </w:r>
      <w:r>
        <w:t>h</w:t>
      </w:r>
      <w:r w:rsidRPr="0065234A">
        <w:t xml:space="preserve">ealth and </w:t>
      </w:r>
      <w:r>
        <w:t>h</w:t>
      </w:r>
      <w:r w:rsidRPr="0065234A">
        <w:t xml:space="preserve">uman </w:t>
      </w:r>
      <w:r>
        <w:t>s</w:t>
      </w:r>
      <w:r w:rsidRPr="0065234A">
        <w:t>ervices portfolio, with minimum emission reductions of 225,000 tonnes by 2020</w:t>
      </w:r>
    </w:p>
    <w:p w:rsidR="0092299C" w:rsidRPr="0065234A" w:rsidRDefault="0092299C" w:rsidP="0092299C">
      <w:pPr>
        <w:pStyle w:val="ARbullet1"/>
      </w:pPr>
      <w:r w:rsidRPr="0065234A">
        <w:t>commencing the installation of 184 solar panels at 50 Lonsdale St</w:t>
      </w:r>
      <w:r>
        <w:t>reet</w:t>
      </w:r>
      <w:r w:rsidRPr="0065234A">
        <w:t>, Melbourne, generating approximately 50 kilowatts of electricity per year</w:t>
      </w:r>
    </w:p>
    <w:p w:rsidR="0092299C" w:rsidRPr="0065234A" w:rsidRDefault="0092299C" w:rsidP="0092299C">
      <w:pPr>
        <w:pStyle w:val="ARbullet1"/>
      </w:pPr>
      <w:r w:rsidRPr="0065234A">
        <w:t>progressing an Energy Performance Contract at Peninsula Health and facilitating funding for a 330 kilowatt solar</w:t>
      </w:r>
      <w:r>
        <w:t xml:space="preserve"> photovoltaic</w:t>
      </w:r>
      <w:r w:rsidRPr="0065234A">
        <w:t xml:space="preserve"> </w:t>
      </w:r>
      <w:r>
        <w:t xml:space="preserve">(PV) </w:t>
      </w:r>
      <w:r w:rsidRPr="0065234A">
        <w:t>system at Sale Hospital and Wilson Lodge Aged Care Facility.</w:t>
      </w:r>
    </w:p>
    <w:p w:rsidR="0092299C" w:rsidRPr="00843E15" w:rsidRDefault="0092299C" w:rsidP="0092299C">
      <w:pPr>
        <w:pStyle w:val="Heading3"/>
      </w:pPr>
      <w:r w:rsidRPr="00DB0B69">
        <w:t>Energy</w:t>
      </w:r>
    </w:p>
    <w:p w:rsidR="0092299C" w:rsidRDefault="0092299C" w:rsidP="0092299C">
      <w:pPr>
        <w:pStyle w:val="ARbody"/>
      </w:pPr>
      <w:r>
        <w:t>The department is committed to reducing energy consumption across its operations and to assisting the department’s clients to reduce their own energy use.</w:t>
      </w:r>
    </w:p>
    <w:p w:rsidR="0092299C" w:rsidRDefault="0092299C" w:rsidP="0092299C">
      <w:pPr>
        <w:pStyle w:val="ARbody"/>
      </w:pPr>
      <w:r>
        <w:t>In 2016–17, the department met its target to commence works on 14 public housing high-rise buildings through the first Energy Performance Contract. A strategy for a second Energy Performance Contract for public housing high-rise buildings was also agreed. In addition to this:</w:t>
      </w:r>
    </w:p>
    <w:p w:rsidR="0092299C" w:rsidRPr="0065234A" w:rsidRDefault="0092299C" w:rsidP="0092299C">
      <w:pPr>
        <w:pStyle w:val="ARbullet1"/>
      </w:pPr>
      <w:r w:rsidRPr="0065234A">
        <w:t>measures were implemented to improve the thermal comfort of 155 public housing units, including insulation of external concrete walls and top floor concrete slab insulation</w:t>
      </w:r>
      <w:r>
        <w:t>;</w:t>
      </w:r>
      <w:r w:rsidRPr="0065234A">
        <w:t xml:space="preserve"> installation of energy efficient windows</w:t>
      </w:r>
      <w:r>
        <w:t>;</w:t>
      </w:r>
      <w:r w:rsidRPr="0065234A">
        <w:t xml:space="preserve"> draft proofing</w:t>
      </w:r>
      <w:r>
        <w:t>;</w:t>
      </w:r>
      <w:r w:rsidRPr="0065234A">
        <w:t xml:space="preserve"> and energy efficient LED globes</w:t>
      </w:r>
    </w:p>
    <w:p w:rsidR="0092299C" w:rsidRPr="0065234A" w:rsidRDefault="0092299C" w:rsidP="0092299C">
      <w:pPr>
        <w:pStyle w:val="ARbullet1"/>
      </w:pPr>
      <w:r>
        <w:t>the department</w:t>
      </w:r>
      <w:r w:rsidRPr="0065234A">
        <w:t xml:space="preserve"> completed lift controller and machine upgrades to four public housing </w:t>
      </w:r>
      <w:r w:rsidR="00120697">
        <w:br/>
      </w:r>
      <w:r w:rsidRPr="0065234A">
        <w:t xml:space="preserve">high-rise towers resulting in an estimated 60 per </w:t>
      </w:r>
      <w:r w:rsidRPr="0065234A">
        <w:lastRenderedPageBreak/>
        <w:t>cent reduction in energy required to operate the lifts</w:t>
      </w:r>
    </w:p>
    <w:p w:rsidR="0092299C" w:rsidRPr="0065234A" w:rsidRDefault="0092299C" w:rsidP="0092299C">
      <w:pPr>
        <w:pStyle w:val="ARbullet1"/>
      </w:pPr>
      <w:r w:rsidRPr="0065234A">
        <w:t>exit and emergency lights were upgraded in the stairwells at 50 Lonsdale St</w:t>
      </w:r>
      <w:r>
        <w:t>reet</w:t>
      </w:r>
      <w:r w:rsidRPr="0065234A">
        <w:t>, Melbourne to energy efficient LED with motion sensors</w:t>
      </w:r>
    </w:p>
    <w:p w:rsidR="0092299C" w:rsidRPr="0065234A" w:rsidRDefault="0092299C" w:rsidP="0092299C">
      <w:pPr>
        <w:pStyle w:val="ARbullet1"/>
      </w:pPr>
      <w:r w:rsidRPr="0065234A">
        <w:t xml:space="preserve">a </w:t>
      </w:r>
      <w:r>
        <w:t>five-star G</w:t>
      </w:r>
      <w:r w:rsidRPr="0065234A">
        <w:t>reen</w:t>
      </w:r>
      <w:r>
        <w:t xml:space="preserve"> Star p</w:t>
      </w:r>
      <w:r w:rsidRPr="0065234A">
        <w:t xml:space="preserve">erformance </w:t>
      </w:r>
      <w:r>
        <w:t>r</w:t>
      </w:r>
      <w:r w:rsidRPr="0065234A">
        <w:t xml:space="preserve">ating and a </w:t>
      </w:r>
      <w:r>
        <w:t>five-s</w:t>
      </w:r>
      <w:r w:rsidRPr="0065234A">
        <w:t xml:space="preserve">tar </w:t>
      </w:r>
      <w:r w:rsidRPr="00DB228A">
        <w:t xml:space="preserve">National Australian Built Environment Rating System </w:t>
      </w:r>
      <w:r>
        <w:t>(</w:t>
      </w:r>
      <w:r w:rsidRPr="0065234A">
        <w:t>NABERS</w:t>
      </w:r>
      <w:r>
        <w:t>)</w:t>
      </w:r>
      <w:r w:rsidRPr="0065234A">
        <w:t xml:space="preserve"> Energy Base Building rating was achieved at 50 Lonsdale St</w:t>
      </w:r>
      <w:r>
        <w:t>reet</w:t>
      </w:r>
      <w:r w:rsidRPr="0065234A">
        <w:t xml:space="preserve">, Melbourne, representing Australian </w:t>
      </w:r>
      <w:r>
        <w:t>e</w:t>
      </w:r>
      <w:r w:rsidRPr="0065234A">
        <w:t>xcellence in building operations, better energy performance and lower greenhouse gas emissions</w:t>
      </w:r>
    </w:p>
    <w:p w:rsidR="0092299C" w:rsidRPr="0065234A" w:rsidRDefault="0092299C" w:rsidP="0092299C">
      <w:pPr>
        <w:pStyle w:val="ARbullet1"/>
      </w:pPr>
      <w:r w:rsidRPr="0065234A">
        <w:t>the State Sports Centres Trust undertook capital works to improve energy efficiency including upgrades to sports field lighting, major mechanical and pool plant upgrades, improved ventilation and installation of skylights. These works resulted in a 31 per cent reduction in greenhouse gases across facilities</w:t>
      </w:r>
    </w:p>
    <w:p w:rsidR="0092299C" w:rsidRPr="0065234A" w:rsidRDefault="0092299C" w:rsidP="0092299C">
      <w:pPr>
        <w:pStyle w:val="ARbullet1"/>
      </w:pPr>
      <w:r w:rsidRPr="0065234A">
        <w:t xml:space="preserve">finalised development of the NABERS for Hospitals tool with other </w:t>
      </w:r>
      <w:r>
        <w:t>s</w:t>
      </w:r>
      <w:r w:rsidRPr="0065234A">
        <w:t xml:space="preserve">tates and </w:t>
      </w:r>
      <w:r>
        <w:t>t</w:t>
      </w:r>
      <w:r w:rsidRPr="0065234A">
        <w:t xml:space="preserve">erritories and the NSW Office of Environment and Heritage, on behalf of the </w:t>
      </w:r>
      <w:r>
        <w:t>Commonwealth Government</w:t>
      </w:r>
    </w:p>
    <w:p w:rsidR="0092299C" w:rsidRPr="0065234A" w:rsidRDefault="0092299C" w:rsidP="0092299C">
      <w:pPr>
        <w:pStyle w:val="ARbullet1"/>
      </w:pPr>
      <w:r w:rsidRPr="0065234A">
        <w:t>commenced energy audits and bulk procurement of solar panels for Gippsland public hospitals.</w:t>
      </w:r>
    </w:p>
    <w:p w:rsidR="0092299C" w:rsidRPr="00C87EB0" w:rsidRDefault="0092299C" w:rsidP="0092299C">
      <w:pPr>
        <w:pStyle w:val="ARbodyafterbullets"/>
      </w:pPr>
      <w:r>
        <w:t>The 2017–18</w:t>
      </w:r>
      <w:r w:rsidRPr="00C87EB0">
        <w:t xml:space="preserve"> enviro</w:t>
      </w:r>
      <w:r>
        <w:t>nmental target</w:t>
      </w:r>
      <w:r w:rsidRPr="00C87EB0">
        <w:t xml:space="preserve"> is</w:t>
      </w:r>
      <w:r>
        <w:t xml:space="preserve"> to</w:t>
      </w:r>
      <w:r w:rsidRPr="00C87EB0">
        <w:t>:</w:t>
      </w:r>
    </w:p>
    <w:p w:rsidR="0092299C" w:rsidRPr="0065234A" w:rsidRDefault="0092299C" w:rsidP="0092299C">
      <w:pPr>
        <w:pStyle w:val="ARbullet1"/>
      </w:pPr>
      <w:r w:rsidRPr="0065234A">
        <w:t xml:space="preserve">commence the </w:t>
      </w:r>
      <w:proofErr w:type="spellStart"/>
      <w:r w:rsidRPr="0065234A">
        <w:t>EnergySmart</w:t>
      </w:r>
      <w:proofErr w:type="spellEnd"/>
      <w:r w:rsidRPr="0065234A">
        <w:t xml:space="preserve"> Public Housing program to upgrade 1,500 low</w:t>
      </w:r>
      <w:r>
        <w:t>-</w:t>
      </w:r>
      <w:r w:rsidRPr="0065234A">
        <w:t>rise public housing properties</w:t>
      </w:r>
    </w:p>
    <w:p w:rsidR="0092299C" w:rsidRPr="0065234A" w:rsidRDefault="0092299C" w:rsidP="0092299C">
      <w:pPr>
        <w:pStyle w:val="ARbullet1"/>
      </w:pPr>
      <w:r w:rsidRPr="0065234A">
        <w:t>begin works to implement the strategy for a second Energy Performance Contract for public housing high-rise buildings</w:t>
      </w:r>
    </w:p>
    <w:p w:rsidR="0092299C" w:rsidRPr="0065234A" w:rsidRDefault="0092299C" w:rsidP="0092299C">
      <w:pPr>
        <w:pStyle w:val="ARbullet1"/>
      </w:pPr>
      <w:r w:rsidRPr="0065234A">
        <w:t xml:space="preserve">generate NABERS ratings for </w:t>
      </w:r>
      <w:r>
        <w:t xml:space="preserve">Victoria’s </w:t>
      </w:r>
      <w:r w:rsidRPr="0065234A">
        <w:t>public hospitals</w:t>
      </w:r>
    </w:p>
    <w:p w:rsidR="0092299C" w:rsidRPr="0065234A" w:rsidRDefault="0092299C" w:rsidP="0092299C">
      <w:pPr>
        <w:pStyle w:val="ARbullet1"/>
      </w:pPr>
      <w:r w:rsidRPr="0065234A">
        <w:t>install energy efficiency initiatives and solar panels in Gippsland public hospitals</w:t>
      </w:r>
    </w:p>
    <w:p w:rsidR="0092299C" w:rsidRPr="0065234A" w:rsidRDefault="0092299C" w:rsidP="0092299C">
      <w:pPr>
        <w:pStyle w:val="ARbullet1"/>
      </w:pPr>
      <w:r w:rsidRPr="0065234A">
        <w:t>commence an Energy Performance Contract in a metropolitan health service and an energy efficiency and solar program in regional health services.</w:t>
      </w:r>
    </w:p>
    <w:p w:rsidR="0092299C" w:rsidRPr="00843E15" w:rsidRDefault="0092299C" w:rsidP="0092299C">
      <w:pPr>
        <w:pStyle w:val="Heading3"/>
      </w:pPr>
      <w:r w:rsidRPr="00DB0B69">
        <w:t>Water</w:t>
      </w:r>
    </w:p>
    <w:p w:rsidR="0092299C" w:rsidRPr="00B9519D" w:rsidRDefault="0092299C" w:rsidP="0092299C">
      <w:pPr>
        <w:pStyle w:val="ARbody"/>
        <w:rPr>
          <w:color w:val="1F497D"/>
        </w:rPr>
      </w:pPr>
      <w:r>
        <w:t>The d</w:t>
      </w:r>
      <w:r w:rsidRPr="00C87EB0">
        <w:t xml:space="preserve">epartment strives to reduce water consumption across </w:t>
      </w:r>
      <w:r>
        <w:t>the department’s</w:t>
      </w:r>
      <w:r w:rsidRPr="00C87EB0">
        <w:t xml:space="preserve"> facilities and operations and encourages </w:t>
      </w:r>
      <w:r>
        <w:t>the department’s</w:t>
      </w:r>
      <w:r w:rsidRPr="00C87EB0">
        <w:t xml:space="preserve"> clients to improve their own </w:t>
      </w:r>
      <w:r w:rsidRPr="006F6C44">
        <w:t xml:space="preserve">water efficiency. In </w:t>
      </w:r>
      <w:r>
        <w:lastRenderedPageBreak/>
        <w:t>2016–17</w:t>
      </w:r>
      <w:r w:rsidRPr="006F6C44">
        <w:t xml:space="preserve">, the </w:t>
      </w:r>
      <w:r>
        <w:t>d</w:t>
      </w:r>
      <w:r w:rsidRPr="006F6C44">
        <w:t>epartment installed water pulse meters and re</w:t>
      </w:r>
      <w:r>
        <w:t>mote monitoring devices in two p</w:t>
      </w:r>
      <w:r w:rsidRPr="006F6C44">
        <w:t xml:space="preserve">ublic </w:t>
      </w:r>
      <w:r>
        <w:t>h</w:t>
      </w:r>
      <w:r w:rsidRPr="006F6C44">
        <w:t xml:space="preserve">ousing </w:t>
      </w:r>
      <w:r>
        <w:t>high-rise t</w:t>
      </w:r>
      <w:r w:rsidRPr="006F6C44">
        <w:t>owers. In addition to this:</w:t>
      </w:r>
    </w:p>
    <w:p w:rsidR="0092299C" w:rsidRPr="0065234A" w:rsidRDefault="0092299C" w:rsidP="0092299C">
      <w:pPr>
        <w:pStyle w:val="ARbullet1"/>
      </w:pPr>
      <w:r w:rsidRPr="0065234A">
        <w:t xml:space="preserve">the Melbourne Cricket Ground Trust installed a </w:t>
      </w:r>
      <w:r>
        <w:t>w</w:t>
      </w:r>
      <w:r w:rsidRPr="0065234A">
        <w:t xml:space="preserve">ater </w:t>
      </w:r>
      <w:r>
        <w:t>r</w:t>
      </w:r>
      <w:r w:rsidRPr="0065234A">
        <w:t xml:space="preserve">ecycling </w:t>
      </w:r>
      <w:r>
        <w:t>f</w:t>
      </w:r>
      <w:r w:rsidRPr="0065234A">
        <w:t xml:space="preserve">acility </w:t>
      </w:r>
      <w:r>
        <w:t>that</w:t>
      </w:r>
      <w:r w:rsidRPr="0065234A">
        <w:t xml:space="preserve"> produces 158 million litres of Class A water annually and distributes 110 million litres through Yarra Park</w:t>
      </w:r>
      <w:r>
        <w:t xml:space="preserve">; eight </w:t>
      </w:r>
      <w:r w:rsidRPr="0065234A">
        <w:t>million litres to Punt Road Oval</w:t>
      </w:r>
      <w:r>
        <w:t>;</w:t>
      </w:r>
      <w:r w:rsidRPr="0065234A">
        <w:t xml:space="preserve"> and 40 million litres to the Melbourne Cricket Ground for toilet flushing and stadium wash down</w:t>
      </w:r>
    </w:p>
    <w:p w:rsidR="0092299C" w:rsidRPr="0065234A" w:rsidRDefault="0092299C" w:rsidP="0092299C">
      <w:pPr>
        <w:pStyle w:val="ARbullet1"/>
      </w:pPr>
      <w:r w:rsidRPr="0065234A">
        <w:t>the State Sports Centres Trust undertook capital works to improve water efficiency including major upgrades to mechanical and pool plant, resulting in a 24 per cent reduction in water consumption across facilities.</w:t>
      </w:r>
    </w:p>
    <w:p w:rsidR="0092299C" w:rsidRDefault="0092299C" w:rsidP="0092299C">
      <w:pPr>
        <w:pStyle w:val="ARbodyafterbullets"/>
      </w:pPr>
      <w:r w:rsidRPr="00C87EB0">
        <w:t>The 201</w:t>
      </w:r>
      <w:r>
        <w:t>7–18</w:t>
      </w:r>
      <w:r w:rsidRPr="00C87EB0">
        <w:t xml:space="preserve"> </w:t>
      </w:r>
      <w:r>
        <w:t xml:space="preserve">environmental </w:t>
      </w:r>
      <w:r w:rsidRPr="00C87EB0">
        <w:t>target is</w:t>
      </w:r>
      <w:r>
        <w:t xml:space="preserve"> to</w:t>
      </w:r>
      <w:r w:rsidRPr="00C87EB0">
        <w:t>:</w:t>
      </w:r>
    </w:p>
    <w:p w:rsidR="0092299C" w:rsidRPr="0065234A" w:rsidRDefault="0092299C" w:rsidP="0092299C">
      <w:pPr>
        <w:pStyle w:val="ARbullet1"/>
      </w:pPr>
      <w:r w:rsidRPr="0065234A">
        <w:t xml:space="preserve">install at least two water pulse meters and remote monitoring devices in another two </w:t>
      </w:r>
      <w:r w:rsidR="00120697">
        <w:br/>
      </w:r>
      <w:r w:rsidRPr="0065234A">
        <w:t>public housing high-rise towers.</w:t>
      </w:r>
    </w:p>
    <w:p w:rsidR="0092299C" w:rsidRPr="00843E15" w:rsidRDefault="0092299C" w:rsidP="0092299C">
      <w:pPr>
        <w:pStyle w:val="Heading3"/>
      </w:pPr>
      <w:r w:rsidRPr="00843E15">
        <w:t xml:space="preserve">Procurement </w:t>
      </w:r>
      <w:r w:rsidRPr="00DB0B69">
        <w:t>and</w:t>
      </w:r>
      <w:r w:rsidRPr="00843E15">
        <w:t xml:space="preserve"> </w:t>
      </w:r>
      <w:r>
        <w:t>p</w:t>
      </w:r>
      <w:r w:rsidRPr="00843E15">
        <w:t>aper</w:t>
      </w:r>
    </w:p>
    <w:p w:rsidR="0092299C" w:rsidRDefault="0092299C" w:rsidP="0092299C">
      <w:pPr>
        <w:pStyle w:val="ARbody"/>
      </w:pPr>
      <w:r w:rsidRPr="00C87EB0">
        <w:t xml:space="preserve">The </w:t>
      </w:r>
      <w:r>
        <w:t>department</w:t>
      </w:r>
      <w:r w:rsidRPr="00C87EB0">
        <w:t xml:space="preserve"> continues to integrate sustainability into its procurement activities, while seeking value for money outcomes in business operations. We also continue to implement strategies to reduce </w:t>
      </w:r>
      <w:r w:rsidR="00120697">
        <w:br/>
      </w:r>
      <w:r w:rsidRPr="00C87EB0">
        <w:t>the environmental impacts of printing and paper consumption.</w:t>
      </w:r>
    </w:p>
    <w:p w:rsidR="0092299C" w:rsidRPr="00C87EB0" w:rsidRDefault="0092299C" w:rsidP="0092299C">
      <w:pPr>
        <w:pStyle w:val="ARbody"/>
      </w:pPr>
      <w:r w:rsidRPr="00C87EB0">
        <w:t xml:space="preserve">In </w:t>
      </w:r>
      <w:r>
        <w:t>2016–17</w:t>
      </w:r>
      <w:r w:rsidRPr="00C87EB0">
        <w:t>:</w:t>
      </w:r>
    </w:p>
    <w:p w:rsidR="0092299C" w:rsidRPr="0065234A" w:rsidRDefault="0092299C" w:rsidP="0092299C">
      <w:pPr>
        <w:pStyle w:val="ARbullet1"/>
      </w:pPr>
      <w:r w:rsidRPr="0065234A">
        <w:t xml:space="preserve">the Secretary endorsed a revised paper and printing policy </w:t>
      </w:r>
      <w:r>
        <w:t>that</w:t>
      </w:r>
      <w:r w:rsidRPr="0065234A">
        <w:t xml:space="preserve"> incorporates sustainability into the procurement, use and disposal of all paper, printing and office products and consumables</w:t>
      </w:r>
    </w:p>
    <w:p w:rsidR="0092299C" w:rsidRPr="0065234A" w:rsidRDefault="0092299C" w:rsidP="0092299C">
      <w:pPr>
        <w:pStyle w:val="ARbullet1"/>
      </w:pPr>
      <w:r w:rsidRPr="0065234A">
        <w:t>over 100 multifunction devices were removed and replaced with more energy efficient machines</w:t>
      </w:r>
    </w:p>
    <w:p w:rsidR="0092299C" w:rsidRPr="0065234A" w:rsidRDefault="0092299C" w:rsidP="0092299C">
      <w:pPr>
        <w:pStyle w:val="ARbullet1"/>
      </w:pPr>
      <w:r w:rsidRPr="0065234A">
        <w:t>the department transitioned to 100 per cent recycled A4 white copy paper as standard</w:t>
      </w:r>
    </w:p>
    <w:p w:rsidR="0092299C" w:rsidRPr="0065234A" w:rsidRDefault="0092299C" w:rsidP="0092299C">
      <w:pPr>
        <w:pStyle w:val="ARbullet1"/>
      </w:pPr>
      <w:r w:rsidRPr="0065234A">
        <w:t>over 90 per cent of all copy paper purchased by the department contained between 70 to 100 per cent recycled content</w:t>
      </w:r>
    </w:p>
    <w:p w:rsidR="0092299C" w:rsidRPr="0065234A" w:rsidRDefault="0092299C" w:rsidP="0092299C">
      <w:pPr>
        <w:pStyle w:val="ARbullet1"/>
      </w:pPr>
      <w:r w:rsidRPr="0065234A">
        <w:t>average communal printer-to-computer ratios across the department were decreased to 1:14</w:t>
      </w:r>
    </w:p>
    <w:p w:rsidR="0092299C" w:rsidRPr="0065234A" w:rsidRDefault="0092299C" w:rsidP="0092299C">
      <w:pPr>
        <w:pStyle w:val="ARbullet1"/>
      </w:pPr>
      <w:r w:rsidRPr="0065234A">
        <w:t>Sport and Recreation Victoria included a clause within the guidelines of the Better Indoor Stadiums Fund requiring a minimum of 25 per cent of the requested grant amount be allocated to efficiency or sustainability measures</w:t>
      </w:r>
    </w:p>
    <w:p w:rsidR="0092299C" w:rsidRPr="0065234A" w:rsidRDefault="0092299C" w:rsidP="0092299C">
      <w:pPr>
        <w:pStyle w:val="ARbullet1"/>
      </w:pPr>
      <w:r w:rsidRPr="0065234A">
        <w:t xml:space="preserve">Sport and Recreation Victoria continued to encourage applications be submitted to both the Community Sports Infrastructure Fund and the Country Football and Netball Program that result </w:t>
      </w:r>
      <w:r w:rsidRPr="0065234A">
        <w:lastRenderedPageBreak/>
        <w:t>in energy and water efficiency, such as warm season grass conversions, water saving irrigation upgrades and synthetic surface installations</w:t>
      </w:r>
    </w:p>
    <w:p w:rsidR="0092299C" w:rsidRPr="0065234A" w:rsidRDefault="0092299C" w:rsidP="0092299C">
      <w:pPr>
        <w:pStyle w:val="ARbullet1"/>
      </w:pPr>
      <w:r w:rsidRPr="0065234A">
        <w:t>mandating in the Health Purchasing Victoria copy paper contract for public hospitals that copy paper must be certified as meeting at least one of the voluntary standards for sustainable forestry management.</w:t>
      </w:r>
    </w:p>
    <w:p w:rsidR="0092299C" w:rsidRPr="00C87EB0" w:rsidRDefault="0092299C" w:rsidP="0092299C">
      <w:pPr>
        <w:pStyle w:val="ARbodyafterbullets"/>
      </w:pPr>
      <w:r>
        <w:t>The 2017–18</w:t>
      </w:r>
      <w:r w:rsidRPr="00C87EB0">
        <w:t xml:space="preserve"> environmenta</w:t>
      </w:r>
      <w:r>
        <w:t xml:space="preserve">l </w:t>
      </w:r>
      <w:r w:rsidRPr="00C87EB0">
        <w:t>target is</w:t>
      </w:r>
      <w:r w:rsidR="00450BB9">
        <w:t xml:space="preserve"> to:</w:t>
      </w:r>
    </w:p>
    <w:p w:rsidR="0092299C" w:rsidRPr="0065234A" w:rsidRDefault="0092299C" w:rsidP="0092299C">
      <w:pPr>
        <w:pStyle w:val="ARbullet1"/>
      </w:pPr>
      <w:r w:rsidRPr="0065234A">
        <w:t>ensure that at least 80 per cent of all A4, white copy paper purchased by the department contains 100 per cent recycled content.</w:t>
      </w:r>
    </w:p>
    <w:p w:rsidR="0092299C" w:rsidRPr="00843E15" w:rsidRDefault="0092299C" w:rsidP="0092299C">
      <w:pPr>
        <w:pStyle w:val="Heading3"/>
      </w:pPr>
      <w:r w:rsidRPr="00DB0B69">
        <w:t>Waste</w:t>
      </w:r>
    </w:p>
    <w:p w:rsidR="0092299C" w:rsidRDefault="0092299C" w:rsidP="0092299C">
      <w:pPr>
        <w:pStyle w:val="ARbody"/>
      </w:pPr>
      <w:r>
        <w:t>The department is committed to the effective management of waste to reduce operational costs and environmental impacts, as well as potential public health risks to staff, clients and the broader Victorian community.</w:t>
      </w:r>
    </w:p>
    <w:p w:rsidR="0092299C" w:rsidRDefault="0092299C" w:rsidP="0092299C">
      <w:pPr>
        <w:pStyle w:val="ARbody"/>
      </w:pPr>
      <w:r>
        <w:t>In 2016–17, the department drafted a behaviour change strategy to reduce waste generation across the department. In addition to this:</w:t>
      </w:r>
    </w:p>
    <w:p w:rsidR="0092299C" w:rsidRPr="0065234A" w:rsidRDefault="0092299C" w:rsidP="0092299C">
      <w:pPr>
        <w:pStyle w:val="ARbullet1"/>
      </w:pPr>
      <w:r>
        <w:t>c</w:t>
      </w:r>
      <w:r w:rsidRPr="0065234A">
        <w:t>entral office participated in a three</w:t>
      </w:r>
      <w:r>
        <w:t>-</w:t>
      </w:r>
      <w:r w:rsidRPr="0065234A">
        <w:t>month trial of the Simply Cups disposable coffee cup recycling program at 50 Lonsdale St</w:t>
      </w:r>
      <w:r>
        <w:t>reet</w:t>
      </w:r>
      <w:r w:rsidRPr="0065234A">
        <w:t>, Melbourne in partnership with Closed Loop Australia, diverting over 35,000 coffee cups from landfill in three months</w:t>
      </w:r>
    </w:p>
    <w:p w:rsidR="0092299C" w:rsidRPr="0065234A" w:rsidRDefault="0092299C" w:rsidP="0092299C">
      <w:pPr>
        <w:pStyle w:val="ARbullet1"/>
      </w:pPr>
      <w:r w:rsidRPr="0065234A">
        <w:t>facility managers at 50 Lonsdale St</w:t>
      </w:r>
      <w:r>
        <w:t>reet</w:t>
      </w:r>
      <w:r w:rsidRPr="0065234A">
        <w:t>, Melbourne developed a new waste tender for the building that required providers to meet Green</w:t>
      </w:r>
      <w:r>
        <w:t xml:space="preserve"> </w:t>
      </w:r>
      <w:r w:rsidRPr="0065234A">
        <w:t>Star performance criteria</w:t>
      </w:r>
    </w:p>
    <w:p w:rsidR="0092299C" w:rsidRPr="0065234A" w:rsidRDefault="0092299C" w:rsidP="0092299C">
      <w:pPr>
        <w:pStyle w:val="ARbullet1"/>
      </w:pPr>
      <w:r w:rsidRPr="0065234A">
        <w:t>50 Lonsdale St</w:t>
      </w:r>
      <w:r>
        <w:t>reet</w:t>
      </w:r>
      <w:r w:rsidRPr="0065234A">
        <w:t>, Melbourne became a pilot site for the new NABERS Waste Gold Standard rating, ensuring best practice waste management</w:t>
      </w:r>
    </w:p>
    <w:p w:rsidR="0092299C" w:rsidRPr="0065234A" w:rsidRDefault="0092299C" w:rsidP="0092299C">
      <w:pPr>
        <w:pStyle w:val="ARbullet1"/>
      </w:pPr>
      <w:r w:rsidRPr="0065234A">
        <w:t>over 31,000</w:t>
      </w:r>
      <w:r>
        <w:t xml:space="preserve"> </w:t>
      </w:r>
      <w:r w:rsidRPr="0065234A">
        <w:t xml:space="preserve">kg of decommissioned </w:t>
      </w:r>
      <w:r>
        <w:t>information technology</w:t>
      </w:r>
      <w:r w:rsidRPr="0065234A">
        <w:t xml:space="preserve"> assets were collected from </w:t>
      </w:r>
      <w:r>
        <w:t>the department’s</w:t>
      </w:r>
      <w:r w:rsidRPr="0065234A">
        <w:t xml:space="preserve"> offices and recycled through </w:t>
      </w:r>
      <w:r>
        <w:t>a</w:t>
      </w:r>
      <w:r w:rsidRPr="0065234A">
        <w:t xml:space="preserve"> dedicated e</w:t>
      </w:r>
      <w:r>
        <w:t>-w</w:t>
      </w:r>
      <w:r w:rsidRPr="0065234A">
        <w:t>aste provider</w:t>
      </w:r>
    </w:p>
    <w:p w:rsidR="0092299C" w:rsidRPr="0065234A" w:rsidRDefault="0092299C" w:rsidP="0092299C">
      <w:pPr>
        <w:pStyle w:val="ARbullet1"/>
      </w:pPr>
      <w:r w:rsidRPr="0065234A">
        <w:t xml:space="preserve">signed a </w:t>
      </w:r>
      <w:r>
        <w:t>m</w:t>
      </w:r>
      <w:r w:rsidRPr="0065234A">
        <w:t xml:space="preserve">emorandum of </w:t>
      </w:r>
      <w:r>
        <w:t>u</w:t>
      </w:r>
      <w:r w:rsidRPr="0065234A">
        <w:t>nderstanding with Sustainability Victoria to research the cost-benefit of improved waste management within public hospitals.</w:t>
      </w:r>
    </w:p>
    <w:p w:rsidR="0092299C" w:rsidRDefault="0092299C" w:rsidP="0092299C">
      <w:pPr>
        <w:pStyle w:val="ARbodyafterbullets"/>
      </w:pPr>
      <w:r>
        <w:t xml:space="preserve">The 2017–18 </w:t>
      </w:r>
      <w:r w:rsidRPr="00C87EB0">
        <w:t>environmental target is</w:t>
      </w:r>
      <w:r>
        <w:t xml:space="preserve"> to</w:t>
      </w:r>
      <w:r w:rsidRPr="00C87EB0">
        <w:t>:</w:t>
      </w:r>
    </w:p>
    <w:p w:rsidR="0092299C" w:rsidRPr="0065234A" w:rsidRDefault="0092299C" w:rsidP="0092299C">
      <w:pPr>
        <w:pStyle w:val="ARbullet1"/>
      </w:pPr>
      <w:r w:rsidRPr="0065234A">
        <w:t>complete, report on and advocate for the continuation and expansion of the Simply Cups disposable coffee cup recycling program</w:t>
      </w:r>
    </w:p>
    <w:p w:rsidR="0092299C" w:rsidRPr="0065234A" w:rsidRDefault="0092299C" w:rsidP="0092299C">
      <w:pPr>
        <w:pStyle w:val="ARbullet1"/>
      </w:pPr>
      <w:r w:rsidRPr="0065234A">
        <w:t>complete the project with Sustainability Victoria to research the cost-benefit of improved waste management within public hospitals</w:t>
      </w:r>
    </w:p>
    <w:p w:rsidR="0092299C" w:rsidRPr="0065234A" w:rsidRDefault="0092299C" w:rsidP="0092299C">
      <w:pPr>
        <w:pStyle w:val="ARbullet1"/>
      </w:pPr>
      <w:r w:rsidRPr="0065234A">
        <w:lastRenderedPageBreak/>
        <w:t>report waste data from public hospitals and health services.</w:t>
      </w:r>
    </w:p>
    <w:p w:rsidR="0092299C" w:rsidRPr="00843E15" w:rsidRDefault="0092299C" w:rsidP="0092299C">
      <w:pPr>
        <w:pStyle w:val="Heading3"/>
      </w:pPr>
      <w:r w:rsidRPr="00DB0B69">
        <w:t>Sustainable</w:t>
      </w:r>
      <w:r w:rsidRPr="00843E15">
        <w:t xml:space="preserve"> </w:t>
      </w:r>
      <w:r w:rsidRPr="00DB0B69">
        <w:t>transport</w:t>
      </w:r>
    </w:p>
    <w:p w:rsidR="0092299C" w:rsidRDefault="0092299C" w:rsidP="0092299C">
      <w:pPr>
        <w:pStyle w:val="ARbody"/>
        <w:rPr>
          <w:rFonts w:ascii="Helv" w:hAnsi="Helv" w:cs="Helv"/>
          <w:lang w:eastAsia="en-AU"/>
        </w:rPr>
      </w:pPr>
      <w:r>
        <w:rPr>
          <w:lang w:eastAsia="en-AU"/>
        </w:rPr>
        <w:t>The department continues to build a more sustainable fleet and supports initiatives that encourage staff to seek alternative transport modes.</w:t>
      </w:r>
    </w:p>
    <w:p w:rsidR="0092299C" w:rsidRDefault="0092299C" w:rsidP="0092299C">
      <w:pPr>
        <w:pStyle w:val="ARbody"/>
        <w:rPr>
          <w:rFonts w:ascii="Helv" w:hAnsi="Helv" w:cs="Helv"/>
          <w:lang w:eastAsia="en-AU"/>
        </w:rPr>
      </w:pPr>
      <w:r>
        <w:rPr>
          <w:rFonts w:ascii="Helv" w:hAnsi="Helv" w:cs="Helv"/>
          <w:lang w:eastAsia="en-AU"/>
        </w:rPr>
        <w:t>In 2016–17, the department continued to implement the efficient fleet procurement policy, giving preference to fuel and emission efficient vehicles. In addition to this:</w:t>
      </w:r>
    </w:p>
    <w:p w:rsidR="0092299C" w:rsidRPr="0065234A" w:rsidRDefault="0092299C" w:rsidP="0092299C">
      <w:pPr>
        <w:pStyle w:val="ARbullet1"/>
      </w:pPr>
      <w:r w:rsidRPr="0065234A">
        <w:t>the department increased the number of hybrid vehicles to 39 per cent of new passenger vehicles purchased</w:t>
      </w:r>
    </w:p>
    <w:p w:rsidR="0092299C" w:rsidRPr="0065234A" w:rsidRDefault="0092299C" w:rsidP="0092299C">
      <w:pPr>
        <w:pStyle w:val="ARbullet1"/>
      </w:pPr>
      <w:r w:rsidRPr="0065234A">
        <w:t xml:space="preserve">total kilometres travelled increased by 11 per cent while total fuel consumption decreased by </w:t>
      </w:r>
      <w:r>
        <w:t>five</w:t>
      </w:r>
      <w:r w:rsidRPr="0065234A">
        <w:t xml:space="preserve"> per cent, indicating a more efficient fleet</w:t>
      </w:r>
    </w:p>
    <w:p w:rsidR="0092299C" w:rsidRPr="0065234A" w:rsidRDefault="0092299C" w:rsidP="0092299C">
      <w:pPr>
        <w:pStyle w:val="ARbullet1"/>
      </w:pPr>
      <w:r w:rsidRPr="0065234A">
        <w:t>the Vehicle Selector database was updated to reflect changes resulting from the impending cessation of the Australian vehicle manufacturing industry, ensuring that the department supports Australian manufacturers during this time</w:t>
      </w:r>
    </w:p>
    <w:p w:rsidR="0092299C" w:rsidRPr="0065234A" w:rsidRDefault="0092299C" w:rsidP="0092299C">
      <w:pPr>
        <w:pStyle w:val="ARbullet1"/>
      </w:pPr>
      <w:r w:rsidRPr="0065234A">
        <w:t xml:space="preserve">as part of the $338 million redevelopment of the Melbourne Park precinct, </w:t>
      </w:r>
      <w:proofErr w:type="spellStart"/>
      <w:r w:rsidRPr="0065234A">
        <w:t>Tanderrum</w:t>
      </w:r>
      <w:proofErr w:type="spellEnd"/>
      <w:r w:rsidRPr="0065234A">
        <w:t xml:space="preserve"> Bridge was opened on 22 December 2016 as a key link for thousands of pedestrians and cyclists from Flinders Street Station and </w:t>
      </w:r>
      <w:proofErr w:type="spellStart"/>
      <w:r w:rsidRPr="0065234A">
        <w:t>Birrarung</w:t>
      </w:r>
      <w:proofErr w:type="spellEnd"/>
      <w:r w:rsidRPr="0065234A">
        <w:t xml:space="preserve"> Marr to Melbourne’s sports precinct, directly over Batman Avenue</w:t>
      </w:r>
    </w:p>
    <w:p w:rsidR="0092299C" w:rsidRPr="0065234A" w:rsidRDefault="0092299C" w:rsidP="0092299C">
      <w:pPr>
        <w:pStyle w:val="ARbullet1"/>
      </w:pPr>
      <w:r w:rsidRPr="0065234A">
        <w:t>end of trip facilities at 50 Lonsdale St</w:t>
      </w:r>
      <w:r>
        <w:t>reet</w:t>
      </w:r>
      <w:r w:rsidRPr="0065234A">
        <w:t xml:space="preserve"> were expanded with an additional 24 showers, 410 lockers and secure storage for an additional 140 bikes.</w:t>
      </w:r>
    </w:p>
    <w:p w:rsidR="0092299C" w:rsidRDefault="0092299C" w:rsidP="0092299C">
      <w:pPr>
        <w:pStyle w:val="ARbodyafterbullets"/>
      </w:pPr>
      <w:r>
        <w:t xml:space="preserve">The 2017–18 environmental </w:t>
      </w:r>
      <w:r w:rsidRPr="00C87EB0">
        <w:t>target is</w:t>
      </w:r>
      <w:r>
        <w:t xml:space="preserve"> to</w:t>
      </w:r>
      <w:r w:rsidRPr="00C87EB0">
        <w:t>:</w:t>
      </w:r>
    </w:p>
    <w:p w:rsidR="0092299C" w:rsidRPr="0065234A" w:rsidRDefault="0092299C" w:rsidP="0092299C">
      <w:pPr>
        <w:pStyle w:val="ARbullet1"/>
      </w:pPr>
      <w:r w:rsidRPr="0065234A">
        <w:t>investigate the opportunity for shared Myki cards to encourage staff to use public transport for work</w:t>
      </w:r>
      <w:r>
        <w:t>-</w:t>
      </w:r>
      <w:r w:rsidRPr="0065234A">
        <w:t>related travel.</w:t>
      </w:r>
    </w:p>
    <w:p w:rsidR="0092299C" w:rsidRPr="00843E15" w:rsidRDefault="0092299C" w:rsidP="0092299C">
      <w:pPr>
        <w:pStyle w:val="Heading3"/>
      </w:pPr>
      <w:r w:rsidRPr="00843E15">
        <w:t xml:space="preserve">Climate change </w:t>
      </w:r>
      <w:r w:rsidRPr="00DB0B69">
        <w:t>adaptation</w:t>
      </w:r>
    </w:p>
    <w:p w:rsidR="0092299C" w:rsidRDefault="0092299C" w:rsidP="0092299C">
      <w:pPr>
        <w:pStyle w:val="ARbody"/>
      </w:pPr>
      <w:r w:rsidRPr="00C87EB0">
        <w:t xml:space="preserve">The </w:t>
      </w:r>
      <w:r>
        <w:t>d</w:t>
      </w:r>
      <w:r w:rsidRPr="00C87EB0">
        <w:t>epartment is committed</w:t>
      </w:r>
      <w:r>
        <w:t xml:space="preserve"> to proactively manage climate change risks for </w:t>
      </w:r>
      <w:r w:rsidRPr="00C87EB0">
        <w:t xml:space="preserve">clients, assets and </w:t>
      </w:r>
      <w:r>
        <w:t>services through mitigation and adaptation initiatives.</w:t>
      </w:r>
    </w:p>
    <w:p w:rsidR="0092299C" w:rsidRDefault="0092299C" w:rsidP="0092299C">
      <w:pPr>
        <w:pStyle w:val="ARbody"/>
      </w:pPr>
      <w:r w:rsidRPr="00C87EB0">
        <w:t xml:space="preserve">In </w:t>
      </w:r>
      <w:r>
        <w:t>2016–17, the department met its climate change targets to continue the Community Services Climate Resilience Program; to implement the Hazard Mapping and Cost project; to implement the climate and social determinants of health study; and successfully completed the housing solar and retrofit cost study.</w:t>
      </w:r>
    </w:p>
    <w:p w:rsidR="0092299C" w:rsidRPr="00C87EB0" w:rsidRDefault="0092299C" w:rsidP="0092299C">
      <w:pPr>
        <w:pStyle w:val="ARbody"/>
      </w:pPr>
      <w:r>
        <w:lastRenderedPageBreak/>
        <w:t>I</w:t>
      </w:r>
      <w:r w:rsidRPr="00C87EB0">
        <w:t>n addition to thi</w:t>
      </w:r>
      <w:r>
        <w:t>s, the d</w:t>
      </w:r>
      <w:r w:rsidRPr="00C87EB0">
        <w:t>epartment:</w:t>
      </w:r>
    </w:p>
    <w:p w:rsidR="0092299C" w:rsidRPr="0065234A" w:rsidRDefault="0092299C" w:rsidP="0092299C">
      <w:pPr>
        <w:pStyle w:val="ARbullet1"/>
      </w:pPr>
      <w:r w:rsidRPr="0065234A">
        <w:t xml:space="preserve">commenced the </w:t>
      </w:r>
      <w:r>
        <w:t>a</w:t>
      </w:r>
      <w:r w:rsidRPr="0065234A">
        <w:t xml:space="preserve">daptation </w:t>
      </w:r>
      <w:r>
        <w:t>h</w:t>
      </w:r>
      <w:r w:rsidRPr="0065234A">
        <w:t xml:space="preserve">ousing </w:t>
      </w:r>
      <w:r>
        <w:t>d</w:t>
      </w:r>
      <w:r w:rsidRPr="0065234A">
        <w:t xml:space="preserve">esign and </w:t>
      </w:r>
      <w:r>
        <w:t>b</w:t>
      </w:r>
      <w:r w:rsidRPr="0065234A">
        <w:t>uild project to design and build three two-bedroom houses according to climate</w:t>
      </w:r>
      <w:r>
        <w:t>-</w:t>
      </w:r>
      <w:r w:rsidRPr="0065234A">
        <w:t>adapted specifications</w:t>
      </w:r>
    </w:p>
    <w:p w:rsidR="0092299C" w:rsidRPr="0065234A" w:rsidRDefault="0092299C" w:rsidP="0092299C">
      <w:pPr>
        <w:pStyle w:val="ARbullet1"/>
      </w:pPr>
      <w:r w:rsidRPr="0065234A">
        <w:t xml:space="preserve">implemented new </w:t>
      </w:r>
      <w:r>
        <w:t>g</w:t>
      </w:r>
      <w:r w:rsidRPr="0065234A">
        <w:t xml:space="preserve">eneral </w:t>
      </w:r>
      <w:r>
        <w:t>h</w:t>
      </w:r>
      <w:r w:rsidRPr="0065234A">
        <w:t xml:space="preserve">ousing </w:t>
      </w:r>
      <w:r>
        <w:t>d</w:t>
      </w:r>
      <w:r w:rsidRPr="0065234A">
        <w:t xml:space="preserve">esign </w:t>
      </w:r>
      <w:r>
        <w:t>g</w:t>
      </w:r>
      <w:r w:rsidRPr="0065234A">
        <w:t xml:space="preserve">uidelines that stipulate efficient all-electric dwellings (with heat pumps), and minimum </w:t>
      </w:r>
      <w:r>
        <w:t xml:space="preserve">seven </w:t>
      </w:r>
      <w:r w:rsidRPr="0065234A">
        <w:t xml:space="preserve">star </w:t>
      </w:r>
      <w:r w:rsidRPr="0041672F">
        <w:t>Nationwide House Energy Rating Scheme</w:t>
      </w:r>
      <w:r>
        <w:t xml:space="preserve"> (</w:t>
      </w:r>
      <w:proofErr w:type="spellStart"/>
      <w:r w:rsidRPr="0065234A">
        <w:t>NatHERS</w:t>
      </w:r>
      <w:proofErr w:type="spellEnd"/>
      <w:r>
        <w:t>)</w:t>
      </w:r>
      <w:r w:rsidRPr="0065234A">
        <w:t xml:space="preserve"> rating with solar </w:t>
      </w:r>
      <w:r>
        <w:t>panels</w:t>
      </w:r>
      <w:r w:rsidRPr="0065234A">
        <w:t>, where feasible, for all new Director of Housing general housing properties.</w:t>
      </w:r>
    </w:p>
    <w:p w:rsidR="0092299C" w:rsidRDefault="0092299C" w:rsidP="0092299C">
      <w:pPr>
        <w:pStyle w:val="ARbodyafterbullets"/>
      </w:pPr>
      <w:r>
        <w:t>The 2017–18 environmental target is to:</w:t>
      </w:r>
    </w:p>
    <w:p w:rsidR="0092299C" w:rsidRPr="0065234A" w:rsidRDefault="0092299C" w:rsidP="0092299C">
      <w:pPr>
        <w:pStyle w:val="ARbullet1"/>
      </w:pPr>
      <w:r w:rsidRPr="0065234A">
        <w:t xml:space="preserve">develop an </w:t>
      </w:r>
      <w:r>
        <w:t>e</w:t>
      </w:r>
      <w:r w:rsidRPr="0065234A">
        <w:t xml:space="preserve">missions </w:t>
      </w:r>
      <w:r>
        <w:t>r</w:t>
      </w:r>
      <w:r w:rsidRPr="0065234A">
        <w:t xml:space="preserve">eduction </w:t>
      </w:r>
      <w:r>
        <w:t>p</w:t>
      </w:r>
      <w:r w:rsidRPr="0065234A">
        <w:t>lan for the health and human services system</w:t>
      </w:r>
    </w:p>
    <w:p w:rsidR="0092299C" w:rsidRPr="0065234A" w:rsidRDefault="0092299C" w:rsidP="0092299C">
      <w:pPr>
        <w:pStyle w:val="ARbullet1"/>
      </w:pPr>
      <w:r w:rsidRPr="0065234A">
        <w:t xml:space="preserve">develop a </w:t>
      </w:r>
      <w:r>
        <w:t>p</w:t>
      </w:r>
      <w:r w:rsidRPr="0065234A">
        <w:t xml:space="preserve">ilot </w:t>
      </w:r>
      <w:r>
        <w:t>a</w:t>
      </w:r>
      <w:r w:rsidRPr="0065234A">
        <w:t xml:space="preserve">daptation </w:t>
      </w:r>
      <w:r>
        <w:t>a</w:t>
      </w:r>
      <w:r w:rsidRPr="0065234A">
        <w:t xml:space="preserve">ction </w:t>
      </w:r>
      <w:r>
        <w:t>p</w:t>
      </w:r>
      <w:r w:rsidRPr="0065234A">
        <w:t>lan for the health and human services system</w:t>
      </w:r>
    </w:p>
    <w:p w:rsidR="0092299C" w:rsidRPr="0065234A" w:rsidRDefault="0092299C" w:rsidP="0092299C">
      <w:pPr>
        <w:pStyle w:val="ARbullet1"/>
      </w:pPr>
      <w:r w:rsidRPr="0065234A">
        <w:t xml:space="preserve">implement the </w:t>
      </w:r>
      <w:r>
        <w:t>s</w:t>
      </w:r>
      <w:r w:rsidRPr="0065234A">
        <w:t xml:space="preserve">tudy of </w:t>
      </w:r>
      <w:r>
        <w:t>s</w:t>
      </w:r>
      <w:r w:rsidRPr="0065234A">
        <w:t xml:space="preserve">olar </w:t>
      </w:r>
      <w:r>
        <w:t>o</w:t>
      </w:r>
      <w:r w:rsidRPr="0065234A">
        <w:t xml:space="preserve">pportunities for </w:t>
      </w:r>
      <w:r>
        <w:t>p</w:t>
      </w:r>
      <w:r w:rsidRPr="0065234A">
        <w:t xml:space="preserve">ublic </w:t>
      </w:r>
      <w:r>
        <w:t>h</w:t>
      </w:r>
      <w:r w:rsidRPr="0065234A">
        <w:t xml:space="preserve">ousing </w:t>
      </w:r>
      <w:r>
        <w:t>a</w:t>
      </w:r>
      <w:r w:rsidRPr="0065234A">
        <w:t>ssets.</w:t>
      </w:r>
    </w:p>
    <w:p w:rsidR="0092299C" w:rsidRPr="00843E15" w:rsidRDefault="0092299C" w:rsidP="0092299C">
      <w:pPr>
        <w:pStyle w:val="Heading3"/>
        <w:rPr>
          <w:sz w:val="20"/>
          <w:szCs w:val="20"/>
        </w:rPr>
      </w:pPr>
      <w:r w:rsidRPr="00DB0B69">
        <w:t>Communications</w:t>
      </w:r>
      <w:r w:rsidRPr="00843E15">
        <w:t xml:space="preserve"> and behaviour change</w:t>
      </w:r>
    </w:p>
    <w:p w:rsidR="0092299C" w:rsidRDefault="0092299C" w:rsidP="0092299C">
      <w:pPr>
        <w:pStyle w:val="ARbody"/>
      </w:pPr>
      <w:r w:rsidRPr="00006F96">
        <w:t xml:space="preserve">The </w:t>
      </w:r>
      <w:r>
        <w:t>d</w:t>
      </w:r>
      <w:r w:rsidRPr="00006F96">
        <w:t xml:space="preserve">epartment </w:t>
      </w:r>
      <w:r>
        <w:t xml:space="preserve">promotes sustainable behaviour </w:t>
      </w:r>
      <w:r w:rsidR="00120697">
        <w:br/>
      </w:r>
      <w:r>
        <w:t xml:space="preserve">to all staff and aims to raise staff awareness and engagement in </w:t>
      </w:r>
      <w:r w:rsidRPr="00DB0B69">
        <w:t>environmental</w:t>
      </w:r>
      <w:r>
        <w:t xml:space="preserve"> issues to drive positive environmental outcomes.</w:t>
      </w:r>
    </w:p>
    <w:p w:rsidR="0092299C" w:rsidRDefault="0092299C" w:rsidP="0092299C">
      <w:pPr>
        <w:pStyle w:val="ARbody"/>
      </w:pPr>
      <w:r>
        <w:t>In 2016–17, the new staff-driven Future Sustainability Committee facilitated staff engagement.</w:t>
      </w:r>
    </w:p>
    <w:p w:rsidR="0092299C" w:rsidRDefault="0092299C" w:rsidP="0092299C">
      <w:pPr>
        <w:pStyle w:val="ARbody"/>
      </w:pPr>
      <w:r>
        <w:t>In addition to this the department:</w:t>
      </w:r>
    </w:p>
    <w:p w:rsidR="0092299C" w:rsidRPr="0065234A" w:rsidRDefault="0092299C" w:rsidP="0092299C">
      <w:pPr>
        <w:pStyle w:val="ARbullet1"/>
      </w:pPr>
      <w:r w:rsidRPr="0065234A">
        <w:t xml:space="preserve">was recognised through the 2016 </w:t>
      </w:r>
      <w:r w:rsidRPr="0078429B">
        <w:t xml:space="preserve">Institute </w:t>
      </w:r>
      <w:r w:rsidR="00120697">
        <w:br/>
      </w:r>
      <w:r w:rsidRPr="0078429B">
        <w:t xml:space="preserve">of Public Administration Australia </w:t>
      </w:r>
      <w:r>
        <w:t>(</w:t>
      </w:r>
      <w:r w:rsidRPr="0065234A">
        <w:t>IPAA</w:t>
      </w:r>
      <w:r>
        <w:t>)</w:t>
      </w:r>
      <w:r w:rsidRPr="0065234A">
        <w:t xml:space="preserve"> Leadership in the Public Sector Awards for the Environmentally Sustainable Development Program</w:t>
      </w:r>
    </w:p>
    <w:p w:rsidR="0092299C" w:rsidRPr="0065234A" w:rsidRDefault="0092299C" w:rsidP="0092299C">
      <w:pPr>
        <w:pStyle w:val="ARbullet1"/>
      </w:pPr>
      <w:r w:rsidRPr="0065234A">
        <w:t xml:space="preserve">worked in partnership with Sustainability Victoria to promote TAKE2, the Victorian Government’s </w:t>
      </w:r>
      <w:r>
        <w:t>c</w:t>
      </w:r>
      <w:r w:rsidRPr="0065234A">
        <w:t xml:space="preserve">limate </w:t>
      </w:r>
      <w:r>
        <w:t>c</w:t>
      </w:r>
      <w:r w:rsidRPr="0065234A">
        <w:t>hange pledging program to all staff and to funded agencies</w:t>
      </w:r>
    </w:p>
    <w:p w:rsidR="0092299C" w:rsidRPr="0065234A" w:rsidRDefault="0092299C" w:rsidP="0092299C">
      <w:pPr>
        <w:pStyle w:val="ARbullet1"/>
      </w:pPr>
      <w:r w:rsidRPr="0065234A">
        <w:t>continued the use of an environmental data management system for health services and expanded this to include waste functionality to better enable monitoring and reporting of health system waste management practices</w:t>
      </w:r>
    </w:p>
    <w:p w:rsidR="0092299C" w:rsidRPr="0065234A" w:rsidRDefault="0092299C" w:rsidP="0092299C">
      <w:pPr>
        <w:pStyle w:val="ARbullet1"/>
      </w:pPr>
      <w:r w:rsidRPr="0065234A">
        <w:t>developed a range of resources to assist health services to improve their environmental performance</w:t>
      </w:r>
      <w:r>
        <w:t>,</w:t>
      </w:r>
      <w:r w:rsidRPr="0065234A">
        <w:t xml:space="preserve"> including a factsheet on implementing a PVC recycling program</w:t>
      </w:r>
      <w:r>
        <w:t>;</w:t>
      </w:r>
      <w:r w:rsidRPr="0065234A">
        <w:t xml:space="preserve"> case studies on staff-driven sustainability initiatives</w:t>
      </w:r>
      <w:r>
        <w:t>;</w:t>
      </w:r>
      <w:r w:rsidRPr="0065234A">
        <w:t xml:space="preserve"> food organics recycling guidelines</w:t>
      </w:r>
      <w:r>
        <w:t>;</w:t>
      </w:r>
      <w:r w:rsidRPr="0065234A">
        <w:t xml:space="preserve"> and public environmental reporting guidelines to assist health services meet mandatory environmenta</w:t>
      </w:r>
      <w:r>
        <w:t>l reporting requirements.</w:t>
      </w:r>
    </w:p>
    <w:p w:rsidR="0092299C" w:rsidRDefault="0092299C" w:rsidP="0092299C">
      <w:pPr>
        <w:pStyle w:val="ARbodyafterbullets"/>
      </w:pPr>
      <w:r>
        <w:lastRenderedPageBreak/>
        <w:t>The 2017–18 environmental target is to:</w:t>
      </w:r>
    </w:p>
    <w:p w:rsidR="0092299C" w:rsidRPr="0065234A" w:rsidRDefault="0092299C" w:rsidP="0092299C">
      <w:pPr>
        <w:pStyle w:val="ARbullet1"/>
      </w:pPr>
      <w:r w:rsidRPr="0065234A">
        <w:t xml:space="preserve">promote and advocate for greater integration of </w:t>
      </w:r>
      <w:r>
        <w:t>e</w:t>
      </w:r>
      <w:r w:rsidRPr="0065234A">
        <w:t xml:space="preserve">cologically </w:t>
      </w:r>
      <w:r>
        <w:t>s</w:t>
      </w:r>
      <w:r w:rsidRPr="0065234A">
        <w:t xml:space="preserve">ustainable </w:t>
      </w:r>
      <w:r>
        <w:t>d</w:t>
      </w:r>
      <w:r w:rsidRPr="0065234A">
        <w:t xml:space="preserve">esign principles into </w:t>
      </w:r>
      <w:r>
        <w:t xml:space="preserve">the department’s </w:t>
      </w:r>
      <w:r w:rsidRPr="0065234A">
        <w:t>standard build processes</w:t>
      </w:r>
    </w:p>
    <w:p w:rsidR="0092299C" w:rsidRPr="0065234A" w:rsidRDefault="0092299C" w:rsidP="0092299C">
      <w:pPr>
        <w:pStyle w:val="ARbullet1"/>
      </w:pPr>
      <w:r w:rsidRPr="0065234A">
        <w:t xml:space="preserve">review the department’s </w:t>
      </w:r>
      <w:r>
        <w:t>g</w:t>
      </w:r>
      <w:r w:rsidRPr="0065234A">
        <w:t>uidelines for sustainability in healthcare capital works</w:t>
      </w:r>
    </w:p>
    <w:p w:rsidR="0092299C" w:rsidRPr="0065234A" w:rsidRDefault="0092299C" w:rsidP="0092299C">
      <w:pPr>
        <w:pStyle w:val="ARbullet1"/>
      </w:pPr>
      <w:r w:rsidRPr="0065234A">
        <w:t>develop an environmental sustainability strategy for the public health care system.</w:t>
      </w:r>
    </w:p>
    <w:p w:rsidR="0092299C" w:rsidRPr="00843E15" w:rsidRDefault="0092299C" w:rsidP="0092299C">
      <w:pPr>
        <w:pStyle w:val="Heading3"/>
      </w:pPr>
      <w:r w:rsidRPr="00843E15">
        <w:t xml:space="preserve">Environmental performance </w:t>
      </w:r>
      <w:r w:rsidRPr="00DB0B69">
        <w:t>reporting</w:t>
      </w:r>
    </w:p>
    <w:p w:rsidR="0092299C" w:rsidRDefault="0092299C" w:rsidP="0092299C">
      <w:pPr>
        <w:pStyle w:val="ARbody"/>
      </w:pPr>
      <w:r w:rsidRPr="000A1C0B">
        <w:t>The following information has been prepared in accordance with Financial Reporting Direction (FRD) 24C and the Global Reporting Initiative (G4) environmental category.</w:t>
      </w:r>
    </w:p>
    <w:p w:rsidR="0092299C" w:rsidRDefault="0092299C" w:rsidP="0092299C">
      <w:pPr>
        <w:pStyle w:val="ARbody"/>
      </w:pPr>
      <w:r>
        <w:t>The information relates to the d</w:t>
      </w:r>
      <w:r w:rsidRPr="000A1C0B">
        <w:t>epartment</w:t>
      </w:r>
      <w:r>
        <w:t>’</w:t>
      </w:r>
      <w:r w:rsidRPr="000A1C0B">
        <w:t>s impact on living and non-living natural systems, including land, air, water and ecosystems.</w:t>
      </w:r>
    </w:p>
    <w:p w:rsidR="0092299C" w:rsidRDefault="0092299C" w:rsidP="0092299C">
      <w:pPr>
        <w:pStyle w:val="ARbody"/>
      </w:pPr>
      <w:r w:rsidRPr="000A1C0B">
        <w:t>FRD24 requires that</w:t>
      </w:r>
      <w:r>
        <w:t xml:space="preserve"> this report provide</w:t>
      </w:r>
      <w:r w:rsidRPr="000A1C0B">
        <w:t xml:space="preserve"> information relating to inputs (such as energy and water) and outputs (such as emissions and waste).</w:t>
      </w:r>
    </w:p>
    <w:p w:rsidR="0092299C" w:rsidRDefault="0092299C" w:rsidP="0092299C">
      <w:pPr>
        <w:pStyle w:val="ARbody"/>
      </w:pPr>
      <w:r w:rsidRPr="000A1C0B">
        <w:t xml:space="preserve">In addition, procurement, transport, product and service related impacts are taken into consideration, as </w:t>
      </w:r>
      <w:r>
        <w:t xml:space="preserve">are </w:t>
      </w:r>
      <w:r w:rsidRPr="000A1C0B">
        <w:t>environmental compliance and expenditure.</w:t>
      </w:r>
    </w:p>
    <w:p w:rsidR="0092299C" w:rsidRPr="000A1C0B" w:rsidRDefault="0092299C" w:rsidP="0092299C">
      <w:pPr>
        <w:pStyle w:val="ARbody"/>
      </w:pPr>
      <w:r w:rsidRPr="000A1C0B">
        <w:t>G4 environmental aspects are partially reported</w:t>
      </w:r>
      <w:r>
        <w:t xml:space="preserve">. This </w:t>
      </w:r>
      <w:r w:rsidRPr="000A1C0B">
        <w:t>includ</w:t>
      </w:r>
      <w:r>
        <w:t>es</w:t>
      </w:r>
      <w:r w:rsidRPr="000A1C0B">
        <w:t xml:space="preserve"> the indicators for materials (EN1, EN2), energy (EN3, EN5), water (EN8), emissions (EN15, EN18), waste (EN23), products and services (EN27) and transport (EN30). All dollar figures include GST</w:t>
      </w:r>
      <w:r w:rsidR="007B5D12" w:rsidRPr="007B5D12">
        <w:t>, except the public health services data which exclude GST</w:t>
      </w:r>
      <w:r w:rsidRPr="000A1C0B">
        <w:t>.</w:t>
      </w:r>
    </w:p>
    <w:p w:rsidR="0092299C" w:rsidRPr="000A1C0B" w:rsidRDefault="0092299C" w:rsidP="0092299C">
      <w:pPr>
        <w:pStyle w:val="ARbody"/>
      </w:pPr>
      <w:r w:rsidRPr="000A1C0B">
        <w:t xml:space="preserve">In </w:t>
      </w:r>
      <w:r>
        <w:t>2016–17</w:t>
      </w:r>
      <w:r w:rsidRPr="000A1C0B">
        <w:t>, the environmental performance reporting data include property and assets u</w:t>
      </w:r>
      <w:r>
        <w:t>tilised in the delivery of the d</w:t>
      </w:r>
      <w:r w:rsidRPr="000A1C0B">
        <w:t>epartment’s core functions, including corporate offices</w:t>
      </w:r>
      <w:r>
        <w:t>;</w:t>
      </w:r>
      <w:r w:rsidRPr="000A1C0B">
        <w:t xml:space="preserve"> secure services</w:t>
      </w:r>
      <w:r>
        <w:t>;</w:t>
      </w:r>
      <w:r w:rsidRPr="000A1C0B">
        <w:t xml:space="preserve"> residential housing</w:t>
      </w:r>
      <w:r>
        <w:t>;</w:t>
      </w:r>
      <w:r w:rsidRPr="000A1C0B">
        <w:t xml:space="preserve"> and </w:t>
      </w:r>
      <w:r>
        <w:t xml:space="preserve">public hospitals and </w:t>
      </w:r>
      <w:r w:rsidRPr="000A1C0B">
        <w:t>health</w:t>
      </w:r>
      <w:r>
        <w:t xml:space="preserve"> services</w:t>
      </w:r>
      <w:r w:rsidRPr="000A1C0B">
        <w:t>. This report includes disability accommodation clients’ residential energy usage and shared</w:t>
      </w:r>
      <w:r>
        <w:t xml:space="preserve"> </w:t>
      </w:r>
      <w:r w:rsidRPr="000A1C0B">
        <w:t xml:space="preserve">base building energy and water in offices and public housing facilities. All figures </w:t>
      </w:r>
      <w:r>
        <w:t>have been</w:t>
      </w:r>
      <w:r w:rsidRPr="000A1C0B">
        <w:t xml:space="preserve"> forecast and adjusted to include the most up-to-date information. Where data was not available o</w:t>
      </w:r>
      <w:r>
        <w:t xml:space="preserve">r estimated in 2015–16 </w:t>
      </w:r>
      <w:r w:rsidRPr="000A1C0B">
        <w:t>but has since become available, the data has been adjusted to reflect actual figures representing the reported building portfolio as at 30 June 2017.</w:t>
      </w:r>
    </w:p>
    <w:p w:rsidR="0092299C" w:rsidRPr="000A1C0B" w:rsidRDefault="00E710A0" w:rsidP="0092299C">
      <w:pPr>
        <w:pStyle w:val="ARbody"/>
      </w:pPr>
      <w:r>
        <w:br w:type="column"/>
      </w:r>
      <w:r w:rsidR="0092299C" w:rsidRPr="000A1C0B">
        <w:lastRenderedPageBreak/>
        <w:t xml:space="preserve">At 30 June 2017, the </w:t>
      </w:r>
      <w:r w:rsidR="0092299C">
        <w:t>d</w:t>
      </w:r>
      <w:r w:rsidR="0092299C" w:rsidRPr="000A1C0B">
        <w:t>epartment provided its administrat</w:t>
      </w:r>
      <w:r w:rsidR="0092299C">
        <w:t xml:space="preserve">ive </w:t>
      </w:r>
      <w:r w:rsidR="0092299C" w:rsidRPr="000A1C0B">
        <w:t xml:space="preserve">services from </w:t>
      </w:r>
      <w:r w:rsidR="0092299C">
        <w:t>47</w:t>
      </w:r>
      <w:r w:rsidR="0092299C" w:rsidRPr="00595E68">
        <w:t xml:space="preserve"> </w:t>
      </w:r>
      <w:r w:rsidR="0092299C" w:rsidRPr="000A1C0B">
        <w:t>office locations acro</w:t>
      </w:r>
      <w:r w:rsidR="0092299C">
        <w:t>ss the state. In addition, the d</w:t>
      </w:r>
      <w:r w:rsidR="0092299C" w:rsidRPr="000A1C0B">
        <w:t>epartment operates from operational centres providing secure services and disability residential services. Public housing energy data is representative of community facilities, general lighting and bul</w:t>
      </w:r>
      <w:r w:rsidR="0092299C">
        <w:t>k hot water equipment from high-</w:t>
      </w:r>
      <w:r w:rsidR="0092299C" w:rsidRPr="000A1C0B">
        <w:t>rise</w:t>
      </w:r>
      <w:r w:rsidR="0092299C">
        <w:t>;</w:t>
      </w:r>
      <w:r w:rsidR="0092299C" w:rsidRPr="000A1C0B">
        <w:t xml:space="preserve"> multi</w:t>
      </w:r>
      <w:r w:rsidR="0092299C">
        <w:t>-</w:t>
      </w:r>
      <w:r w:rsidR="0092299C" w:rsidRPr="000A1C0B">
        <w:t>apartment tower blocks</w:t>
      </w:r>
      <w:r w:rsidR="0092299C">
        <w:t>;</w:t>
      </w:r>
      <w:r w:rsidR="0092299C" w:rsidRPr="000A1C0B">
        <w:t xml:space="preserve"> low</w:t>
      </w:r>
      <w:r w:rsidR="0092299C">
        <w:t>-</w:t>
      </w:r>
      <w:r w:rsidR="0092299C" w:rsidRPr="000A1C0B">
        <w:t>rise apartment blocks</w:t>
      </w:r>
      <w:r w:rsidR="0092299C">
        <w:t>;</w:t>
      </w:r>
      <w:r w:rsidR="0092299C" w:rsidRPr="000A1C0B">
        <w:t xml:space="preserve"> and general rental public housing stock</w:t>
      </w:r>
      <w:r w:rsidR="0092299C">
        <w:t>. W</w:t>
      </w:r>
      <w:r w:rsidR="0092299C" w:rsidRPr="000A1C0B">
        <w:t>ater use data is representative of the high</w:t>
      </w:r>
      <w:r w:rsidR="0092299C">
        <w:t>-</w:t>
      </w:r>
      <w:r w:rsidR="0092299C" w:rsidRPr="000A1C0B">
        <w:t>rise public housing locations under the environmental management system.</w:t>
      </w:r>
    </w:p>
    <w:p w:rsidR="0092299C" w:rsidRPr="000A1C0B" w:rsidRDefault="0092299C" w:rsidP="0092299C">
      <w:pPr>
        <w:pStyle w:val="ARbody"/>
      </w:pPr>
      <w:r w:rsidRPr="000A1C0B">
        <w:t>The public health service energy and water data represents a summa</w:t>
      </w:r>
      <w:r>
        <w:t>ry</w:t>
      </w:r>
      <w:r w:rsidRPr="000A1C0B">
        <w:t xml:space="preserve"> of data reported by </w:t>
      </w:r>
      <w:r w:rsidRPr="000E17A3">
        <w:t>Victoria’s 86</w:t>
      </w:r>
      <w:r w:rsidRPr="000A1C0B">
        <w:t xml:space="preserve"> public hospitals and health services, </w:t>
      </w:r>
      <w:r>
        <w:t>in</w:t>
      </w:r>
      <w:r w:rsidRPr="000A1C0B">
        <w:t>cluding Ambulance Victoria.</w:t>
      </w:r>
    </w:p>
    <w:p w:rsidR="0092299C" w:rsidRPr="000A1C0B" w:rsidRDefault="0092299C" w:rsidP="0092299C">
      <w:pPr>
        <w:pStyle w:val="ARbody"/>
      </w:pPr>
      <w:r w:rsidRPr="00595E68">
        <w:t xml:space="preserve">To </w:t>
      </w:r>
      <w:r w:rsidRPr="009F01DB">
        <w:t xml:space="preserve">continually </w:t>
      </w:r>
      <w:r w:rsidRPr="00595E68">
        <w:t>improve public reporting</w:t>
      </w:r>
      <w:r>
        <w:t>,</w:t>
      </w:r>
      <w:r w:rsidRPr="00595E68">
        <w:t xml:space="preserve"> the department </w:t>
      </w:r>
      <w:r>
        <w:t>reviews</w:t>
      </w:r>
      <w:r w:rsidRPr="00595E68">
        <w:t xml:space="preserve"> the number of public health facilities reporting energy and water data to the department</w:t>
      </w:r>
      <w:r>
        <w:t xml:space="preserve"> on an ongoing basis</w:t>
      </w:r>
      <w:r w:rsidRPr="00595E68">
        <w:t xml:space="preserve">. Increases in energy and water use may therefore be attributed to an increase in the number of facilities reporting. </w:t>
      </w:r>
      <w:r>
        <w:t xml:space="preserve">In 2016–17 a number of capital works were completed, including three significant greenfield hospitals: the Victorian Comprehensive Cancer Centre; New Bendigo Hospital Stage 1; and the </w:t>
      </w:r>
      <w:r w:rsidRPr="00FD301F">
        <w:t xml:space="preserve">Monash </w:t>
      </w:r>
      <w:r>
        <w:t>Children’s Hospital</w:t>
      </w:r>
      <w:r w:rsidRPr="00FD301F">
        <w:t>.</w:t>
      </w:r>
      <w:r>
        <w:t xml:space="preserve"> Environmental data for these sites are included for the first time and have contributed to increased resource use. </w:t>
      </w:r>
      <w:r w:rsidRPr="000E17A3">
        <w:t>Data has not been externally verified.</w:t>
      </w:r>
      <w:r>
        <w:t xml:space="preserve"> </w:t>
      </w:r>
      <w:r w:rsidRPr="000E17A3">
        <w:t>Bed days include occupied bed days and public sector residential aged car</w:t>
      </w:r>
      <w:r>
        <w:t>e</w:t>
      </w:r>
      <w:r w:rsidRPr="000E17A3">
        <w:t xml:space="preserve"> bed days.</w:t>
      </w:r>
    </w:p>
    <w:p w:rsidR="0092299C" w:rsidRDefault="0092299C" w:rsidP="0092299C">
      <w:pPr>
        <w:pStyle w:val="ARbody"/>
        <w:spacing w:after="0"/>
        <w:sectPr w:rsidR="0092299C" w:rsidSect="00900535">
          <w:endnotePr>
            <w:numFmt w:val="decimal"/>
          </w:endnotePr>
          <w:type w:val="continuous"/>
          <w:pgSz w:w="11900" w:h="16840" w:code="9"/>
          <w:pgMar w:top="1531" w:right="851" w:bottom="680" w:left="1418" w:header="510" w:footer="340" w:gutter="0"/>
          <w:cols w:num="2" w:space="454"/>
        </w:sectPr>
      </w:pPr>
    </w:p>
    <w:p w:rsidR="0092299C" w:rsidRPr="00843E15" w:rsidRDefault="0092299C" w:rsidP="002E3080">
      <w:pPr>
        <w:pStyle w:val="Heading3"/>
        <w:spacing w:before="0"/>
      </w:pPr>
      <w:r w:rsidRPr="00DB0B69">
        <w:lastRenderedPageBreak/>
        <w:t>Greenhouse</w:t>
      </w:r>
      <w:r w:rsidRPr="00843E15">
        <w:t xml:space="preserve"> gas emissions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434"/>
        <w:gridCol w:w="1735"/>
        <w:gridCol w:w="1735"/>
        <w:gridCol w:w="1735"/>
      </w:tblGrid>
      <w:tr w:rsidR="0092299C" w:rsidRPr="000C03D1" w:rsidTr="0092299C">
        <w:trPr>
          <w:cantSplit/>
          <w:trHeight w:val="270"/>
          <w:tblHeader/>
        </w:trPr>
        <w:tc>
          <w:tcPr>
            <w:tcW w:w="4434" w:type="dxa"/>
            <w:vAlign w:val="bottom"/>
          </w:tcPr>
          <w:p w:rsidR="0092299C" w:rsidRPr="000C03D1" w:rsidRDefault="0092299C" w:rsidP="0092299C">
            <w:pPr>
              <w:pStyle w:val="ARtablecolhead"/>
              <w:rPr>
                <w:color w:val="000000" w:themeColor="text1"/>
              </w:rPr>
            </w:pPr>
            <w:r w:rsidRPr="000C03D1">
              <w:rPr>
                <w:color w:val="000000" w:themeColor="text1"/>
              </w:rPr>
              <w:t>Total greenhouse gas emissions (tonnes CO</w:t>
            </w:r>
            <w:r w:rsidRPr="000C03D1">
              <w:rPr>
                <w:color w:val="000000" w:themeColor="text1"/>
                <w:vertAlign w:val="subscript"/>
              </w:rPr>
              <w:t>2</w:t>
            </w:r>
            <w:r w:rsidRPr="000C03D1">
              <w:rPr>
                <w:color w:val="000000" w:themeColor="text1"/>
              </w:rPr>
              <w:t xml:space="preserve">-e) associated with: </w:t>
            </w:r>
          </w:p>
        </w:tc>
        <w:tc>
          <w:tcPr>
            <w:tcW w:w="1735" w:type="dxa"/>
            <w:vAlign w:val="bottom"/>
          </w:tcPr>
          <w:p w:rsidR="0092299C" w:rsidRPr="000C03D1" w:rsidRDefault="0092299C" w:rsidP="006D672C">
            <w:pPr>
              <w:pStyle w:val="ARtablecolheadright"/>
              <w:rPr>
                <w:color w:val="000000" w:themeColor="text1"/>
              </w:rPr>
            </w:pPr>
            <w:r w:rsidRPr="000C03D1">
              <w:rPr>
                <w:color w:val="000000" w:themeColor="text1"/>
              </w:rPr>
              <w:t>2014–15</w:t>
            </w:r>
            <w:r w:rsidR="006D672C">
              <w:rPr>
                <w:color w:val="000000" w:themeColor="text1"/>
              </w:rPr>
              <w:br/>
            </w:r>
            <w:r w:rsidRPr="000C03D1">
              <w:rPr>
                <w:color w:val="000000" w:themeColor="text1"/>
              </w:rPr>
              <w:t>estimate</w:t>
            </w:r>
          </w:p>
        </w:tc>
        <w:tc>
          <w:tcPr>
            <w:tcW w:w="1735" w:type="dxa"/>
            <w:vAlign w:val="bottom"/>
          </w:tcPr>
          <w:p w:rsidR="0092299C" w:rsidRPr="000C03D1" w:rsidRDefault="0092299C" w:rsidP="006D672C">
            <w:pPr>
              <w:pStyle w:val="ARtablecolheadright"/>
              <w:rPr>
                <w:color w:val="000000" w:themeColor="text1"/>
              </w:rPr>
            </w:pPr>
            <w:r w:rsidRPr="000C03D1">
              <w:rPr>
                <w:color w:val="000000" w:themeColor="text1"/>
              </w:rPr>
              <w:t>2015–16</w:t>
            </w:r>
            <w:r w:rsidR="006D672C">
              <w:rPr>
                <w:color w:val="000000" w:themeColor="text1"/>
              </w:rPr>
              <w:br/>
            </w:r>
            <w:r w:rsidRPr="000C03D1">
              <w:rPr>
                <w:color w:val="000000" w:themeColor="text1"/>
              </w:rPr>
              <w:t>estimate</w:t>
            </w:r>
          </w:p>
        </w:tc>
        <w:tc>
          <w:tcPr>
            <w:tcW w:w="1735" w:type="dxa"/>
            <w:vAlign w:val="bottom"/>
          </w:tcPr>
          <w:p w:rsidR="0092299C" w:rsidRPr="000C03D1" w:rsidRDefault="0092299C" w:rsidP="006D672C">
            <w:pPr>
              <w:pStyle w:val="ARtablecolheadright"/>
              <w:rPr>
                <w:color w:val="000000" w:themeColor="text1"/>
              </w:rPr>
            </w:pPr>
            <w:r w:rsidRPr="000C03D1">
              <w:rPr>
                <w:color w:val="000000" w:themeColor="text1"/>
              </w:rPr>
              <w:t>2016–17</w:t>
            </w:r>
            <w:r w:rsidR="006D672C">
              <w:rPr>
                <w:color w:val="000000" w:themeColor="text1"/>
              </w:rPr>
              <w:br/>
            </w:r>
            <w:r w:rsidRPr="000C03D1">
              <w:rPr>
                <w:color w:val="000000" w:themeColor="text1"/>
              </w:rPr>
              <w:t xml:space="preserve">estimate </w:t>
            </w:r>
          </w:p>
        </w:tc>
      </w:tr>
      <w:tr w:rsidR="0092299C" w:rsidRPr="00BB1BFA" w:rsidTr="0092299C">
        <w:trPr>
          <w:cantSplit/>
          <w:trHeight w:val="270"/>
        </w:trPr>
        <w:tc>
          <w:tcPr>
            <w:tcW w:w="4434" w:type="dxa"/>
          </w:tcPr>
          <w:p w:rsidR="0092299C" w:rsidRPr="00DB0B69" w:rsidRDefault="0092299C" w:rsidP="0092299C">
            <w:pPr>
              <w:pStyle w:val="ARtabletext"/>
            </w:pPr>
            <w:r w:rsidRPr="00DB0B69">
              <w:t>Public hospitals energy use</w:t>
            </w:r>
          </w:p>
        </w:tc>
        <w:tc>
          <w:tcPr>
            <w:tcW w:w="1735" w:type="dxa"/>
          </w:tcPr>
          <w:p w:rsidR="0092299C" w:rsidRPr="00DB0B69" w:rsidRDefault="0092299C" w:rsidP="0092299C">
            <w:pPr>
              <w:pStyle w:val="ARtabletextright"/>
            </w:pPr>
            <w:r w:rsidRPr="00DB0B69">
              <w:t>764,710</w:t>
            </w:r>
          </w:p>
        </w:tc>
        <w:tc>
          <w:tcPr>
            <w:tcW w:w="1735" w:type="dxa"/>
          </w:tcPr>
          <w:p w:rsidR="0092299C" w:rsidRPr="00DB0B69" w:rsidRDefault="0092299C" w:rsidP="0092299C">
            <w:pPr>
              <w:pStyle w:val="ARtabletextright"/>
            </w:pPr>
            <w:r w:rsidRPr="00DB0B69">
              <w:t>773,714</w:t>
            </w:r>
          </w:p>
        </w:tc>
        <w:tc>
          <w:tcPr>
            <w:tcW w:w="1735" w:type="dxa"/>
          </w:tcPr>
          <w:p w:rsidR="0092299C" w:rsidRPr="00DB0B69" w:rsidRDefault="0092299C" w:rsidP="0092299C">
            <w:pPr>
              <w:pStyle w:val="ARtabletextright"/>
            </w:pPr>
            <w:r w:rsidRPr="00DB0B69">
              <w:t>818,454</w:t>
            </w:r>
          </w:p>
        </w:tc>
      </w:tr>
      <w:tr w:rsidR="0092299C" w:rsidRPr="00BB1BFA" w:rsidTr="0092299C">
        <w:trPr>
          <w:cantSplit/>
          <w:trHeight w:val="270"/>
        </w:trPr>
        <w:tc>
          <w:tcPr>
            <w:tcW w:w="4434" w:type="dxa"/>
          </w:tcPr>
          <w:p w:rsidR="0092299C" w:rsidRPr="00DB0B69" w:rsidRDefault="0092299C" w:rsidP="0092299C">
            <w:pPr>
              <w:pStyle w:val="ARtabletext"/>
            </w:pPr>
            <w:r w:rsidRPr="00DB0B69">
              <w:t>Housing services energy use</w:t>
            </w:r>
          </w:p>
        </w:tc>
        <w:tc>
          <w:tcPr>
            <w:tcW w:w="1735" w:type="dxa"/>
          </w:tcPr>
          <w:p w:rsidR="0092299C" w:rsidRPr="00DB0B69" w:rsidRDefault="0092299C" w:rsidP="0092299C">
            <w:pPr>
              <w:pStyle w:val="ARtabletextright"/>
            </w:pPr>
            <w:r w:rsidRPr="00DB0B69">
              <w:t>73,215</w:t>
            </w:r>
          </w:p>
        </w:tc>
        <w:tc>
          <w:tcPr>
            <w:tcW w:w="1735" w:type="dxa"/>
          </w:tcPr>
          <w:p w:rsidR="0092299C" w:rsidRPr="00DB0B69" w:rsidRDefault="0092299C" w:rsidP="0092299C">
            <w:pPr>
              <w:pStyle w:val="ARtabletextright"/>
            </w:pPr>
            <w:r w:rsidRPr="00DB0B69">
              <w:t>70,528</w:t>
            </w:r>
          </w:p>
        </w:tc>
        <w:tc>
          <w:tcPr>
            <w:tcW w:w="1735" w:type="dxa"/>
          </w:tcPr>
          <w:p w:rsidR="0092299C" w:rsidRPr="00DB0B69" w:rsidRDefault="0092299C" w:rsidP="0092299C">
            <w:pPr>
              <w:pStyle w:val="ARtabletextright"/>
            </w:pPr>
            <w:r w:rsidRPr="00DB0B69">
              <w:t>68,</w:t>
            </w:r>
            <w:r>
              <w:t>291</w:t>
            </w:r>
          </w:p>
        </w:tc>
      </w:tr>
      <w:tr w:rsidR="0092299C" w:rsidRPr="00BB1BFA" w:rsidTr="0092299C">
        <w:trPr>
          <w:cantSplit/>
          <w:trHeight w:val="270"/>
        </w:trPr>
        <w:tc>
          <w:tcPr>
            <w:tcW w:w="4434" w:type="dxa"/>
          </w:tcPr>
          <w:p w:rsidR="0092299C" w:rsidRPr="00DB0B69" w:rsidRDefault="0092299C" w:rsidP="0092299C">
            <w:pPr>
              <w:pStyle w:val="ARtabletext"/>
            </w:pPr>
            <w:r w:rsidRPr="00DB0B69">
              <w:t>Office-based energy use</w:t>
            </w:r>
          </w:p>
        </w:tc>
        <w:tc>
          <w:tcPr>
            <w:tcW w:w="1735" w:type="dxa"/>
          </w:tcPr>
          <w:p w:rsidR="0092299C" w:rsidRPr="00DB0B69" w:rsidRDefault="0092299C" w:rsidP="0092299C">
            <w:pPr>
              <w:pStyle w:val="ARtabletextright"/>
            </w:pPr>
            <w:r w:rsidRPr="00DB0B69">
              <w:t>19,240</w:t>
            </w:r>
          </w:p>
        </w:tc>
        <w:tc>
          <w:tcPr>
            <w:tcW w:w="1735" w:type="dxa"/>
          </w:tcPr>
          <w:p w:rsidR="0092299C" w:rsidRPr="00DB0B69" w:rsidRDefault="0092299C" w:rsidP="0092299C">
            <w:pPr>
              <w:pStyle w:val="ARtabletextright"/>
            </w:pPr>
            <w:r w:rsidRPr="00DB0B69">
              <w:t>18,686</w:t>
            </w:r>
          </w:p>
        </w:tc>
        <w:tc>
          <w:tcPr>
            <w:tcW w:w="1735" w:type="dxa"/>
          </w:tcPr>
          <w:p w:rsidR="0092299C" w:rsidRPr="00DB0B69" w:rsidRDefault="0092299C" w:rsidP="0092299C">
            <w:pPr>
              <w:pStyle w:val="ARtabletextright"/>
            </w:pPr>
            <w:r w:rsidRPr="00DB0B69">
              <w:t>17,543</w:t>
            </w:r>
          </w:p>
        </w:tc>
      </w:tr>
      <w:tr w:rsidR="0092299C" w:rsidRPr="00BB1BFA" w:rsidTr="0092299C">
        <w:trPr>
          <w:cantSplit/>
          <w:trHeight w:val="270"/>
        </w:trPr>
        <w:tc>
          <w:tcPr>
            <w:tcW w:w="4434" w:type="dxa"/>
          </w:tcPr>
          <w:p w:rsidR="0092299C" w:rsidRPr="00DB0B69" w:rsidRDefault="0092299C" w:rsidP="0092299C">
            <w:pPr>
              <w:pStyle w:val="ARtabletext"/>
            </w:pPr>
            <w:r w:rsidRPr="00DB0B69">
              <w:t>Public hospitals nitrous oxide</w:t>
            </w:r>
          </w:p>
        </w:tc>
        <w:tc>
          <w:tcPr>
            <w:tcW w:w="1735" w:type="dxa"/>
          </w:tcPr>
          <w:p w:rsidR="0092299C" w:rsidRPr="00DB0B69" w:rsidRDefault="0092299C" w:rsidP="0092299C">
            <w:pPr>
              <w:pStyle w:val="ARtabletextright"/>
            </w:pPr>
            <w:r w:rsidRPr="00DB0B69">
              <w:t>15,138</w:t>
            </w:r>
          </w:p>
        </w:tc>
        <w:tc>
          <w:tcPr>
            <w:tcW w:w="1735" w:type="dxa"/>
          </w:tcPr>
          <w:p w:rsidR="0092299C" w:rsidRPr="00DB0B69" w:rsidRDefault="0092299C" w:rsidP="0092299C">
            <w:pPr>
              <w:pStyle w:val="ARtabletextright"/>
            </w:pPr>
            <w:r w:rsidRPr="00DB0B69">
              <w:t>17,559</w:t>
            </w:r>
          </w:p>
        </w:tc>
        <w:tc>
          <w:tcPr>
            <w:tcW w:w="1735" w:type="dxa"/>
          </w:tcPr>
          <w:p w:rsidR="0092299C" w:rsidRPr="00DB0B69" w:rsidRDefault="0092299C" w:rsidP="0092299C">
            <w:pPr>
              <w:pStyle w:val="ARtabletextright"/>
            </w:pPr>
            <w:r w:rsidRPr="00DB0B69">
              <w:t>15,496</w:t>
            </w:r>
          </w:p>
        </w:tc>
      </w:tr>
      <w:tr w:rsidR="0092299C" w:rsidRPr="00BB1BFA" w:rsidTr="0092299C">
        <w:trPr>
          <w:cantSplit/>
          <w:trHeight w:val="270"/>
        </w:trPr>
        <w:tc>
          <w:tcPr>
            <w:tcW w:w="4434" w:type="dxa"/>
          </w:tcPr>
          <w:p w:rsidR="0092299C" w:rsidRPr="00DB0B69" w:rsidRDefault="0092299C" w:rsidP="0092299C">
            <w:pPr>
              <w:pStyle w:val="ARtabletext"/>
            </w:pPr>
            <w:r w:rsidRPr="00DB0B69">
              <w:t>Vehicle fleet and air travel</w:t>
            </w:r>
          </w:p>
        </w:tc>
        <w:tc>
          <w:tcPr>
            <w:tcW w:w="1735" w:type="dxa"/>
          </w:tcPr>
          <w:p w:rsidR="0092299C" w:rsidRPr="00DB0B69" w:rsidRDefault="0092299C" w:rsidP="0092299C">
            <w:pPr>
              <w:pStyle w:val="ARtabletextright"/>
            </w:pPr>
            <w:r w:rsidRPr="00DB0B69">
              <w:t>10,213</w:t>
            </w:r>
          </w:p>
        </w:tc>
        <w:tc>
          <w:tcPr>
            <w:tcW w:w="1735" w:type="dxa"/>
          </w:tcPr>
          <w:p w:rsidR="0092299C" w:rsidRPr="00DB0B69" w:rsidRDefault="0092299C" w:rsidP="0092299C">
            <w:pPr>
              <w:pStyle w:val="ARtabletextright"/>
            </w:pPr>
            <w:r w:rsidRPr="00DB0B69">
              <w:t>10,147</w:t>
            </w:r>
          </w:p>
        </w:tc>
        <w:tc>
          <w:tcPr>
            <w:tcW w:w="1735" w:type="dxa"/>
          </w:tcPr>
          <w:p w:rsidR="0092299C" w:rsidRPr="00DB0B69" w:rsidRDefault="0092299C" w:rsidP="0092299C">
            <w:pPr>
              <w:pStyle w:val="ARtabletextright"/>
            </w:pPr>
            <w:r w:rsidRPr="00DB0B69">
              <w:t>10,068</w:t>
            </w:r>
          </w:p>
        </w:tc>
      </w:tr>
      <w:tr w:rsidR="0092299C" w:rsidRPr="00BB1BFA" w:rsidTr="0092299C">
        <w:trPr>
          <w:cantSplit/>
          <w:trHeight w:val="270"/>
        </w:trPr>
        <w:tc>
          <w:tcPr>
            <w:tcW w:w="4434" w:type="dxa"/>
          </w:tcPr>
          <w:p w:rsidR="0092299C" w:rsidRPr="00DB0B69" w:rsidRDefault="0092299C" w:rsidP="0092299C">
            <w:pPr>
              <w:pStyle w:val="ARtabletext"/>
            </w:pPr>
            <w:r w:rsidRPr="00DB0B69">
              <w:t>Hospital emergency transport</w:t>
            </w:r>
          </w:p>
        </w:tc>
        <w:tc>
          <w:tcPr>
            <w:tcW w:w="1735" w:type="dxa"/>
          </w:tcPr>
          <w:p w:rsidR="0092299C" w:rsidRPr="00DB0B69" w:rsidRDefault="00933966" w:rsidP="0092299C">
            <w:pPr>
              <w:pStyle w:val="ARtabletextright"/>
            </w:pPr>
            <w:r w:rsidRPr="00D02A2E">
              <w:t>n/a</w:t>
            </w:r>
          </w:p>
        </w:tc>
        <w:tc>
          <w:tcPr>
            <w:tcW w:w="1735" w:type="dxa"/>
          </w:tcPr>
          <w:p w:rsidR="0092299C" w:rsidRPr="00DB0B69" w:rsidRDefault="00933966" w:rsidP="0092299C">
            <w:pPr>
              <w:pStyle w:val="ARtabletextright"/>
            </w:pPr>
            <w:r w:rsidRPr="00D02A2E">
              <w:t>n/a</w:t>
            </w:r>
          </w:p>
        </w:tc>
        <w:tc>
          <w:tcPr>
            <w:tcW w:w="1735" w:type="dxa"/>
          </w:tcPr>
          <w:p w:rsidR="0092299C" w:rsidRPr="00DB0B69" w:rsidRDefault="0092299C" w:rsidP="0092299C">
            <w:pPr>
              <w:pStyle w:val="ARtabletextright"/>
            </w:pPr>
            <w:r w:rsidRPr="00DB0B69">
              <w:t>20,722</w:t>
            </w:r>
          </w:p>
        </w:tc>
      </w:tr>
      <w:tr w:rsidR="0092299C" w:rsidRPr="00BB1BFA" w:rsidTr="0092299C">
        <w:trPr>
          <w:cantSplit/>
          <w:trHeight w:val="270"/>
        </w:trPr>
        <w:tc>
          <w:tcPr>
            <w:tcW w:w="4434" w:type="dxa"/>
          </w:tcPr>
          <w:p w:rsidR="0092299C" w:rsidRPr="00DB0B69" w:rsidRDefault="0092299C" w:rsidP="0092299C">
            <w:pPr>
              <w:pStyle w:val="ARtabletext"/>
            </w:pPr>
            <w:r w:rsidRPr="00DB0B69">
              <w:t>Paper and office-based waste production</w:t>
            </w:r>
          </w:p>
        </w:tc>
        <w:tc>
          <w:tcPr>
            <w:tcW w:w="1735" w:type="dxa"/>
          </w:tcPr>
          <w:p w:rsidR="0092299C" w:rsidRPr="00DB0B69" w:rsidRDefault="0092299C" w:rsidP="0092299C">
            <w:pPr>
              <w:pStyle w:val="ARtabletextright"/>
            </w:pPr>
            <w:r w:rsidRPr="00DB0B69">
              <w:t>443</w:t>
            </w:r>
          </w:p>
        </w:tc>
        <w:tc>
          <w:tcPr>
            <w:tcW w:w="1735" w:type="dxa"/>
          </w:tcPr>
          <w:p w:rsidR="0092299C" w:rsidRPr="00DB0B69" w:rsidRDefault="0092299C" w:rsidP="0092299C">
            <w:pPr>
              <w:pStyle w:val="ARtabletextright"/>
            </w:pPr>
            <w:r w:rsidRPr="00DB0B69">
              <w:t>568</w:t>
            </w:r>
          </w:p>
        </w:tc>
        <w:tc>
          <w:tcPr>
            <w:tcW w:w="1735" w:type="dxa"/>
          </w:tcPr>
          <w:p w:rsidR="0092299C" w:rsidRPr="00DB0B69" w:rsidRDefault="0092299C" w:rsidP="0092299C">
            <w:pPr>
              <w:pStyle w:val="ARtabletextright"/>
            </w:pPr>
            <w:r w:rsidRPr="00DB0B69">
              <w:t>625</w:t>
            </w:r>
          </w:p>
        </w:tc>
      </w:tr>
      <w:tr w:rsidR="0092299C" w:rsidRPr="00BB1BFA" w:rsidTr="0092299C">
        <w:trPr>
          <w:cantSplit/>
          <w:trHeight w:val="270"/>
        </w:trPr>
        <w:tc>
          <w:tcPr>
            <w:tcW w:w="4434" w:type="dxa"/>
          </w:tcPr>
          <w:p w:rsidR="0092299C" w:rsidRPr="00DB0B69" w:rsidRDefault="0092299C" w:rsidP="0092299C">
            <w:pPr>
              <w:pStyle w:val="ARtabletext"/>
              <w:rPr>
                <w:b/>
              </w:rPr>
            </w:pPr>
            <w:r w:rsidRPr="00DB0B69">
              <w:rPr>
                <w:b/>
              </w:rPr>
              <w:t>Total</w:t>
            </w:r>
          </w:p>
        </w:tc>
        <w:tc>
          <w:tcPr>
            <w:tcW w:w="1735" w:type="dxa"/>
            <w:vAlign w:val="bottom"/>
          </w:tcPr>
          <w:p w:rsidR="0092299C" w:rsidRPr="00DB0B69" w:rsidRDefault="0092299C" w:rsidP="0092299C">
            <w:pPr>
              <w:pStyle w:val="ARtabletextright"/>
              <w:rPr>
                <w:b/>
              </w:rPr>
            </w:pPr>
            <w:r w:rsidRPr="00DB0B69">
              <w:rPr>
                <w:b/>
              </w:rPr>
              <w:t>882,959</w:t>
            </w:r>
          </w:p>
        </w:tc>
        <w:tc>
          <w:tcPr>
            <w:tcW w:w="1735" w:type="dxa"/>
            <w:vAlign w:val="bottom"/>
          </w:tcPr>
          <w:p w:rsidR="0092299C" w:rsidRPr="00DB0B69" w:rsidRDefault="0092299C" w:rsidP="0092299C">
            <w:pPr>
              <w:pStyle w:val="ARtabletextright"/>
              <w:rPr>
                <w:b/>
              </w:rPr>
            </w:pPr>
            <w:r w:rsidRPr="00DB0B69">
              <w:rPr>
                <w:b/>
              </w:rPr>
              <w:t>891,202</w:t>
            </w:r>
          </w:p>
        </w:tc>
        <w:tc>
          <w:tcPr>
            <w:tcW w:w="1735" w:type="dxa"/>
            <w:vAlign w:val="bottom"/>
          </w:tcPr>
          <w:p w:rsidR="0092299C" w:rsidRPr="00DB0B69" w:rsidRDefault="0092299C" w:rsidP="0092299C">
            <w:pPr>
              <w:pStyle w:val="ARtabletextright"/>
              <w:rPr>
                <w:b/>
              </w:rPr>
            </w:pPr>
            <w:r w:rsidRPr="00DB0B69">
              <w:rPr>
                <w:b/>
              </w:rPr>
              <w:t>951,</w:t>
            </w:r>
            <w:r>
              <w:rPr>
                <w:b/>
              </w:rPr>
              <w:t>199</w:t>
            </w:r>
          </w:p>
        </w:tc>
      </w:tr>
    </w:tbl>
    <w:p w:rsidR="0092299C" w:rsidRPr="00A3575F" w:rsidRDefault="0092299C" w:rsidP="0092299C">
      <w:pPr>
        <w:pStyle w:val="ARtablefootnote"/>
        <w:rPr>
          <w:color w:val="000000"/>
          <w:lang w:eastAsia="en-AU"/>
        </w:rPr>
      </w:pPr>
      <w:r w:rsidRPr="00A3575F">
        <w:rPr>
          <w:color w:val="000000"/>
          <w:lang w:eastAsia="en-AU"/>
        </w:rPr>
        <w:t xml:space="preserve">Greenhouse gas </w:t>
      </w:r>
      <w:r>
        <w:rPr>
          <w:lang w:eastAsia="en-AU"/>
        </w:rPr>
        <w:t>c</w:t>
      </w:r>
      <w:r w:rsidRPr="004A74AE">
        <w:rPr>
          <w:lang w:eastAsia="en-AU"/>
        </w:rPr>
        <w:t>onversion factors are taken from the National Greenhouse Accounts Factors.</w:t>
      </w:r>
    </w:p>
    <w:p w:rsidR="0092299C" w:rsidRPr="00A3575F" w:rsidRDefault="0092299C" w:rsidP="0092299C">
      <w:pPr>
        <w:pStyle w:val="ARtablefootnote"/>
        <w:rPr>
          <w:color w:val="000000"/>
          <w:lang w:eastAsia="en-AU"/>
        </w:rPr>
      </w:pPr>
      <w:r w:rsidRPr="00A3575F">
        <w:rPr>
          <w:color w:val="000000"/>
          <w:lang w:eastAsia="en-AU"/>
        </w:rPr>
        <w:t xml:space="preserve">Greenhouse gas emissions for waste and paper </w:t>
      </w:r>
      <w:r>
        <w:rPr>
          <w:color w:val="000000"/>
          <w:lang w:eastAsia="en-AU"/>
        </w:rPr>
        <w:t xml:space="preserve">are </w:t>
      </w:r>
      <w:r w:rsidRPr="00A3575F">
        <w:rPr>
          <w:color w:val="000000"/>
          <w:lang w:eastAsia="en-AU"/>
        </w:rPr>
        <w:t>calculated on Financial Reporting Directive 24C</w:t>
      </w:r>
      <w:r>
        <w:rPr>
          <w:color w:val="000000"/>
          <w:lang w:eastAsia="en-AU"/>
        </w:rPr>
        <w:t xml:space="preserve"> guidelines</w:t>
      </w:r>
      <w:r w:rsidRPr="00A3575F">
        <w:rPr>
          <w:color w:val="000000"/>
          <w:lang w:eastAsia="en-AU"/>
        </w:rPr>
        <w:t xml:space="preserve">. </w:t>
      </w:r>
      <w:r>
        <w:rPr>
          <w:color w:val="000000"/>
          <w:lang w:eastAsia="en-AU"/>
        </w:rPr>
        <w:t>Air travel g</w:t>
      </w:r>
      <w:r w:rsidRPr="000558E3">
        <w:rPr>
          <w:color w:val="000000"/>
          <w:lang w:eastAsia="en-AU"/>
        </w:rPr>
        <w:t xml:space="preserve">reenhouse gas emissions are </w:t>
      </w:r>
      <w:r>
        <w:rPr>
          <w:color w:val="000000"/>
          <w:lang w:eastAsia="en-AU"/>
        </w:rPr>
        <w:t>provided by the supplier of Travel Management Services State Purchase Contract.</w:t>
      </w:r>
    </w:p>
    <w:p w:rsidR="0092299C" w:rsidRPr="00843E15" w:rsidRDefault="0092299C" w:rsidP="0092299C">
      <w:pPr>
        <w:pStyle w:val="Heading3"/>
      </w:pPr>
      <w:r w:rsidRPr="00843E15">
        <w:t xml:space="preserve">Staff and building reference </w:t>
      </w:r>
      <w:r w:rsidRPr="00DB0B69">
        <w:t>data</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028"/>
        <w:gridCol w:w="1574"/>
        <w:gridCol w:w="1521"/>
        <w:gridCol w:w="1516"/>
      </w:tblGrid>
      <w:tr w:rsidR="0092299C" w:rsidRPr="00BB1BFA" w:rsidTr="0092299C">
        <w:trPr>
          <w:cantSplit/>
          <w:trHeight w:val="525"/>
          <w:tblHeader/>
        </w:trPr>
        <w:tc>
          <w:tcPr>
            <w:tcW w:w="4821" w:type="dxa"/>
            <w:vAlign w:val="bottom"/>
          </w:tcPr>
          <w:p w:rsidR="0092299C" w:rsidRPr="00BB1BFA" w:rsidRDefault="0092299C" w:rsidP="0092299C">
            <w:pPr>
              <w:pStyle w:val="ARtablecolhead"/>
            </w:pPr>
            <w:r w:rsidRPr="00BB1BFA">
              <w:t>Description</w:t>
            </w:r>
          </w:p>
        </w:tc>
        <w:tc>
          <w:tcPr>
            <w:tcW w:w="1509" w:type="dxa"/>
            <w:vAlign w:val="bottom"/>
          </w:tcPr>
          <w:p w:rsidR="0092299C" w:rsidRPr="00F92FE1" w:rsidRDefault="0092299C" w:rsidP="0092299C">
            <w:pPr>
              <w:pStyle w:val="ARtablecolheadright"/>
            </w:pPr>
            <w:r w:rsidRPr="00F92FE1">
              <w:t>Government</w:t>
            </w:r>
            <w:r>
              <w:t>-</w:t>
            </w:r>
            <w:r w:rsidRPr="00F92FE1">
              <w:t>owned buildings</w:t>
            </w:r>
          </w:p>
        </w:tc>
        <w:tc>
          <w:tcPr>
            <w:tcW w:w="1458" w:type="dxa"/>
            <w:vAlign w:val="bottom"/>
          </w:tcPr>
          <w:p w:rsidR="0092299C" w:rsidRPr="00F92FE1" w:rsidRDefault="0092299C" w:rsidP="0092299C">
            <w:pPr>
              <w:pStyle w:val="ARtablecolheadright"/>
            </w:pPr>
            <w:r w:rsidRPr="00F92FE1">
              <w:t>Leased</w:t>
            </w:r>
            <w:r>
              <w:br/>
            </w:r>
            <w:r w:rsidRPr="00F92FE1">
              <w:t>buildings</w:t>
            </w:r>
          </w:p>
        </w:tc>
        <w:tc>
          <w:tcPr>
            <w:tcW w:w="1454" w:type="dxa"/>
            <w:vAlign w:val="bottom"/>
          </w:tcPr>
          <w:p w:rsidR="0092299C" w:rsidRPr="00F92FE1" w:rsidRDefault="0092299C" w:rsidP="0092299C">
            <w:pPr>
              <w:pStyle w:val="ARtablecolheadright"/>
            </w:pPr>
            <w:r w:rsidRPr="00F92FE1">
              <w:t>Total</w:t>
            </w:r>
          </w:p>
        </w:tc>
      </w:tr>
      <w:tr w:rsidR="0092299C" w:rsidRPr="00BB1BFA" w:rsidTr="0092299C">
        <w:trPr>
          <w:cantSplit/>
          <w:trHeight w:val="270"/>
        </w:trPr>
        <w:tc>
          <w:tcPr>
            <w:tcW w:w="4821" w:type="dxa"/>
          </w:tcPr>
          <w:p w:rsidR="0092299C" w:rsidRPr="00F92FE1" w:rsidRDefault="0092299C" w:rsidP="0092299C">
            <w:pPr>
              <w:pStyle w:val="ARtabletext"/>
            </w:pPr>
            <w:r w:rsidRPr="00F92FE1">
              <w:t>Office</w:t>
            </w:r>
            <w:r>
              <w:t>-</w:t>
            </w:r>
            <w:r w:rsidRPr="00F92FE1">
              <w:t>based</w:t>
            </w:r>
            <w:r>
              <w:t xml:space="preserve"> f</w:t>
            </w:r>
            <w:r w:rsidRPr="0041672F">
              <w:t>ull-time equivalent</w:t>
            </w:r>
            <w:r w:rsidRPr="00F92FE1">
              <w:t xml:space="preserve"> FTE</w:t>
            </w:r>
          </w:p>
        </w:tc>
        <w:tc>
          <w:tcPr>
            <w:tcW w:w="1509" w:type="dxa"/>
          </w:tcPr>
          <w:p w:rsidR="0092299C" w:rsidRPr="00A3575F" w:rsidRDefault="0092299C" w:rsidP="0092299C">
            <w:pPr>
              <w:pStyle w:val="ARtabletextright"/>
            </w:pPr>
            <w:r>
              <w:t>1</w:t>
            </w:r>
            <w:r w:rsidR="00E710A0">
              <w:t>,</w:t>
            </w:r>
            <w:r>
              <w:t>022.5</w:t>
            </w:r>
          </w:p>
        </w:tc>
        <w:tc>
          <w:tcPr>
            <w:tcW w:w="1458" w:type="dxa"/>
          </w:tcPr>
          <w:p w:rsidR="0092299C" w:rsidRPr="00A3575F" w:rsidRDefault="0092299C" w:rsidP="0092299C">
            <w:pPr>
              <w:pStyle w:val="ARtabletextright"/>
            </w:pPr>
            <w:r>
              <w:t>6</w:t>
            </w:r>
            <w:r w:rsidR="00E710A0">
              <w:t>,</w:t>
            </w:r>
            <w:r>
              <w:t>609</w:t>
            </w:r>
          </w:p>
        </w:tc>
        <w:tc>
          <w:tcPr>
            <w:tcW w:w="1454" w:type="dxa"/>
          </w:tcPr>
          <w:p w:rsidR="0092299C" w:rsidRPr="00A3575F" w:rsidRDefault="0092299C" w:rsidP="0092299C">
            <w:pPr>
              <w:pStyle w:val="ARtabletextright"/>
            </w:pPr>
            <w:r>
              <w:t>7</w:t>
            </w:r>
            <w:r w:rsidR="00E710A0">
              <w:t>,</w:t>
            </w:r>
            <w:r>
              <w:t>631.5</w:t>
            </w:r>
          </w:p>
        </w:tc>
      </w:tr>
      <w:tr w:rsidR="0092299C" w:rsidRPr="00BB1BFA" w:rsidTr="0092299C">
        <w:trPr>
          <w:cantSplit/>
          <w:trHeight w:val="270"/>
        </w:trPr>
        <w:tc>
          <w:tcPr>
            <w:tcW w:w="4821" w:type="dxa"/>
          </w:tcPr>
          <w:p w:rsidR="0092299C" w:rsidRPr="00F92FE1" w:rsidRDefault="0092299C" w:rsidP="0092299C">
            <w:pPr>
              <w:pStyle w:val="ARtabletext"/>
            </w:pPr>
            <w:r w:rsidRPr="00F92FE1">
              <w:t>Operational FTE</w:t>
            </w:r>
          </w:p>
        </w:tc>
        <w:tc>
          <w:tcPr>
            <w:tcW w:w="1509" w:type="dxa"/>
          </w:tcPr>
          <w:p w:rsidR="0092299C" w:rsidRPr="00A3575F" w:rsidRDefault="0092299C" w:rsidP="0092299C">
            <w:pPr>
              <w:pStyle w:val="ARtabletextright"/>
            </w:pPr>
            <w:r>
              <w:t>3617</w:t>
            </w:r>
          </w:p>
        </w:tc>
        <w:tc>
          <w:tcPr>
            <w:tcW w:w="1458" w:type="dxa"/>
          </w:tcPr>
          <w:p w:rsidR="0092299C" w:rsidRPr="00A3575F" w:rsidRDefault="0092299C" w:rsidP="0092299C">
            <w:pPr>
              <w:pStyle w:val="ARtabletextright"/>
            </w:pPr>
          </w:p>
        </w:tc>
        <w:tc>
          <w:tcPr>
            <w:tcW w:w="1454" w:type="dxa"/>
          </w:tcPr>
          <w:p w:rsidR="0092299C" w:rsidRPr="00A3575F" w:rsidRDefault="0092299C" w:rsidP="0092299C">
            <w:pPr>
              <w:pStyle w:val="ARtabletextright"/>
            </w:pPr>
            <w:r>
              <w:t>3</w:t>
            </w:r>
            <w:r w:rsidR="00E710A0">
              <w:t>,</w:t>
            </w:r>
            <w:r>
              <w:t>617</w:t>
            </w:r>
          </w:p>
        </w:tc>
      </w:tr>
      <w:tr w:rsidR="0092299C" w:rsidRPr="008D1395" w:rsidTr="0092299C">
        <w:trPr>
          <w:cantSplit/>
          <w:trHeight w:val="270"/>
        </w:trPr>
        <w:tc>
          <w:tcPr>
            <w:tcW w:w="4821" w:type="dxa"/>
          </w:tcPr>
          <w:p w:rsidR="0092299C" w:rsidRPr="0098256D" w:rsidRDefault="0092299C" w:rsidP="0092299C">
            <w:pPr>
              <w:pStyle w:val="ARtabletext"/>
              <w:rPr>
                <w:b/>
              </w:rPr>
            </w:pPr>
            <w:r w:rsidRPr="0098256D">
              <w:rPr>
                <w:b/>
              </w:rPr>
              <w:t>Total FTE</w:t>
            </w:r>
          </w:p>
        </w:tc>
        <w:tc>
          <w:tcPr>
            <w:tcW w:w="1509" w:type="dxa"/>
          </w:tcPr>
          <w:p w:rsidR="0092299C" w:rsidRPr="0098256D" w:rsidRDefault="0092299C" w:rsidP="0092299C">
            <w:pPr>
              <w:pStyle w:val="ARtabletextright"/>
              <w:rPr>
                <w:b/>
              </w:rPr>
            </w:pPr>
          </w:p>
        </w:tc>
        <w:tc>
          <w:tcPr>
            <w:tcW w:w="1458" w:type="dxa"/>
          </w:tcPr>
          <w:p w:rsidR="0092299C" w:rsidRPr="0098256D" w:rsidRDefault="0092299C" w:rsidP="0092299C">
            <w:pPr>
              <w:pStyle w:val="ARtabletextright"/>
              <w:rPr>
                <w:b/>
              </w:rPr>
            </w:pPr>
          </w:p>
        </w:tc>
        <w:tc>
          <w:tcPr>
            <w:tcW w:w="1454" w:type="dxa"/>
          </w:tcPr>
          <w:p w:rsidR="0092299C" w:rsidRPr="0098256D" w:rsidRDefault="0092299C" w:rsidP="0092299C">
            <w:pPr>
              <w:pStyle w:val="ARtabletextright"/>
              <w:rPr>
                <w:b/>
              </w:rPr>
            </w:pPr>
            <w:r w:rsidRPr="0098256D">
              <w:rPr>
                <w:b/>
              </w:rPr>
              <w:t>11</w:t>
            </w:r>
            <w:r w:rsidR="00E710A0">
              <w:rPr>
                <w:b/>
              </w:rPr>
              <w:t>,</w:t>
            </w:r>
            <w:r w:rsidRPr="0098256D">
              <w:rPr>
                <w:b/>
              </w:rPr>
              <w:t>248.5</w:t>
            </w:r>
          </w:p>
        </w:tc>
      </w:tr>
      <w:tr w:rsidR="0092299C" w:rsidRPr="00BB1BFA" w:rsidTr="0092299C">
        <w:trPr>
          <w:cantSplit/>
          <w:trHeight w:val="270"/>
        </w:trPr>
        <w:tc>
          <w:tcPr>
            <w:tcW w:w="4821" w:type="dxa"/>
          </w:tcPr>
          <w:p w:rsidR="0092299C" w:rsidRPr="00F92FE1" w:rsidRDefault="0092299C" w:rsidP="0092299C">
            <w:pPr>
              <w:pStyle w:val="ARtabletext"/>
            </w:pPr>
            <w:r w:rsidRPr="00F92FE1">
              <w:t>Number of office</w:t>
            </w:r>
            <w:r>
              <w:t>-</w:t>
            </w:r>
            <w:r w:rsidRPr="00F92FE1">
              <w:t>based sites</w:t>
            </w:r>
          </w:p>
        </w:tc>
        <w:tc>
          <w:tcPr>
            <w:tcW w:w="1509" w:type="dxa"/>
          </w:tcPr>
          <w:p w:rsidR="0092299C" w:rsidRPr="00A3575F" w:rsidRDefault="0092299C" w:rsidP="0092299C">
            <w:pPr>
              <w:pStyle w:val="ARtabletextright"/>
            </w:pPr>
            <w:r>
              <w:t>16</w:t>
            </w:r>
          </w:p>
        </w:tc>
        <w:tc>
          <w:tcPr>
            <w:tcW w:w="1458" w:type="dxa"/>
          </w:tcPr>
          <w:p w:rsidR="0092299C" w:rsidRPr="00A3575F" w:rsidRDefault="0092299C" w:rsidP="0092299C">
            <w:pPr>
              <w:pStyle w:val="ARtabletextright"/>
            </w:pPr>
            <w:r>
              <w:t>31</w:t>
            </w:r>
          </w:p>
        </w:tc>
        <w:tc>
          <w:tcPr>
            <w:tcW w:w="1454" w:type="dxa"/>
          </w:tcPr>
          <w:p w:rsidR="0092299C" w:rsidRPr="00A3575F" w:rsidRDefault="0092299C" w:rsidP="0092299C">
            <w:pPr>
              <w:pStyle w:val="ARtabletextright"/>
            </w:pPr>
            <w:r>
              <w:t>47</w:t>
            </w:r>
          </w:p>
        </w:tc>
      </w:tr>
      <w:tr w:rsidR="0092299C" w:rsidRPr="00BB1BFA" w:rsidTr="0092299C">
        <w:trPr>
          <w:cantSplit/>
          <w:trHeight w:val="270"/>
        </w:trPr>
        <w:tc>
          <w:tcPr>
            <w:tcW w:w="4821" w:type="dxa"/>
          </w:tcPr>
          <w:p w:rsidR="0092299C" w:rsidRPr="00F92FE1" w:rsidRDefault="0092299C" w:rsidP="0092299C">
            <w:pPr>
              <w:pStyle w:val="ARtabletext"/>
            </w:pPr>
            <w:r w:rsidRPr="00F92FE1">
              <w:t>Number high-rise public housing sites</w:t>
            </w:r>
          </w:p>
        </w:tc>
        <w:tc>
          <w:tcPr>
            <w:tcW w:w="1509" w:type="dxa"/>
          </w:tcPr>
          <w:p w:rsidR="0092299C" w:rsidRPr="00A3575F" w:rsidRDefault="0092299C" w:rsidP="0092299C">
            <w:pPr>
              <w:pStyle w:val="ARtabletextright"/>
            </w:pPr>
            <w:r>
              <w:t>44</w:t>
            </w:r>
          </w:p>
        </w:tc>
        <w:tc>
          <w:tcPr>
            <w:tcW w:w="1458" w:type="dxa"/>
          </w:tcPr>
          <w:p w:rsidR="0092299C" w:rsidRPr="00A3575F" w:rsidRDefault="0092299C" w:rsidP="0092299C">
            <w:pPr>
              <w:pStyle w:val="ARtabletextright"/>
            </w:pPr>
          </w:p>
        </w:tc>
        <w:tc>
          <w:tcPr>
            <w:tcW w:w="1454" w:type="dxa"/>
          </w:tcPr>
          <w:p w:rsidR="0092299C" w:rsidRPr="00A3575F" w:rsidRDefault="0092299C" w:rsidP="0092299C">
            <w:pPr>
              <w:pStyle w:val="ARtabletextright"/>
            </w:pPr>
            <w:r>
              <w:t>44</w:t>
            </w:r>
          </w:p>
        </w:tc>
      </w:tr>
      <w:tr w:rsidR="0092299C" w:rsidRPr="008D1395" w:rsidTr="0092299C">
        <w:trPr>
          <w:cantSplit/>
          <w:trHeight w:val="270"/>
        </w:trPr>
        <w:tc>
          <w:tcPr>
            <w:tcW w:w="4821" w:type="dxa"/>
          </w:tcPr>
          <w:p w:rsidR="0092299C" w:rsidRPr="00F92FE1" w:rsidRDefault="0092299C" w:rsidP="0092299C">
            <w:pPr>
              <w:pStyle w:val="ARtabletext"/>
            </w:pPr>
            <w:r w:rsidRPr="00F92FE1">
              <w:t>Office</w:t>
            </w:r>
            <w:r>
              <w:t>-</w:t>
            </w:r>
            <w:r w:rsidRPr="00F92FE1">
              <w:t>based area (m</w:t>
            </w:r>
            <w:r w:rsidRPr="00BC19F6">
              <w:rPr>
                <w:vertAlign w:val="superscript"/>
              </w:rPr>
              <w:t>2</w:t>
            </w:r>
            <w:r w:rsidRPr="00F92FE1">
              <w:t>)</w:t>
            </w:r>
          </w:p>
        </w:tc>
        <w:tc>
          <w:tcPr>
            <w:tcW w:w="1509" w:type="dxa"/>
          </w:tcPr>
          <w:p w:rsidR="0092299C" w:rsidRPr="00A3575F" w:rsidRDefault="0092299C" w:rsidP="0092299C">
            <w:pPr>
              <w:pStyle w:val="ARtabletextright"/>
            </w:pPr>
            <w:r>
              <w:t>14,406</w:t>
            </w:r>
          </w:p>
        </w:tc>
        <w:tc>
          <w:tcPr>
            <w:tcW w:w="1458" w:type="dxa"/>
          </w:tcPr>
          <w:p w:rsidR="0092299C" w:rsidRPr="00A3575F" w:rsidRDefault="0092299C" w:rsidP="0092299C">
            <w:pPr>
              <w:pStyle w:val="ARtabletextright"/>
            </w:pPr>
            <w:r>
              <w:t>113,373</w:t>
            </w:r>
          </w:p>
        </w:tc>
        <w:tc>
          <w:tcPr>
            <w:tcW w:w="1454" w:type="dxa"/>
          </w:tcPr>
          <w:p w:rsidR="0092299C" w:rsidRPr="00A3575F" w:rsidRDefault="0092299C" w:rsidP="0092299C">
            <w:pPr>
              <w:pStyle w:val="ARtabletextright"/>
            </w:pPr>
            <w:r>
              <w:t>127,779</w:t>
            </w:r>
          </w:p>
        </w:tc>
      </w:tr>
    </w:tbl>
    <w:p w:rsidR="0092299C" w:rsidRDefault="0092299C" w:rsidP="0092299C">
      <w:pPr>
        <w:pStyle w:val="Heading2"/>
      </w:pPr>
      <w:r>
        <w:t xml:space="preserve">Energy </w:t>
      </w:r>
      <w:r w:rsidRPr="00806F92">
        <w:t>use</w:t>
      </w:r>
    </w:p>
    <w:p w:rsidR="0092299C" w:rsidRPr="00843E15" w:rsidRDefault="0092299C" w:rsidP="0092299C">
      <w:pPr>
        <w:pStyle w:val="Heading3"/>
      </w:pPr>
      <w:r w:rsidRPr="00843E15">
        <w:t>Office</w:t>
      </w:r>
      <w:r>
        <w:t>-</w:t>
      </w:r>
      <w:r w:rsidRPr="00806F92">
        <w:t>based</w:t>
      </w:r>
    </w:p>
    <w:tbl>
      <w:tblPr>
        <w:tblW w:w="9644" w:type="dxa"/>
        <w:tblBorders>
          <w:left w:val="single" w:sz="4" w:space="0" w:color="FFFFFF" w:themeColor="background1"/>
          <w:right w:val="single" w:sz="4" w:space="0" w:color="FFFFFF" w:themeColor="background1"/>
          <w:insideH w:val="single" w:sz="4" w:space="0" w:color="000000" w:themeColor="text1"/>
          <w:insideV w:val="single" w:sz="4" w:space="0" w:color="FFFFFF" w:themeColor="background1"/>
        </w:tblBorders>
        <w:tblLayout w:type="fixed"/>
        <w:tblCellMar>
          <w:left w:w="0" w:type="dxa"/>
        </w:tblCellMar>
        <w:tblLook w:val="00A0" w:firstRow="1" w:lastRow="0" w:firstColumn="1" w:lastColumn="0" w:noHBand="0" w:noVBand="0"/>
      </w:tblPr>
      <w:tblGrid>
        <w:gridCol w:w="2274"/>
        <w:gridCol w:w="1418"/>
        <w:gridCol w:w="1038"/>
        <w:gridCol w:w="1513"/>
        <w:gridCol w:w="944"/>
        <w:gridCol w:w="1466"/>
        <w:gridCol w:w="991"/>
      </w:tblGrid>
      <w:tr w:rsidR="0092299C" w:rsidRPr="00843E15" w:rsidTr="0092299C">
        <w:trPr>
          <w:cantSplit/>
          <w:trHeight w:val="270"/>
          <w:tblHeader/>
        </w:trPr>
        <w:tc>
          <w:tcPr>
            <w:tcW w:w="2274" w:type="dxa"/>
            <w:vAlign w:val="bottom"/>
          </w:tcPr>
          <w:p w:rsidR="0092299C" w:rsidRPr="00000541" w:rsidRDefault="0092299C" w:rsidP="0092299C">
            <w:pPr>
              <w:pStyle w:val="ARtablecolhead"/>
            </w:pPr>
            <w:r w:rsidRPr="00000541">
              <w:t>Description</w:t>
            </w:r>
          </w:p>
        </w:tc>
        <w:tc>
          <w:tcPr>
            <w:tcW w:w="1418" w:type="dxa"/>
          </w:tcPr>
          <w:p w:rsidR="0092299C" w:rsidRDefault="0092299C" w:rsidP="0092299C">
            <w:pPr>
              <w:pStyle w:val="ARtablecolheadright"/>
            </w:pPr>
            <w:r w:rsidRPr="00205E81">
              <w:t>2014–15</w:t>
            </w:r>
            <w:r>
              <w:br/>
            </w:r>
            <w:r w:rsidRPr="00205E81">
              <w:t>estimate</w:t>
            </w:r>
          </w:p>
        </w:tc>
        <w:tc>
          <w:tcPr>
            <w:tcW w:w="1038" w:type="dxa"/>
          </w:tcPr>
          <w:p w:rsidR="0092299C" w:rsidRDefault="0092299C" w:rsidP="0092299C">
            <w:pPr>
              <w:pStyle w:val="ARtablecolheadright"/>
            </w:pPr>
            <w:r w:rsidRPr="00205E81">
              <w:t>2014–15</w:t>
            </w:r>
            <w:r>
              <w:br/>
            </w:r>
            <w:r w:rsidRPr="00205E81">
              <w:t>estimate</w:t>
            </w:r>
          </w:p>
        </w:tc>
        <w:tc>
          <w:tcPr>
            <w:tcW w:w="1513" w:type="dxa"/>
          </w:tcPr>
          <w:p w:rsidR="0092299C" w:rsidRDefault="0092299C" w:rsidP="0092299C">
            <w:pPr>
              <w:pStyle w:val="ARtablecolheadright"/>
            </w:pPr>
            <w:r w:rsidRPr="00A9681A">
              <w:t>2015–16</w:t>
            </w:r>
            <w:r>
              <w:br/>
            </w:r>
            <w:r w:rsidRPr="00A9681A">
              <w:t>estimate</w:t>
            </w:r>
          </w:p>
        </w:tc>
        <w:tc>
          <w:tcPr>
            <w:tcW w:w="944" w:type="dxa"/>
          </w:tcPr>
          <w:p w:rsidR="0092299C" w:rsidRDefault="0092299C" w:rsidP="0092299C">
            <w:pPr>
              <w:pStyle w:val="ARtablecolheadright"/>
            </w:pPr>
            <w:r w:rsidRPr="00A9681A">
              <w:t>2015–16</w:t>
            </w:r>
            <w:r>
              <w:br/>
            </w:r>
            <w:r w:rsidRPr="00A9681A">
              <w:t>estimate</w:t>
            </w:r>
          </w:p>
        </w:tc>
        <w:tc>
          <w:tcPr>
            <w:tcW w:w="1466" w:type="dxa"/>
          </w:tcPr>
          <w:p w:rsidR="0092299C" w:rsidRDefault="0092299C" w:rsidP="0092299C">
            <w:pPr>
              <w:pStyle w:val="ARtablecolheadright"/>
            </w:pPr>
            <w:r w:rsidRPr="00597E52">
              <w:t>201</w:t>
            </w:r>
            <w:r>
              <w:t>6</w:t>
            </w:r>
            <w:r w:rsidRPr="00597E52">
              <w:t>–1</w:t>
            </w:r>
            <w:r>
              <w:t>7</w:t>
            </w:r>
            <w:r>
              <w:br/>
            </w:r>
            <w:r w:rsidRPr="00597E52">
              <w:t>estimate</w:t>
            </w:r>
          </w:p>
        </w:tc>
        <w:tc>
          <w:tcPr>
            <w:tcW w:w="991" w:type="dxa"/>
          </w:tcPr>
          <w:p w:rsidR="0092299C" w:rsidRDefault="0092299C" w:rsidP="0092299C">
            <w:pPr>
              <w:pStyle w:val="ARtablecolheadright"/>
            </w:pPr>
            <w:r w:rsidRPr="00597E52">
              <w:t>201</w:t>
            </w:r>
            <w:r>
              <w:t>6</w:t>
            </w:r>
            <w:r w:rsidRPr="00597E52">
              <w:t>–1</w:t>
            </w:r>
            <w:r>
              <w:t>7</w:t>
            </w:r>
            <w:r>
              <w:br/>
            </w:r>
            <w:r w:rsidRPr="00597E52">
              <w:t>estimate</w:t>
            </w:r>
          </w:p>
        </w:tc>
      </w:tr>
      <w:tr w:rsidR="0092299C" w:rsidRPr="008D1395" w:rsidTr="0092299C">
        <w:trPr>
          <w:cantSplit/>
          <w:trHeight w:val="270"/>
          <w:tblHeader/>
        </w:trPr>
        <w:tc>
          <w:tcPr>
            <w:tcW w:w="2274" w:type="dxa"/>
            <w:vAlign w:val="bottom"/>
          </w:tcPr>
          <w:p w:rsidR="0092299C" w:rsidRPr="00000541" w:rsidRDefault="0092299C" w:rsidP="0092299C">
            <w:pPr>
              <w:pStyle w:val="ARtablecolhead"/>
            </w:pPr>
            <w:r w:rsidRPr="00000541">
              <w:t>Total energy usage segmented by primary source</w:t>
            </w:r>
          </w:p>
        </w:tc>
        <w:tc>
          <w:tcPr>
            <w:tcW w:w="1418" w:type="dxa"/>
            <w:vAlign w:val="bottom"/>
          </w:tcPr>
          <w:p w:rsidR="0092299C" w:rsidRPr="00000541" w:rsidRDefault="0092299C" w:rsidP="0092299C">
            <w:pPr>
              <w:pStyle w:val="ARtablecolheadright"/>
            </w:pPr>
            <w:proofErr w:type="spellStart"/>
            <w:r w:rsidRPr="00000541">
              <w:t>Megajoules</w:t>
            </w:r>
            <w:proofErr w:type="spellEnd"/>
          </w:p>
        </w:tc>
        <w:tc>
          <w:tcPr>
            <w:tcW w:w="1038" w:type="dxa"/>
            <w:vAlign w:val="bottom"/>
          </w:tcPr>
          <w:p w:rsidR="0092299C" w:rsidRPr="00000541" w:rsidRDefault="0092299C" w:rsidP="00EA6A4E">
            <w:pPr>
              <w:pStyle w:val="ARtablecolheadright"/>
            </w:pPr>
            <w:r w:rsidRPr="00000541">
              <w:t>Cost</w:t>
            </w:r>
            <w:r w:rsidRPr="00000541">
              <w:br/>
              <w:t>($</w:t>
            </w:r>
            <w:r w:rsidR="00EA6A4E">
              <w:t>M</w:t>
            </w:r>
            <w:r w:rsidRPr="00000541">
              <w:t>)</w:t>
            </w:r>
          </w:p>
        </w:tc>
        <w:tc>
          <w:tcPr>
            <w:tcW w:w="1513" w:type="dxa"/>
            <w:vAlign w:val="bottom"/>
          </w:tcPr>
          <w:p w:rsidR="0092299C" w:rsidRPr="00000541" w:rsidRDefault="0092299C" w:rsidP="0092299C">
            <w:pPr>
              <w:pStyle w:val="ARtablecolheadright"/>
            </w:pPr>
            <w:proofErr w:type="spellStart"/>
            <w:r w:rsidRPr="00000541">
              <w:t>Megajoules</w:t>
            </w:r>
            <w:proofErr w:type="spellEnd"/>
          </w:p>
        </w:tc>
        <w:tc>
          <w:tcPr>
            <w:tcW w:w="944" w:type="dxa"/>
            <w:vAlign w:val="bottom"/>
          </w:tcPr>
          <w:p w:rsidR="0092299C" w:rsidRPr="00000541" w:rsidRDefault="0092299C" w:rsidP="00EA6A4E">
            <w:pPr>
              <w:pStyle w:val="ARtablecolheadright"/>
            </w:pPr>
            <w:r w:rsidRPr="00000541">
              <w:t>Cost</w:t>
            </w:r>
            <w:r w:rsidRPr="00000541">
              <w:br/>
              <w:t>($</w:t>
            </w:r>
            <w:r w:rsidR="00EA6A4E">
              <w:t>M</w:t>
            </w:r>
            <w:r w:rsidRPr="00000541">
              <w:t>)</w:t>
            </w:r>
          </w:p>
        </w:tc>
        <w:tc>
          <w:tcPr>
            <w:tcW w:w="1466" w:type="dxa"/>
            <w:vAlign w:val="bottom"/>
          </w:tcPr>
          <w:p w:rsidR="0092299C" w:rsidRPr="00000541" w:rsidRDefault="0092299C" w:rsidP="0092299C">
            <w:pPr>
              <w:pStyle w:val="ARtablecolheadright"/>
            </w:pPr>
            <w:proofErr w:type="spellStart"/>
            <w:r w:rsidRPr="00000541">
              <w:t>Megajoules</w:t>
            </w:r>
            <w:proofErr w:type="spellEnd"/>
          </w:p>
        </w:tc>
        <w:tc>
          <w:tcPr>
            <w:tcW w:w="991" w:type="dxa"/>
            <w:vAlign w:val="bottom"/>
          </w:tcPr>
          <w:p w:rsidR="0092299C" w:rsidRPr="00000541" w:rsidRDefault="0092299C" w:rsidP="00EA6A4E">
            <w:pPr>
              <w:pStyle w:val="ARtablecolheadright"/>
            </w:pPr>
            <w:r w:rsidRPr="00000541">
              <w:t>Cost</w:t>
            </w:r>
            <w:r w:rsidRPr="00000541">
              <w:br/>
              <w:t>($</w:t>
            </w:r>
            <w:r w:rsidR="00EA6A4E">
              <w:t>M</w:t>
            </w:r>
            <w:r w:rsidRPr="00000541">
              <w:t>)</w:t>
            </w:r>
          </w:p>
        </w:tc>
      </w:tr>
      <w:tr w:rsidR="0092299C" w:rsidRPr="008D1395" w:rsidTr="0092299C">
        <w:trPr>
          <w:cantSplit/>
          <w:trHeight w:val="270"/>
        </w:trPr>
        <w:tc>
          <w:tcPr>
            <w:tcW w:w="2274" w:type="dxa"/>
          </w:tcPr>
          <w:p w:rsidR="0092299C" w:rsidRPr="00BB1BFA" w:rsidRDefault="0092299C" w:rsidP="0092299C">
            <w:pPr>
              <w:pStyle w:val="ARtabletext"/>
            </w:pPr>
            <w:r w:rsidRPr="00BB1BFA">
              <w:t>Electricity</w:t>
            </w:r>
          </w:p>
        </w:tc>
        <w:tc>
          <w:tcPr>
            <w:tcW w:w="1418" w:type="dxa"/>
          </w:tcPr>
          <w:p w:rsidR="0092299C" w:rsidRPr="00806F92" w:rsidRDefault="0092299C" w:rsidP="0092299C">
            <w:pPr>
              <w:pStyle w:val="ARtabletextright"/>
            </w:pPr>
            <w:r w:rsidRPr="00806F92">
              <w:t>56,372,234</w:t>
            </w:r>
          </w:p>
        </w:tc>
        <w:tc>
          <w:tcPr>
            <w:tcW w:w="1038" w:type="dxa"/>
          </w:tcPr>
          <w:p w:rsidR="0092299C" w:rsidRPr="00806F92" w:rsidRDefault="0092299C" w:rsidP="0092299C">
            <w:pPr>
              <w:pStyle w:val="ARtabletextright"/>
            </w:pPr>
            <w:r w:rsidRPr="00806F92">
              <w:t>$2.58</w:t>
            </w:r>
          </w:p>
        </w:tc>
        <w:tc>
          <w:tcPr>
            <w:tcW w:w="1513" w:type="dxa"/>
          </w:tcPr>
          <w:p w:rsidR="0092299C" w:rsidRPr="00806F92" w:rsidRDefault="0092299C" w:rsidP="0092299C">
            <w:pPr>
              <w:pStyle w:val="ARtabletextright"/>
            </w:pPr>
            <w:r w:rsidRPr="00806F92">
              <w:t>57,193,815</w:t>
            </w:r>
          </w:p>
        </w:tc>
        <w:tc>
          <w:tcPr>
            <w:tcW w:w="944" w:type="dxa"/>
          </w:tcPr>
          <w:p w:rsidR="0092299C" w:rsidRPr="00806F92" w:rsidRDefault="0092299C" w:rsidP="0092299C">
            <w:pPr>
              <w:pStyle w:val="ARtabletextright"/>
            </w:pPr>
            <w:r w:rsidRPr="00806F92">
              <w:t>$2.75</w:t>
            </w:r>
          </w:p>
        </w:tc>
        <w:tc>
          <w:tcPr>
            <w:tcW w:w="1466" w:type="dxa"/>
          </w:tcPr>
          <w:p w:rsidR="0092299C" w:rsidRPr="00806F92" w:rsidRDefault="0092299C" w:rsidP="0092299C">
            <w:pPr>
              <w:pStyle w:val="ARtabletextright"/>
            </w:pPr>
            <w:r w:rsidRPr="00806F92">
              <w:t>56,183,067</w:t>
            </w:r>
          </w:p>
        </w:tc>
        <w:tc>
          <w:tcPr>
            <w:tcW w:w="991" w:type="dxa"/>
          </w:tcPr>
          <w:p w:rsidR="0092299C" w:rsidRPr="00806F92" w:rsidRDefault="0092299C" w:rsidP="0092299C">
            <w:pPr>
              <w:pStyle w:val="ARtabletextright"/>
            </w:pPr>
            <w:r w:rsidRPr="00806F92">
              <w:t>$2.74</w:t>
            </w:r>
          </w:p>
        </w:tc>
      </w:tr>
      <w:tr w:rsidR="0092299C" w:rsidRPr="008D1395" w:rsidTr="0092299C">
        <w:trPr>
          <w:cantSplit/>
          <w:trHeight w:val="270"/>
        </w:trPr>
        <w:tc>
          <w:tcPr>
            <w:tcW w:w="2274" w:type="dxa"/>
          </w:tcPr>
          <w:p w:rsidR="0092299C" w:rsidRPr="00BB1BFA" w:rsidRDefault="0092299C" w:rsidP="0092299C">
            <w:pPr>
              <w:pStyle w:val="ARtabletext"/>
            </w:pPr>
            <w:r w:rsidRPr="00BB1BFA">
              <w:t>Green power</w:t>
            </w:r>
          </w:p>
        </w:tc>
        <w:tc>
          <w:tcPr>
            <w:tcW w:w="1418" w:type="dxa"/>
          </w:tcPr>
          <w:p w:rsidR="0092299C" w:rsidRPr="00806F92" w:rsidRDefault="0092299C" w:rsidP="0092299C">
            <w:pPr>
              <w:pStyle w:val="ARtabletextright"/>
            </w:pPr>
            <w:r w:rsidRPr="00806F92">
              <w:t>0</w:t>
            </w:r>
          </w:p>
        </w:tc>
        <w:tc>
          <w:tcPr>
            <w:tcW w:w="1038" w:type="dxa"/>
          </w:tcPr>
          <w:p w:rsidR="0092299C" w:rsidRPr="00806F92" w:rsidRDefault="0092299C" w:rsidP="0092299C">
            <w:pPr>
              <w:pStyle w:val="ARtabletextright"/>
            </w:pPr>
            <w:r w:rsidRPr="00806F92">
              <w:t>$0.00</w:t>
            </w:r>
          </w:p>
        </w:tc>
        <w:tc>
          <w:tcPr>
            <w:tcW w:w="1513" w:type="dxa"/>
          </w:tcPr>
          <w:p w:rsidR="0092299C" w:rsidRPr="00806F92" w:rsidRDefault="0092299C" w:rsidP="0092299C">
            <w:pPr>
              <w:pStyle w:val="ARtabletextright"/>
            </w:pPr>
            <w:r w:rsidRPr="00806F92">
              <w:t>0</w:t>
            </w:r>
          </w:p>
        </w:tc>
        <w:tc>
          <w:tcPr>
            <w:tcW w:w="944" w:type="dxa"/>
          </w:tcPr>
          <w:p w:rsidR="0092299C" w:rsidRPr="00806F92" w:rsidRDefault="0092299C" w:rsidP="0092299C">
            <w:pPr>
              <w:pStyle w:val="ARtabletextright"/>
            </w:pPr>
            <w:r w:rsidRPr="00806F92">
              <w:t>$0.00</w:t>
            </w:r>
          </w:p>
        </w:tc>
        <w:tc>
          <w:tcPr>
            <w:tcW w:w="1466" w:type="dxa"/>
          </w:tcPr>
          <w:p w:rsidR="0092299C" w:rsidRPr="00806F92" w:rsidRDefault="0092299C" w:rsidP="0092299C">
            <w:pPr>
              <w:pStyle w:val="ARtabletextright"/>
            </w:pPr>
            <w:r w:rsidRPr="00806F92">
              <w:t>0</w:t>
            </w:r>
          </w:p>
        </w:tc>
        <w:tc>
          <w:tcPr>
            <w:tcW w:w="991" w:type="dxa"/>
          </w:tcPr>
          <w:p w:rsidR="0092299C" w:rsidRPr="00806F92" w:rsidRDefault="0092299C" w:rsidP="0092299C">
            <w:pPr>
              <w:pStyle w:val="ARtabletextright"/>
            </w:pPr>
            <w:r w:rsidRPr="00806F92">
              <w:t>$0.00</w:t>
            </w:r>
          </w:p>
        </w:tc>
      </w:tr>
      <w:tr w:rsidR="0092299C" w:rsidRPr="008D1395" w:rsidTr="0092299C">
        <w:trPr>
          <w:cantSplit/>
          <w:trHeight w:val="270"/>
        </w:trPr>
        <w:tc>
          <w:tcPr>
            <w:tcW w:w="2274" w:type="dxa"/>
            <w:tcBorders>
              <w:bottom w:val="single" w:sz="4" w:space="0" w:color="000000" w:themeColor="text1"/>
            </w:tcBorders>
          </w:tcPr>
          <w:p w:rsidR="0092299C" w:rsidRPr="00BB1BFA" w:rsidRDefault="0092299C" w:rsidP="0092299C">
            <w:pPr>
              <w:pStyle w:val="ARtabletext"/>
            </w:pPr>
            <w:r w:rsidRPr="00BB1BFA">
              <w:t>Natural gas</w:t>
            </w:r>
          </w:p>
        </w:tc>
        <w:tc>
          <w:tcPr>
            <w:tcW w:w="1418" w:type="dxa"/>
            <w:tcBorders>
              <w:bottom w:val="single" w:sz="4" w:space="0" w:color="000000" w:themeColor="text1"/>
            </w:tcBorders>
          </w:tcPr>
          <w:p w:rsidR="0092299C" w:rsidRPr="00806F92" w:rsidRDefault="0092299C" w:rsidP="0092299C">
            <w:pPr>
              <w:pStyle w:val="ARtabletextright"/>
            </w:pPr>
            <w:r w:rsidRPr="00806F92">
              <w:t>14,838,741</w:t>
            </w:r>
          </w:p>
        </w:tc>
        <w:tc>
          <w:tcPr>
            <w:tcW w:w="1038" w:type="dxa"/>
            <w:tcBorders>
              <w:bottom w:val="single" w:sz="4" w:space="0" w:color="000000" w:themeColor="text1"/>
            </w:tcBorders>
          </w:tcPr>
          <w:p w:rsidR="0092299C" w:rsidRPr="00806F92" w:rsidRDefault="0092299C" w:rsidP="0092299C">
            <w:pPr>
              <w:pStyle w:val="ARtabletextright"/>
            </w:pPr>
            <w:r w:rsidRPr="00806F92">
              <w:t>$0.17</w:t>
            </w:r>
          </w:p>
        </w:tc>
        <w:tc>
          <w:tcPr>
            <w:tcW w:w="1513" w:type="dxa"/>
            <w:tcBorders>
              <w:bottom w:val="single" w:sz="4" w:space="0" w:color="000000" w:themeColor="text1"/>
            </w:tcBorders>
          </w:tcPr>
          <w:p w:rsidR="0092299C" w:rsidRPr="00806F92" w:rsidRDefault="0092299C" w:rsidP="0092299C">
            <w:pPr>
              <w:pStyle w:val="ARtabletextright"/>
            </w:pPr>
            <w:r w:rsidRPr="00806F92">
              <w:t>14,224,207</w:t>
            </w:r>
          </w:p>
        </w:tc>
        <w:tc>
          <w:tcPr>
            <w:tcW w:w="944" w:type="dxa"/>
            <w:tcBorders>
              <w:bottom w:val="single" w:sz="4" w:space="0" w:color="000000" w:themeColor="text1"/>
            </w:tcBorders>
          </w:tcPr>
          <w:p w:rsidR="0092299C" w:rsidRPr="00806F92" w:rsidRDefault="0092299C" w:rsidP="0092299C">
            <w:pPr>
              <w:pStyle w:val="ARtabletextright"/>
            </w:pPr>
            <w:r w:rsidRPr="00806F92">
              <w:t>$0.18</w:t>
            </w:r>
          </w:p>
        </w:tc>
        <w:tc>
          <w:tcPr>
            <w:tcW w:w="1466" w:type="dxa"/>
            <w:tcBorders>
              <w:bottom w:val="single" w:sz="4" w:space="0" w:color="000000" w:themeColor="text1"/>
            </w:tcBorders>
          </w:tcPr>
          <w:p w:rsidR="0092299C" w:rsidRPr="00806F92" w:rsidRDefault="0092299C" w:rsidP="0092299C">
            <w:pPr>
              <w:pStyle w:val="ARtabletextright"/>
            </w:pPr>
            <w:r w:rsidRPr="00806F92">
              <w:t>10,321,215</w:t>
            </w:r>
          </w:p>
        </w:tc>
        <w:tc>
          <w:tcPr>
            <w:tcW w:w="991" w:type="dxa"/>
            <w:tcBorders>
              <w:bottom w:val="single" w:sz="4" w:space="0" w:color="000000" w:themeColor="text1"/>
            </w:tcBorders>
          </w:tcPr>
          <w:p w:rsidR="0092299C" w:rsidRPr="00806F92" w:rsidRDefault="0092299C" w:rsidP="0092299C">
            <w:pPr>
              <w:pStyle w:val="ARtabletextright"/>
            </w:pPr>
            <w:r w:rsidRPr="00806F92">
              <w:t>$0.13</w:t>
            </w:r>
          </w:p>
        </w:tc>
      </w:tr>
      <w:tr w:rsidR="0092299C" w:rsidRPr="008D1395" w:rsidTr="0092299C">
        <w:trPr>
          <w:cantSplit/>
          <w:trHeight w:val="270"/>
        </w:trPr>
        <w:tc>
          <w:tcPr>
            <w:tcW w:w="2274" w:type="dxa"/>
            <w:tcBorders>
              <w:top w:val="single" w:sz="4" w:space="0" w:color="000000" w:themeColor="text1"/>
              <w:bottom w:val="single" w:sz="4" w:space="0" w:color="auto"/>
            </w:tcBorders>
          </w:tcPr>
          <w:p w:rsidR="0092299C" w:rsidRPr="008D1395" w:rsidRDefault="0092299C" w:rsidP="0092299C">
            <w:pPr>
              <w:pStyle w:val="ARtabletext"/>
              <w:rPr>
                <w:b/>
              </w:rPr>
            </w:pPr>
            <w:r w:rsidRPr="008D1395">
              <w:rPr>
                <w:b/>
              </w:rPr>
              <w:t>Total</w:t>
            </w:r>
          </w:p>
        </w:tc>
        <w:tc>
          <w:tcPr>
            <w:tcW w:w="1418" w:type="dxa"/>
            <w:tcBorders>
              <w:top w:val="single" w:sz="4" w:space="0" w:color="000000" w:themeColor="text1"/>
              <w:bottom w:val="single" w:sz="4" w:space="0" w:color="auto"/>
            </w:tcBorders>
            <w:vAlign w:val="bottom"/>
          </w:tcPr>
          <w:p w:rsidR="0092299C" w:rsidRPr="00806F92" w:rsidRDefault="0092299C" w:rsidP="0092299C">
            <w:pPr>
              <w:pStyle w:val="ARtabletextright"/>
              <w:rPr>
                <w:b/>
              </w:rPr>
            </w:pPr>
            <w:r w:rsidRPr="00806F92">
              <w:rPr>
                <w:b/>
              </w:rPr>
              <w:t>71,210,975</w:t>
            </w:r>
          </w:p>
        </w:tc>
        <w:tc>
          <w:tcPr>
            <w:tcW w:w="1038" w:type="dxa"/>
            <w:tcBorders>
              <w:top w:val="single" w:sz="4" w:space="0" w:color="000000" w:themeColor="text1"/>
              <w:bottom w:val="single" w:sz="4" w:space="0" w:color="auto"/>
            </w:tcBorders>
            <w:vAlign w:val="bottom"/>
          </w:tcPr>
          <w:p w:rsidR="0092299C" w:rsidRPr="00806F92" w:rsidRDefault="0092299C" w:rsidP="0092299C">
            <w:pPr>
              <w:pStyle w:val="ARtabletextright"/>
              <w:rPr>
                <w:b/>
              </w:rPr>
            </w:pPr>
            <w:r w:rsidRPr="00806F92">
              <w:rPr>
                <w:b/>
              </w:rPr>
              <w:t>$2.75</w:t>
            </w:r>
          </w:p>
        </w:tc>
        <w:tc>
          <w:tcPr>
            <w:tcW w:w="1513" w:type="dxa"/>
            <w:tcBorders>
              <w:top w:val="single" w:sz="4" w:space="0" w:color="000000" w:themeColor="text1"/>
              <w:bottom w:val="single" w:sz="4" w:space="0" w:color="auto"/>
            </w:tcBorders>
            <w:vAlign w:val="bottom"/>
          </w:tcPr>
          <w:p w:rsidR="0092299C" w:rsidRPr="00806F92" w:rsidRDefault="0092299C" w:rsidP="0092299C">
            <w:pPr>
              <w:pStyle w:val="ARtabletextright"/>
              <w:rPr>
                <w:b/>
              </w:rPr>
            </w:pPr>
            <w:r w:rsidRPr="00806F92">
              <w:rPr>
                <w:b/>
              </w:rPr>
              <w:t>71,418,022</w:t>
            </w:r>
          </w:p>
        </w:tc>
        <w:tc>
          <w:tcPr>
            <w:tcW w:w="944" w:type="dxa"/>
            <w:tcBorders>
              <w:top w:val="single" w:sz="4" w:space="0" w:color="000000" w:themeColor="text1"/>
              <w:bottom w:val="single" w:sz="4" w:space="0" w:color="auto"/>
            </w:tcBorders>
            <w:vAlign w:val="bottom"/>
          </w:tcPr>
          <w:p w:rsidR="0092299C" w:rsidRPr="00806F92" w:rsidRDefault="0092299C" w:rsidP="0092299C">
            <w:pPr>
              <w:pStyle w:val="ARtabletextright"/>
              <w:rPr>
                <w:b/>
              </w:rPr>
            </w:pPr>
            <w:r w:rsidRPr="00806F92">
              <w:rPr>
                <w:b/>
              </w:rPr>
              <w:t>$2.93</w:t>
            </w:r>
          </w:p>
        </w:tc>
        <w:tc>
          <w:tcPr>
            <w:tcW w:w="1466" w:type="dxa"/>
            <w:tcBorders>
              <w:top w:val="single" w:sz="4" w:space="0" w:color="000000" w:themeColor="text1"/>
              <w:bottom w:val="single" w:sz="4" w:space="0" w:color="auto"/>
            </w:tcBorders>
            <w:vAlign w:val="bottom"/>
          </w:tcPr>
          <w:p w:rsidR="0092299C" w:rsidRPr="00806F92" w:rsidRDefault="0092299C" w:rsidP="0092299C">
            <w:pPr>
              <w:pStyle w:val="ARtabletextright"/>
              <w:rPr>
                <w:b/>
              </w:rPr>
            </w:pPr>
            <w:r w:rsidRPr="00806F92">
              <w:rPr>
                <w:b/>
              </w:rPr>
              <w:t>66,504,282</w:t>
            </w:r>
          </w:p>
        </w:tc>
        <w:tc>
          <w:tcPr>
            <w:tcW w:w="991" w:type="dxa"/>
            <w:tcBorders>
              <w:top w:val="single" w:sz="4" w:space="0" w:color="000000" w:themeColor="text1"/>
              <w:bottom w:val="single" w:sz="4" w:space="0" w:color="auto"/>
            </w:tcBorders>
            <w:vAlign w:val="bottom"/>
          </w:tcPr>
          <w:p w:rsidR="0092299C" w:rsidRPr="00806F92" w:rsidRDefault="0092299C" w:rsidP="0092299C">
            <w:pPr>
              <w:pStyle w:val="ARtabletextright"/>
              <w:rPr>
                <w:b/>
              </w:rPr>
            </w:pPr>
            <w:r w:rsidRPr="00806F92">
              <w:rPr>
                <w:b/>
              </w:rPr>
              <w:t>$2.87</w:t>
            </w:r>
          </w:p>
        </w:tc>
      </w:tr>
    </w:tbl>
    <w:p w:rsidR="0092299C" w:rsidRPr="00BB1BFA" w:rsidRDefault="0092299C" w:rsidP="0092299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106"/>
        <w:gridCol w:w="1511"/>
        <w:gridCol w:w="1511"/>
        <w:gridCol w:w="1511"/>
      </w:tblGrid>
      <w:tr w:rsidR="0092299C" w:rsidRPr="00BB1BFA" w:rsidTr="0092299C">
        <w:trPr>
          <w:cantSplit/>
          <w:trHeight w:val="229"/>
          <w:tblHeader/>
        </w:trPr>
        <w:tc>
          <w:tcPr>
            <w:tcW w:w="5106" w:type="dxa"/>
            <w:vAlign w:val="bottom"/>
          </w:tcPr>
          <w:p w:rsidR="0092299C" w:rsidRPr="00BB1BFA" w:rsidRDefault="0092299C" w:rsidP="0092299C">
            <w:pPr>
              <w:pStyle w:val="ARtablecolhead"/>
            </w:pPr>
            <w:r w:rsidRPr="00BB1BFA">
              <w:t>Description</w:t>
            </w:r>
          </w:p>
        </w:tc>
        <w:tc>
          <w:tcPr>
            <w:tcW w:w="1511" w:type="dxa"/>
            <w:vAlign w:val="bottom"/>
          </w:tcPr>
          <w:p w:rsidR="0092299C" w:rsidRPr="00806F92" w:rsidRDefault="0092299C" w:rsidP="0092299C">
            <w:pPr>
              <w:pStyle w:val="ARtablecolheadright"/>
            </w:pPr>
            <w:r w:rsidRPr="00806F92">
              <w:t>2014–15</w:t>
            </w:r>
            <w:r>
              <w:t xml:space="preserve"> estimate</w:t>
            </w:r>
          </w:p>
        </w:tc>
        <w:tc>
          <w:tcPr>
            <w:tcW w:w="1511" w:type="dxa"/>
            <w:vAlign w:val="bottom"/>
          </w:tcPr>
          <w:p w:rsidR="0092299C" w:rsidRPr="00806F92" w:rsidRDefault="0092299C" w:rsidP="0092299C">
            <w:pPr>
              <w:pStyle w:val="ARtablecolheadright"/>
            </w:pPr>
            <w:r>
              <w:t>2015–16 estimate</w:t>
            </w:r>
          </w:p>
        </w:tc>
        <w:tc>
          <w:tcPr>
            <w:tcW w:w="1511" w:type="dxa"/>
            <w:vAlign w:val="bottom"/>
          </w:tcPr>
          <w:p w:rsidR="0092299C" w:rsidRPr="00806F92" w:rsidRDefault="0092299C" w:rsidP="0092299C">
            <w:pPr>
              <w:pStyle w:val="ARtablecolheadright"/>
            </w:pPr>
            <w:r>
              <w:t>2016–17 estimate</w:t>
            </w:r>
          </w:p>
        </w:tc>
      </w:tr>
      <w:tr w:rsidR="0092299C" w:rsidRPr="00843E15" w:rsidTr="0092299C">
        <w:trPr>
          <w:cantSplit/>
          <w:trHeight w:val="270"/>
          <w:tblHeader/>
        </w:trPr>
        <w:tc>
          <w:tcPr>
            <w:tcW w:w="5106" w:type="dxa"/>
          </w:tcPr>
          <w:p w:rsidR="0092299C" w:rsidRPr="00843E15" w:rsidRDefault="0092299C" w:rsidP="0092299C">
            <w:pPr>
              <w:pStyle w:val="ARtablecolhead"/>
              <w:rPr>
                <w:color w:val="004C97"/>
              </w:rPr>
            </w:pPr>
            <w:r w:rsidRPr="00806F92">
              <w:t>Total greenhouse gas emissions by primary source</w:t>
            </w:r>
          </w:p>
        </w:tc>
        <w:tc>
          <w:tcPr>
            <w:tcW w:w="1511" w:type="dxa"/>
            <w:vAlign w:val="bottom"/>
          </w:tcPr>
          <w:p w:rsidR="0092299C" w:rsidRPr="00806F92" w:rsidRDefault="0092299C" w:rsidP="0092299C">
            <w:pPr>
              <w:pStyle w:val="ARtablecolheadright"/>
            </w:pPr>
            <w:r w:rsidRPr="00806F92">
              <w:t>Tonnes CO</w:t>
            </w:r>
            <w:r w:rsidRPr="00BC19F6">
              <w:rPr>
                <w:vertAlign w:val="subscript"/>
              </w:rPr>
              <w:t>2</w:t>
            </w:r>
            <w:r w:rsidRPr="00806F92">
              <w:t>-e</w:t>
            </w:r>
          </w:p>
        </w:tc>
        <w:tc>
          <w:tcPr>
            <w:tcW w:w="1511" w:type="dxa"/>
            <w:vAlign w:val="bottom"/>
          </w:tcPr>
          <w:p w:rsidR="0092299C" w:rsidRPr="00806F92" w:rsidRDefault="0092299C" w:rsidP="0092299C">
            <w:pPr>
              <w:pStyle w:val="ARtablecolheadright"/>
            </w:pPr>
            <w:r w:rsidRPr="00806F92">
              <w:t>Tonnes CO</w:t>
            </w:r>
            <w:r w:rsidRPr="00BC19F6">
              <w:rPr>
                <w:vertAlign w:val="subscript"/>
              </w:rPr>
              <w:t>2</w:t>
            </w:r>
            <w:r w:rsidRPr="00806F92">
              <w:t>-e</w:t>
            </w:r>
          </w:p>
        </w:tc>
        <w:tc>
          <w:tcPr>
            <w:tcW w:w="1511" w:type="dxa"/>
            <w:vAlign w:val="bottom"/>
          </w:tcPr>
          <w:p w:rsidR="0092299C" w:rsidRPr="00806F92" w:rsidRDefault="0092299C" w:rsidP="0092299C">
            <w:pPr>
              <w:pStyle w:val="ARtablecolheadright"/>
            </w:pPr>
            <w:r w:rsidRPr="00806F92">
              <w:t>Tonnes CO</w:t>
            </w:r>
            <w:r w:rsidRPr="00BC19F6">
              <w:rPr>
                <w:vertAlign w:val="subscript"/>
              </w:rPr>
              <w:t>2</w:t>
            </w:r>
            <w:r w:rsidRPr="00806F92">
              <w:t>-e</w:t>
            </w:r>
          </w:p>
        </w:tc>
      </w:tr>
      <w:tr w:rsidR="0092299C" w:rsidRPr="00BB1BFA" w:rsidTr="0092299C">
        <w:trPr>
          <w:cantSplit/>
          <w:trHeight w:val="270"/>
        </w:trPr>
        <w:tc>
          <w:tcPr>
            <w:tcW w:w="5106" w:type="dxa"/>
          </w:tcPr>
          <w:p w:rsidR="0092299C" w:rsidRPr="00BB1BFA" w:rsidRDefault="0092299C" w:rsidP="0092299C">
            <w:pPr>
              <w:pStyle w:val="ARtabletext"/>
            </w:pPr>
            <w:r w:rsidRPr="00BB1BFA">
              <w:t xml:space="preserve">Electricity </w:t>
            </w:r>
          </w:p>
        </w:tc>
        <w:tc>
          <w:tcPr>
            <w:tcW w:w="1511" w:type="dxa"/>
            <w:vAlign w:val="bottom"/>
          </w:tcPr>
          <w:p w:rsidR="0092299C" w:rsidRPr="00806F92" w:rsidRDefault="0092299C" w:rsidP="0092299C">
            <w:pPr>
              <w:pStyle w:val="ARtabletextright"/>
            </w:pPr>
            <w:r w:rsidRPr="00806F92">
              <w:t>18,478</w:t>
            </w:r>
          </w:p>
        </w:tc>
        <w:tc>
          <w:tcPr>
            <w:tcW w:w="1511" w:type="dxa"/>
            <w:vAlign w:val="bottom"/>
          </w:tcPr>
          <w:p w:rsidR="0092299C" w:rsidRPr="00806F92" w:rsidRDefault="0092299C" w:rsidP="0092299C">
            <w:pPr>
              <w:pStyle w:val="ARtabletextright"/>
            </w:pPr>
            <w:r w:rsidRPr="00806F92">
              <w:t>17,953</w:t>
            </w:r>
          </w:p>
        </w:tc>
        <w:tc>
          <w:tcPr>
            <w:tcW w:w="1511" w:type="dxa"/>
            <w:vAlign w:val="bottom"/>
          </w:tcPr>
          <w:p w:rsidR="0092299C" w:rsidRPr="00806F92" w:rsidRDefault="0092299C" w:rsidP="0092299C">
            <w:pPr>
              <w:pStyle w:val="ARtabletextright"/>
            </w:pPr>
            <w:r w:rsidRPr="00806F92">
              <w:t>17,011</w:t>
            </w:r>
          </w:p>
        </w:tc>
      </w:tr>
      <w:tr w:rsidR="0092299C" w:rsidRPr="00BB1BFA" w:rsidTr="0092299C">
        <w:trPr>
          <w:cantSplit/>
          <w:trHeight w:val="91"/>
        </w:trPr>
        <w:tc>
          <w:tcPr>
            <w:tcW w:w="5106" w:type="dxa"/>
          </w:tcPr>
          <w:p w:rsidR="0092299C" w:rsidRPr="00BB1BFA" w:rsidRDefault="0092299C" w:rsidP="0092299C">
            <w:pPr>
              <w:pStyle w:val="ARtabletext"/>
            </w:pPr>
            <w:r w:rsidRPr="00BB1BFA">
              <w:t>Natural gas</w:t>
            </w:r>
          </w:p>
        </w:tc>
        <w:tc>
          <w:tcPr>
            <w:tcW w:w="1511" w:type="dxa"/>
            <w:vAlign w:val="bottom"/>
          </w:tcPr>
          <w:p w:rsidR="0092299C" w:rsidRPr="00806F92" w:rsidRDefault="0092299C" w:rsidP="0092299C">
            <w:pPr>
              <w:pStyle w:val="ARtabletextright"/>
            </w:pPr>
            <w:r w:rsidRPr="00806F92">
              <w:t>762</w:t>
            </w:r>
          </w:p>
        </w:tc>
        <w:tc>
          <w:tcPr>
            <w:tcW w:w="1511" w:type="dxa"/>
            <w:vAlign w:val="bottom"/>
          </w:tcPr>
          <w:p w:rsidR="0092299C" w:rsidRPr="00806F92" w:rsidRDefault="0092299C" w:rsidP="0092299C">
            <w:pPr>
              <w:pStyle w:val="ARtabletextright"/>
            </w:pPr>
            <w:r w:rsidRPr="00806F92">
              <w:t>733</w:t>
            </w:r>
          </w:p>
        </w:tc>
        <w:tc>
          <w:tcPr>
            <w:tcW w:w="1511" w:type="dxa"/>
            <w:vAlign w:val="bottom"/>
          </w:tcPr>
          <w:p w:rsidR="0092299C" w:rsidRPr="00806F92" w:rsidRDefault="0092299C" w:rsidP="0092299C">
            <w:pPr>
              <w:pStyle w:val="ARtabletextright"/>
            </w:pPr>
            <w:r w:rsidRPr="00806F92">
              <w:t>532</w:t>
            </w:r>
          </w:p>
        </w:tc>
      </w:tr>
      <w:tr w:rsidR="0092299C" w:rsidRPr="008D1395" w:rsidTr="0092299C">
        <w:trPr>
          <w:cantSplit/>
          <w:trHeight w:val="91"/>
        </w:trPr>
        <w:tc>
          <w:tcPr>
            <w:tcW w:w="5106" w:type="dxa"/>
          </w:tcPr>
          <w:p w:rsidR="0092299C" w:rsidRPr="008D1395" w:rsidRDefault="0092299C" w:rsidP="0092299C">
            <w:pPr>
              <w:pStyle w:val="ARtabletext"/>
              <w:rPr>
                <w:b/>
              </w:rPr>
            </w:pPr>
            <w:r w:rsidRPr="008D1395">
              <w:rPr>
                <w:b/>
              </w:rPr>
              <w:t>Total</w:t>
            </w:r>
          </w:p>
        </w:tc>
        <w:tc>
          <w:tcPr>
            <w:tcW w:w="1511" w:type="dxa"/>
            <w:vAlign w:val="bottom"/>
          </w:tcPr>
          <w:p w:rsidR="0092299C" w:rsidRPr="00806F92" w:rsidRDefault="0092299C" w:rsidP="0092299C">
            <w:pPr>
              <w:pStyle w:val="ARtabletextright"/>
              <w:rPr>
                <w:b/>
              </w:rPr>
            </w:pPr>
            <w:r w:rsidRPr="00806F92">
              <w:rPr>
                <w:b/>
              </w:rPr>
              <w:t>19,240</w:t>
            </w:r>
          </w:p>
        </w:tc>
        <w:tc>
          <w:tcPr>
            <w:tcW w:w="1511" w:type="dxa"/>
            <w:vAlign w:val="bottom"/>
          </w:tcPr>
          <w:p w:rsidR="0092299C" w:rsidRPr="00806F92" w:rsidRDefault="0092299C" w:rsidP="0092299C">
            <w:pPr>
              <w:pStyle w:val="ARtabletextright"/>
              <w:rPr>
                <w:b/>
              </w:rPr>
            </w:pPr>
            <w:r w:rsidRPr="00806F92">
              <w:rPr>
                <w:b/>
              </w:rPr>
              <w:t>18,686</w:t>
            </w:r>
          </w:p>
        </w:tc>
        <w:tc>
          <w:tcPr>
            <w:tcW w:w="1511" w:type="dxa"/>
            <w:vAlign w:val="bottom"/>
          </w:tcPr>
          <w:p w:rsidR="0092299C" w:rsidRPr="00806F92" w:rsidRDefault="0092299C" w:rsidP="0092299C">
            <w:pPr>
              <w:pStyle w:val="ARtabletextright"/>
              <w:rPr>
                <w:b/>
              </w:rPr>
            </w:pPr>
            <w:r w:rsidRPr="00806F92">
              <w:rPr>
                <w:b/>
              </w:rPr>
              <w:t>17,543</w:t>
            </w:r>
          </w:p>
        </w:tc>
      </w:tr>
    </w:tbl>
    <w:p w:rsidR="00814761" w:rsidRDefault="00814761" w:rsidP="00814761">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5208"/>
        <w:gridCol w:w="1477"/>
        <w:gridCol w:w="1477"/>
        <w:gridCol w:w="1477"/>
      </w:tblGrid>
      <w:tr w:rsidR="0092299C" w:rsidRPr="00BB1BFA" w:rsidTr="00814761">
        <w:trPr>
          <w:cantSplit/>
          <w:trHeight w:val="270"/>
          <w:tblHeader/>
        </w:trPr>
        <w:tc>
          <w:tcPr>
            <w:tcW w:w="5208" w:type="dxa"/>
            <w:vAlign w:val="bottom"/>
          </w:tcPr>
          <w:p w:rsidR="0092299C" w:rsidRPr="00BB1BFA" w:rsidRDefault="0092299C" w:rsidP="0092299C">
            <w:pPr>
              <w:pStyle w:val="ARtablecolhead"/>
            </w:pPr>
            <w:r w:rsidRPr="00BB1BFA">
              <w:lastRenderedPageBreak/>
              <w:t>Description</w:t>
            </w:r>
          </w:p>
        </w:tc>
        <w:tc>
          <w:tcPr>
            <w:tcW w:w="1477" w:type="dxa"/>
            <w:vAlign w:val="bottom"/>
          </w:tcPr>
          <w:p w:rsidR="0092299C" w:rsidRPr="00814761" w:rsidRDefault="0092299C" w:rsidP="00814761">
            <w:pPr>
              <w:pStyle w:val="ARtablecolheadright"/>
            </w:pPr>
            <w:r w:rsidRPr="00E7503D">
              <w:t>2014–15</w:t>
            </w:r>
            <w:r w:rsidR="00814761">
              <w:br/>
            </w:r>
            <w:r>
              <w:t>estimate</w:t>
            </w:r>
          </w:p>
        </w:tc>
        <w:tc>
          <w:tcPr>
            <w:tcW w:w="1477" w:type="dxa"/>
            <w:vAlign w:val="bottom"/>
          </w:tcPr>
          <w:p w:rsidR="0092299C" w:rsidRPr="00422252" w:rsidRDefault="0092299C" w:rsidP="00814761">
            <w:pPr>
              <w:pStyle w:val="ARtablecolheadright"/>
            </w:pPr>
            <w:r>
              <w:t>2015–16</w:t>
            </w:r>
            <w:r w:rsidR="00814761">
              <w:br/>
            </w:r>
            <w:proofErr w:type="spellStart"/>
            <w:r>
              <w:t>stimate</w:t>
            </w:r>
            <w:proofErr w:type="spellEnd"/>
          </w:p>
        </w:tc>
        <w:tc>
          <w:tcPr>
            <w:tcW w:w="1477" w:type="dxa"/>
            <w:vAlign w:val="bottom"/>
          </w:tcPr>
          <w:p w:rsidR="0092299C" w:rsidRPr="00BB1BFA" w:rsidRDefault="0092299C" w:rsidP="00814761">
            <w:pPr>
              <w:pStyle w:val="ARtablecolheadright"/>
            </w:pPr>
            <w:r>
              <w:t>2016–17</w:t>
            </w:r>
            <w:r w:rsidR="00814761">
              <w:br/>
            </w:r>
            <w:r>
              <w:t>estimate</w:t>
            </w:r>
          </w:p>
        </w:tc>
      </w:tr>
      <w:tr w:rsidR="0092299C" w:rsidRPr="00BB1BFA" w:rsidTr="00814761">
        <w:trPr>
          <w:cantSplit/>
          <w:trHeight w:val="270"/>
        </w:trPr>
        <w:tc>
          <w:tcPr>
            <w:tcW w:w="5208" w:type="dxa"/>
          </w:tcPr>
          <w:p w:rsidR="0092299C" w:rsidRPr="00BB1BFA" w:rsidRDefault="0092299C" w:rsidP="0092299C">
            <w:pPr>
              <w:pStyle w:val="ARtabletext"/>
            </w:pPr>
            <w:r w:rsidRPr="00BB1BFA">
              <w:t>Energy used per FTE (</w:t>
            </w:r>
            <w:proofErr w:type="spellStart"/>
            <w:r w:rsidRPr="00BB1BFA">
              <w:t>megajoules</w:t>
            </w:r>
            <w:proofErr w:type="spellEnd"/>
            <w:r w:rsidRPr="00BB1BFA">
              <w:t>/FTE)</w:t>
            </w:r>
          </w:p>
        </w:tc>
        <w:tc>
          <w:tcPr>
            <w:tcW w:w="1477" w:type="dxa"/>
          </w:tcPr>
          <w:p w:rsidR="0092299C" w:rsidRPr="00BB1BFA" w:rsidRDefault="0092299C" w:rsidP="0092299C">
            <w:pPr>
              <w:pStyle w:val="ARtabletextright"/>
            </w:pPr>
            <w:r>
              <w:t>10,913</w:t>
            </w:r>
          </w:p>
        </w:tc>
        <w:tc>
          <w:tcPr>
            <w:tcW w:w="1477" w:type="dxa"/>
          </w:tcPr>
          <w:p w:rsidR="0092299C" w:rsidRPr="00422252" w:rsidRDefault="0092299C" w:rsidP="0092299C">
            <w:pPr>
              <w:pStyle w:val="ARtabletextright"/>
            </w:pPr>
            <w:r>
              <w:t>9,608</w:t>
            </w:r>
          </w:p>
        </w:tc>
        <w:tc>
          <w:tcPr>
            <w:tcW w:w="1477" w:type="dxa"/>
          </w:tcPr>
          <w:p w:rsidR="0092299C" w:rsidRPr="00BB1BFA" w:rsidRDefault="0092299C" w:rsidP="0092299C">
            <w:pPr>
              <w:pStyle w:val="ARtabletextright"/>
            </w:pPr>
            <w:r>
              <w:t>8,714</w:t>
            </w:r>
          </w:p>
        </w:tc>
      </w:tr>
      <w:tr w:rsidR="0092299C" w:rsidRPr="00BB1BFA" w:rsidTr="00814761">
        <w:trPr>
          <w:cantSplit/>
          <w:trHeight w:val="315"/>
        </w:trPr>
        <w:tc>
          <w:tcPr>
            <w:tcW w:w="5208" w:type="dxa"/>
          </w:tcPr>
          <w:p w:rsidR="0092299C" w:rsidRPr="00BB1BFA" w:rsidRDefault="0092299C" w:rsidP="0092299C">
            <w:pPr>
              <w:pStyle w:val="ARtabletext"/>
            </w:pPr>
            <w:r w:rsidRPr="00BB1BFA">
              <w:t>Energy intensity (</w:t>
            </w:r>
            <w:proofErr w:type="spellStart"/>
            <w:r w:rsidRPr="00BB1BFA">
              <w:t>megajoules</w:t>
            </w:r>
            <w:proofErr w:type="spellEnd"/>
            <w:r w:rsidRPr="00BB1BFA">
              <w:t>/m</w:t>
            </w:r>
            <w:r w:rsidRPr="008D1395">
              <w:rPr>
                <w:vertAlign w:val="superscript"/>
              </w:rPr>
              <w:t>2</w:t>
            </w:r>
            <w:r w:rsidRPr="00BB1BFA">
              <w:t>)</w:t>
            </w:r>
          </w:p>
        </w:tc>
        <w:tc>
          <w:tcPr>
            <w:tcW w:w="1477" w:type="dxa"/>
          </w:tcPr>
          <w:p w:rsidR="0092299C" w:rsidRPr="00BB1BFA" w:rsidRDefault="0092299C" w:rsidP="0092299C">
            <w:pPr>
              <w:pStyle w:val="ARtabletextright"/>
            </w:pPr>
            <w:r>
              <w:t>521</w:t>
            </w:r>
          </w:p>
        </w:tc>
        <w:tc>
          <w:tcPr>
            <w:tcW w:w="1477" w:type="dxa"/>
          </w:tcPr>
          <w:p w:rsidR="0092299C" w:rsidRPr="00422252" w:rsidRDefault="0092299C" w:rsidP="0092299C">
            <w:pPr>
              <w:pStyle w:val="ARtabletextright"/>
            </w:pPr>
            <w:r>
              <w:t>511</w:t>
            </w:r>
          </w:p>
        </w:tc>
        <w:tc>
          <w:tcPr>
            <w:tcW w:w="1477" w:type="dxa"/>
          </w:tcPr>
          <w:p w:rsidR="0092299C" w:rsidRPr="00BB1BFA" w:rsidRDefault="0092299C" w:rsidP="0092299C">
            <w:pPr>
              <w:pStyle w:val="ARtabletextright"/>
            </w:pPr>
            <w:r>
              <w:t>520</w:t>
            </w:r>
          </w:p>
        </w:tc>
      </w:tr>
      <w:tr w:rsidR="0092299C" w:rsidRPr="00BB1BFA" w:rsidTr="00814761">
        <w:trPr>
          <w:cantSplit/>
          <w:trHeight w:val="270"/>
        </w:trPr>
        <w:tc>
          <w:tcPr>
            <w:tcW w:w="5208" w:type="dxa"/>
          </w:tcPr>
          <w:p w:rsidR="0092299C" w:rsidRPr="00BB1BFA" w:rsidRDefault="0092299C" w:rsidP="0092299C">
            <w:pPr>
              <w:pStyle w:val="ARtabletext"/>
            </w:pPr>
            <w:r w:rsidRPr="00BB1BFA">
              <w:t>Green power purchased</w:t>
            </w:r>
          </w:p>
        </w:tc>
        <w:tc>
          <w:tcPr>
            <w:tcW w:w="1477" w:type="dxa"/>
          </w:tcPr>
          <w:p w:rsidR="0092299C" w:rsidRPr="00BB1BFA" w:rsidRDefault="0092299C" w:rsidP="0092299C">
            <w:pPr>
              <w:pStyle w:val="ARtabletextright"/>
            </w:pPr>
            <w:r w:rsidRPr="00BB1BFA">
              <w:t>0.0%</w:t>
            </w:r>
          </w:p>
        </w:tc>
        <w:tc>
          <w:tcPr>
            <w:tcW w:w="1477" w:type="dxa"/>
          </w:tcPr>
          <w:p w:rsidR="0092299C" w:rsidRPr="00422252" w:rsidRDefault="0092299C" w:rsidP="0092299C">
            <w:pPr>
              <w:pStyle w:val="ARtabletextright"/>
            </w:pPr>
            <w:r w:rsidRPr="00422252">
              <w:t>0.0%</w:t>
            </w:r>
          </w:p>
        </w:tc>
        <w:tc>
          <w:tcPr>
            <w:tcW w:w="1477" w:type="dxa"/>
          </w:tcPr>
          <w:p w:rsidR="0092299C" w:rsidRPr="00BB1BFA" w:rsidRDefault="0092299C" w:rsidP="0092299C">
            <w:pPr>
              <w:pStyle w:val="ARtabletextright"/>
            </w:pPr>
            <w:r>
              <w:t>0.0%</w:t>
            </w:r>
          </w:p>
        </w:tc>
      </w:tr>
    </w:tbl>
    <w:p w:rsidR="0092299C" w:rsidRPr="0065234A" w:rsidRDefault="0092299C" w:rsidP="0092299C">
      <w:pPr>
        <w:pStyle w:val="ARtablefootnote"/>
      </w:pPr>
      <w:r w:rsidRPr="0065234A">
        <w:t>Electricity data represents 98.9 per cent of office-based FTE and 99.7 per cent of office</w:t>
      </w:r>
      <w:r>
        <w:t xml:space="preserve"> net let area</w:t>
      </w:r>
      <w:r w:rsidRPr="0065234A">
        <w:t xml:space="preserve"> </w:t>
      </w:r>
      <w:r w:rsidR="00654E06">
        <w:t>(</w:t>
      </w:r>
      <w:r w:rsidRPr="0065234A">
        <w:t>NLA</w:t>
      </w:r>
      <w:r w:rsidR="00654E06">
        <w:t>)</w:t>
      </w:r>
      <w:r w:rsidRPr="0065234A">
        <w:t>.</w:t>
      </w:r>
    </w:p>
    <w:p w:rsidR="0092299C" w:rsidRPr="0065234A" w:rsidRDefault="0092299C" w:rsidP="0092299C">
      <w:pPr>
        <w:pStyle w:val="ARtablefootnote"/>
      </w:pPr>
      <w:r w:rsidRPr="0065234A">
        <w:t>Green power relates to electricity use only.</w:t>
      </w:r>
    </w:p>
    <w:p w:rsidR="0092299C" w:rsidRPr="0065234A" w:rsidRDefault="0092299C" w:rsidP="0092299C">
      <w:pPr>
        <w:pStyle w:val="ARtablefootnote"/>
      </w:pPr>
      <w:r w:rsidRPr="0065234A">
        <w:t>Natural gas usage represents 56 per cent of office-based FTE and 86 per cent of office NLA.</w:t>
      </w:r>
    </w:p>
    <w:p w:rsidR="0092299C" w:rsidRPr="0065234A" w:rsidRDefault="0092299C" w:rsidP="0092299C">
      <w:pPr>
        <w:pStyle w:val="ARtablefootnote"/>
      </w:pPr>
      <w:r w:rsidRPr="0065234A">
        <w:t xml:space="preserve">Greenhouse gas </w:t>
      </w:r>
      <w:r w:rsidRPr="004443C4">
        <w:t>conversion factors are taken from the National Greenhouse Accounts Factors.</w:t>
      </w:r>
    </w:p>
    <w:p w:rsidR="0092299C" w:rsidRPr="0065234A" w:rsidRDefault="0092299C" w:rsidP="0092299C">
      <w:pPr>
        <w:pStyle w:val="ARtablefootnote"/>
      </w:pPr>
      <w:r w:rsidRPr="0065234A">
        <w:t>Figures have been adjusted to include the most up-to-date data and may differ from those estimated for the same period in the Department of Health and Human Services annual report 2015–16</w:t>
      </w:r>
      <w:r>
        <w:t>.</w:t>
      </w:r>
    </w:p>
    <w:p w:rsidR="0092299C" w:rsidRDefault="0092299C" w:rsidP="0092299C">
      <w:pPr>
        <w:pStyle w:val="Heading3"/>
      </w:pPr>
      <w:r w:rsidRPr="00843E15">
        <w:t xml:space="preserve">Housing </w:t>
      </w:r>
      <w:r>
        <w:t>s</w:t>
      </w:r>
      <w:r w:rsidRPr="00806F92">
        <w:t>ervices</w:t>
      </w:r>
    </w:p>
    <w:p w:rsidR="0092299C" w:rsidRPr="00806F92" w:rsidRDefault="0092299C" w:rsidP="0092299C">
      <w:pPr>
        <w:pStyle w:val="Heading4"/>
        <w:rPr>
          <w:lang w:eastAsia="en-AU"/>
        </w:rPr>
      </w:pPr>
      <w:r>
        <w:rPr>
          <w:lang w:eastAsia="en-AU"/>
        </w:rPr>
        <w:t>Electricity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76"/>
        <w:gridCol w:w="1227"/>
        <w:gridCol w:w="1228"/>
        <w:gridCol w:w="1226"/>
        <w:gridCol w:w="1228"/>
        <w:gridCol w:w="1226"/>
        <w:gridCol w:w="1228"/>
      </w:tblGrid>
      <w:tr w:rsidR="0092299C" w:rsidRPr="00D27810" w:rsidTr="00521753">
        <w:trPr>
          <w:cantSplit/>
          <w:trHeight w:val="230"/>
          <w:tblHeader/>
        </w:trPr>
        <w:tc>
          <w:tcPr>
            <w:tcW w:w="1180" w:type="pct"/>
            <w:vAlign w:val="bottom"/>
          </w:tcPr>
          <w:p w:rsidR="0092299C" w:rsidRPr="00806F92" w:rsidRDefault="0092299C" w:rsidP="00521753">
            <w:pPr>
              <w:pStyle w:val="ARtablecolhead"/>
            </w:pPr>
            <w:r w:rsidRPr="00806F92">
              <w:t>Description</w:t>
            </w:r>
          </w:p>
        </w:tc>
        <w:tc>
          <w:tcPr>
            <w:tcW w:w="636" w:type="pct"/>
            <w:vAlign w:val="bottom"/>
          </w:tcPr>
          <w:p w:rsidR="0092299C" w:rsidRPr="00806F92" w:rsidRDefault="0092299C" w:rsidP="00521753">
            <w:pPr>
              <w:pStyle w:val="ARtablecolheadright"/>
            </w:pPr>
            <w:r w:rsidRPr="00806F92">
              <w:t>2014–15</w:t>
            </w:r>
            <w:r>
              <w:br/>
            </w:r>
            <w:r w:rsidRPr="00806F92">
              <w:t>estimate</w:t>
            </w:r>
          </w:p>
        </w:tc>
        <w:tc>
          <w:tcPr>
            <w:tcW w:w="637" w:type="pct"/>
            <w:vAlign w:val="bottom"/>
          </w:tcPr>
          <w:p w:rsidR="0092299C" w:rsidRPr="00806F92" w:rsidRDefault="0092299C" w:rsidP="00521753">
            <w:pPr>
              <w:pStyle w:val="ARtablecolheadright"/>
            </w:pPr>
            <w:r w:rsidRPr="00806F92">
              <w:t>2014–15</w:t>
            </w:r>
            <w:r>
              <w:br/>
              <w:t>estimate</w:t>
            </w:r>
          </w:p>
        </w:tc>
        <w:tc>
          <w:tcPr>
            <w:tcW w:w="636" w:type="pct"/>
            <w:vAlign w:val="bottom"/>
          </w:tcPr>
          <w:p w:rsidR="0092299C" w:rsidRPr="00806F92" w:rsidRDefault="0092299C" w:rsidP="00521753">
            <w:pPr>
              <w:pStyle w:val="ARtablecolheadright"/>
            </w:pPr>
            <w:r w:rsidRPr="00806F92">
              <w:t>2015–16</w:t>
            </w:r>
            <w:r>
              <w:br/>
              <w:t>estimate</w:t>
            </w:r>
          </w:p>
        </w:tc>
        <w:tc>
          <w:tcPr>
            <w:tcW w:w="637" w:type="pct"/>
            <w:vAlign w:val="bottom"/>
          </w:tcPr>
          <w:p w:rsidR="0092299C" w:rsidRPr="00806F92" w:rsidRDefault="0092299C" w:rsidP="00521753">
            <w:pPr>
              <w:pStyle w:val="ARtablecolheadright"/>
            </w:pPr>
            <w:r w:rsidRPr="00806F92">
              <w:t>2015–16</w:t>
            </w:r>
            <w:r>
              <w:br/>
              <w:t>estimate</w:t>
            </w:r>
          </w:p>
        </w:tc>
        <w:tc>
          <w:tcPr>
            <w:tcW w:w="636" w:type="pct"/>
            <w:vAlign w:val="bottom"/>
          </w:tcPr>
          <w:p w:rsidR="0092299C" w:rsidRPr="00806F92" w:rsidRDefault="0092299C" w:rsidP="00521753">
            <w:pPr>
              <w:pStyle w:val="ARtablecolheadright"/>
            </w:pPr>
            <w:r w:rsidRPr="00806F92">
              <w:t>2016–17</w:t>
            </w:r>
            <w:r>
              <w:br/>
              <w:t>estimate</w:t>
            </w:r>
          </w:p>
        </w:tc>
        <w:tc>
          <w:tcPr>
            <w:tcW w:w="637" w:type="pct"/>
            <w:vAlign w:val="bottom"/>
          </w:tcPr>
          <w:p w:rsidR="0092299C" w:rsidRPr="00806F92" w:rsidRDefault="0092299C" w:rsidP="00521753">
            <w:pPr>
              <w:pStyle w:val="ARtablecolheadright"/>
            </w:pPr>
            <w:r w:rsidRPr="00806F92">
              <w:t>2016–17</w:t>
            </w:r>
            <w:r>
              <w:br/>
              <w:t>estimate</w:t>
            </w:r>
          </w:p>
        </w:tc>
      </w:tr>
      <w:tr w:rsidR="0092299C" w:rsidRPr="00D27810" w:rsidTr="00521753">
        <w:trPr>
          <w:cantSplit/>
          <w:trHeight w:val="335"/>
          <w:tblHeader/>
        </w:trPr>
        <w:tc>
          <w:tcPr>
            <w:tcW w:w="1180" w:type="pct"/>
            <w:vAlign w:val="bottom"/>
          </w:tcPr>
          <w:p w:rsidR="0092299C" w:rsidRPr="00806F92" w:rsidRDefault="0092299C" w:rsidP="00521753">
            <w:pPr>
              <w:pStyle w:val="ARtablecolhead"/>
            </w:pPr>
            <w:r w:rsidRPr="00806F92">
              <w:t>Total energy usage segmented by primary source</w:t>
            </w:r>
          </w:p>
        </w:tc>
        <w:tc>
          <w:tcPr>
            <w:tcW w:w="636" w:type="pct"/>
            <w:vAlign w:val="bottom"/>
          </w:tcPr>
          <w:p w:rsidR="0092299C" w:rsidRPr="00806F92" w:rsidRDefault="0092299C" w:rsidP="00521753">
            <w:pPr>
              <w:pStyle w:val="ARtablecolheadright"/>
            </w:pPr>
            <w:proofErr w:type="spellStart"/>
            <w:r w:rsidRPr="00806F92">
              <w:t>Megajoules</w:t>
            </w:r>
            <w:proofErr w:type="spellEnd"/>
          </w:p>
        </w:tc>
        <w:tc>
          <w:tcPr>
            <w:tcW w:w="637" w:type="pct"/>
            <w:vAlign w:val="bottom"/>
          </w:tcPr>
          <w:p w:rsidR="0092299C" w:rsidRDefault="0092299C" w:rsidP="00521753">
            <w:pPr>
              <w:pStyle w:val="ARtablecolheadright"/>
            </w:pPr>
            <w:r>
              <w:t>Cost</w:t>
            </w:r>
          </w:p>
          <w:p w:rsidR="0092299C" w:rsidRPr="00806F92" w:rsidRDefault="0092299C" w:rsidP="00EA6A4E">
            <w:pPr>
              <w:pStyle w:val="ARtablecolheadright"/>
            </w:pPr>
            <w:r w:rsidRPr="00806F92">
              <w:t>($</w:t>
            </w:r>
            <w:r w:rsidR="00EA6A4E">
              <w:t>M</w:t>
            </w:r>
            <w:r w:rsidRPr="00806F92">
              <w:t>)</w:t>
            </w:r>
          </w:p>
        </w:tc>
        <w:tc>
          <w:tcPr>
            <w:tcW w:w="636" w:type="pct"/>
            <w:vAlign w:val="bottom"/>
          </w:tcPr>
          <w:p w:rsidR="0092299C" w:rsidRPr="00806F92" w:rsidRDefault="0092299C" w:rsidP="00521753">
            <w:pPr>
              <w:pStyle w:val="ARtablecolheadright"/>
            </w:pPr>
            <w:proofErr w:type="spellStart"/>
            <w:r w:rsidRPr="00806F92">
              <w:t>Megajoules</w:t>
            </w:r>
            <w:proofErr w:type="spellEnd"/>
          </w:p>
        </w:tc>
        <w:tc>
          <w:tcPr>
            <w:tcW w:w="637" w:type="pct"/>
            <w:vAlign w:val="bottom"/>
          </w:tcPr>
          <w:p w:rsidR="0092299C" w:rsidRDefault="0092299C" w:rsidP="00521753">
            <w:pPr>
              <w:pStyle w:val="ARtablecolheadright"/>
            </w:pPr>
            <w:r>
              <w:t>Cost</w:t>
            </w:r>
          </w:p>
          <w:p w:rsidR="0092299C" w:rsidRPr="00806F92" w:rsidRDefault="0092299C" w:rsidP="00EA6A4E">
            <w:pPr>
              <w:pStyle w:val="ARtablecolheadright"/>
            </w:pPr>
            <w:r w:rsidRPr="00806F92">
              <w:t>($</w:t>
            </w:r>
            <w:r w:rsidR="00EA6A4E">
              <w:t>M</w:t>
            </w:r>
            <w:r w:rsidRPr="00806F92">
              <w:t>)</w:t>
            </w:r>
          </w:p>
        </w:tc>
        <w:tc>
          <w:tcPr>
            <w:tcW w:w="636" w:type="pct"/>
            <w:vAlign w:val="bottom"/>
          </w:tcPr>
          <w:p w:rsidR="0092299C" w:rsidRPr="00806F92" w:rsidRDefault="0092299C" w:rsidP="00521753">
            <w:pPr>
              <w:pStyle w:val="ARtablecolheadright"/>
            </w:pPr>
            <w:proofErr w:type="spellStart"/>
            <w:r w:rsidRPr="00806F92">
              <w:t>Megajoules</w:t>
            </w:r>
            <w:proofErr w:type="spellEnd"/>
          </w:p>
        </w:tc>
        <w:tc>
          <w:tcPr>
            <w:tcW w:w="637" w:type="pct"/>
            <w:vAlign w:val="bottom"/>
          </w:tcPr>
          <w:p w:rsidR="0092299C" w:rsidRDefault="0092299C" w:rsidP="00521753">
            <w:pPr>
              <w:pStyle w:val="ARtablecolheadright"/>
            </w:pPr>
            <w:r>
              <w:t>Cost</w:t>
            </w:r>
          </w:p>
          <w:p w:rsidR="0092299C" w:rsidRPr="00806F92" w:rsidRDefault="0092299C" w:rsidP="00EA6A4E">
            <w:pPr>
              <w:pStyle w:val="ARtablecolheadright"/>
            </w:pPr>
            <w:r w:rsidRPr="00806F92">
              <w:t>($</w:t>
            </w:r>
            <w:r w:rsidR="00EA6A4E">
              <w:t>M</w:t>
            </w:r>
            <w:r w:rsidRPr="00806F92">
              <w:t>)</w:t>
            </w:r>
          </w:p>
        </w:tc>
      </w:tr>
      <w:tr w:rsidR="0092299C" w:rsidRPr="00D27810" w:rsidTr="00521753">
        <w:trPr>
          <w:cantSplit/>
          <w:trHeight w:val="335"/>
        </w:trPr>
        <w:tc>
          <w:tcPr>
            <w:tcW w:w="1180" w:type="pct"/>
          </w:tcPr>
          <w:p w:rsidR="0092299C" w:rsidRPr="00D27810" w:rsidRDefault="0092299C" w:rsidP="00521753">
            <w:pPr>
              <w:pStyle w:val="ARtabletext"/>
            </w:pPr>
            <w:r w:rsidRPr="00D27810">
              <w:t xml:space="preserve">High-rise public housing electricity use </w:t>
            </w:r>
          </w:p>
        </w:tc>
        <w:tc>
          <w:tcPr>
            <w:tcW w:w="636" w:type="pct"/>
          </w:tcPr>
          <w:p w:rsidR="0092299C" w:rsidRPr="00D27810" w:rsidRDefault="0092299C" w:rsidP="00521753">
            <w:pPr>
              <w:pStyle w:val="ARtabletext"/>
              <w:jc w:val="right"/>
            </w:pPr>
            <w:r w:rsidRPr="00082010">
              <w:t>54,974,895</w:t>
            </w:r>
          </w:p>
        </w:tc>
        <w:tc>
          <w:tcPr>
            <w:tcW w:w="637" w:type="pct"/>
          </w:tcPr>
          <w:p w:rsidR="0092299C" w:rsidRPr="00D27810" w:rsidRDefault="0092299C" w:rsidP="00521753">
            <w:pPr>
              <w:pStyle w:val="ARtabletext"/>
              <w:jc w:val="right"/>
            </w:pPr>
            <w:r>
              <w:t>$1.94</w:t>
            </w:r>
          </w:p>
        </w:tc>
        <w:tc>
          <w:tcPr>
            <w:tcW w:w="636" w:type="pct"/>
          </w:tcPr>
          <w:p w:rsidR="0092299C" w:rsidRPr="00D27810" w:rsidRDefault="0092299C" w:rsidP="00521753">
            <w:pPr>
              <w:pStyle w:val="ARtabletext"/>
              <w:jc w:val="right"/>
            </w:pPr>
            <w:r w:rsidRPr="00082010">
              <w:t>55,501,262</w:t>
            </w:r>
          </w:p>
        </w:tc>
        <w:tc>
          <w:tcPr>
            <w:tcW w:w="637" w:type="pct"/>
          </w:tcPr>
          <w:p w:rsidR="0092299C" w:rsidRPr="00D27810" w:rsidRDefault="0092299C" w:rsidP="00521753">
            <w:pPr>
              <w:pStyle w:val="ARtabletext"/>
              <w:jc w:val="right"/>
            </w:pPr>
            <w:r>
              <w:t>$2.00</w:t>
            </w:r>
          </w:p>
        </w:tc>
        <w:tc>
          <w:tcPr>
            <w:tcW w:w="636" w:type="pct"/>
          </w:tcPr>
          <w:p w:rsidR="0092299C" w:rsidRPr="00D27810" w:rsidRDefault="0092299C" w:rsidP="00521753">
            <w:pPr>
              <w:pStyle w:val="ARtabletext"/>
              <w:jc w:val="right"/>
            </w:pPr>
            <w:r w:rsidRPr="00082010">
              <w:t>56,095,938</w:t>
            </w:r>
          </w:p>
        </w:tc>
        <w:tc>
          <w:tcPr>
            <w:tcW w:w="637" w:type="pct"/>
          </w:tcPr>
          <w:p w:rsidR="0092299C" w:rsidRPr="00D27810" w:rsidRDefault="0092299C" w:rsidP="00521753">
            <w:pPr>
              <w:pStyle w:val="ARtabletext"/>
              <w:jc w:val="right"/>
            </w:pPr>
            <w:r>
              <w:t>$2.28</w:t>
            </w:r>
          </w:p>
        </w:tc>
      </w:tr>
      <w:tr w:rsidR="0092299C" w:rsidRPr="00D27810" w:rsidTr="00521753">
        <w:trPr>
          <w:cantSplit/>
          <w:trHeight w:val="335"/>
        </w:trPr>
        <w:tc>
          <w:tcPr>
            <w:tcW w:w="1180" w:type="pct"/>
          </w:tcPr>
          <w:p w:rsidR="0092299C" w:rsidRPr="00D27810" w:rsidRDefault="0092299C" w:rsidP="00521753">
            <w:pPr>
              <w:pStyle w:val="ARtabletext"/>
            </w:pPr>
            <w:r w:rsidRPr="00D27810">
              <w:t>Other public housing electricity use</w:t>
            </w:r>
          </w:p>
        </w:tc>
        <w:tc>
          <w:tcPr>
            <w:tcW w:w="636" w:type="pct"/>
          </w:tcPr>
          <w:p w:rsidR="0092299C" w:rsidRPr="00D27810" w:rsidRDefault="0092299C" w:rsidP="00521753">
            <w:pPr>
              <w:pStyle w:val="ARtabletext"/>
              <w:jc w:val="right"/>
            </w:pPr>
            <w:r w:rsidRPr="00082010">
              <w:t>32,301,566</w:t>
            </w:r>
          </w:p>
        </w:tc>
        <w:tc>
          <w:tcPr>
            <w:tcW w:w="637" w:type="pct"/>
          </w:tcPr>
          <w:p w:rsidR="0092299C" w:rsidRPr="00D27810" w:rsidRDefault="0092299C" w:rsidP="00521753">
            <w:pPr>
              <w:pStyle w:val="ARtabletext"/>
              <w:jc w:val="right"/>
            </w:pPr>
            <w:r>
              <w:t>$2.37</w:t>
            </w:r>
          </w:p>
        </w:tc>
        <w:tc>
          <w:tcPr>
            <w:tcW w:w="636" w:type="pct"/>
          </w:tcPr>
          <w:p w:rsidR="0092299C" w:rsidRPr="00D27810" w:rsidRDefault="0092299C" w:rsidP="00521753">
            <w:pPr>
              <w:pStyle w:val="ARtabletext"/>
              <w:jc w:val="right"/>
            </w:pPr>
            <w:r w:rsidRPr="00082010">
              <w:t>32,431,003</w:t>
            </w:r>
          </w:p>
        </w:tc>
        <w:tc>
          <w:tcPr>
            <w:tcW w:w="637" w:type="pct"/>
          </w:tcPr>
          <w:p w:rsidR="0092299C" w:rsidRPr="00D27810" w:rsidRDefault="0092299C" w:rsidP="00521753">
            <w:pPr>
              <w:pStyle w:val="ARtabletext"/>
              <w:jc w:val="right"/>
            </w:pPr>
            <w:r>
              <w:t>$2.34</w:t>
            </w:r>
          </w:p>
        </w:tc>
        <w:tc>
          <w:tcPr>
            <w:tcW w:w="636" w:type="pct"/>
          </w:tcPr>
          <w:p w:rsidR="0092299C" w:rsidRPr="00D27810" w:rsidRDefault="0092299C" w:rsidP="00521753">
            <w:pPr>
              <w:pStyle w:val="ARtabletext"/>
              <w:jc w:val="right"/>
            </w:pPr>
            <w:r w:rsidRPr="00082010">
              <w:t>31,757,375</w:t>
            </w:r>
          </w:p>
        </w:tc>
        <w:tc>
          <w:tcPr>
            <w:tcW w:w="637" w:type="pct"/>
          </w:tcPr>
          <w:p w:rsidR="0092299C" w:rsidRPr="00D27810" w:rsidRDefault="0092299C" w:rsidP="00521753">
            <w:pPr>
              <w:pStyle w:val="ARtabletext"/>
              <w:jc w:val="right"/>
            </w:pPr>
            <w:r>
              <w:t>$2.14</w:t>
            </w:r>
          </w:p>
        </w:tc>
      </w:tr>
      <w:tr w:rsidR="0092299C" w:rsidRPr="00D27810" w:rsidTr="00521753">
        <w:trPr>
          <w:cantSplit/>
          <w:trHeight w:val="379"/>
        </w:trPr>
        <w:tc>
          <w:tcPr>
            <w:tcW w:w="1180" w:type="pct"/>
          </w:tcPr>
          <w:p w:rsidR="0092299C" w:rsidRPr="00D27810" w:rsidRDefault="0092299C" w:rsidP="00521753">
            <w:pPr>
              <w:pStyle w:val="ARtabletext"/>
            </w:pPr>
            <w:r w:rsidRPr="00D27810">
              <w:t>Disability housing electricity use</w:t>
            </w:r>
          </w:p>
        </w:tc>
        <w:tc>
          <w:tcPr>
            <w:tcW w:w="636" w:type="pct"/>
          </w:tcPr>
          <w:p w:rsidR="0092299C" w:rsidRPr="00D27810" w:rsidRDefault="0092299C" w:rsidP="00521753">
            <w:pPr>
              <w:pStyle w:val="ARtabletext"/>
              <w:jc w:val="right"/>
            </w:pPr>
            <w:r w:rsidRPr="00082010">
              <w:t>39,322,734</w:t>
            </w:r>
          </w:p>
        </w:tc>
        <w:tc>
          <w:tcPr>
            <w:tcW w:w="637" w:type="pct"/>
          </w:tcPr>
          <w:p w:rsidR="0092299C" w:rsidRPr="00D27810" w:rsidRDefault="0092299C" w:rsidP="00521753">
            <w:pPr>
              <w:pStyle w:val="ARtabletext"/>
              <w:jc w:val="right"/>
            </w:pPr>
            <w:r>
              <w:t>$1.85</w:t>
            </w:r>
          </w:p>
        </w:tc>
        <w:tc>
          <w:tcPr>
            <w:tcW w:w="636" w:type="pct"/>
          </w:tcPr>
          <w:p w:rsidR="0092299C" w:rsidRPr="00D27810" w:rsidRDefault="0092299C" w:rsidP="00521753">
            <w:pPr>
              <w:pStyle w:val="ARtabletext"/>
              <w:jc w:val="right"/>
            </w:pPr>
            <w:r w:rsidRPr="00082010">
              <w:t>39,762,360</w:t>
            </w:r>
          </w:p>
        </w:tc>
        <w:tc>
          <w:tcPr>
            <w:tcW w:w="637" w:type="pct"/>
          </w:tcPr>
          <w:p w:rsidR="0092299C" w:rsidRPr="00D27810" w:rsidRDefault="0092299C" w:rsidP="00521753">
            <w:pPr>
              <w:pStyle w:val="ARtabletext"/>
              <w:jc w:val="right"/>
            </w:pPr>
            <w:r>
              <w:t>$1.80</w:t>
            </w:r>
          </w:p>
        </w:tc>
        <w:tc>
          <w:tcPr>
            <w:tcW w:w="636" w:type="pct"/>
          </w:tcPr>
          <w:p w:rsidR="0092299C" w:rsidRPr="00D27810" w:rsidRDefault="0092299C" w:rsidP="00521753">
            <w:pPr>
              <w:pStyle w:val="ARtabletext"/>
              <w:jc w:val="right"/>
            </w:pPr>
            <w:r w:rsidRPr="00082010">
              <w:t>38,183,823</w:t>
            </w:r>
          </w:p>
        </w:tc>
        <w:tc>
          <w:tcPr>
            <w:tcW w:w="637" w:type="pct"/>
          </w:tcPr>
          <w:p w:rsidR="0092299C" w:rsidRPr="00D27810" w:rsidRDefault="0092299C" w:rsidP="00521753">
            <w:pPr>
              <w:pStyle w:val="ARtabletext"/>
              <w:jc w:val="right"/>
            </w:pPr>
            <w:r>
              <w:t>$1.67</w:t>
            </w:r>
          </w:p>
        </w:tc>
      </w:tr>
      <w:tr w:rsidR="0092299C" w:rsidRPr="00D27810" w:rsidTr="00521753">
        <w:trPr>
          <w:cantSplit/>
          <w:trHeight w:val="379"/>
        </w:trPr>
        <w:tc>
          <w:tcPr>
            <w:tcW w:w="1180" w:type="pct"/>
          </w:tcPr>
          <w:p w:rsidR="0092299C" w:rsidRPr="00EA5C9F" w:rsidRDefault="0092299C" w:rsidP="00521753">
            <w:pPr>
              <w:pStyle w:val="ARtabletext"/>
              <w:rPr>
                <w:highlight w:val="yellow"/>
              </w:rPr>
            </w:pPr>
            <w:r w:rsidRPr="00556227">
              <w:t>Youth and family welfare electricity use</w:t>
            </w:r>
          </w:p>
        </w:tc>
        <w:tc>
          <w:tcPr>
            <w:tcW w:w="636" w:type="pct"/>
          </w:tcPr>
          <w:p w:rsidR="0092299C" w:rsidRPr="00D27810" w:rsidRDefault="0092299C" w:rsidP="00521753">
            <w:pPr>
              <w:pStyle w:val="ARtabletext"/>
              <w:jc w:val="right"/>
            </w:pPr>
            <w:r w:rsidRPr="00082010">
              <w:t>1,462,104</w:t>
            </w:r>
          </w:p>
        </w:tc>
        <w:tc>
          <w:tcPr>
            <w:tcW w:w="637" w:type="pct"/>
          </w:tcPr>
          <w:p w:rsidR="0092299C" w:rsidRPr="00D27810" w:rsidRDefault="0092299C" w:rsidP="00521753">
            <w:pPr>
              <w:pStyle w:val="ARtabletext"/>
              <w:jc w:val="right"/>
            </w:pPr>
            <w:r>
              <w:t>$0.07</w:t>
            </w:r>
          </w:p>
        </w:tc>
        <w:tc>
          <w:tcPr>
            <w:tcW w:w="636" w:type="pct"/>
          </w:tcPr>
          <w:p w:rsidR="0092299C" w:rsidRPr="00D27810" w:rsidRDefault="0092299C" w:rsidP="00521753">
            <w:pPr>
              <w:pStyle w:val="ARtabletext"/>
              <w:jc w:val="right"/>
            </w:pPr>
            <w:r w:rsidRPr="00082010">
              <w:t>1,547,894</w:t>
            </w:r>
          </w:p>
        </w:tc>
        <w:tc>
          <w:tcPr>
            <w:tcW w:w="637" w:type="pct"/>
          </w:tcPr>
          <w:p w:rsidR="0092299C" w:rsidRPr="00D27810" w:rsidRDefault="0092299C" w:rsidP="00521753">
            <w:pPr>
              <w:pStyle w:val="ARtabletext"/>
              <w:jc w:val="right"/>
            </w:pPr>
            <w:r>
              <w:t>$0.08</w:t>
            </w:r>
          </w:p>
        </w:tc>
        <w:tc>
          <w:tcPr>
            <w:tcW w:w="636" w:type="pct"/>
          </w:tcPr>
          <w:p w:rsidR="0092299C" w:rsidRPr="00D27810" w:rsidRDefault="0092299C" w:rsidP="00521753">
            <w:pPr>
              <w:pStyle w:val="ARtabletext"/>
              <w:jc w:val="right"/>
            </w:pPr>
            <w:r w:rsidRPr="00082010">
              <w:t>1,694,560</w:t>
            </w:r>
          </w:p>
        </w:tc>
        <w:tc>
          <w:tcPr>
            <w:tcW w:w="637" w:type="pct"/>
          </w:tcPr>
          <w:p w:rsidR="0092299C" w:rsidRPr="00D27810" w:rsidRDefault="0092299C" w:rsidP="00521753">
            <w:pPr>
              <w:pStyle w:val="ARtabletext"/>
              <w:jc w:val="right"/>
            </w:pPr>
            <w:r>
              <w:t>$0.09</w:t>
            </w:r>
          </w:p>
        </w:tc>
      </w:tr>
      <w:tr w:rsidR="0092299C" w:rsidRPr="00D27810" w:rsidTr="00521753">
        <w:trPr>
          <w:cantSplit/>
          <w:trHeight w:val="379"/>
        </w:trPr>
        <w:tc>
          <w:tcPr>
            <w:tcW w:w="1180" w:type="pct"/>
          </w:tcPr>
          <w:p w:rsidR="0092299C" w:rsidRPr="00D27810" w:rsidRDefault="0092299C" w:rsidP="00521753">
            <w:pPr>
              <w:pStyle w:val="ARtabletext"/>
            </w:pPr>
            <w:r w:rsidRPr="00556227">
              <w:t>Youth Justice electricity use</w:t>
            </w:r>
            <w:r>
              <w:t>*</w:t>
            </w:r>
          </w:p>
        </w:tc>
        <w:tc>
          <w:tcPr>
            <w:tcW w:w="636" w:type="pct"/>
          </w:tcPr>
          <w:p w:rsidR="0092299C" w:rsidRPr="00D27810" w:rsidRDefault="0092299C" w:rsidP="00521753">
            <w:pPr>
              <w:pStyle w:val="ARtabletext"/>
              <w:jc w:val="right"/>
            </w:pPr>
            <w:r w:rsidRPr="004C6E2F">
              <w:t>12,367,763</w:t>
            </w:r>
          </w:p>
        </w:tc>
        <w:tc>
          <w:tcPr>
            <w:tcW w:w="637" w:type="pct"/>
          </w:tcPr>
          <w:p w:rsidR="0092299C" w:rsidRPr="00D27810" w:rsidRDefault="0092299C" w:rsidP="00521753">
            <w:pPr>
              <w:pStyle w:val="ARtabletext"/>
              <w:jc w:val="right"/>
            </w:pPr>
            <w:r>
              <w:t>$0.43</w:t>
            </w:r>
          </w:p>
        </w:tc>
        <w:tc>
          <w:tcPr>
            <w:tcW w:w="636" w:type="pct"/>
          </w:tcPr>
          <w:p w:rsidR="0092299C" w:rsidRPr="00D27810" w:rsidRDefault="0092299C" w:rsidP="00521753">
            <w:pPr>
              <w:pStyle w:val="ARtabletext"/>
              <w:jc w:val="right"/>
            </w:pPr>
            <w:r w:rsidRPr="004C6E2F">
              <w:t>15,604,030</w:t>
            </w:r>
          </w:p>
        </w:tc>
        <w:tc>
          <w:tcPr>
            <w:tcW w:w="637" w:type="pct"/>
          </w:tcPr>
          <w:p w:rsidR="0092299C" w:rsidRPr="00D27810" w:rsidRDefault="0092299C" w:rsidP="00521753">
            <w:pPr>
              <w:pStyle w:val="ARtabletext"/>
              <w:jc w:val="right"/>
            </w:pPr>
            <w:r>
              <w:t>$0.58</w:t>
            </w:r>
          </w:p>
        </w:tc>
        <w:tc>
          <w:tcPr>
            <w:tcW w:w="636" w:type="pct"/>
          </w:tcPr>
          <w:p w:rsidR="0092299C" w:rsidRPr="00D27810" w:rsidRDefault="0092299C" w:rsidP="00521753">
            <w:pPr>
              <w:pStyle w:val="ARtabletext"/>
              <w:jc w:val="right"/>
            </w:pPr>
            <w:r w:rsidRPr="004C6E2F">
              <w:t>12,902,049</w:t>
            </w:r>
          </w:p>
        </w:tc>
        <w:tc>
          <w:tcPr>
            <w:tcW w:w="637" w:type="pct"/>
          </w:tcPr>
          <w:p w:rsidR="0092299C" w:rsidRPr="00D27810" w:rsidRDefault="0092299C" w:rsidP="00521753">
            <w:pPr>
              <w:pStyle w:val="ARtabletext"/>
              <w:jc w:val="right"/>
            </w:pPr>
            <w:r>
              <w:t>$0.48</w:t>
            </w:r>
          </w:p>
        </w:tc>
      </w:tr>
      <w:tr w:rsidR="0092299C" w:rsidRPr="00D27810" w:rsidTr="00521753">
        <w:trPr>
          <w:cantSplit/>
          <w:trHeight w:val="188"/>
        </w:trPr>
        <w:tc>
          <w:tcPr>
            <w:tcW w:w="1180" w:type="pct"/>
          </w:tcPr>
          <w:p w:rsidR="0092299C" w:rsidRPr="00D27810" w:rsidRDefault="0092299C" w:rsidP="00521753">
            <w:pPr>
              <w:pStyle w:val="ARtabletext"/>
              <w:rPr>
                <w:b/>
              </w:rPr>
            </w:pPr>
            <w:r w:rsidRPr="00D27810">
              <w:rPr>
                <w:b/>
              </w:rPr>
              <w:t>Total electricity</w:t>
            </w:r>
          </w:p>
        </w:tc>
        <w:tc>
          <w:tcPr>
            <w:tcW w:w="636" w:type="pct"/>
          </w:tcPr>
          <w:p w:rsidR="0092299C" w:rsidRPr="00D27810" w:rsidRDefault="0092299C" w:rsidP="00521753">
            <w:pPr>
              <w:pStyle w:val="ARtabletext"/>
              <w:jc w:val="right"/>
              <w:rPr>
                <w:b/>
              </w:rPr>
            </w:pPr>
            <w:r>
              <w:rPr>
                <w:b/>
              </w:rPr>
              <w:t>140,429,062</w:t>
            </w:r>
          </w:p>
        </w:tc>
        <w:tc>
          <w:tcPr>
            <w:tcW w:w="637" w:type="pct"/>
          </w:tcPr>
          <w:p w:rsidR="0092299C" w:rsidRPr="00D27810" w:rsidRDefault="0092299C" w:rsidP="00521753">
            <w:pPr>
              <w:pStyle w:val="ARtabletext"/>
              <w:jc w:val="right"/>
              <w:rPr>
                <w:b/>
              </w:rPr>
            </w:pPr>
            <w:r>
              <w:rPr>
                <w:b/>
              </w:rPr>
              <w:t>$6.66</w:t>
            </w:r>
          </w:p>
        </w:tc>
        <w:tc>
          <w:tcPr>
            <w:tcW w:w="636" w:type="pct"/>
          </w:tcPr>
          <w:p w:rsidR="0092299C" w:rsidRPr="00D27810" w:rsidRDefault="0092299C" w:rsidP="00521753">
            <w:pPr>
              <w:pStyle w:val="ARtabletext"/>
              <w:jc w:val="right"/>
              <w:rPr>
                <w:b/>
              </w:rPr>
            </w:pPr>
            <w:r>
              <w:rPr>
                <w:b/>
              </w:rPr>
              <w:t>144,846,549</w:t>
            </w:r>
          </w:p>
        </w:tc>
        <w:tc>
          <w:tcPr>
            <w:tcW w:w="637" w:type="pct"/>
          </w:tcPr>
          <w:p w:rsidR="0092299C" w:rsidRPr="00D27810" w:rsidRDefault="0092299C" w:rsidP="00521753">
            <w:pPr>
              <w:pStyle w:val="ARtabletext"/>
              <w:jc w:val="right"/>
              <w:rPr>
                <w:b/>
              </w:rPr>
            </w:pPr>
            <w:r>
              <w:rPr>
                <w:b/>
              </w:rPr>
              <w:t>$6.80</w:t>
            </w:r>
          </w:p>
        </w:tc>
        <w:tc>
          <w:tcPr>
            <w:tcW w:w="636" w:type="pct"/>
          </w:tcPr>
          <w:p w:rsidR="0092299C" w:rsidRPr="00D27810" w:rsidRDefault="0092299C" w:rsidP="00521753">
            <w:pPr>
              <w:pStyle w:val="ARtabletext"/>
              <w:jc w:val="right"/>
              <w:rPr>
                <w:b/>
              </w:rPr>
            </w:pPr>
            <w:r w:rsidRPr="004C6E2F">
              <w:rPr>
                <w:b/>
              </w:rPr>
              <w:t>140,633,745</w:t>
            </w:r>
          </w:p>
        </w:tc>
        <w:tc>
          <w:tcPr>
            <w:tcW w:w="637" w:type="pct"/>
          </w:tcPr>
          <w:p w:rsidR="0092299C" w:rsidRPr="00D27810" w:rsidRDefault="0092299C" w:rsidP="00521753">
            <w:pPr>
              <w:pStyle w:val="ARtabletext"/>
              <w:jc w:val="right"/>
              <w:rPr>
                <w:b/>
              </w:rPr>
            </w:pPr>
            <w:r>
              <w:rPr>
                <w:b/>
              </w:rPr>
              <w:t>$6.66</w:t>
            </w:r>
          </w:p>
        </w:tc>
      </w:tr>
    </w:tbl>
    <w:p w:rsidR="0092299C" w:rsidRDefault="0092299C" w:rsidP="0092299C">
      <w:pPr>
        <w:pStyle w:val="Heading4"/>
      </w:pPr>
      <w:r>
        <w:rPr>
          <w:lang w:eastAsia="en-AU"/>
        </w:rPr>
        <w:t>Gas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77"/>
        <w:gridCol w:w="1226"/>
        <w:gridCol w:w="1228"/>
        <w:gridCol w:w="1226"/>
        <w:gridCol w:w="1228"/>
        <w:gridCol w:w="1226"/>
        <w:gridCol w:w="1228"/>
      </w:tblGrid>
      <w:tr w:rsidR="0092299C" w:rsidRPr="00D27810" w:rsidTr="00E96382">
        <w:trPr>
          <w:cantSplit/>
          <w:trHeight w:val="294"/>
          <w:tblHeader/>
        </w:trPr>
        <w:tc>
          <w:tcPr>
            <w:tcW w:w="1181" w:type="pct"/>
            <w:vAlign w:val="bottom"/>
          </w:tcPr>
          <w:p w:rsidR="0092299C" w:rsidRPr="00806F92" w:rsidRDefault="0092299C" w:rsidP="00521753">
            <w:pPr>
              <w:pStyle w:val="ARtablecolhead"/>
            </w:pPr>
            <w:r w:rsidRPr="00806F92">
              <w:t>D</w:t>
            </w:r>
            <w:r>
              <w:t>escription</w:t>
            </w:r>
          </w:p>
        </w:tc>
        <w:tc>
          <w:tcPr>
            <w:tcW w:w="636" w:type="pct"/>
            <w:vAlign w:val="bottom"/>
          </w:tcPr>
          <w:p w:rsidR="0092299C" w:rsidRPr="00806F92" w:rsidRDefault="0092299C" w:rsidP="00521753">
            <w:pPr>
              <w:pStyle w:val="ARtablecolheadright"/>
            </w:pPr>
            <w:r w:rsidRPr="00806F92">
              <w:t>2014–15</w:t>
            </w:r>
            <w:r>
              <w:br/>
            </w:r>
            <w:r w:rsidRPr="00806F92">
              <w:t>estimate</w:t>
            </w:r>
          </w:p>
        </w:tc>
        <w:tc>
          <w:tcPr>
            <w:tcW w:w="637" w:type="pct"/>
            <w:vAlign w:val="bottom"/>
          </w:tcPr>
          <w:p w:rsidR="0092299C" w:rsidRPr="00806F92" w:rsidRDefault="0092299C" w:rsidP="00521753">
            <w:pPr>
              <w:pStyle w:val="ARtablecolheadright"/>
            </w:pPr>
            <w:r w:rsidRPr="00806F92">
              <w:t>2014–15</w:t>
            </w:r>
            <w:r>
              <w:br/>
            </w:r>
            <w:r w:rsidRPr="00806F92">
              <w:t xml:space="preserve"> estimate</w:t>
            </w:r>
          </w:p>
        </w:tc>
        <w:tc>
          <w:tcPr>
            <w:tcW w:w="636" w:type="pct"/>
            <w:vAlign w:val="bottom"/>
          </w:tcPr>
          <w:p w:rsidR="0092299C" w:rsidRPr="00806F92" w:rsidRDefault="0092299C" w:rsidP="00521753">
            <w:pPr>
              <w:pStyle w:val="ARtablecolheadright"/>
            </w:pPr>
            <w:r w:rsidRPr="00806F92">
              <w:t>2015–16</w:t>
            </w:r>
            <w:r>
              <w:br/>
              <w:t>estimate</w:t>
            </w:r>
          </w:p>
        </w:tc>
        <w:tc>
          <w:tcPr>
            <w:tcW w:w="637" w:type="pct"/>
            <w:vAlign w:val="bottom"/>
          </w:tcPr>
          <w:p w:rsidR="0092299C" w:rsidRPr="00806F92" w:rsidRDefault="0092299C" w:rsidP="00521753">
            <w:pPr>
              <w:pStyle w:val="ARtablecolheadright"/>
            </w:pPr>
            <w:r w:rsidRPr="00806F92">
              <w:t>2015–16</w:t>
            </w:r>
            <w:r>
              <w:br/>
            </w:r>
            <w:r w:rsidRPr="00806F92">
              <w:t xml:space="preserve"> estimate</w:t>
            </w:r>
          </w:p>
        </w:tc>
        <w:tc>
          <w:tcPr>
            <w:tcW w:w="636" w:type="pct"/>
            <w:vAlign w:val="bottom"/>
          </w:tcPr>
          <w:p w:rsidR="0092299C" w:rsidRPr="00806F92" w:rsidRDefault="0092299C" w:rsidP="00521753">
            <w:pPr>
              <w:pStyle w:val="ARtablecolheadright"/>
            </w:pPr>
            <w:r w:rsidRPr="00806F92">
              <w:t>2016–17</w:t>
            </w:r>
            <w:r>
              <w:br/>
              <w:t>estimate</w:t>
            </w:r>
          </w:p>
        </w:tc>
        <w:tc>
          <w:tcPr>
            <w:tcW w:w="637" w:type="pct"/>
            <w:vAlign w:val="bottom"/>
          </w:tcPr>
          <w:p w:rsidR="0092299C" w:rsidRPr="00806F92" w:rsidRDefault="0092299C" w:rsidP="00521753">
            <w:pPr>
              <w:pStyle w:val="ARtablecolheadright"/>
            </w:pPr>
            <w:r w:rsidRPr="00806F92">
              <w:t>2016–17</w:t>
            </w:r>
            <w:r>
              <w:br/>
            </w:r>
            <w:r w:rsidRPr="00806F92">
              <w:t xml:space="preserve"> estimate</w:t>
            </w:r>
          </w:p>
        </w:tc>
      </w:tr>
      <w:tr w:rsidR="0092299C" w:rsidRPr="00D27810" w:rsidTr="00E96382">
        <w:trPr>
          <w:cantSplit/>
          <w:trHeight w:val="294"/>
          <w:tblHeader/>
        </w:trPr>
        <w:tc>
          <w:tcPr>
            <w:tcW w:w="1181" w:type="pct"/>
          </w:tcPr>
          <w:p w:rsidR="0092299C" w:rsidRPr="00D27810" w:rsidRDefault="0092299C" w:rsidP="00521753">
            <w:pPr>
              <w:pStyle w:val="ARtablecolhead"/>
            </w:pPr>
            <w:r w:rsidRPr="00806F92">
              <w:t>Total energy usage segmented by primary source</w:t>
            </w:r>
          </w:p>
        </w:tc>
        <w:tc>
          <w:tcPr>
            <w:tcW w:w="636" w:type="pct"/>
            <w:vAlign w:val="bottom"/>
          </w:tcPr>
          <w:p w:rsidR="0092299C" w:rsidRPr="00806F92" w:rsidRDefault="0092299C" w:rsidP="00521753">
            <w:pPr>
              <w:pStyle w:val="ARtablecolheadright"/>
            </w:pPr>
            <w:proofErr w:type="spellStart"/>
            <w:r w:rsidRPr="00806F92">
              <w:t>Megajoules</w:t>
            </w:r>
            <w:proofErr w:type="spellEnd"/>
          </w:p>
        </w:tc>
        <w:tc>
          <w:tcPr>
            <w:tcW w:w="637" w:type="pct"/>
            <w:vAlign w:val="bottom"/>
          </w:tcPr>
          <w:p w:rsidR="0092299C" w:rsidRDefault="0092299C" w:rsidP="00521753">
            <w:pPr>
              <w:pStyle w:val="ARtablecolheadright"/>
            </w:pPr>
            <w:r>
              <w:t>Cost</w:t>
            </w:r>
          </w:p>
          <w:p w:rsidR="0092299C" w:rsidRPr="00806F92" w:rsidRDefault="0092299C" w:rsidP="00EA6A4E">
            <w:pPr>
              <w:pStyle w:val="ARtablecolheadright"/>
            </w:pPr>
            <w:r w:rsidRPr="00806F92">
              <w:t>($</w:t>
            </w:r>
            <w:r w:rsidR="00EA6A4E">
              <w:t>M</w:t>
            </w:r>
            <w:r w:rsidRPr="00806F92">
              <w:t>)</w:t>
            </w:r>
          </w:p>
        </w:tc>
        <w:tc>
          <w:tcPr>
            <w:tcW w:w="636" w:type="pct"/>
            <w:vAlign w:val="bottom"/>
          </w:tcPr>
          <w:p w:rsidR="0092299C" w:rsidRPr="00806F92" w:rsidRDefault="0092299C" w:rsidP="00521753">
            <w:pPr>
              <w:pStyle w:val="ARtablecolheadright"/>
            </w:pPr>
            <w:proofErr w:type="spellStart"/>
            <w:r w:rsidRPr="00806F92">
              <w:t>Megajoules</w:t>
            </w:r>
            <w:proofErr w:type="spellEnd"/>
          </w:p>
        </w:tc>
        <w:tc>
          <w:tcPr>
            <w:tcW w:w="637" w:type="pct"/>
            <w:vAlign w:val="bottom"/>
          </w:tcPr>
          <w:p w:rsidR="0092299C" w:rsidRDefault="0092299C" w:rsidP="00521753">
            <w:pPr>
              <w:pStyle w:val="ARtablecolheadright"/>
            </w:pPr>
            <w:r>
              <w:t>Cost</w:t>
            </w:r>
          </w:p>
          <w:p w:rsidR="0092299C" w:rsidRPr="00806F92" w:rsidRDefault="0092299C" w:rsidP="00EA6A4E">
            <w:pPr>
              <w:pStyle w:val="ARtablecolheadright"/>
            </w:pPr>
            <w:r w:rsidRPr="00806F92">
              <w:t>($</w:t>
            </w:r>
            <w:r w:rsidR="00EA6A4E">
              <w:t>M</w:t>
            </w:r>
            <w:r w:rsidRPr="00806F92">
              <w:t>)</w:t>
            </w:r>
          </w:p>
        </w:tc>
        <w:tc>
          <w:tcPr>
            <w:tcW w:w="636" w:type="pct"/>
            <w:vAlign w:val="bottom"/>
          </w:tcPr>
          <w:p w:rsidR="0092299C" w:rsidRPr="00806F92" w:rsidRDefault="0092299C" w:rsidP="00521753">
            <w:pPr>
              <w:pStyle w:val="ARtablecolheadright"/>
            </w:pPr>
            <w:proofErr w:type="spellStart"/>
            <w:r w:rsidRPr="00806F92">
              <w:t>Megajoules</w:t>
            </w:r>
            <w:proofErr w:type="spellEnd"/>
          </w:p>
        </w:tc>
        <w:tc>
          <w:tcPr>
            <w:tcW w:w="637" w:type="pct"/>
            <w:vAlign w:val="bottom"/>
          </w:tcPr>
          <w:p w:rsidR="0092299C" w:rsidRDefault="0092299C" w:rsidP="00521753">
            <w:pPr>
              <w:pStyle w:val="ARtablecolheadright"/>
            </w:pPr>
            <w:r>
              <w:t>Cost</w:t>
            </w:r>
          </w:p>
          <w:p w:rsidR="0092299C" w:rsidRPr="00806F92" w:rsidRDefault="0092299C" w:rsidP="00EA6A4E">
            <w:pPr>
              <w:pStyle w:val="ARtablecolheadright"/>
            </w:pPr>
            <w:r w:rsidRPr="00806F92">
              <w:t>($</w:t>
            </w:r>
            <w:r w:rsidR="00EA6A4E">
              <w:t>M</w:t>
            </w:r>
            <w:r w:rsidRPr="00806F92">
              <w:t>)</w:t>
            </w:r>
          </w:p>
        </w:tc>
      </w:tr>
      <w:tr w:rsidR="0092299C" w:rsidRPr="00D27810" w:rsidTr="00E96382">
        <w:trPr>
          <w:cantSplit/>
          <w:trHeight w:val="294"/>
        </w:trPr>
        <w:tc>
          <w:tcPr>
            <w:tcW w:w="1181" w:type="pct"/>
          </w:tcPr>
          <w:p w:rsidR="0092299C" w:rsidRPr="00D27810" w:rsidRDefault="0092299C" w:rsidP="00521753">
            <w:pPr>
              <w:pStyle w:val="ARtabletext"/>
            </w:pPr>
            <w:r w:rsidRPr="00D27810">
              <w:t>High-rise public housing natural gas use</w:t>
            </w:r>
          </w:p>
        </w:tc>
        <w:tc>
          <w:tcPr>
            <w:tcW w:w="636" w:type="pct"/>
          </w:tcPr>
          <w:p w:rsidR="0092299C" w:rsidRPr="00D27810" w:rsidRDefault="0092299C" w:rsidP="00521753">
            <w:pPr>
              <w:pStyle w:val="ARtabletext"/>
              <w:jc w:val="right"/>
            </w:pPr>
            <w:r w:rsidRPr="006E3E5E">
              <w:t>331,409,127</w:t>
            </w:r>
          </w:p>
        </w:tc>
        <w:tc>
          <w:tcPr>
            <w:tcW w:w="637" w:type="pct"/>
          </w:tcPr>
          <w:p w:rsidR="0092299C" w:rsidRPr="00D27810" w:rsidRDefault="0092299C" w:rsidP="00521753">
            <w:pPr>
              <w:pStyle w:val="ARtabletextright"/>
            </w:pPr>
            <w:r>
              <w:t>$2.92</w:t>
            </w:r>
          </w:p>
        </w:tc>
        <w:tc>
          <w:tcPr>
            <w:tcW w:w="636" w:type="pct"/>
          </w:tcPr>
          <w:p w:rsidR="0092299C" w:rsidRPr="00D27810" w:rsidRDefault="0092299C" w:rsidP="00521753">
            <w:pPr>
              <w:pStyle w:val="ARtabletextright"/>
            </w:pPr>
            <w:r w:rsidRPr="006E3E5E">
              <w:t>301,518,942</w:t>
            </w:r>
          </w:p>
        </w:tc>
        <w:tc>
          <w:tcPr>
            <w:tcW w:w="637" w:type="pct"/>
          </w:tcPr>
          <w:p w:rsidR="0092299C" w:rsidRPr="00D27810" w:rsidRDefault="0092299C" w:rsidP="00521753">
            <w:pPr>
              <w:pStyle w:val="ARtabletextright"/>
            </w:pPr>
            <w:r>
              <w:t>$2.76</w:t>
            </w:r>
          </w:p>
        </w:tc>
        <w:tc>
          <w:tcPr>
            <w:tcW w:w="636" w:type="pct"/>
          </w:tcPr>
          <w:p w:rsidR="0092299C" w:rsidRPr="00D27810" w:rsidRDefault="0092299C" w:rsidP="00521753">
            <w:pPr>
              <w:pStyle w:val="ARtabletextright"/>
            </w:pPr>
            <w:r w:rsidRPr="006E3E5E">
              <w:t>322,440,829</w:t>
            </w:r>
          </w:p>
        </w:tc>
        <w:tc>
          <w:tcPr>
            <w:tcW w:w="637" w:type="pct"/>
          </w:tcPr>
          <w:p w:rsidR="0092299C" w:rsidRPr="00D27810" w:rsidRDefault="0092299C" w:rsidP="00521753">
            <w:pPr>
              <w:pStyle w:val="ARtabletextright"/>
            </w:pPr>
            <w:r>
              <w:t>$2.59</w:t>
            </w:r>
          </w:p>
        </w:tc>
      </w:tr>
      <w:tr w:rsidR="0092299C" w:rsidRPr="00D27810" w:rsidTr="00E96382">
        <w:trPr>
          <w:cantSplit/>
          <w:trHeight w:val="294"/>
        </w:trPr>
        <w:tc>
          <w:tcPr>
            <w:tcW w:w="1181" w:type="pct"/>
          </w:tcPr>
          <w:p w:rsidR="0092299C" w:rsidRPr="00D27810" w:rsidRDefault="0092299C" w:rsidP="00521753">
            <w:pPr>
              <w:pStyle w:val="ARtabletext"/>
            </w:pPr>
            <w:r w:rsidRPr="00D27810">
              <w:t>Other public housing natural gas use</w:t>
            </w:r>
          </w:p>
        </w:tc>
        <w:tc>
          <w:tcPr>
            <w:tcW w:w="636" w:type="pct"/>
          </w:tcPr>
          <w:p w:rsidR="0092299C" w:rsidRPr="00D27810" w:rsidRDefault="0092299C" w:rsidP="00521753">
            <w:pPr>
              <w:pStyle w:val="ARtabletext"/>
              <w:jc w:val="right"/>
            </w:pPr>
            <w:r w:rsidRPr="001A501F">
              <w:t>97,059,811</w:t>
            </w:r>
          </w:p>
        </w:tc>
        <w:tc>
          <w:tcPr>
            <w:tcW w:w="637" w:type="pct"/>
          </w:tcPr>
          <w:p w:rsidR="0092299C" w:rsidRPr="00D27810" w:rsidRDefault="0092299C" w:rsidP="00521753">
            <w:pPr>
              <w:pStyle w:val="ARtabletextright"/>
            </w:pPr>
            <w:r>
              <w:t>$1.35</w:t>
            </w:r>
          </w:p>
        </w:tc>
        <w:tc>
          <w:tcPr>
            <w:tcW w:w="636" w:type="pct"/>
          </w:tcPr>
          <w:p w:rsidR="0092299C" w:rsidRPr="00D27810" w:rsidRDefault="0092299C" w:rsidP="00521753">
            <w:pPr>
              <w:pStyle w:val="ARtabletextright"/>
            </w:pPr>
            <w:r w:rsidRPr="001A501F">
              <w:t>89,246,643</w:t>
            </w:r>
          </w:p>
        </w:tc>
        <w:tc>
          <w:tcPr>
            <w:tcW w:w="637" w:type="pct"/>
          </w:tcPr>
          <w:p w:rsidR="0092299C" w:rsidRPr="00D27810" w:rsidRDefault="0092299C" w:rsidP="00521753">
            <w:pPr>
              <w:pStyle w:val="ARtabletextright"/>
            </w:pPr>
            <w:r>
              <w:t>$1.20</w:t>
            </w:r>
          </w:p>
        </w:tc>
        <w:tc>
          <w:tcPr>
            <w:tcW w:w="636" w:type="pct"/>
          </w:tcPr>
          <w:p w:rsidR="0092299C" w:rsidRPr="00D27810" w:rsidRDefault="0092299C" w:rsidP="00521753">
            <w:pPr>
              <w:pStyle w:val="ARtabletextright"/>
            </w:pPr>
            <w:r w:rsidRPr="001A501F">
              <w:t>90,012,654</w:t>
            </w:r>
          </w:p>
        </w:tc>
        <w:tc>
          <w:tcPr>
            <w:tcW w:w="637" w:type="pct"/>
          </w:tcPr>
          <w:p w:rsidR="0092299C" w:rsidRPr="00D27810" w:rsidRDefault="0092299C" w:rsidP="00521753">
            <w:pPr>
              <w:pStyle w:val="ARtabletextright"/>
            </w:pPr>
            <w:r>
              <w:t>$1.07</w:t>
            </w:r>
          </w:p>
        </w:tc>
      </w:tr>
      <w:tr w:rsidR="0092299C" w:rsidRPr="00D27810" w:rsidTr="00E96382">
        <w:trPr>
          <w:cantSplit/>
          <w:trHeight w:val="372"/>
        </w:trPr>
        <w:tc>
          <w:tcPr>
            <w:tcW w:w="1181" w:type="pct"/>
          </w:tcPr>
          <w:p w:rsidR="0092299C" w:rsidRPr="00D27810" w:rsidRDefault="0092299C" w:rsidP="00521753">
            <w:pPr>
              <w:pStyle w:val="ARtabletext"/>
            </w:pPr>
            <w:r w:rsidRPr="00D27810">
              <w:t>Disability housing natural gas use</w:t>
            </w:r>
          </w:p>
        </w:tc>
        <w:tc>
          <w:tcPr>
            <w:tcW w:w="636" w:type="pct"/>
          </w:tcPr>
          <w:p w:rsidR="0092299C" w:rsidRPr="00D27810" w:rsidRDefault="0092299C" w:rsidP="00521753">
            <w:pPr>
              <w:pStyle w:val="ARtabletext"/>
              <w:jc w:val="right"/>
            </w:pPr>
            <w:r w:rsidRPr="001A501F">
              <w:t>84,436,738</w:t>
            </w:r>
          </w:p>
        </w:tc>
        <w:tc>
          <w:tcPr>
            <w:tcW w:w="637" w:type="pct"/>
          </w:tcPr>
          <w:p w:rsidR="0092299C" w:rsidRPr="00D27810" w:rsidRDefault="0092299C" w:rsidP="00521753">
            <w:pPr>
              <w:pStyle w:val="ARtabletextright"/>
            </w:pPr>
            <w:r>
              <w:t>$1.28</w:t>
            </w:r>
          </w:p>
        </w:tc>
        <w:tc>
          <w:tcPr>
            <w:tcW w:w="636" w:type="pct"/>
          </w:tcPr>
          <w:p w:rsidR="0092299C" w:rsidRPr="00D27810" w:rsidRDefault="0092299C" w:rsidP="00521753">
            <w:pPr>
              <w:pStyle w:val="ARtabletextright"/>
            </w:pPr>
            <w:r w:rsidRPr="006E3E5E">
              <w:t>79,570,007</w:t>
            </w:r>
          </w:p>
        </w:tc>
        <w:tc>
          <w:tcPr>
            <w:tcW w:w="637" w:type="pct"/>
          </w:tcPr>
          <w:p w:rsidR="0092299C" w:rsidRPr="00D27810" w:rsidRDefault="0092299C" w:rsidP="00521753">
            <w:pPr>
              <w:pStyle w:val="ARtabletextright"/>
            </w:pPr>
            <w:r>
              <w:t>$1.22</w:t>
            </w:r>
          </w:p>
        </w:tc>
        <w:tc>
          <w:tcPr>
            <w:tcW w:w="636" w:type="pct"/>
          </w:tcPr>
          <w:p w:rsidR="0092299C" w:rsidRPr="00D27810" w:rsidRDefault="0092299C" w:rsidP="00521753">
            <w:pPr>
              <w:pStyle w:val="ARtabletextright"/>
            </w:pPr>
            <w:r w:rsidRPr="006E3E5E">
              <w:t>77,950,825</w:t>
            </w:r>
          </w:p>
        </w:tc>
        <w:tc>
          <w:tcPr>
            <w:tcW w:w="637" w:type="pct"/>
          </w:tcPr>
          <w:p w:rsidR="0092299C" w:rsidRPr="00D27810" w:rsidRDefault="0092299C" w:rsidP="00521753">
            <w:pPr>
              <w:pStyle w:val="ARtabletextright"/>
            </w:pPr>
            <w:r>
              <w:t>$0.99</w:t>
            </w:r>
          </w:p>
        </w:tc>
      </w:tr>
      <w:tr w:rsidR="0092299C" w:rsidRPr="00D27810" w:rsidTr="00E96382">
        <w:trPr>
          <w:cantSplit/>
          <w:trHeight w:val="372"/>
        </w:trPr>
        <w:tc>
          <w:tcPr>
            <w:tcW w:w="1181" w:type="pct"/>
          </w:tcPr>
          <w:p w:rsidR="0092299C" w:rsidRPr="00EA5C9F" w:rsidRDefault="0092299C" w:rsidP="00521753">
            <w:pPr>
              <w:pStyle w:val="ARtabletext"/>
              <w:rPr>
                <w:highlight w:val="yellow"/>
              </w:rPr>
            </w:pPr>
            <w:r w:rsidRPr="00A003F1">
              <w:t>Youth and family welfare natural gas use</w:t>
            </w:r>
          </w:p>
        </w:tc>
        <w:tc>
          <w:tcPr>
            <w:tcW w:w="636" w:type="pct"/>
          </w:tcPr>
          <w:p w:rsidR="0092299C" w:rsidRPr="006E3E5E" w:rsidRDefault="0092299C" w:rsidP="00521753">
            <w:pPr>
              <w:pStyle w:val="ARtabletext"/>
              <w:jc w:val="right"/>
            </w:pPr>
            <w:r w:rsidRPr="001A501F">
              <w:t>1,852,040</w:t>
            </w:r>
          </w:p>
        </w:tc>
        <w:tc>
          <w:tcPr>
            <w:tcW w:w="637" w:type="pct"/>
          </w:tcPr>
          <w:p w:rsidR="0092299C" w:rsidRDefault="0092299C" w:rsidP="00521753">
            <w:pPr>
              <w:pStyle w:val="ARtabletextright"/>
            </w:pPr>
            <w:r>
              <w:t>$0.03</w:t>
            </w:r>
          </w:p>
        </w:tc>
        <w:tc>
          <w:tcPr>
            <w:tcW w:w="636" w:type="pct"/>
          </w:tcPr>
          <w:p w:rsidR="0092299C" w:rsidRPr="006E3E5E" w:rsidRDefault="0092299C" w:rsidP="00521753">
            <w:pPr>
              <w:pStyle w:val="ARtabletextright"/>
            </w:pPr>
            <w:r w:rsidRPr="006E3E5E">
              <w:t>1,795,928</w:t>
            </w:r>
          </w:p>
        </w:tc>
        <w:tc>
          <w:tcPr>
            <w:tcW w:w="637" w:type="pct"/>
          </w:tcPr>
          <w:p w:rsidR="0092299C" w:rsidRPr="00D27810" w:rsidRDefault="0092299C" w:rsidP="00521753">
            <w:pPr>
              <w:pStyle w:val="ARtabletextright"/>
            </w:pPr>
            <w:r>
              <w:t>$0.03</w:t>
            </w:r>
          </w:p>
        </w:tc>
        <w:tc>
          <w:tcPr>
            <w:tcW w:w="636" w:type="pct"/>
          </w:tcPr>
          <w:p w:rsidR="0092299C" w:rsidRPr="006E3E5E" w:rsidRDefault="0092299C" w:rsidP="00521753">
            <w:pPr>
              <w:pStyle w:val="ARtabletextright"/>
            </w:pPr>
            <w:r w:rsidRPr="006E3E5E">
              <w:t>1,669,815</w:t>
            </w:r>
          </w:p>
        </w:tc>
        <w:tc>
          <w:tcPr>
            <w:tcW w:w="637" w:type="pct"/>
          </w:tcPr>
          <w:p w:rsidR="0092299C" w:rsidRDefault="0092299C" w:rsidP="00521753">
            <w:pPr>
              <w:pStyle w:val="ARtabletextright"/>
            </w:pPr>
            <w:r>
              <w:t>$0.03</w:t>
            </w:r>
          </w:p>
        </w:tc>
      </w:tr>
      <w:tr w:rsidR="0092299C" w:rsidRPr="00D27810" w:rsidTr="00E96382">
        <w:trPr>
          <w:cantSplit/>
          <w:trHeight w:val="372"/>
        </w:trPr>
        <w:tc>
          <w:tcPr>
            <w:tcW w:w="1181" w:type="pct"/>
          </w:tcPr>
          <w:p w:rsidR="0092299C" w:rsidRPr="00D27810" w:rsidRDefault="0092299C" w:rsidP="00521753">
            <w:pPr>
              <w:pStyle w:val="ARtabletext"/>
            </w:pPr>
            <w:r w:rsidRPr="00A003F1">
              <w:t>Youth Justice natural gas use</w:t>
            </w:r>
            <w:r>
              <w:t>*</w:t>
            </w:r>
          </w:p>
        </w:tc>
        <w:tc>
          <w:tcPr>
            <w:tcW w:w="636" w:type="pct"/>
          </w:tcPr>
          <w:p w:rsidR="0092299C" w:rsidRPr="00D27810" w:rsidRDefault="0092299C" w:rsidP="00521753">
            <w:pPr>
              <w:pStyle w:val="ARtabletext"/>
              <w:jc w:val="right"/>
            </w:pPr>
            <w:r w:rsidRPr="006E3E5E">
              <w:t>8,179,260</w:t>
            </w:r>
          </w:p>
        </w:tc>
        <w:tc>
          <w:tcPr>
            <w:tcW w:w="637" w:type="pct"/>
          </w:tcPr>
          <w:p w:rsidR="0092299C" w:rsidRPr="00D27810" w:rsidRDefault="0092299C" w:rsidP="00521753">
            <w:pPr>
              <w:pStyle w:val="ARtabletextright"/>
            </w:pPr>
            <w:r>
              <w:t>$0.08</w:t>
            </w:r>
          </w:p>
        </w:tc>
        <w:tc>
          <w:tcPr>
            <w:tcW w:w="636" w:type="pct"/>
          </w:tcPr>
          <w:p w:rsidR="0092299C" w:rsidRPr="00D27810" w:rsidRDefault="0092299C" w:rsidP="00521753">
            <w:pPr>
              <w:pStyle w:val="ARtabletextright"/>
            </w:pPr>
            <w:r w:rsidRPr="006E3E5E">
              <w:t>8,439,751</w:t>
            </w:r>
          </w:p>
        </w:tc>
        <w:tc>
          <w:tcPr>
            <w:tcW w:w="637" w:type="pct"/>
          </w:tcPr>
          <w:p w:rsidR="0092299C" w:rsidRPr="00D27810" w:rsidRDefault="0092299C" w:rsidP="00521753">
            <w:pPr>
              <w:pStyle w:val="ARtabletextright"/>
            </w:pPr>
            <w:r>
              <w:t>$0.08</w:t>
            </w:r>
          </w:p>
        </w:tc>
        <w:tc>
          <w:tcPr>
            <w:tcW w:w="636" w:type="pct"/>
          </w:tcPr>
          <w:p w:rsidR="0092299C" w:rsidRPr="00D27810" w:rsidRDefault="0092299C" w:rsidP="00521753">
            <w:pPr>
              <w:pStyle w:val="ARtabletextright"/>
            </w:pPr>
            <w:r w:rsidRPr="00A003F1">
              <w:t>4,673,204</w:t>
            </w:r>
          </w:p>
        </w:tc>
        <w:tc>
          <w:tcPr>
            <w:tcW w:w="637" w:type="pct"/>
          </w:tcPr>
          <w:p w:rsidR="0092299C" w:rsidRPr="00D27810" w:rsidRDefault="0092299C" w:rsidP="00521753">
            <w:pPr>
              <w:pStyle w:val="ARtabletextright"/>
            </w:pPr>
            <w:r>
              <w:t>$0.04</w:t>
            </w:r>
          </w:p>
        </w:tc>
      </w:tr>
      <w:tr w:rsidR="0092299C" w:rsidRPr="00D27810" w:rsidTr="00E96382">
        <w:trPr>
          <w:cantSplit/>
          <w:trHeight w:val="194"/>
        </w:trPr>
        <w:tc>
          <w:tcPr>
            <w:tcW w:w="1181" w:type="pct"/>
          </w:tcPr>
          <w:p w:rsidR="0092299C" w:rsidRPr="00D27810" w:rsidRDefault="0092299C" w:rsidP="00521753">
            <w:pPr>
              <w:pStyle w:val="ARtabletext"/>
            </w:pPr>
            <w:r w:rsidRPr="00A003F1">
              <w:t>Youth Justice liquefied</w:t>
            </w:r>
            <w:r>
              <w:t xml:space="preserve"> petroleum gas use*</w:t>
            </w:r>
          </w:p>
        </w:tc>
        <w:tc>
          <w:tcPr>
            <w:tcW w:w="636" w:type="pct"/>
          </w:tcPr>
          <w:p w:rsidR="0092299C" w:rsidRPr="00D27810" w:rsidRDefault="0092299C" w:rsidP="00521753">
            <w:pPr>
              <w:pStyle w:val="ARtabletext"/>
              <w:jc w:val="right"/>
            </w:pPr>
            <w:r w:rsidRPr="006E3E5E">
              <w:t>5,726,087</w:t>
            </w:r>
          </w:p>
        </w:tc>
        <w:tc>
          <w:tcPr>
            <w:tcW w:w="637" w:type="pct"/>
          </w:tcPr>
          <w:p w:rsidR="0092299C" w:rsidRPr="00D27810" w:rsidRDefault="0092299C" w:rsidP="00521753">
            <w:pPr>
              <w:pStyle w:val="ARtabletextright"/>
            </w:pPr>
            <w:r>
              <w:t>$0.10</w:t>
            </w:r>
          </w:p>
        </w:tc>
        <w:tc>
          <w:tcPr>
            <w:tcW w:w="636" w:type="pct"/>
          </w:tcPr>
          <w:p w:rsidR="0092299C" w:rsidRPr="00D27810" w:rsidRDefault="0092299C" w:rsidP="00521753">
            <w:pPr>
              <w:pStyle w:val="ARtabletextright"/>
            </w:pPr>
            <w:r>
              <w:t>4,913,033</w:t>
            </w:r>
          </w:p>
        </w:tc>
        <w:tc>
          <w:tcPr>
            <w:tcW w:w="637" w:type="pct"/>
          </w:tcPr>
          <w:p w:rsidR="0092299C" w:rsidRPr="00D27810" w:rsidRDefault="0092299C" w:rsidP="00521753">
            <w:pPr>
              <w:pStyle w:val="ARtabletextright"/>
            </w:pPr>
            <w:r>
              <w:t>$0.07</w:t>
            </w:r>
          </w:p>
        </w:tc>
        <w:tc>
          <w:tcPr>
            <w:tcW w:w="636" w:type="pct"/>
          </w:tcPr>
          <w:p w:rsidR="0092299C" w:rsidRPr="00D27810" w:rsidRDefault="0092299C" w:rsidP="00521753">
            <w:pPr>
              <w:pStyle w:val="ARtabletextright"/>
            </w:pPr>
            <w:r w:rsidRPr="006E3E5E">
              <w:t>1,860,742</w:t>
            </w:r>
          </w:p>
        </w:tc>
        <w:tc>
          <w:tcPr>
            <w:tcW w:w="637" w:type="pct"/>
          </w:tcPr>
          <w:p w:rsidR="0092299C" w:rsidRPr="00D27810" w:rsidRDefault="0092299C" w:rsidP="00521753">
            <w:pPr>
              <w:pStyle w:val="ARtabletextright"/>
            </w:pPr>
            <w:r>
              <w:t>$0.02</w:t>
            </w:r>
          </w:p>
        </w:tc>
      </w:tr>
      <w:tr w:rsidR="0092299C" w:rsidRPr="00D27810" w:rsidTr="00E96382">
        <w:trPr>
          <w:cantSplit/>
          <w:trHeight w:val="194"/>
        </w:trPr>
        <w:tc>
          <w:tcPr>
            <w:tcW w:w="1181" w:type="pct"/>
          </w:tcPr>
          <w:p w:rsidR="0092299C" w:rsidRPr="00D27810" w:rsidRDefault="0092299C" w:rsidP="00521753">
            <w:pPr>
              <w:pStyle w:val="ARtabletext"/>
              <w:rPr>
                <w:b/>
              </w:rPr>
            </w:pPr>
            <w:r>
              <w:rPr>
                <w:b/>
              </w:rPr>
              <w:t>Total g</w:t>
            </w:r>
            <w:r w:rsidRPr="00D27810">
              <w:rPr>
                <w:b/>
              </w:rPr>
              <w:t>as</w:t>
            </w:r>
          </w:p>
        </w:tc>
        <w:tc>
          <w:tcPr>
            <w:tcW w:w="636" w:type="pct"/>
          </w:tcPr>
          <w:p w:rsidR="0092299C" w:rsidRPr="00D27810" w:rsidRDefault="0092299C" w:rsidP="00521753">
            <w:pPr>
              <w:pStyle w:val="ARtabletext"/>
              <w:jc w:val="right"/>
              <w:rPr>
                <w:b/>
              </w:rPr>
            </w:pPr>
            <w:r>
              <w:rPr>
                <w:b/>
              </w:rPr>
              <w:t>528,663,063</w:t>
            </w:r>
          </w:p>
        </w:tc>
        <w:tc>
          <w:tcPr>
            <w:tcW w:w="637" w:type="pct"/>
          </w:tcPr>
          <w:p w:rsidR="0092299C" w:rsidRPr="00D27810" w:rsidRDefault="0092299C" w:rsidP="00521753">
            <w:pPr>
              <w:pStyle w:val="ARtabletextright"/>
              <w:rPr>
                <w:b/>
              </w:rPr>
            </w:pPr>
            <w:r>
              <w:rPr>
                <w:b/>
              </w:rPr>
              <w:t>$5.76</w:t>
            </w:r>
          </w:p>
        </w:tc>
        <w:tc>
          <w:tcPr>
            <w:tcW w:w="636" w:type="pct"/>
          </w:tcPr>
          <w:p w:rsidR="0092299C" w:rsidRPr="00D27810" w:rsidRDefault="0092299C" w:rsidP="00521753">
            <w:pPr>
              <w:pStyle w:val="ARtabletextright"/>
              <w:rPr>
                <w:b/>
              </w:rPr>
            </w:pPr>
            <w:r w:rsidRPr="001A501F">
              <w:rPr>
                <w:b/>
              </w:rPr>
              <w:t>485,484,304</w:t>
            </w:r>
          </w:p>
        </w:tc>
        <w:tc>
          <w:tcPr>
            <w:tcW w:w="637" w:type="pct"/>
          </w:tcPr>
          <w:p w:rsidR="0092299C" w:rsidRPr="00D27810" w:rsidRDefault="0092299C" w:rsidP="00521753">
            <w:pPr>
              <w:pStyle w:val="ARtabletextright"/>
              <w:rPr>
                <w:b/>
              </w:rPr>
            </w:pPr>
            <w:r>
              <w:rPr>
                <w:b/>
              </w:rPr>
              <w:t>$5.36</w:t>
            </w:r>
          </w:p>
        </w:tc>
        <w:tc>
          <w:tcPr>
            <w:tcW w:w="636" w:type="pct"/>
          </w:tcPr>
          <w:p w:rsidR="0092299C" w:rsidRPr="00D27810" w:rsidRDefault="0092299C" w:rsidP="00521753">
            <w:pPr>
              <w:pStyle w:val="ARtabletextright"/>
              <w:rPr>
                <w:b/>
              </w:rPr>
            </w:pPr>
            <w:r>
              <w:rPr>
                <w:b/>
              </w:rPr>
              <w:t>498,608,069</w:t>
            </w:r>
          </w:p>
        </w:tc>
        <w:tc>
          <w:tcPr>
            <w:tcW w:w="637" w:type="pct"/>
          </w:tcPr>
          <w:p w:rsidR="0092299C" w:rsidRPr="00D27810" w:rsidRDefault="0092299C" w:rsidP="00521753">
            <w:pPr>
              <w:pStyle w:val="ARtabletextright"/>
              <w:rPr>
                <w:b/>
              </w:rPr>
            </w:pPr>
            <w:r>
              <w:rPr>
                <w:b/>
              </w:rPr>
              <w:t>$4.74</w:t>
            </w:r>
          </w:p>
        </w:tc>
      </w:tr>
    </w:tbl>
    <w:p w:rsidR="00E96382" w:rsidRDefault="00E96382" w:rsidP="00E96382">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D27810" w:rsidTr="00E96382">
        <w:trPr>
          <w:cantSplit/>
          <w:tblHeader/>
        </w:trPr>
        <w:tc>
          <w:tcPr>
            <w:tcW w:w="4536" w:type="dxa"/>
            <w:vAlign w:val="bottom"/>
          </w:tcPr>
          <w:p w:rsidR="0092299C" w:rsidRPr="00E04CC2" w:rsidRDefault="0092299C" w:rsidP="0092299C">
            <w:pPr>
              <w:pStyle w:val="ARtablecolhead"/>
            </w:pPr>
            <w:r w:rsidRPr="00E04CC2">
              <w:lastRenderedPageBreak/>
              <w:t>Description</w:t>
            </w:r>
          </w:p>
        </w:tc>
        <w:tc>
          <w:tcPr>
            <w:tcW w:w="1701" w:type="dxa"/>
            <w:vAlign w:val="bottom"/>
          </w:tcPr>
          <w:p w:rsidR="0092299C" w:rsidRPr="00E04CC2" w:rsidRDefault="0092299C" w:rsidP="0092299C">
            <w:pPr>
              <w:pStyle w:val="ARtablecolheadright"/>
              <w:rPr>
                <w:highlight w:val="yellow"/>
              </w:rPr>
            </w:pPr>
            <w:r w:rsidRPr="00E04CC2">
              <w:t>2014–15</w:t>
            </w:r>
            <w:r>
              <w:br/>
            </w:r>
            <w:r w:rsidRPr="00E04CC2">
              <w:t>estimate</w:t>
            </w:r>
          </w:p>
        </w:tc>
        <w:tc>
          <w:tcPr>
            <w:tcW w:w="1701" w:type="dxa"/>
            <w:vAlign w:val="bottom"/>
          </w:tcPr>
          <w:p w:rsidR="0092299C" w:rsidRPr="00E04CC2" w:rsidRDefault="0092299C" w:rsidP="0092299C">
            <w:pPr>
              <w:pStyle w:val="ARtablecolheadright"/>
              <w:rPr>
                <w:highlight w:val="yellow"/>
              </w:rPr>
            </w:pPr>
            <w:r>
              <w:t>2015–16</w:t>
            </w:r>
            <w:r>
              <w:br/>
            </w:r>
            <w:r w:rsidRPr="00E04CC2">
              <w:t>estimate</w:t>
            </w:r>
          </w:p>
        </w:tc>
        <w:tc>
          <w:tcPr>
            <w:tcW w:w="1701" w:type="dxa"/>
            <w:vAlign w:val="bottom"/>
          </w:tcPr>
          <w:p w:rsidR="0092299C" w:rsidRPr="00E04CC2" w:rsidRDefault="0092299C" w:rsidP="0092299C">
            <w:pPr>
              <w:pStyle w:val="ARtablecolheadright"/>
            </w:pPr>
            <w:r>
              <w:t>2016–17</w:t>
            </w:r>
            <w:r>
              <w:br/>
            </w:r>
            <w:r w:rsidRPr="00E04CC2">
              <w:t>estimate</w:t>
            </w:r>
          </w:p>
        </w:tc>
      </w:tr>
      <w:tr w:rsidR="0092299C" w:rsidRPr="00843E15" w:rsidTr="00E96382">
        <w:trPr>
          <w:cantSplit/>
          <w:tblHeader/>
        </w:trPr>
        <w:tc>
          <w:tcPr>
            <w:tcW w:w="4536" w:type="dxa"/>
            <w:vAlign w:val="bottom"/>
          </w:tcPr>
          <w:p w:rsidR="0092299C" w:rsidRPr="00E04CC2" w:rsidRDefault="0092299C" w:rsidP="0092299C">
            <w:pPr>
              <w:pStyle w:val="ARtablecolhead"/>
            </w:pPr>
            <w:r w:rsidRPr="00E04CC2">
              <w:t>Total greenhouse gas emissions</w:t>
            </w:r>
          </w:p>
        </w:tc>
        <w:tc>
          <w:tcPr>
            <w:tcW w:w="1701" w:type="dxa"/>
            <w:vAlign w:val="bottom"/>
          </w:tcPr>
          <w:p w:rsidR="0092299C" w:rsidRPr="00E04CC2" w:rsidRDefault="0092299C" w:rsidP="0092299C">
            <w:pPr>
              <w:pStyle w:val="ARtablecolheadright"/>
            </w:pPr>
            <w:r w:rsidRPr="00E04CC2">
              <w:t>Tonnes CO</w:t>
            </w:r>
            <w:r w:rsidRPr="0098256D">
              <w:rPr>
                <w:vertAlign w:val="subscript"/>
              </w:rPr>
              <w:t>2</w:t>
            </w:r>
            <w:r w:rsidRPr="00E04CC2">
              <w:t>-e</w:t>
            </w:r>
          </w:p>
        </w:tc>
        <w:tc>
          <w:tcPr>
            <w:tcW w:w="1701" w:type="dxa"/>
            <w:vAlign w:val="bottom"/>
          </w:tcPr>
          <w:p w:rsidR="0092299C" w:rsidRPr="00E04CC2" w:rsidRDefault="0092299C" w:rsidP="0092299C">
            <w:pPr>
              <w:pStyle w:val="ARtablecolheadright"/>
            </w:pPr>
            <w:r w:rsidRPr="00E04CC2">
              <w:t>Tonnes CO</w:t>
            </w:r>
            <w:r w:rsidRPr="0098256D">
              <w:rPr>
                <w:vertAlign w:val="subscript"/>
              </w:rPr>
              <w:t>2</w:t>
            </w:r>
            <w:r w:rsidRPr="00E04CC2">
              <w:t>-e</w:t>
            </w:r>
          </w:p>
        </w:tc>
        <w:tc>
          <w:tcPr>
            <w:tcW w:w="1701" w:type="dxa"/>
            <w:vAlign w:val="bottom"/>
          </w:tcPr>
          <w:p w:rsidR="0092299C" w:rsidRPr="00E04CC2" w:rsidRDefault="0092299C" w:rsidP="0092299C">
            <w:pPr>
              <w:pStyle w:val="ARtablecolheadright"/>
            </w:pPr>
            <w:r w:rsidRPr="00E04CC2">
              <w:t>Tonnes CO</w:t>
            </w:r>
            <w:r w:rsidRPr="0098256D">
              <w:rPr>
                <w:vertAlign w:val="subscript"/>
              </w:rPr>
              <w:t>2</w:t>
            </w:r>
            <w:r w:rsidRPr="00E04CC2">
              <w:t>-e</w:t>
            </w:r>
          </w:p>
        </w:tc>
      </w:tr>
      <w:tr w:rsidR="0092299C" w:rsidRPr="00D27810" w:rsidTr="00E96382">
        <w:trPr>
          <w:cantSplit/>
        </w:trPr>
        <w:tc>
          <w:tcPr>
            <w:tcW w:w="4536" w:type="dxa"/>
          </w:tcPr>
          <w:p w:rsidR="0092299C" w:rsidRPr="00D27810" w:rsidRDefault="0092299C" w:rsidP="0092299C">
            <w:pPr>
              <w:pStyle w:val="ARtabletext"/>
            </w:pPr>
            <w:r w:rsidRPr="00D27810">
              <w:t xml:space="preserve">Electricity </w:t>
            </w:r>
          </w:p>
        </w:tc>
        <w:tc>
          <w:tcPr>
            <w:tcW w:w="1701" w:type="dxa"/>
          </w:tcPr>
          <w:p w:rsidR="0092299C" w:rsidRPr="00D27810" w:rsidRDefault="0092299C" w:rsidP="0092299C">
            <w:pPr>
              <w:pStyle w:val="ARtabletextright"/>
            </w:pPr>
            <w:r>
              <w:t>46,030</w:t>
            </w:r>
          </w:p>
        </w:tc>
        <w:tc>
          <w:tcPr>
            <w:tcW w:w="1701" w:type="dxa"/>
          </w:tcPr>
          <w:p w:rsidR="0092299C" w:rsidRPr="00D27810" w:rsidRDefault="0092299C" w:rsidP="0092299C">
            <w:pPr>
              <w:pStyle w:val="ARtabletextright"/>
            </w:pPr>
            <w:r>
              <w:t>45,466</w:t>
            </w:r>
          </w:p>
        </w:tc>
        <w:tc>
          <w:tcPr>
            <w:tcW w:w="1701" w:type="dxa"/>
          </w:tcPr>
          <w:p w:rsidR="0092299C" w:rsidRPr="00D27810" w:rsidRDefault="0092299C" w:rsidP="0092299C">
            <w:pPr>
              <w:pStyle w:val="ARtabletextright"/>
            </w:pPr>
            <w:r>
              <w:t>42,581</w:t>
            </w:r>
          </w:p>
        </w:tc>
      </w:tr>
      <w:tr w:rsidR="0092299C" w:rsidRPr="00D27810" w:rsidTr="00E96382">
        <w:trPr>
          <w:cantSplit/>
        </w:trPr>
        <w:tc>
          <w:tcPr>
            <w:tcW w:w="4536" w:type="dxa"/>
          </w:tcPr>
          <w:p w:rsidR="0092299C" w:rsidRPr="00D27810" w:rsidRDefault="0092299C" w:rsidP="0092299C">
            <w:pPr>
              <w:pStyle w:val="ARtabletext"/>
            </w:pPr>
            <w:r w:rsidRPr="00D27810">
              <w:t>Natural gas</w:t>
            </w:r>
          </w:p>
        </w:tc>
        <w:tc>
          <w:tcPr>
            <w:tcW w:w="1701" w:type="dxa"/>
          </w:tcPr>
          <w:p w:rsidR="0092299C" w:rsidRPr="00D27810" w:rsidRDefault="0092299C" w:rsidP="0092299C">
            <w:pPr>
              <w:pStyle w:val="ARtabletextright"/>
            </w:pPr>
            <w:r>
              <w:t>26,842</w:t>
            </w:r>
          </w:p>
        </w:tc>
        <w:tc>
          <w:tcPr>
            <w:tcW w:w="1701" w:type="dxa"/>
          </w:tcPr>
          <w:p w:rsidR="0092299C" w:rsidRPr="00D27810" w:rsidRDefault="0092299C" w:rsidP="0092299C">
            <w:pPr>
              <w:pStyle w:val="ARtabletextright"/>
            </w:pPr>
            <w:r>
              <w:t>24,764</w:t>
            </w:r>
          </w:p>
        </w:tc>
        <w:tc>
          <w:tcPr>
            <w:tcW w:w="1701" w:type="dxa"/>
          </w:tcPr>
          <w:p w:rsidR="0092299C" w:rsidRPr="00D27810" w:rsidRDefault="0092299C" w:rsidP="0092299C">
            <w:pPr>
              <w:pStyle w:val="ARtabletextright"/>
            </w:pPr>
            <w:r>
              <w:t>25,597</w:t>
            </w:r>
          </w:p>
        </w:tc>
      </w:tr>
      <w:tr w:rsidR="0092299C" w:rsidRPr="00D27810" w:rsidTr="00E96382">
        <w:trPr>
          <w:cantSplit/>
        </w:trPr>
        <w:tc>
          <w:tcPr>
            <w:tcW w:w="4536" w:type="dxa"/>
          </w:tcPr>
          <w:p w:rsidR="0092299C" w:rsidRPr="00D27810" w:rsidRDefault="0092299C" w:rsidP="0092299C">
            <w:pPr>
              <w:pStyle w:val="ARtabletext"/>
            </w:pPr>
            <w:r w:rsidRPr="00D27810">
              <w:t>Liquefied petroleum gas</w:t>
            </w:r>
          </w:p>
        </w:tc>
        <w:tc>
          <w:tcPr>
            <w:tcW w:w="1701" w:type="dxa"/>
          </w:tcPr>
          <w:p w:rsidR="0092299C" w:rsidRPr="00D27810" w:rsidRDefault="0092299C" w:rsidP="0092299C">
            <w:pPr>
              <w:pStyle w:val="ARtabletextright"/>
            </w:pPr>
            <w:r>
              <w:t>343</w:t>
            </w:r>
          </w:p>
        </w:tc>
        <w:tc>
          <w:tcPr>
            <w:tcW w:w="1701" w:type="dxa"/>
          </w:tcPr>
          <w:p w:rsidR="0092299C" w:rsidRPr="00D27810" w:rsidRDefault="0092299C" w:rsidP="0092299C">
            <w:pPr>
              <w:pStyle w:val="ARtabletextright"/>
            </w:pPr>
            <w:r>
              <w:t>298</w:t>
            </w:r>
          </w:p>
        </w:tc>
        <w:tc>
          <w:tcPr>
            <w:tcW w:w="1701" w:type="dxa"/>
          </w:tcPr>
          <w:p w:rsidR="0092299C" w:rsidRPr="00D27810" w:rsidRDefault="0092299C" w:rsidP="0092299C">
            <w:pPr>
              <w:pStyle w:val="ARtabletextright"/>
            </w:pPr>
            <w:r>
              <w:t>113</w:t>
            </w:r>
          </w:p>
        </w:tc>
      </w:tr>
      <w:tr w:rsidR="0092299C" w:rsidRPr="00D27810" w:rsidTr="00E96382">
        <w:trPr>
          <w:cantSplit/>
        </w:trPr>
        <w:tc>
          <w:tcPr>
            <w:tcW w:w="4536" w:type="dxa"/>
          </w:tcPr>
          <w:p w:rsidR="0092299C" w:rsidRPr="00D27810" w:rsidRDefault="0092299C" w:rsidP="0092299C">
            <w:pPr>
              <w:pStyle w:val="ARtabletext"/>
              <w:rPr>
                <w:b/>
              </w:rPr>
            </w:pPr>
            <w:r w:rsidRPr="00D27810">
              <w:rPr>
                <w:b/>
              </w:rPr>
              <w:t xml:space="preserve">Total </w:t>
            </w:r>
            <w:r>
              <w:rPr>
                <w:b/>
              </w:rPr>
              <w:t>greenhouse gas emissions</w:t>
            </w:r>
          </w:p>
        </w:tc>
        <w:tc>
          <w:tcPr>
            <w:tcW w:w="1701" w:type="dxa"/>
          </w:tcPr>
          <w:p w:rsidR="0092299C" w:rsidRPr="00D27810" w:rsidRDefault="0092299C" w:rsidP="0092299C">
            <w:pPr>
              <w:pStyle w:val="ARtabletextright"/>
              <w:rPr>
                <w:b/>
              </w:rPr>
            </w:pPr>
            <w:r>
              <w:rPr>
                <w:b/>
              </w:rPr>
              <w:t>73,215</w:t>
            </w:r>
          </w:p>
        </w:tc>
        <w:tc>
          <w:tcPr>
            <w:tcW w:w="1701" w:type="dxa"/>
          </w:tcPr>
          <w:p w:rsidR="0092299C" w:rsidRPr="00D27810" w:rsidRDefault="0092299C" w:rsidP="0092299C">
            <w:pPr>
              <w:pStyle w:val="ARtabletextright"/>
              <w:rPr>
                <w:b/>
              </w:rPr>
            </w:pPr>
            <w:r>
              <w:rPr>
                <w:b/>
              </w:rPr>
              <w:t>70,528</w:t>
            </w:r>
          </w:p>
        </w:tc>
        <w:tc>
          <w:tcPr>
            <w:tcW w:w="1701" w:type="dxa"/>
          </w:tcPr>
          <w:p w:rsidR="0092299C" w:rsidRPr="00D27810" w:rsidRDefault="0092299C" w:rsidP="0092299C">
            <w:pPr>
              <w:pStyle w:val="ARtabletextright"/>
              <w:rPr>
                <w:b/>
              </w:rPr>
            </w:pPr>
            <w:r>
              <w:rPr>
                <w:b/>
              </w:rPr>
              <w:t>68,291</w:t>
            </w:r>
          </w:p>
        </w:tc>
      </w:tr>
    </w:tbl>
    <w:p w:rsidR="0092299C" w:rsidRPr="00E04CC2" w:rsidRDefault="0092299C" w:rsidP="0092299C">
      <w:pPr>
        <w:pStyle w:val="ARtablefootnote"/>
      </w:pPr>
      <w:r w:rsidRPr="00E04CC2">
        <w:t xml:space="preserve">Human </w:t>
      </w:r>
      <w:r>
        <w:t>s</w:t>
      </w:r>
      <w:r w:rsidRPr="00E04CC2">
        <w:t>ervices property portfolio energy data combines electricity and gas from large operational locations, 44 high-rise housing facilities and other disability and social housing accommodation facilities.</w:t>
      </w:r>
    </w:p>
    <w:p w:rsidR="0092299C" w:rsidRPr="00E04CC2" w:rsidRDefault="0092299C" w:rsidP="0092299C">
      <w:pPr>
        <w:pStyle w:val="ARtablefootnote"/>
      </w:pPr>
      <w:r w:rsidRPr="00E04CC2">
        <w:t xml:space="preserve">* Youth Justice </w:t>
      </w:r>
      <w:r>
        <w:t xml:space="preserve">2016–17 </w:t>
      </w:r>
      <w:r w:rsidRPr="00E04CC2">
        <w:t>consumption reported to 31 March 2017.</w:t>
      </w:r>
    </w:p>
    <w:p w:rsidR="0092299C" w:rsidRPr="00E04CC2" w:rsidRDefault="0092299C" w:rsidP="0092299C">
      <w:pPr>
        <w:pStyle w:val="ARtablefootnote"/>
      </w:pPr>
      <w:r w:rsidRPr="00E04CC2">
        <w:t>This data represents 2</w:t>
      </w:r>
      <w:r>
        <w:t>,</w:t>
      </w:r>
      <w:r w:rsidRPr="00E04CC2">
        <w:t>866 electricity meters and 932 gas metered accounts.</w:t>
      </w:r>
    </w:p>
    <w:p w:rsidR="0092299C" w:rsidRPr="008D1BAA" w:rsidRDefault="0092299C" w:rsidP="0092299C">
      <w:pPr>
        <w:pStyle w:val="ARtablefootnote"/>
        <w:rPr>
          <w:lang w:eastAsia="en-AU"/>
        </w:rPr>
      </w:pPr>
      <w:r w:rsidRPr="008D1BAA">
        <w:rPr>
          <w:lang w:eastAsia="en-AU"/>
        </w:rPr>
        <w:t xml:space="preserve">Figures have been adjusted to include the most up-to-date data and may differ from those estimated for the same period in the </w:t>
      </w:r>
      <w:r w:rsidRPr="009877BF">
        <w:t xml:space="preserve">Department of </w:t>
      </w:r>
      <w:r w:rsidR="009877BF" w:rsidRPr="009877BF">
        <w:t xml:space="preserve">Health and </w:t>
      </w:r>
      <w:r w:rsidRPr="009877BF">
        <w:t>Human Services annual report 2015–16 to re</w:t>
      </w:r>
      <w:r w:rsidRPr="006A62CE">
        <w:rPr>
          <w:lang w:eastAsia="en-AU"/>
        </w:rPr>
        <w:t>flect</w:t>
      </w:r>
      <w:r w:rsidRPr="008D1BAA">
        <w:rPr>
          <w:lang w:eastAsia="en-AU"/>
        </w:rPr>
        <w:t xml:space="preserve"> </w:t>
      </w:r>
      <w:r>
        <w:rPr>
          <w:lang w:eastAsia="en-AU"/>
        </w:rPr>
        <w:t>the department’s modified monitoring portfolio.</w:t>
      </w:r>
    </w:p>
    <w:p w:rsidR="0092299C" w:rsidRPr="00853A7C" w:rsidRDefault="0092299C" w:rsidP="0092299C">
      <w:pPr>
        <w:pStyle w:val="ARtablefootnote"/>
        <w:rPr>
          <w:lang w:eastAsia="en-AU"/>
        </w:rPr>
      </w:pPr>
      <w:r w:rsidRPr="008D1BAA">
        <w:rPr>
          <w:lang w:eastAsia="en-AU"/>
        </w:rPr>
        <w:t xml:space="preserve">Greenhouse gas emissions are based on scope 2 emissions from the National Greenhouse and Energy Reporting (Measurement) </w:t>
      </w:r>
      <w:r>
        <w:rPr>
          <w:lang w:eastAsia="en-AU"/>
        </w:rPr>
        <w:t>Determination 2008 (Schedule 1).</w:t>
      </w:r>
    </w:p>
    <w:p w:rsidR="0092299C" w:rsidRPr="00843E15" w:rsidRDefault="0092299C" w:rsidP="0092299C">
      <w:pPr>
        <w:pStyle w:val="Heading3"/>
      </w:pPr>
      <w:r w:rsidRPr="00843E15">
        <w:t xml:space="preserve">Public health </w:t>
      </w:r>
      <w:r w:rsidRPr="00E04CC2">
        <w:t>services</w:t>
      </w:r>
    </w:p>
    <w:tbl>
      <w:tblPr>
        <w:tblStyle w:val="TableGrid"/>
        <w:tblW w:w="9639" w:type="dxa"/>
        <w:tblLook w:val="06A0" w:firstRow="1" w:lastRow="0" w:firstColumn="1" w:lastColumn="0" w:noHBand="1" w:noVBand="1"/>
      </w:tblPr>
      <w:tblGrid>
        <w:gridCol w:w="2156"/>
        <w:gridCol w:w="1248"/>
        <w:gridCol w:w="1247"/>
        <w:gridCol w:w="1247"/>
        <w:gridCol w:w="1247"/>
        <w:gridCol w:w="1247"/>
        <w:gridCol w:w="1247"/>
      </w:tblGrid>
      <w:tr w:rsidR="0092299C" w:rsidRPr="00843E15" w:rsidTr="00DF6928">
        <w:trPr>
          <w:cnfStyle w:val="100000000000" w:firstRow="1" w:lastRow="0" w:firstColumn="0" w:lastColumn="0" w:oddVBand="0" w:evenVBand="0" w:oddHBand="0" w:evenHBand="0" w:firstRowFirstColumn="0" w:firstRowLastColumn="0" w:lastRowFirstColumn="0" w:lastRowLastColumn="0"/>
          <w:tblHeader/>
        </w:trPr>
        <w:tc>
          <w:tcPr>
            <w:tcW w:w="2155" w:type="dxa"/>
            <w:hideMark/>
          </w:tcPr>
          <w:p w:rsidR="0092299C" w:rsidRPr="00E04CC2" w:rsidRDefault="0092299C" w:rsidP="0092299C">
            <w:pPr>
              <w:pStyle w:val="ARtablecolhead"/>
            </w:pPr>
            <w:r w:rsidRPr="00E04CC2">
              <w:t>Description</w:t>
            </w:r>
          </w:p>
        </w:tc>
        <w:tc>
          <w:tcPr>
            <w:tcW w:w="1247" w:type="dxa"/>
            <w:hideMark/>
          </w:tcPr>
          <w:p w:rsidR="0092299C" w:rsidRPr="00843E15" w:rsidRDefault="0092299C" w:rsidP="00934368">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2511DD">
              <w:rPr>
                <w:lang w:eastAsia="en-AU"/>
              </w:rPr>
              <w:t>201</w:t>
            </w:r>
            <w:r>
              <w:rPr>
                <w:lang w:eastAsia="en-AU"/>
              </w:rPr>
              <w:t>4</w:t>
            </w:r>
            <w:r w:rsidRPr="002511DD">
              <w:rPr>
                <w:lang w:eastAsia="en-AU"/>
              </w:rPr>
              <w:t>–1</w:t>
            </w:r>
            <w:r>
              <w:rPr>
                <w:lang w:eastAsia="en-AU"/>
              </w:rPr>
              <w:t>5</w:t>
            </w:r>
            <w:r w:rsidR="00934368">
              <w:rPr>
                <w:lang w:eastAsia="en-AU"/>
              </w:rPr>
              <w:br/>
            </w:r>
            <w:r>
              <w:rPr>
                <w:lang w:eastAsia="en-AU"/>
              </w:rPr>
              <w:t>estimate</w:t>
            </w:r>
          </w:p>
        </w:tc>
        <w:tc>
          <w:tcPr>
            <w:tcW w:w="1247" w:type="dxa"/>
            <w:hideMark/>
          </w:tcPr>
          <w:p w:rsidR="0092299C" w:rsidRPr="00843E15" w:rsidRDefault="0092299C" w:rsidP="00934368">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2511DD">
              <w:rPr>
                <w:lang w:eastAsia="en-AU"/>
              </w:rPr>
              <w:t>201</w:t>
            </w:r>
            <w:r>
              <w:rPr>
                <w:lang w:eastAsia="en-AU"/>
              </w:rPr>
              <w:t>4</w:t>
            </w:r>
            <w:r w:rsidRPr="002511DD">
              <w:rPr>
                <w:lang w:eastAsia="en-AU"/>
              </w:rPr>
              <w:t>–1</w:t>
            </w:r>
            <w:r>
              <w:rPr>
                <w:lang w:eastAsia="en-AU"/>
              </w:rPr>
              <w:t>5</w:t>
            </w:r>
            <w:r w:rsidR="00934368">
              <w:rPr>
                <w:lang w:eastAsia="en-AU"/>
              </w:rPr>
              <w:br/>
            </w:r>
            <w:r>
              <w:rPr>
                <w:lang w:eastAsia="en-AU"/>
              </w:rPr>
              <w:t>estimate</w:t>
            </w:r>
          </w:p>
        </w:tc>
        <w:tc>
          <w:tcPr>
            <w:tcW w:w="1247" w:type="dxa"/>
            <w:hideMark/>
          </w:tcPr>
          <w:p w:rsidR="0092299C" w:rsidRPr="00843E15" w:rsidRDefault="0092299C" w:rsidP="00934368">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2015–16</w:t>
            </w:r>
            <w:r w:rsidR="00934368">
              <w:rPr>
                <w:lang w:eastAsia="en-AU"/>
              </w:rPr>
              <w:br/>
            </w:r>
            <w:r>
              <w:rPr>
                <w:lang w:eastAsia="en-AU"/>
              </w:rPr>
              <w:t>estimate</w:t>
            </w:r>
          </w:p>
        </w:tc>
        <w:tc>
          <w:tcPr>
            <w:tcW w:w="1247" w:type="dxa"/>
            <w:hideMark/>
          </w:tcPr>
          <w:p w:rsidR="0092299C" w:rsidRPr="00843E15" w:rsidRDefault="0092299C" w:rsidP="00934368">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2015–16</w:t>
            </w:r>
            <w:r w:rsidR="00934368">
              <w:rPr>
                <w:lang w:eastAsia="en-AU"/>
              </w:rPr>
              <w:br/>
            </w:r>
            <w:r>
              <w:rPr>
                <w:lang w:eastAsia="en-AU"/>
              </w:rPr>
              <w:t>estimate</w:t>
            </w:r>
          </w:p>
        </w:tc>
        <w:tc>
          <w:tcPr>
            <w:tcW w:w="1247" w:type="dxa"/>
            <w:hideMark/>
          </w:tcPr>
          <w:p w:rsidR="0092299C" w:rsidRPr="00843E15" w:rsidRDefault="0092299C" w:rsidP="006D672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2016</w:t>
            </w:r>
            <w:r w:rsidRPr="00776024">
              <w:rPr>
                <w:lang w:eastAsia="en-AU"/>
              </w:rPr>
              <w:t>–</w:t>
            </w:r>
            <w:r>
              <w:rPr>
                <w:lang w:eastAsia="en-AU"/>
              </w:rPr>
              <w:t>17</w:t>
            </w:r>
            <w:r w:rsidR="006D672C">
              <w:rPr>
                <w:lang w:eastAsia="en-AU"/>
              </w:rPr>
              <w:br/>
            </w:r>
            <w:r>
              <w:rPr>
                <w:lang w:eastAsia="en-AU"/>
              </w:rPr>
              <w:t>estimate</w:t>
            </w:r>
          </w:p>
        </w:tc>
        <w:tc>
          <w:tcPr>
            <w:tcW w:w="1247" w:type="dxa"/>
            <w:hideMark/>
          </w:tcPr>
          <w:p w:rsidR="0092299C" w:rsidRPr="00843E15" w:rsidRDefault="0092299C" w:rsidP="006D672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2016</w:t>
            </w:r>
            <w:r w:rsidRPr="00776024">
              <w:rPr>
                <w:lang w:eastAsia="en-AU"/>
              </w:rPr>
              <w:t>–</w:t>
            </w:r>
            <w:r>
              <w:rPr>
                <w:lang w:eastAsia="en-AU"/>
              </w:rPr>
              <w:t>17</w:t>
            </w:r>
            <w:r w:rsidR="006D672C">
              <w:rPr>
                <w:lang w:eastAsia="en-AU"/>
              </w:rPr>
              <w:br/>
            </w:r>
            <w:r>
              <w:rPr>
                <w:lang w:eastAsia="en-AU"/>
              </w:rPr>
              <w:t>estimate</w:t>
            </w:r>
          </w:p>
        </w:tc>
      </w:tr>
      <w:tr w:rsidR="0092299C" w:rsidRPr="002511DD" w:rsidTr="00DF6928">
        <w:tc>
          <w:tcPr>
            <w:tcW w:w="2155" w:type="dxa"/>
            <w:vAlign w:val="bottom"/>
          </w:tcPr>
          <w:p w:rsidR="0092299C" w:rsidRPr="002511DD" w:rsidRDefault="0092299C" w:rsidP="0092299C">
            <w:pPr>
              <w:pStyle w:val="ARtablecolhead"/>
              <w:rPr>
                <w:color w:val="000000"/>
                <w:lang w:eastAsia="en-AU"/>
              </w:rPr>
            </w:pPr>
            <w:r w:rsidRPr="00E04CC2">
              <w:t>Total energy usage segmented by primary source</w:t>
            </w:r>
          </w:p>
        </w:tc>
        <w:tc>
          <w:tcPr>
            <w:tcW w:w="1247" w:type="dxa"/>
            <w:vAlign w:val="bottom"/>
          </w:tcPr>
          <w:p w:rsidR="0092299C" w:rsidRPr="00776024" w:rsidRDefault="0092299C" w:rsidP="0092299C">
            <w:pPr>
              <w:pStyle w:val="ARtablecolheadright"/>
            </w:pPr>
            <w:proofErr w:type="spellStart"/>
            <w:r w:rsidRPr="00843E15">
              <w:rPr>
                <w:lang w:eastAsia="en-AU"/>
              </w:rPr>
              <w:t>Terajoules</w:t>
            </w:r>
            <w:proofErr w:type="spellEnd"/>
          </w:p>
        </w:tc>
        <w:tc>
          <w:tcPr>
            <w:tcW w:w="1247" w:type="dxa"/>
            <w:vAlign w:val="bottom"/>
          </w:tcPr>
          <w:p w:rsidR="0092299C" w:rsidRPr="00776024" w:rsidRDefault="0092299C" w:rsidP="00EA6A4E">
            <w:pPr>
              <w:pStyle w:val="ARtablecolheadright"/>
            </w:pPr>
            <w:r>
              <w:rPr>
                <w:lang w:eastAsia="en-AU"/>
              </w:rPr>
              <w:t>Cost</w:t>
            </w:r>
            <w:r>
              <w:rPr>
                <w:lang w:eastAsia="en-AU"/>
              </w:rPr>
              <w:br/>
            </w:r>
            <w:r w:rsidRPr="00843E15">
              <w:rPr>
                <w:lang w:eastAsia="en-AU"/>
              </w:rPr>
              <w:t>($</w:t>
            </w:r>
            <w:r w:rsidR="00EA6A4E">
              <w:rPr>
                <w:lang w:eastAsia="en-AU"/>
              </w:rPr>
              <w:t>M</w:t>
            </w:r>
            <w:r w:rsidRPr="00843E15">
              <w:rPr>
                <w:lang w:eastAsia="en-AU"/>
              </w:rPr>
              <w:t>)</w:t>
            </w:r>
          </w:p>
        </w:tc>
        <w:tc>
          <w:tcPr>
            <w:tcW w:w="1247" w:type="dxa"/>
            <w:vAlign w:val="bottom"/>
          </w:tcPr>
          <w:p w:rsidR="0092299C" w:rsidRPr="00776024" w:rsidRDefault="0092299C" w:rsidP="0092299C">
            <w:pPr>
              <w:pStyle w:val="ARtablecolheadright"/>
            </w:pPr>
            <w:proofErr w:type="spellStart"/>
            <w:r w:rsidRPr="00843E15">
              <w:rPr>
                <w:lang w:eastAsia="en-AU"/>
              </w:rPr>
              <w:t>Terajoules</w:t>
            </w:r>
            <w:proofErr w:type="spellEnd"/>
          </w:p>
        </w:tc>
        <w:tc>
          <w:tcPr>
            <w:tcW w:w="1247" w:type="dxa"/>
            <w:vAlign w:val="bottom"/>
          </w:tcPr>
          <w:p w:rsidR="0092299C" w:rsidRPr="0098256D" w:rsidRDefault="0092299C" w:rsidP="00EA6A4E">
            <w:pPr>
              <w:pStyle w:val="ARtablecolheadright"/>
            </w:pPr>
            <w:r>
              <w:rPr>
                <w:lang w:eastAsia="en-AU"/>
              </w:rPr>
              <w:t>Cost</w:t>
            </w:r>
            <w:r>
              <w:rPr>
                <w:lang w:eastAsia="en-AU"/>
              </w:rPr>
              <w:br/>
            </w:r>
            <w:r w:rsidRPr="00843E15">
              <w:rPr>
                <w:lang w:eastAsia="en-AU"/>
              </w:rPr>
              <w:t>($</w:t>
            </w:r>
            <w:r w:rsidR="00EA6A4E">
              <w:rPr>
                <w:lang w:eastAsia="en-AU"/>
              </w:rPr>
              <w:t>M</w:t>
            </w:r>
            <w:r w:rsidRPr="00843E15">
              <w:rPr>
                <w:lang w:eastAsia="en-AU"/>
              </w:rPr>
              <w:t>)</w:t>
            </w:r>
          </w:p>
        </w:tc>
        <w:tc>
          <w:tcPr>
            <w:tcW w:w="1247" w:type="dxa"/>
            <w:vAlign w:val="bottom"/>
          </w:tcPr>
          <w:p w:rsidR="0092299C" w:rsidRDefault="0092299C" w:rsidP="0092299C">
            <w:pPr>
              <w:pStyle w:val="ARtablecolheadright"/>
            </w:pPr>
            <w:proofErr w:type="spellStart"/>
            <w:r w:rsidRPr="00843E15">
              <w:rPr>
                <w:lang w:eastAsia="en-AU"/>
              </w:rPr>
              <w:t>Terajoules</w:t>
            </w:r>
            <w:proofErr w:type="spellEnd"/>
          </w:p>
        </w:tc>
        <w:tc>
          <w:tcPr>
            <w:tcW w:w="1247" w:type="dxa"/>
            <w:vAlign w:val="bottom"/>
          </w:tcPr>
          <w:p w:rsidR="0092299C" w:rsidRPr="0098256D" w:rsidRDefault="0092299C" w:rsidP="00EA6A4E">
            <w:pPr>
              <w:pStyle w:val="ARtablecolheadright"/>
            </w:pPr>
            <w:r>
              <w:rPr>
                <w:lang w:eastAsia="en-AU"/>
              </w:rPr>
              <w:t>Cost</w:t>
            </w:r>
            <w:r>
              <w:rPr>
                <w:lang w:eastAsia="en-AU"/>
              </w:rPr>
              <w:br/>
            </w:r>
            <w:r w:rsidRPr="00843E15">
              <w:rPr>
                <w:lang w:eastAsia="en-AU"/>
              </w:rPr>
              <w:t>($</w:t>
            </w:r>
            <w:r w:rsidR="00EA6A4E">
              <w:rPr>
                <w:lang w:eastAsia="en-AU"/>
              </w:rPr>
              <w:t>M</w:t>
            </w:r>
            <w:r w:rsidRPr="00843E15">
              <w:rPr>
                <w:lang w:eastAsia="en-AU"/>
              </w:rPr>
              <w:t>)</w:t>
            </w:r>
          </w:p>
        </w:tc>
      </w:tr>
      <w:tr w:rsidR="0092299C" w:rsidRPr="002511DD" w:rsidTr="00DF6928">
        <w:tc>
          <w:tcPr>
            <w:tcW w:w="2155" w:type="dxa"/>
            <w:hideMark/>
          </w:tcPr>
          <w:p w:rsidR="0092299C" w:rsidRPr="002511DD" w:rsidRDefault="0092299C" w:rsidP="0092299C">
            <w:pPr>
              <w:pStyle w:val="ARtabletext"/>
            </w:pPr>
            <w:r w:rsidRPr="002511DD">
              <w:t>Electricity</w:t>
            </w:r>
          </w:p>
        </w:tc>
        <w:tc>
          <w:tcPr>
            <w:tcW w:w="1247" w:type="dxa"/>
          </w:tcPr>
          <w:p w:rsidR="0092299C" w:rsidRPr="00776024" w:rsidRDefault="0092299C" w:rsidP="0092299C">
            <w:pPr>
              <w:pStyle w:val="ARtabletextright"/>
            </w:pPr>
            <w:r w:rsidRPr="00776024">
              <w:t>2,0</w:t>
            </w:r>
            <w:r>
              <w:t>68</w:t>
            </w:r>
          </w:p>
        </w:tc>
        <w:tc>
          <w:tcPr>
            <w:tcW w:w="1247" w:type="dxa"/>
          </w:tcPr>
          <w:p w:rsidR="0092299C" w:rsidRPr="00776024" w:rsidRDefault="0092299C" w:rsidP="0092299C">
            <w:pPr>
              <w:pStyle w:val="ARtabletextright"/>
            </w:pPr>
            <w:r w:rsidRPr="00776024">
              <w:t>$69.6</w:t>
            </w:r>
            <w:r>
              <w:t>9</w:t>
            </w:r>
          </w:p>
        </w:tc>
        <w:tc>
          <w:tcPr>
            <w:tcW w:w="1247" w:type="dxa"/>
            <w:hideMark/>
          </w:tcPr>
          <w:p w:rsidR="0092299C" w:rsidRPr="00776024" w:rsidRDefault="0092299C" w:rsidP="0092299C">
            <w:pPr>
              <w:pStyle w:val="ARtabletextright"/>
            </w:pPr>
            <w:r w:rsidRPr="00776024">
              <w:t>2,1</w:t>
            </w:r>
            <w:r>
              <w:t>79</w:t>
            </w:r>
          </w:p>
        </w:tc>
        <w:tc>
          <w:tcPr>
            <w:tcW w:w="1247" w:type="dxa"/>
            <w:hideMark/>
          </w:tcPr>
          <w:p w:rsidR="0092299C" w:rsidRPr="002511DD" w:rsidRDefault="0092299C" w:rsidP="0092299C">
            <w:pPr>
              <w:pStyle w:val="ARtabletextright"/>
              <w:rPr>
                <w:color w:val="000000"/>
              </w:rPr>
            </w:pPr>
            <w:r w:rsidRPr="002511DD">
              <w:rPr>
                <w:color w:val="000000"/>
              </w:rPr>
              <w:t> </w:t>
            </w:r>
            <w:r>
              <w:rPr>
                <w:color w:val="000000"/>
              </w:rPr>
              <w:t>$72.19</w:t>
            </w:r>
          </w:p>
        </w:tc>
        <w:tc>
          <w:tcPr>
            <w:tcW w:w="1247" w:type="dxa"/>
          </w:tcPr>
          <w:p w:rsidR="0092299C" w:rsidRPr="00776024" w:rsidRDefault="0092299C" w:rsidP="0092299C">
            <w:pPr>
              <w:pStyle w:val="ARtabletextright"/>
            </w:pPr>
            <w:r>
              <w:t>2,341</w:t>
            </w:r>
          </w:p>
        </w:tc>
        <w:tc>
          <w:tcPr>
            <w:tcW w:w="1247" w:type="dxa"/>
          </w:tcPr>
          <w:p w:rsidR="0092299C" w:rsidRPr="002511DD" w:rsidRDefault="0092299C" w:rsidP="0092299C">
            <w:pPr>
              <w:pStyle w:val="ARtabletextright"/>
              <w:rPr>
                <w:color w:val="000000"/>
              </w:rPr>
            </w:pPr>
            <w:r>
              <w:rPr>
                <w:color w:val="000000"/>
              </w:rPr>
              <w:t>$73.56</w:t>
            </w:r>
          </w:p>
        </w:tc>
      </w:tr>
      <w:tr w:rsidR="0092299C" w:rsidRPr="002511DD" w:rsidTr="00DF6928">
        <w:tc>
          <w:tcPr>
            <w:tcW w:w="2155" w:type="dxa"/>
            <w:hideMark/>
          </w:tcPr>
          <w:p w:rsidR="0092299C" w:rsidRPr="002511DD" w:rsidRDefault="0092299C" w:rsidP="0092299C">
            <w:pPr>
              <w:pStyle w:val="ARtabletext"/>
            </w:pPr>
            <w:r w:rsidRPr="002511DD">
              <w:t>Natural gas</w:t>
            </w:r>
          </w:p>
        </w:tc>
        <w:tc>
          <w:tcPr>
            <w:tcW w:w="1247" w:type="dxa"/>
          </w:tcPr>
          <w:p w:rsidR="0092299C" w:rsidRPr="00776024" w:rsidRDefault="0092299C" w:rsidP="0092299C">
            <w:pPr>
              <w:pStyle w:val="ARtabletextright"/>
            </w:pPr>
            <w:r>
              <w:t>1</w:t>
            </w:r>
            <w:r w:rsidRPr="00776024">
              <w:t>,</w:t>
            </w:r>
            <w:r>
              <w:t>983</w:t>
            </w:r>
          </w:p>
        </w:tc>
        <w:tc>
          <w:tcPr>
            <w:tcW w:w="1247" w:type="dxa"/>
          </w:tcPr>
          <w:p w:rsidR="0092299C" w:rsidRPr="00776024" w:rsidRDefault="0092299C" w:rsidP="0092299C">
            <w:pPr>
              <w:pStyle w:val="ARtabletextright"/>
            </w:pPr>
            <w:r w:rsidRPr="00776024">
              <w:t>$1</w:t>
            </w:r>
            <w:r>
              <w:t>4</w:t>
            </w:r>
            <w:r w:rsidRPr="00776024">
              <w:t>.</w:t>
            </w:r>
            <w:r>
              <w:t>71</w:t>
            </w:r>
          </w:p>
        </w:tc>
        <w:tc>
          <w:tcPr>
            <w:tcW w:w="1247" w:type="dxa"/>
            <w:hideMark/>
          </w:tcPr>
          <w:p w:rsidR="0092299C" w:rsidRPr="00776024" w:rsidRDefault="0092299C" w:rsidP="0092299C">
            <w:pPr>
              <w:pStyle w:val="ARtabletextright"/>
            </w:pPr>
            <w:r w:rsidRPr="00776024">
              <w:t>1,9</w:t>
            </w:r>
            <w:r>
              <w:t>5</w:t>
            </w:r>
            <w:r w:rsidRPr="00776024">
              <w:t>7</w:t>
            </w:r>
          </w:p>
        </w:tc>
        <w:tc>
          <w:tcPr>
            <w:tcW w:w="1247" w:type="dxa"/>
            <w:hideMark/>
          </w:tcPr>
          <w:p w:rsidR="0092299C" w:rsidRPr="002511DD" w:rsidRDefault="0092299C" w:rsidP="0092299C">
            <w:pPr>
              <w:pStyle w:val="ARtabletextright"/>
              <w:rPr>
                <w:color w:val="000000"/>
              </w:rPr>
            </w:pPr>
            <w:r w:rsidRPr="002511DD">
              <w:rPr>
                <w:color w:val="000000"/>
              </w:rPr>
              <w:t> </w:t>
            </w:r>
            <w:r>
              <w:rPr>
                <w:color w:val="000000"/>
              </w:rPr>
              <w:t>$14.86</w:t>
            </w:r>
          </w:p>
        </w:tc>
        <w:tc>
          <w:tcPr>
            <w:tcW w:w="1247" w:type="dxa"/>
          </w:tcPr>
          <w:p w:rsidR="0092299C" w:rsidRPr="00776024" w:rsidRDefault="0092299C" w:rsidP="0092299C">
            <w:pPr>
              <w:pStyle w:val="ARtabletextright"/>
            </w:pPr>
            <w:r>
              <w:t>2,271</w:t>
            </w:r>
          </w:p>
        </w:tc>
        <w:tc>
          <w:tcPr>
            <w:tcW w:w="1247" w:type="dxa"/>
          </w:tcPr>
          <w:p w:rsidR="0092299C" w:rsidRPr="002511DD" w:rsidRDefault="0092299C" w:rsidP="0092299C">
            <w:pPr>
              <w:pStyle w:val="ARtabletextright"/>
              <w:rPr>
                <w:color w:val="000000"/>
              </w:rPr>
            </w:pPr>
            <w:r>
              <w:rPr>
                <w:color w:val="000000"/>
              </w:rPr>
              <w:t>$16.45</w:t>
            </w:r>
          </w:p>
        </w:tc>
      </w:tr>
      <w:tr w:rsidR="0092299C" w:rsidRPr="002511DD" w:rsidTr="00DF6928">
        <w:tc>
          <w:tcPr>
            <w:tcW w:w="2155" w:type="dxa"/>
          </w:tcPr>
          <w:p w:rsidR="0092299C" w:rsidRPr="002511DD" w:rsidRDefault="0092299C" w:rsidP="0092299C">
            <w:pPr>
              <w:pStyle w:val="ARtabletext"/>
            </w:pPr>
            <w:r w:rsidRPr="002511DD">
              <w:t>Co-generation steam</w:t>
            </w:r>
          </w:p>
        </w:tc>
        <w:tc>
          <w:tcPr>
            <w:tcW w:w="1247" w:type="dxa"/>
          </w:tcPr>
          <w:p w:rsidR="0092299C" w:rsidRPr="00776024" w:rsidRDefault="0092299C" w:rsidP="0092299C">
            <w:pPr>
              <w:pStyle w:val="ARtabletextright"/>
            </w:pPr>
            <w:r w:rsidRPr="00776024">
              <w:t>493</w:t>
            </w:r>
          </w:p>
        </w:tc>
        <w:tc>
          <w:tcPr>
            <w:tcW w:w="1247" w:type="dxa"/>
          </w:tcPr>
          <w:p w:rsidR="0092299C" w:rsidRPr="00776024" w:rsidRDefault="0092299C" w:rsidP="0092299C">
            <w:pPr>
              <w:pStyle w:val="ARtabletextright"/>
            </w:pPr>
            <w:r w:rsidRPr="00776024">
              <w:t>$3.57</w:t>
            </w:r>
          </w:p>
        </w:tc>
        <w:tc>
          <w:tcPr>
            <w:tcW w:w="1247" w:type="dxa"/>
          </w:tcPr>
          <w:p w:rsidR="0092299C" w:rsidRPr="00776024" w:rsidRDefault="0092299C" w:rsidP="0092299C">
            <w:pPr>
              <w:pStyle w:val="ARtabletextright"/>
            </w:pPr>
            <w:r w:rsidRPr="00776024">
              <w:t>514</w:t>
            </w:r>
          </w:p>
        </w:tc>
        <w:tc>
          <w:tcPr>
            <w:tcW w:w="1247" w:type="dxa"/>
          </w:tcPr>
          <w:p w:rsidR="0092299C" w:rsidRPr="002511DD" w:rsidRDefault="0092299C" w:rsidP="0092299C">
            <w:pPr>
              <w:pStyle w:val="ARtabletextright"/>
              <w:rPr>
                <w:color w:val="000000"/>
              </w:rPr>
            </w:pPr>
            <w:r>
              <w:rPr>
                <w:color w:val="000000"/>
              </w:rPr>
              <w:t>$3.78</w:t>
            </w:r>
          </w:p>
        </w:tc>
        <w:tc>
          <w:tcPr>
            <w:tcW w:w="1247" w:type="dxa"/>
          </w:tcPr>
          <w:p w:rsidR="0092299C" w:rsidRPr="00776024" w:rsidRDefault="0092299C" w:rsidP="0092299C">
            <w:pPr>
              <w:pStyle w:val="ARtabletextright"/>
            </w:pPr>
            <w:r>
              <w:t>531</w:t>
            </w:r>
          </w:p>
        </w:tc>
        <w:tc>
          <w:tcPr>
            <w:tcW w:w="1247" w:type="dxa"/>
          </w:tcPr>
          <w:p w:rsidR="0092299C" w:rsidRPr="002511DD" w:rsidRDefault="0092299C" w:rsidP="0092299C">
            <w:pPr>
              <w:pStyle w:val="ARtabletextright"/>
              <w:rPr>
                <w:color w:val="000000"/>
              </w:rPr>
            </w:pPr>
            <w:r>
              <w:rPr>
                <w:color w:val="000000"/>
              </w:rPr>
              <w:t>$3.95</w:t>
            </w:r>
          </w:p>
        </w:tc>
      </w:tr>
      <w:tr w:rsidR="0092299C" w:rsidRPr="002511DD" w:rsidTr="00DF6928">
        <w:tc>
          <w:tcPr>
            <w:tcW w:w="2155" w:type="dxa"/>
            <w:hideMark/>
          </w:tcPr>
          <w:p w:rsidR="0092299C" w:rsidRPr="002511DD" w:rsidRDefault="0092299C" w:rsidP="0092299C">
            <w:pPr>
              <w:pStyle w:val="ARtabletext"/>
            </w:pPr>
            <w:r w:rsidRPr="002511DD">
              <w:t>LPG</w:t>
            </w:r>
          </w:p>
        </w:tc>
        <w:tc>
          <w:tcPr>
            <w:tcW w:w="1247" w:type="dxa"/>
          </w:tcPr>
          <w:p w:rsidR="0092299C" w:rsidRPr="00776024" w:rsidRDefault="0092299C" w:rsidP="0092299C">
            <w:pPr>
              <w:pStyle w:val="ARtabletextright"/>
            </w:pPr>
            <w:r>
              <w:t>8</w:t>
            </w:r>
            <w:r w:rsidRPr="00776024">
              <w:t>1</w:t>
            </w:r>
          </w:p>
        </w:tc>
        <w:tc>
          <w:tcPr>
            <w:tcW w:w="1247" w:type="dxa"/>
          </w:tcPr>
          <w:p w:rsidR="0092299C" w:rsidRPr="00776024" w:rsidRDefault="0092299C" w:rsidP="0092299C">
            <w:pPr>
              <w:pStyle w:val="ARtabletextright"/>
            </w:pPr>
            <w:r w:rsidRPr="00776024">
              <w:t>$2.</w:t>
            </w:r>
            <w:r>
              <w:t>16</w:t>
            </w:r>
          </w:p>
        </w:tc>
        <w:tc>
          <w:tcPr>
            <w:tcW w:w="1247" w:type="dxa"/>
            <w:hideMark/>
          </w:tcPr>
          <w:p w:rsidR="0092299C" w:rsidRPr="00776024" w:rsidRDefault="0092299C" w:rsidP="0092299C">
            <w:pPr>
              <w:pStyle w:val="ARtabletextright"/>
            </w:pPr>
            <w:r>
              <w:t>9</w:t>
            </w:r>
            <w:r w:rsidRPr="00776024">
              <w:t>1</w:t>
            </w:r>
          </w:p>
        </w:tc>
        <w:tc>
          <w:tcPr>
            <w:tcW w:w="1247" w:type="dxa"/>
            <w:hideMark/>
          </w:tcPr>
          <w:p w:rsidR="0092299C" w:rsidRPr="002511DD" w:rsidRDefault="0092299C" w:rsidP="0092299C">
            <w:pPr>
              <w:pStyle w:val="ARtabletextright"/>
              <w:rPr>
                <w:color w:val="000000"/>
              </w:rPr>
            </w:pPr>
            <w:r>
              <w:rPr>
                <w:color w:val="000000"/>
              </w:rPr>
              <w:t>$1.97</w:t>
            </w:r>
          </w:p>
        </w:tc>
        <w:tc>
          <w:tcPr>
            <w:tcW w:w="1247" w:type="dxa"/>
          </w:tcPr>
          <w:p w:rsidR="0092299C" w:rsidRPr="00776024" w:rsidRDefault="0092299C" w:rsidP="0092299C">
            <w:pPr>
              <w:pStyle w:val="ARtabletextright"/>
            </w:pPr>
            <w:r>
              <w:t>96</w:t>
            </w:r>
          </w:p>
        </w:tc>
        <w:tc>
          <w:tcPr>
            <w:tcW w:w="1247" w:type="dxa"/>
          </w:tcPr>
          <w:p w:rsidR="0092299C" w:rsidRPr="002511DD" w:rsidRDefault="0092299C" w:rsidP="0092299C">
            <w:pPr>
              <w:pStyle w:val="ARtabletextright"/>
              <w:rPr>
                <w:color w:val="000000"/>
              </w:rPr>
            </w:pPr>
            <w:r>
              <w:rPr>
                <w:color w:val="000000"/>
              </w:rPr>
              <w:t>$2.14</w:t>
            </w:r>
          </w:p>
        </w:tc>
      </w:tr>
      <w:tr w:rsidR="0092299C" w:rsidRPr="002511DD" w:rsidTr="00DF6928">
        <w:tc>
          <w:tcPr>
            <w:tcW w:w="2155" w:type="dxa"/>
            <w:hideMark/>
          </w:tcPr>
          <w:p w:rsidR="0092299C" w:rsidRPr="002511DD" w:rsidRDefault="0092299C" w:rsidP="0092299C">
            <w:pPr>
              <w:pStyle w:val="ARtabletext"/>
            </w:pPr>
            <w:r w:rsidRPr="002511DD">
              <w:t>Diesel</w:t>
            </w:r>
          </w:p>
        </w:tc>
        <w:tc>
          <w:tcPr>
            <w:tcW w:w="1247" w:type="dxa"/>
          </w:tcPr>
          <w:p w:rsidR="0092299C" w:rsidRPr="00776024" w:rsidRDefault="0092299C" w:rsidP="0092299C">
            <w:pPr>
              <w:pStyle w:val="ARtabletextright"/>
            </w:pPr>
            <w:r w:rsidRPr="00776024">
              <w:t>3</w:t>
            </w:r>
          </w:p>
        </w:tc>
        <w:tc>
          <w:tcPr>
            <w:tcW w:w="1247" w:type="dxa"/>
          </w:tcPr>
          <w:p w:rsidR="0092299C" w:rsidRPr="00776024" w:rsidRDefault="0092299C" w:rsidP="0092299C">
            <w:pPr>
              <w:pStyle w:val="ARtabletextright"/>
            </w:pPr>
            <w:r w:rsidRPr="00776024">
              <w:t>n</w:t>
            </w:r>
            <w:r w:rsidR="00971C4E">
              <w:t>/</w:t>
            </w:r>
            <w:r w:rsidRPr="00776024">
              <w:t>a</w:t>
            </w:r>
          </w:p>
        </w:tc>
        <w:tc>
          <w:tcPr>
            <w:tcW w:w="1247" w:type="dxa"/>
            <w:hideMark/>
          </w:tcPr>
          <w:p w:rsidR="0092299C" w:rsidRPr="00776024" w:rsidRDefault="0092299C" w:rsidP="0092299C">
            <w:pPr>
              <w:pStyle w:val="ARtabletextright"/>
            </w:pPr>
            <w:r w:rsidRPr="00776024">
              <w:t>3</w:t>
            </w:r>
          </w:p>
        </w:tc>
        <w:tc>
          <w:tcPr>
            <w:tcW w:w="1247" w:type="dxa"/>
            <w:hideMark/>
          </w:tcPr>
          <w:p w:rsidR="0092299C" w:rsidRPr="002511DD" w:rsidRDefault="0092299C" w:rsidP="0092299C">
            <w:pPr>
              <w:pStyle w:val="ARtabletextright"/>
              <w:rPr>
                <w:color w:val="000000"/>
              </w:rPr>
            </w:pPr>
            <w:r>
              <w:rPr>
                <w:color w:val="000000"/>
              </w:rPr>
              <w:t>$0.06</w:t>
            </w:r>
          </w:p>
        </w:tc>
        <w:tc>
          <w:tcPr>
            <w:tcW w:w="1247" w:type="dxa"/>
          </w:tcPr>
          <w:p w:rsidR="0092299C" w:rsidRPr="00776024" w:rsidRDefault="0092299C" w:rsidP="0092299C">
            <w:pPr>
              <w:pStyle w:val="ARtabletextright"/>
            </w:pPr>
            <w:r>
              <w:t>7</w:t>
            </w:r>
          </w:p>
        </w:tc>
        <w:tc>
          <w:tcPr>
            <w:tcW w:w="1247" w:type="dxa"/>
          </w:tcPr>
          <w:p w:rsidR="0092299C" w:rsidRPr="002511DD" w:rsidRDefault="0092299C" w:rsidP="0092299C">
            <w:pPr>
              <w:pStyle w:val="ARtabletextright"/>
              <w:rPr>
                <w:color w:val="000000"/>
              </w:rPr>
            </w:pPr>
            <w:r>
              <w:rPr>
                <w:color w:val="000000"/>
              </w:rPr>
              <w:t>$0.01</w:t>
            </w:r>
          </w:p>
        </w:tc>
      </w:tr>
      <w:tr w:rsidR="0092299C" w:rsidRPr="002511DD" w:rsidTr="00DF6928">
        <w:tc>
          <w:tcPr>
            <w:tcW w:w="2155" w:type="dxa"/>
            <w:hideMark/>
          </w:tcPr>
          <w:p w:rsidR="0092299C" w:rsidRPr="002511DD" w:rsidRDefault="0092299C" w:rsidP="0092299C">
            <w:pPr>
              <w:pStyle w:val="ARtabletext"/>
              <w:rPr>
                <w:b/>
                <w:bCs/>
              </w:rPr>
            </w:pPr>
            <w:r w:rsidRPr="002511DD">
              <w:rPr>
                <w:b/>
                <w:bCs/>
              </w:rPr>
              <w:t>Total</w:t>
            </w:r>
          </w:p>
        </w:tc>
        <w:tc>
          <w:tcPr>
            <w:tcW w:w="1247" w:type="dxa"/>
          </w:tcPr>
          <w:p w:rsidR="0092299C" w:rsidRPr="00776024" w:rsidRDefault="0092299C" w:rsidP="0092299C">
            <w:pPr>
              <w:pStyle w:val="ARtabletextright"/>
              <w:rPr>
                <w:b/>
                <w:bCs/>
              </w:rPr>
            </w:pPr>
            <w:r w:rsidRPr="00776024">
              <w:rPr>
                <w:b/>
                <w:bCs/>
              </w:rPr>
              <w:t>4,</w:t>
            </w:r>
            <w:r>
              <w:rPr>
                <w:b/>
                <w:bCs/>
              </w:rPr>
              <w:t>628</w:t>
            </w:r>
          </w:p>
        </w:tc>
        <w:tc>
          <w:tcPr>
            <w:tcW w:w="1247" w:type="dxa"/>
          </w:tcPr>
          <w:p w:rsidR="0092299C" w:rsidRPr="00776024" w:rsidRDefault="0092299C" w:rsidP="0092299C">
            <w:pPr>
              <w:pStyle w:val="ARtabletextright"/>
              <w:rPr>
                <w:b/>
                <w:bCs/>
              </w:rPr>
            </w:pPr>
            <w:r w:rsidRPr="00776024">
              <w:rPr>
                <w:b/>
                <w:bCs/>
              </w:rPr>
              <w:t>$9</w:t>
            </w:r>
            <w:r>
              <w:rPr>
                <w:b/>
                <w:bCs/>
              </w:rPr>
              <w:t>0</w:t>
            </w:r>
            <w:r w:rsidRPr="00776024">
              <w:rPr>
                <w:b/>
                <w:bCs/>
              </w:rPr>
              <w:t>.</w:t>
            </w:r>
            <w:r>
              <w:rPr>
                <w:b/>
                <w:bCs/>
              </w:rPr>
              <w:t>13</w:t>
            </w:r>
          </w:p>
        </w:tc>
        <w:tc>
          <w:tcPr>
            <w:tcW w:w="1247" w:type="dxa"/>
            <w:hideMark/>
          </w:tcPr>
          <w:p w:rsidR="0092299C" w:rsidRPr="00776024" w:rsidRDefault="0092299C" w:rsidP="0092299C">
            <w:pPr>
              <w:pStyle w:val="ARtabletextright"/>
              <w:rPr>
                <w:b/>
                <w:bCs/>
              </w:rPr>
            </w:pPr>
            <w:r w:rsidRPr="00776024">
              <w:rPr>
                <w:b/>
                <w:bCs/>
              </w:rPr>
              <w:t>4,</w:t>
            </w:r>
            <w:r>
              <w:rPr>
                <w:b/>
                <w:bCs/>
              </w:rPr>
              <w:t>744</w:t>
            </w:r>
          </w:p>
        </w:tc>
        <w:tc>
          <w:tcPr>
            <w:tcW w:w="1247" w:type="dxa"/>
            <w:hideMark/>
          </w:tcPr>
          <w:p w:rsidR="0092299C" w:rsidRPr="002511DD" w:rsidRDefault="0092299C" w:rsidP="0092299C">
            <w:pPr>
              <w:pStyle w:val="ARtabletextright"/>
              <w:rPr>
                <w:b/>
                <w:bCs/>
                <w:color w:val="000000"/>
              </w:rPr>
            </w:pPr>
            <w:r>
              <w:rPr>
                <w:b/>
                <w:bCs/>
                <w:color w:val="000000"/>
              </w:rPr>
              <w:t>$92.86</w:t>
            </w:r>
          </w:p>
        </w:tc>
        <w:tc>
          <w:tcPr>
            <w:tcW w:w="1247" w:type="dxa"/>
          </w:tcPr>
          <w:p w:rsidR="0092299C" w:rsidRPr="00776024" w:rsidRDefault="0092299C" w:rsidP="0092299C">
            <w:pPr>
              <w:pStyle w:val="ARtabletextright"/>
              <w:rPr>
                <w:b/>
                <w:bCs/>
              </w:rPr>
            </w:pPr>
            <w:r>
              <w:rPr>
                <w:b/>
                <w:bCs/>
              </w:rPr>
              <w:t>5,246</w:t>
            </w:r>
          </w:p>
        </w:tc>
        <w:tc>
          <w:tcPr>
            <w:tcW w:w="1247" w:type="dxa"/>
          </w:tcPr>
          <w:p w:rsidR="0092299C" w:rsidRPr="002511DD" w:rsidRDefault="0092299C" w:rsidP="0092299C">
            <w:pPr>
              <w:pStyle w:val="ARtabletextright"/>
              <w:rPr>
                <w:b/>
                <w:bCs/>
                <w:color w:val="000000"/>
              </w:rPr>
            </w:pPr>
            <w:r>
              <w:rPr>
                <w:b/>
                <w:bCs/>
                <w:color w:val="000000"/>
              </w:rPr>
              <w:t>$96.11</w:t>
            </w:r>
          </w:p>
        </w:tc>
      </w:tr>
    </w:tbl>
    <w:p w:rsidR="0092299C" w:rsidRDefault="0092299C" w:rsidP="0092299C">
      <w:pPr>
        <w:pStyle w:val="ARbody"/>
        <w:rPr>
          <w:lang w:eastAsia="en-AU"/>
        </w:rPr>
      </w:pPr>
    </w:p>
    <w:tbl>
      <w:tblPr>
        <w:tblStyle w:val="TableGrid"/>
        <w:tblW w:w="9639" w:type="dxa"/>
        <w:tblLook w:val="06A0" w:firstRow="1" w:lastRow="0" w:firstColumn="1" w:lastColumn="0" w:noHBand="1" w:noVBand="1"/>
      </w:tblPr>
      <w:tblGrid>
        <w:gridCol w:w="5877"/>
        <w:gridCol w:w="1254"/>
        <w:gridCol w:w="1254"/>
        <w:gridCol w:w="1254"/>
      </w:tblGrid>
      <w:tr w:rsidR="0092299C" w:rsidRPr="00843E15" w:rsidTr="00B640A0">
        <w:trPr>
          <w:cnfStyle w:val="100000000000" w:firstRow="1" w:lastRow="0" w:firstColumn="0" w:lastColumn="0" w:oddVBand="0" w:evenVBand="0" w:oddHBand="0" w:evenHBand="0" w:firstRowFirstColumn="0" w:firstRowLastColumn="0" w:lastRowFirstColumn="0" w:lastRowLastColumn="0"/>
          <w:tblHeader/>
        </w:trPr>
        <w:tc>
          <w:tcPr>
            <w:tcW w:w="5842" w:type="dxa"/>
          </w:tcPr>
          <w:p w:rsidR="0092299C" w:rsidRPr="00827F93" w:rsidRDefault="0092299C" w:rsidP="0092299C">
            <w:pPr>
              <w:pStyle w:val="ARtablecolhead"/>
              <w:rPr>
                <w:color w:val="000000"/>
                <w:lang w:eastAsia="en-AU"/>
              </w:rPr>
            </w:pPr>
            <w:r w:rsidRPr="00827F93">
              <w:t>Description</w:t>
            </w:r>
          </w:p>
        </w:tc>
        <w:tc>
          <w:tcPr>
            <w:tcW w:w="1247" w:type="dxa"/>
          </w:tcPr>
          <w:p w:rsidR="0092299C" w:rsidRPr="00827F93"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827F93">
              <w:rPr>
                <w:lang w:eastAsia="en-AU"/>
              </w:rPr>
              <w:t>2014–15</w:t>
            </w:r>
          </w:p>
        </w:tc>
        <w:tc>
          <w:tcPr>
            <w:tcW w:w="1247" w:type="dxa"/>
          </w:tcPr>
          <w:p w:rsidR="0092299C" w:rsidRPr="00827F93"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2015–16 </w:t>
            </w:r>
          </w:p>
        </w:tc>
        <w:tc>
          <w:tcPr>
            <w:tcW w:w="1247" w:type="dxa"/>
          </w:tcPr>
          <w:p w:rsidR="0092299C" w:rsidRPr="00827F93"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2016–17 </w:t>
            </w:r>
          </w:p>
        </w:tc>
      </w:tr>
      <w:tr w:rsidR="0092299C" w:rsidRPr="002511DD" w:rsidTr="00B640A0">
        <w:tc>
          <w:tcPr>
            <w:tcW w:w="5842" w:type="dxa"/>
          </w:tcPr>
          <w:p w:rsidR="0092299C" w:rsidRPr="00827F93" w:rsidRDefault="0092299C" w:rsidP="0092299C">
            <w:pPr>
              <w:pStyle w:val="ARtabletext"/>
            </w:pPr>
            <w:r w:rsidRPr="00827F93">
              <w:t>Energy used per separation (gigajoules/ separation)</w:t>
            </w:r>
          </w:p>
        </w:tc>
        <w:tc>
          <w:tcPr>
            <w:tcW w:w="1247" w:type="dxa"/>
          </w:tcPr>
          <w:p w:rsidR="0092299C" w:rsidRPr="00827F93" w:rsidRDefault="0092299C" w:rsidP="0092299C">
            <w:pPr>
              <w:pStyle w:val="ARtabletextright"/>
            </w:pPr>
            <w:r w:rsidRPr="00827F93">
              <w:t>2.84</w:t>
            </w:r>
          </w:p>
        </w:tc>
        <w:tc>
          <w:tcPr>
            <w:tcW w:w="1247" w:type="dxa"/>
          </w:tcPr>
          <w:p w:rsidR="0092299C" w:rsidRPr="00827F93" w:rsidRDefault="0092299C" w:rsidP="0092299C">
            <w:pPr>
              <w:pStyle w:val="ARtabletextright"/>
            </w:pPr>
            <w:r w:rsidRPr="00827F93">
              <w:t>2.77</w:t>
            </w:r>
          </w:p>
        </w:tc>
        <w:tc>
          <w:tcPr>
            <w:tcW w:w="1247" w:type="dxa"/>
          </w:tcPr>
          <w:p w:rsidR="0092299C" w:rsidRPr="00827F93" w:rsidRDefault="0092299C" w:rsidP="0092299C">
            <w:pPr>
              <w:pStyle w:val="ARtabletextright"/>
            </w:pPr>
            <w:r w:rsidRPr="00827F93">
              <w:t>2.88</w:t>
            </w:r>
          </w:p>
        </w:tc>
      </w:tr>
      <w:tr w:rsidR="0092299C" w:rsidRPr="002511DD" w:rsidTr="00B640A0">
        <w:tc>
          <w:tcPr>
            <w:tcW w:w="5842" w:type="dxa"/>
          </w:tcPr>
          <w:p w:rsidR="0092299C" w:rsidRPr="00827F93" w:rsidRDefault="0092299C" w:rsidP="0092299C">
            <w:pPr>
              <w:pStyle w:val="ARtabletext"/>
            </w:pPr>
            <w:r w:rsidRPr="00827F93">
              <w:t>Energy used per bed day (gigajoules/ bed day)</w:t>
            </w:r>
          </w:p>
        </w:tc>
        <w:tc>
          <w:tcPr>
            <w:tcW w:w="1247" w:type="dxa"/>
          </w:tcPr>
          <w:p w:rsidR="0092299C" w:rsidRPr="00827F93" w:rsidRDefault="0092299C" w:rsidP="0092299C">
            <w:pPr>
              <w:pStyle w:val="ARtabletextright"/>
            </w:pPr>
            <w:r w:rsidRPr="00827F93">
              <w:t>0.69</w:t>
            </w:r>
          </w:p>
        </w:tc>
        <w:tc>
          <w:tcPr>
            <w:tcW w:w="1247" w:type="dxa"/>
          </w:tcPr>
          <w:p w:rsidR="0092299C" w:rsidRPr="00827F93" w:rsidRDefault="0092299C" w:rsidP="0092299C">
            <w:pPr>
              <w:pStyle w:val="ARtabletextright"/>
            </w:pPr>
            <w:r w:rsidRPr="00827F93">
              <w:t>0.69</w:t>
            </w:r>
          </w:p>
        </w:tc>
        <w:tc>
          <w:tcPr>
            <w:tcW w:w="1247" w:type="dxa"/>
          </w:tcPr>
          <w:p w:rsidR="0092299C" w:rsidRPr="00827F93" w:rsidRDefault="0092299C" w:rsidP="0092299C">
            <w:pPr>
              <w:pStyle w:val="ARtabletextright"/>
            </w:pPr>
            <w:r w:rsidRPr="00827F93">
              <w:t>0.75</w:t>
            </w:r>
          </w:p>
        </w:tc>
      </w:tr>
      <w:tr w:rsidR="0092299C" w:rsidRPr="002511DD" w:rsidTr="00B640A0">
        <w:tc>
          <w:tcPr>
            <w:tcW w:w="5842" w:type="dxa"/>
          </w:tcPr>
          <w:p w:rsidR="0092299C" w:rsidRPr="00827F93" w:rsidRDefault="0092299C" w:rsidP="0092299C">
            <w:pPr>
              <w:pStyle w:val="ARtabletext"/>
            </w:pPr>
            <w:r w:rsidRPr="00827F93">
              <w:t>Energy used per unit of floor space (gigajoules/m</w:t>
            </w:r>
            <w:r w:rsidRPr="0098256D">
              <w:rPr>
                <w:vertAlign w:val="superscript"/>
              </w:rPr>
              <w:t>2</w:t>
            </w:r>
            <w:r w:rsidRPr="00827F93">
              <w:t>)</w:t>
            </w:r>
          </w:p>
        </w:tc>
        <w:tc>
          <w:tcPr>
            <w:tcW w:w="1247" w:type="dxa"/>
          </w:tcPr>
          <w:p w:rsidR="0092299C" w:rsidRPr="00827F93" w:rsidRDefault="0092299C" w:rsidP="0092299C">
            <w:pPr>
              <w:pStyle w:val="ARtabletextright"/>
            </w:pPr>
            <w:r w:rsidRPr="00827F93">
              <w:t>1.44</w:t>
            </w:r>
          </w:p>
        </w:tc>
        <w:tc>
          <w:tcPr>
            <w:tcW w:w="1247" w:type="dxa"/>
          </w:tcPr>
          <w:p w:rsidR="0092299C" w:rsidRPr="00827F93" w:rsidRDefault="0092299C" w:rsidP="0092299C">
            <w:pPr>
              <w:pStyle w:val="ARtabletextright"/>
            </w:pPr>
            <w:r w:rsidRPr="00827F93">
              <w:t>1.44</w:t>
            </w:r>
          </w:p>
        </w:tc>
        <w:tc>
          <w:tcPr>
            <w:tcW w:w="1247" w:type="dxa"/>
          </w:tcPr>
          <w:p w:rsidR="0092299C" w:rsidRPr="00827F93" w:rsidRDefault="0092299C" w:rsidP="0092299C">
            <w:pPr>
              <w:pStyle w:val="ARtabletextright"/>
            </w:pPr>
            <w:r w:rsidRPr="00827F93">
              <w:t>1.51</w:t>
            </w:r>
          </w:p>
        </w:tc>
      </w:tr>
      <w:tr w:rsidR="0092299C" w:rsidRPr="002511DD" w:rsidTr="00B640A0">
        <w:tc>
          <w:tcPr>
            <w:tcW w:w="5842" w:type="dxa"/>
          </w:tcPr>
          <w:p w:rsidR="0092299C" w:rsidRPr="00827F93" w:rsidRDefault="0092299C" w:rsidP="0092299C">
            <w:pPr>
              <w:pStyle w:val="ARtabletext"/>
            </w:pPr>
            <w:r w:rsidRPr="00827F93">
              <w:t>Greenhouse gas emissions per separation (tonnes CO</w:t>
            </w:r>
            <w:r w:rsidRPr="0098256D">
              <w:rPr>
                <w:vertAlign w:val="subscript"/>
              </w:rPr>
              <w:t>2</w:t>
            </w:r>
            <w:r w:rsidRPr="00827F93">
              <w:t>-e/separation)</w:t>
            </w:r>
          </w:p>
        </w:tc>
        <w:tc>
          <w:tcPr>
            <w:tcW w:w="1247" w:type="dxa"/>
          </w:tcPr>
          <w:p w:rsidR="0092299C" w:rsidRPr="00827F93" w:rsidRDefault="0092299C" w:rsidP="0092299C">
            <w:pPr>
              <w:pStyle w:val="ARtabletextright"/>
            </w:pPr>
            <w:r w:rsidRPr="00827F93">
              <w:t>0.48</w:t>
            </w:r>
          </w:p>
        </w:tc>
        <w:tc>
          <w:tcPr>
            <w:tcW w:w="1247" w:type="dxa"/>
          </w:tcPr>
          <w:p w:rsidR="0092299C" w:rsidRPr="00827F93" w:rsidRDefault="0092299C" w:rsidP="0092299C">
            <w:pPr>
              <w:pStyle w:val="ARtabletextright"/>
            </w:pPr>
            <w:r w:rsidRPr="00827F93">
              <w:t>0.46</w:t>
            </w:r>
          </w:p>
        </w:tc>
        <w:tc>
          <w:tcPr>
            <w:tcW w:w="1247" w:type="dxa"/>
          </w:tcPr>
          <w:p w:rsidR="0092299C" w:rsidRPr="00827F93" w:rsidRDefault="0092299C" w:rsidP="0092299C">
            <w:pPr>
              <w:pStyle w:val="ARtabletextright"/>
            </w:pPr>
            <w:r w:rsidRPr="00827F93">
              <w:t>0.46</w:t>
            </w:r>
          </w:p>
        </w:tc>
      </w:tr>
      <w:tr w:rsidR="0092299C" w:rsidRPr="002511DD" w:rsidTr="00B640A0">
        <w:tc>
          <w:tcPr>
            <w:tcW w:w="5842" w:type="dxa"/>
          </w:tcPr>
          <w:p w:rsidR="0092299C" w:rsidRPr="00827F93" w:rsidRDefault="0092299C" w:rsidP="0092299C">
            <w:pPr>
              <w:pStyle w:val="ARtabletext"/>
            </w:pPr>
            <w:r w:rsidRPr="00827F93">
              <w:t>Greenhouse gas emissions per bed day (tonnes CO</w:t>
            </w:r>
            <w:r w:rsidRPr="0098256D">
              <w:rPr>
                <w:vertAlign w:val="subscript"/>
              </w:rPr>
              <w:t>2</w:t>
            </w:r>
            <w:r w:rsidRPr="00827F93">
              <w:t>-e/bed day)</w:t>
            </w:r>
          </w:p>
        </w:tc>
        <w:tc>
          <w:tcPr>
            <w:tcW w:w="1247" w:type="dxa"/>
          </w:tcPr>
          <w:p w:rsidR="0092299C" w:rsidRPr="00827F93" w:rsidRDefault="0092299C" w:rsidP="0092299C">
            <w:pPr>
              <w:pStyle w:val="ARtabletextright"/>
            </w:pPr>
            <w:r w:rsidRPr="00827F93">
              <w:t>0.12</w:t>
            </w:r>
          </w:p>
        </w:tc>
        <w:tc>
          <w:tcPr>
            <w:tcW w:w="1247" w:type="dxa"/>
          </w:tcPr>
          <w:p w:rsidR="0092299C" w:rsidRPr="00827F93" w:rsidRDefault="0092299C" w:rsidP="0092299C">
            <w:pPr>
              <w:pStyle w:val="ARtabletextright"/>
            </w:pPr>
            <w:r w:rsidRPr="00827F93">
              <w:t>0.12</w:t>
            </w:r>
          </w:p>
        </w:tc>
        <w:tc>
          <w:tcPr>
            <w:tcW w:w="1247" w:type="dxa"/>
          </w:tcPr>
          <w:p w:rsidR="0092299C" w:rsidRPr="00827F93" w:rsidRDefault="0092299C" w:rsidP="0092299C">
            <w:pPr>
              <w:pStyle w:val="ARtabletextright"/>
            </w:pPr>
            <w:r w:rsidRPr="00827F93">
              <w:t>0.12</w:t>
            </w:r>
          </w:p>
        </w:tc>
      </w:tr>
      <w:tr w:rsidR="0092299C" w:rsidRPr="002511DD" w:rsidTr="00B640A0">
        <w:tc>
          <w:tcPr>
            <w:tcW w:w="5842" w:type="dxa"/>
          </w:tcPr>
          <w:p w:rsidR="0092299C" w:rsidRPr="00827F93" w:rsidRDefault="0092299C" w:rsidP="0092299C">
            <w:pPr>
              <w:pStyle w:val="ARtabletext"/>
            </w:pPr>
            <w:r w:rsidRPr="00827F93">
              <w:t>Greenhouse gas emissions per unit of floor space (tonnes CO</w:t>
            </w:r>
            <w:r w:rsidRPr="0098256D">
              <w:rPr>
                <w:vertAlign w:val="subscript"/>
              </w:rPr>
              <w:t>2</w:t>
            </w:r>
            <w:r w:rsidRPr="00827F93">
              <w:t>-e/m</w:t>
            </w:r>
            <w:r w:rsidRPr="0098256D">
              <w:rPr>
                <w:vertAlign w:val="superscript"/>
              </w:rPr>
              <w:t>2</w:t>
            </w:r>
            <w:r w:rsidRPr="00827F93">
              <w:t>)</w:t>
            </w:r>
          </w:p>
        </w:tc>
        <w:tc>
          <w:tcPr>
            <w:tcW w:w="1247" w:type="dxa"/>
          </w:tcPr>
          <w:p w:rsidR="0092299C" w:rsidRPr="00827F93" w:rsidRDefault="0092299C" w:rsidP="0092299C">
            <w:pPr>
              <w:pStyle w:val="ARtabletextright"/>
            </w:pPr>
            <w:r w:rsidRPr="00827F93">
              <w:t>0.24</w:t>
            </w:r>
          </w:p>
        </w:tc>
        <w:tc>
          <w:tcPr>
            <w:tcW w:w="1247" w:type="dxa"/>
          </w:tcPr>
          <w:p w:rsidR="0092299C" w:rsidRPr="00827F93" w:rsidRDefault="0092299C" w:rsidP="0092299C">
            <w:pPr>
              <w:pStyle w:val="ARtabletextright"/>
            </w:pPr>
            <w:r w:rsidRPr="00827F93">
              <w:t>0.24</w:t>
            </w:r>
          </w:p>
        </w:tc>
        <w:tc>
          <w:tcPr>
            <w:tcW w:w="1247" w:type="dxa"/>
          </w:tcPr>
          <w:p w:rsidR="0092299C" w:rsidRPr="00827F93" w:rsidRDefault="0092299C" w:rsidP="0092299C">
            <w:pPr>
              <w:pStyle w:val="ARtabletextright"/>
            </w:pPr>
            <w:r w:rsidRPr="00827F93">
              <w:t>0.24</w:t>
            </w:r>
          </w:p>
        </w:tc>
      </w:tr>
    </w:tbl>
    <w:p w:rsidR="0092299C" w:rsidRPr="00790F93" w:rsidRDefault="0092299C" w:rsidP="0092299C">
      <w:pPr>
        <w:pStyle w:val="ARtablefootnote"/>
      </w:pPr>
      <w:r w:rsidRPr="00790F93">
        <w:t xml:space="preserve">1 </w:t>
      </w:r>
      <w:proofErr w:type="spellStart"/>
      <w:r w:rsidRPr="00790F93">
        <w:t>terajoule</w:t>
      </w:r>
      <w:proofErr w:type="spellEnd"/>
      <w:r w:rsidRPr="00790F93">
        <w:t xml:space="preserve"> equates to 1,000,000 </w:t>
      </w:r>
      <w:proofErr w:type="spellStart"/>
      <w:r w:rsidRPr="00790F93">
        <w:t>megajoules</w:t>
      </w:r>
      <w:proofErr w:type="spellEnd"/>
      <w:r w:rsidRPr="00790F93">
        <w:t xml:space="preserve"> and 1 gigajoule equates to 1,000 </w:t>
      </w:r>
      <w:proofErr w:type="spellStart"/>
      <w:r w:rsidRPr="00790F93">
        <w:t>megajoules</w:t>
      </w:r>
      <w:proofErr w:type="spellEnd"/>
      <w:r w:rsidRPr="00790F93">
        <w:t>.</w:t>
      </w:r>
    </w:p>
    <w:p w:rsidR="0092299C" w:rsidRPr="00790F93" w:rsidRDefault="0092299C" w:rsidP="0092299C">
      <w:pPr>
        <w:pStyle w:val="ARtablefootnote"/>
      </w:pPr>
      <w:r w:rsidRPr="00790F93">
        <w:t>Greenhouse gas emission indicators include emissions associated with the use of nitrous oxide in public hospitals.</w:t>
      </w:r>
    </w:p>
    <w:p w:rsidR="0092299C" w:rsidRDefault="0092299C" w:rsidP="0092299C">
      <w:pPr>
        <w:pStyle w:val="ARtablefootnote"/>
      </w:pPr>
      <w:r w:rsidRPr="00790F93">
        <w:t xml:space="preserve">Reported energy usage includes a </w:t>
      </w:r>
      <w:r>
        <w:t>two</w:t>
      </w:r>
      <w:r w:rsidRPr="00790F93">
        <w:t xml:space="preserve"> per</w:t>
      </w:r>
      <w:r>
        <w:t xml:space="preserve"> </w:t>
      </w:r>
      <w:r w:rsidRPr="00790F93">
        <w:t>cent estimate due to some actual data being unavailable from energy retailers at the time of reporting.</w:t>
      </w:r>
    </w:p>
    <w:p w:rsidR="009E7181" w:rsidRPr="00790F93" w:rsidRDefault="009E7181" w:rsidP="0092299C">
      <w:pPr>
        <w:pStyle w:val="ARtablefootnote"/>
      </w:pPr>
      <w:r w:rsidRPr="009E7181">
        <w:t>Public health services data are excluding GST.</w:t>
      </w:r>
    </w:p>
    <w:p w:rsidR="0092299C" w:rsidRDefault="0092299C" w:rsidP="0092299C">
      <w:pPr>
        <w:pStyle w:val="ARbody"/>
        <w:rPr>
          <w:sz w:val="16"/>
          <w:szCs w:val="16"/>
        </w:rPr>
      </w:pPr>
      <w:r>
        <w:br w:type="page"/>
      </w:r>
    </w:p>
    <w:tbl>
      <w:tblPr>
        <w:tblStyle w:val="TableGrid"/>
        <w:tblW w:w="9639" w:type="dxa"/>
        <w:tblLook w:val="06A0" w:firstRow="1" w:lastRow="0" w:firstColumn="1" w:lastColumn="0" w:noHBand="1" w:noVBand="1"/>
      </w:tblPr>
      <w:tblGrid>
        <w:gridCol w:w="3969"/>
        <w:gridCol w:w="2835"/>
        <w:gridCol w:w="2835"/>
      </w:tblGrid>
      <w:tr w:rsidR="0092299C" w:rsidRPr="000C6C20" w:rsidTr="005640EF">
        <w:trPr>
          <w:cnfStyle w:val="100000000000" w:firstRow="1" w:lastRow="0" w:firstColumn="0" w:lastColumn="0" w:oddVBand="0" w:evenVBand="0" w:oddHBand="0" w:evenHBand="0" w:firstRowFirstColumn="0" w:firstRowLastColumn="0" w:lastRowFirstColumn="0" w:lastRowLastColumn="0"/>
          <w:tblHeader/>
        </w:trPr>
        <w:tc>
          <w:tcPr>
            <w:tcW w:w="3969" w:type="dxa"/>
            <w:hideMark/>
          </w:tcPr>
          <w:p w:rsidR="0092299C" w:rsidRPr="000C6C20" w:rsidRDefault="0092299C" w:rsidP="0092299C">
            <w:pPr>
              <w:pStyle w:val="ARtablecolhead"/>
            </w:pPr>
            <w:r>
              <w:lastRenderedPageBreak/>
              <w:t>Hospital emergency transport</w:t>
            </w:r>
          </w:p>
        </w:tc>
        <w:tc>
          <w:tcPr>
            <w:tcW w:w="2835" w:type="dxa"/>
            <w:hideMark/>
          </w:tcPr>
          <w:p w:rsidR="0092299C" w:rsidRPr="000C6C20"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pPr>
            <w:r w:rsidRPr="000C6C20">
              <w:t>Fuel volume</w:t>
            </w:r>
            <w:r>
              <w:t xml:space="preserve"> (kilolitres)</w:t>
            </w:r>
          </w:p>
        </w:tc>
        <w:tc>
          <w:tcPr>
            <w:tcW w:w="2835" w:type="dxa"/>
            <w:hideMark/>
          </w:tcPr>
          <w:p w:rsidR="0092299C" w:rsidRPr="000C6C20"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pPr>
            <w:r w:rsidRPr="000C6C20">
              <w:t>Emissions</w:t>
            </w:r>
            <w:r>
              <w:t xml:space="preserve"> (tonnes </w:t>
            </w:r>
            <w:r w:rsidRPr="000C6C20">
              <w:t>CO</w:t>
            </w:r>
            <w:r w:rsidRPr="000C6C20">
              <w:rPr>
                <w:vertAlign w:val="subscript"/>
              </w:rPr>
              <w:t>2</w:t>
            </w:r>
            <w:r w:rsidRPr="000C6C20">
              <w:t>-e</w:t>
            </w:r>
            <w:r>
              <w:t>)</w:t>
            </w:r>
          </w:p>
        </w:tc>
      </w:tr>
      <w:tr w:rsidR="0092299C" w:rsidTr="005640EF">
        <w:tc>
          <w:tcPr>
            <w:tcW w:w="3969" w:type="dxa"/>
            <w:hideMark/>
          </w:tcPr>
          <w:p w:rsidR="0092299C" w:rsidRDefault="0092299C" w:rsidP="0092299C">
            <w:pPr>
              <w:pStyle w:val="ARtabletext"/>
            </w:pPr>
            <w:r>
              <w:t>Gasoline – road vehicles</w:t>
            </w:r>
          </w:p>
        </w:tc>
        <w:tc>
          <w:tcPr>
            <w:tcW w:w="2835" w:type="dxa"/>
            <w:hideMark/>
          </w:tcPr>
          <w:p w:rsidR="0092299C" w:rsidRDefault="0092299C" w:rsidP="0092299C">
            <w:pPr>
              <w:pStyle w:val="ARtabletextright"/>
            </w:pPr>
            <w:r>
              <w:t>432</w:t>
            </w:r>
          </w:p>
        </w:tc>
        <w:tc>
          <w:tcPr>
            <w:tcW w:w="2835" w:type="dxa"/>
            <w:hideMark/>
          </w:tcPr>
          <w:p w:rsidR="0092299C" w:rsidRDefault="0092299C" w:rsidP="0092299C">
            <w:pPr>
              <w:pStyle w:val="ARtabletextright"/>
            </w:pPr>
            <w:r>
              <w:t>1,053</w:t>
            </w:r>
          </w:p>
        </w:tc>
      </w:tr>
      <w:tr w:rsidR="0092299C" w:rsidTr="005640EF">
        <w:tc>
          <w:tcPr>
            <w:tcW w:w="3969" w:type="dxa"/>
            <w:hideMark/>
          </w:tcPr>
          <w:p w:rsidR="0092299C" w:rsidRDefault="0092299C" w:rsidP="0092299C">
            <w:pPr>
              <w:pStyle w:val="ARtabletext"/>
            </w:pPr>
            <w:r>
              <w:t>Diesel – road vehicles</w:t>
            </w:r>
          </w:p>
        </w:tc>
        <w:tc>
          <w:tcPr>
            <w:tcW w:w="2835" w:type="dxa"/>
            <w:hideMark/>
          </w:tcPr>
          <w:p w:rsidR="0092299C" w:rsidRDefault="0092299C" w:rsidP="0092299C">
            <w:pPr>
              <w:pStyle w:val="ARtabletextright"/>
            </w:pPr>
            <w:r>
              <w:t>3,454</w:t>
            </w:r>
          </w:p>
        </w:tc>
        <w:tc>
          <w:tcPr>
            <w:tcW w:w="2835" w:type="dxa"/>
            <w:hideMark/>
          </w:tcPr>
          <w:p w:rsidR="0092299C" w:rsidRDefault="0092299C" w:rsidP="0092299C">
            <w:pPr>
              <w:pStyle w:val="ARtabletextright"/>
            </w:pPr>
            <w:r>
              <w:t>9,879</w:t>
            </w:r>
          </w:p>
        </w:tc>
      </w:tr>
      <w:tr w:rsidR="0092299C" w:rsidTr="005640EF">
        <w:tc>
          <w:tcPr>
            <w:tcW w:w="3969" w:type="dxa"/>
            <w:hideMark/>
          </w:tcPr>
          <w:p w:rsidR="0092299C" w:rsidRDefault="0092299C" w:rsidP="0092299C">
            <w:pPr>
              <w:pStyle w:val="ARtabletext"/>
            </w:pPr>
            <w:r>
              <w:t>LPG – road vehicles</w:t>
            </w:r>
          </w:p>
        </w:tc>
        <w:tc>
          <w:tcPr>
            <w:tcW w:w="2835" w:type="dxa"/>
            <w:hideMark/>
          </w:tcPr>
          <w:p w:rsidR="0092299C" w:rsidRDefault="0092299C" w:rsidP="0092299C">
            <w:pPr>
              <w:pStyle w:val="ARtabletextright"/>
            </w:pPr>
            <w:r>
              <w:t>5</w:t>
            </w:r>
          </w:p>
        </w:tc>
        <w:tc>
          <w:tcPr>
            <w:tcW w:w="2835" w:type="dxa"/>
            <w:hideMark/>
          </w:tcPr>
          <w:p w:rsidR="0092299C" w:rsidRDefault="0092299C" w:rsidP="0092299C">
            <w:pPr>
              <w:pStyle w:val="ARtabletextright"/>
            </w:pPr>
            <w:r>
              <w:t>8</w:t>
            </w:r>
          </w:p>
        </w:tc>
      </w:tr>
      <w:tr w:rsidR="0092299C" w:rsidTr="005640EF">
        <w:tc>
          <w:tcPr>
            <w:tcW w:w="3969" w:type="dxa"/>
            <w:hideMark/>
          </w:tcPr>
          <w:p w:rsidR="0092299C" w:rsidRDefault="0092299C" w:rsidP="0092299C">
            <w:pPr>
              <w:pStyle w:val="ARtabletext"/>
            </w:pPr>
            <w:r>
              <w:t>Aviation fuel</w:t>
            </w:r>
          </w:p>
        </w:tc>
        <w:tc>
          <w:tcPr>
            <w:tcW w:w="2835" w:type="dxa"/>
            <w:hideMark/>
          </w:tcPr>
          <w:p w:rsidR="0092299C" w:rsidRDefault="0092299C" w:rsidP="0092299C">
            <w:pPr>
              <w:pStyle w:val="ARtabletextright"/>
            </w:pPr>
            <w:r>
              <w:t>4,113</w:t>
            </w:r>
          </w:p>
        </w:tc>
        <w:tc>
          <w:tcPr>
            <w:tcW w:w="2835" w:type="dxa"/>
            <w:hideMark/>
          </w:tcPr>
          <w:p w:rsidR="0092299C" w:rsidRDefault="0092299C" w:rsidP="0092299C">
            <w:pPr>
              <w:pStyle w:val="ARtabletextright"/>
            </w:pPr>
            <w:r>
              <w:t>9,832</w:t>
            </w:r>
          </w:p>
        </w:tc>
      </w:tr>
      <w:tr w:rsidR="0092299C" w:rsidRPr="00432C5F" w:rsidTr="005640EF">
        <w:tc>
          <w:tcPr>
            <w:tcW w:w="3969" w:type="dxa"/>
          </w:tcPr>
          <w:p w:rsidR="0092299C" w:rsidRPr="00432C5F" w:rsidRDefault="0092299C" w:rsidP="0092299C">
            <w:pPr>
              <w:pStyle w:val="ARtabletext"/>
              <w:rPr>
                <w:b/>
              </w:rPr>
            </w:pPr>
            <w:r>
              <w:rPr>
                <w:b/>
              </w:rPr>
              <w:t>Total</w:t>
            </w:r>
          </w:p>
        </w:tc>
        <w:tc>
          <w:tcPr>
            <w:tcW w:w="2835" w:type="dxa"/>
          </w:tcPr>
          <w:p w:rsidR="0092299C" w:rsidRPr="00432C5F" w:rsidRDefault="0092299C" w:rsidP="0092299C">
            <w:pPr>
              <w:pStyle w:val="ARtabletextright"/>
              <w:rPr>
                <w:b/>
              </w:rPr>
            </w:pPr>
            <w:r>
              <w:rPr>
                <w:b/>
              </w:rPr>
              <w:t>8,004</w:t>
            </w:r>
          </w:p>
        </w:tc>
        <w:tc>
          <w:tcPr>
            <w:tcW w:w="2835" w:type="dxa"/>
          </w:tcPr>
          <w:p w:rsidR="0092299C" w:rsidRPr="00432C5F" w:rsidRDefault="0092299C" w:rsidP="0092299C">
            <w:pPr>
              <w:pStyle w:val="ARtabletextright"/>
              <w:rPr>
                <w:b/>
              </w:rPr>
            </w:pPr>
            <w:r>
              <w:rPr>
                <w:b/>
              </w:rPr>
              <w:t>20,772</w:t>
            </w:r>
          </w:p>
        </w:tc>
      </w:tr>
    </w:tbl>
    <w:p w:rsidR="0092299C" w:rsidRDefault="0092299C" w:rsidP="0092299C">
      <w:pPr>
        <w:pStyle w:val="ARtablefootnote"/>
      </w:pPr>
      <w:r>
        <w:t>Data includes road ambulance, air ambulance, emergency support and administrative vehicles and non-emergency patient transport managed by Ambulance Victoria.</w:t>
      </w:r>
    </w:p>
    <w:p w:rsidR="0092299C" w:rsidRDefault="0092299C" w:rsidP="0092299C">
      <w:pPr>
        <w:pStyle w:val="Heading2"/>
      </w:pPr>
      <w:r w:rsidRPr="005E1246">
        <w:t>Water</w:t>
      </w:r>
      <w:r w:rsidRPr="007859B7">
        <w:t xml:space="preserve"> use</w:t>
      </w:r>
    </w:p>
    <w:p w:rsidR="0092299C" w:rsidRPr="00843E15" w:rsidRDefault="0092299C" w:rsidP="0092299C">
      <w:pPr>
        <w:pStyle w:val="Heading3"/>
      </w:pPr>
      <w:r w:rsidRPr="00843E15">
        <w:t>Office</w:t>
      </w:r>
      <w:r>
        <w:t>-</w:t>
      </w:r>
      <w:r w:rsidRPr="005E1246">
        <w:t>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92299C" w:rsidRPr="007859B7" w:rsidTr="005640EF">
        <w:trPr>
          <w:cantSplit/>
          <w:trHeight w:val="360"/>
          <w:tblHeader/>
        </w:trPr>
        <w:tc>
          <w:tcPr>
            <w:tcW w:w="2835" w:type="dxa"/>
          </w:tcPr>
          <w:p w:rsidR="0092299C" w:rsidRPr="00EA3F3A" w:rsidRDefault="0092299C" w:rsidP="0092299C">
            <w:pPr>
              <w:pStyle w:val="ARtablecolhead"/>
            </w:pPr>
            <w:r w:rsidRPr="00EA3F3A">
              <w:t>Description</w:t>
            </w:r>
          </w:p>
        </w:tc>
        <w:tc>
          <w:tcPr>
            <w:tcW w:w="2268" w:type="dxa"/>
            <w:tcBorders>
              <w:top w:val="nil"/>
            </w:tcBorders>
            <w:vAlign w:val="bottom"/>
          </w:tcPr>
          <w:p w:rsidR="0092299C" w:rsidRPr="00EA3F3A" w:rsidRDefault="0092299C" w:rsidP="0092299C">
            <w:pPr>
              <w:pStyle w:val="ARtablecolheadright"/>
            </w:pPr>
            <w:r w:rsidRPr="00EA3F3A">
              <w:t>2014–15 estimate</w:t>
            </w:r>
          </w:p>
        </w:tc>
        <w:tc>
          <w:tcPr>
            <w:tcW w:w="2268" w:type="dxa"/>
            <w:tcBorders>
              <w:top w:val="nil"/>
            </w:tcBorders>
          </w:tcPr>
          <w:p w:rsidR="0092299C" w:rsidRPr="00EA3F3A" w:rsidRDefault="0092299C" w:rsidP="0092299C">
            <w:pPr>
              <w:pStyle w:val="ARtablecolheadright"/>
            </w:pPr>
            <w:r>
              <w:t xml:space="preserve">2015–16 </w:t>
            </w:r>
            <w:r w:rsidRPr="00EA3F3A">
              <w:t>estimate</w:t>
            </w:r>
          </w:p>
        </w:tc>
        <w:tc>
          <w:tcPr>
            <w:tcW w:w="2268" w:type="dxa"/>
          </w:tcPr>
          <w:p w:rsidR="0092299C" w:rsidRPr="00EA3F3A" w:rsidRDefault="0092299C" w:rsidP="0092299C">
            <w:pPr>
              <w:pStyle w:val="ARtablecolheadright"/>
            </w:pPr>
            <w:r>
              <w:t xml:space="preserve">2016–17 </w:t>
            </w:r>
            <w:r w:rsidRPr="00EA3F3A">
              <w:t>estimate</w:t>
            </w:r>
          </w:p>
        </w:tc>
      </w:tr>
      <w:tr w:rsidR="0092299C" w:rsidRPr="007859B7" w:rsidTr="005640EF">
        <w:trPr>
          <w:cantSplit/>
          <w:trHeight w:val="276"/>
        </w:trPr>
        <w:tc>
          <w:tcPr>
            <w:tcW w:w="2835" w:type="dxa"/>
          </w:tcPr>
          <w:p w:rsidR="0092299C" w:rsidRPr="00AE038A" w:rsidRDefault="0092299C" w:rsidP="0092299C">
            <w:pPr>
              <w:pStyle w:val="ARtabletext"/>
            </w:pPr>
            <w:r w:rsidRPr="00AE038A">
              <w:t>Total water used (kilolitres)</w:t>
            </w:r>
          </w:p>
        </w:tc>
        <w:tc>
          <w:tcPr>
            <w:tcW w:w="2268" w:type="dxa"/>
          </w:tcPr>
          <w:p w:rsidR="0092299C" w:rsidRPr="007859B7" w:rsidRDefault="0092299C" w:rsidP="0092299C">
            <w:pPr>
              <w:pStyle w:val="ARtabletextright"/>
            </w:pPr>
            <w:r>
              <w:t>43,141</w:t>
            </w:r>
          </w:p>
        </w:tc>
        <w:tc>
          <w:tcPr>
            <w:tcW w:w="2268" w:type="dxa"/>
          </w:tcPr>
          <w:p w:rsidR="0092299C" w:rsidRPr="007859B7" w:rsidRDefault="0092299C" w:rsidP="0092299C">
            <w:pPr>
              <w:pStyle w:val="ARtabletextright"/>
            </w:pPr>
            <w:r>
              <w:t>52,354</w:t>
            </w:r>
          </w:p>
        </w:tc>
        <w:tc>
          <w:tcPr>
            <w:tcW w:w="2268" w:type="dxa"/>
          </w:tcPr>
          <w:p w:rsidR="0092299C" w:rsidRPr="007859B7" w:rsidRDefault="0092299C" w:rsidP="0092299C">
            <w:pPr>
              <w:pStyle w:val="ARtabletextright"/>
            </w:pPr>
            <w:r>
              <w:t>51,698</w:t>
            </w:r>
          </w:p>
        </w:tc>
      </w:tr>
      <w:tr w:rsidR="0092299C" w:rsidRPr="007859B7" w:rsidTr="005640EF">
        <w:trPr>
          <w:cantSplit/>
          <w:trHeight w:val="276"/>
        </w:trPr>
        <w:tc>
          <w:tcPr>
            <w:tcW w:w="2835" w:type="dxa"/>
          </w:tcPr>
          <w:p w:rsidR="0092299C" w:rsidRPr="00AE038A" w:rsidRDefault="0092299C" w:rsidP="0092299C">
            <w:pPr>
              <w:pStyle w:val="ARtabletext"/>
            </w:pPr>
            <w:r w:rsidRPr="00AE038A">
              <w:t>Total water usage charge (dollars)</w:t>
            </w:r>
          </w:p>
        </w:tc>
        <w:tc>
          <w:tcPr>
            <w:tcW w:w="2268" w:type="dxa"/>
          </w:tcPr>
          <w:p w:rsidR="0092299C" w:rsidRPr="007859B7" w:rsidRDefault="0092299C" w:rsidP="0092299C">
            <w:pPr>
              <w:pStyle w:val="ARtabletextright"/>
            </w:pPr>
            <w:r w:rsidRPr="007859B7">
              <w:t>$</w:t>
            </w:r>
            <w:r>
              <w:t>105,000</w:t>
            </w:r>
          </w:p>
        </w:tc>
        <w:tc>
          <w:tcPr>
            <w:tcW w:w="2268" w:type="dxa"/>
          </w:tcPr>
          <w:p w:rsidR="0092299C" w:rsidRPr="007859B7" w:rsidRDefault="0092299C" w:rsidP="0092299C">
            <w:pPr>
              <w:pStyle w:val="ARtabletextright"/>
            </w:pPr>
            <w:r>
              <w:t>$126,000</w:t>
            </w:r>
          </w:p>
        </w:tc>
        <w:tc>
          <w:tcPr>
            <w:tcW w:w="2268" w:type="dxa"/>
          </w:tcPr>
          <w:p w:rsidR="0092299C" w:rsidRPr="007859B7" w:rsidRDefault="0092299C" w:rsidP="0092299C">
            <w:pPr>
              <w:pStyle w:val="ARtabletextright"/>
            </w:pPr>
            <w:r>
              <w:t>$127,000</w:t>
            </w:r>
          </w:p>
        </w:tc>
      </w:tr>
      <w:tr w:rsidR="0092299C" w:rsidRPr="007859B7" w:rsidTr="005640EF">
        <w:trPr>
          <w:cantSplit/>
          <w:trHeight w:val="276"/>
        </w:trPr>
        <w:tc>
          <w:tcPr>
            <w:tcW w:w="2835" w:type="dxa"/>
          </w:tcPr>
          <w:p w:rsidR="0092299C" w:rsidRPr="00AE038A" w:rsidRDefault="0092299C" w:rsidP="0092299C">
            <w:pPr>
              <w:pStyle w:val="ARtabletext"/>
            </w:pPr>
            <w:r w:rsidRPr="00AE038A">
              <w:t>Water used per FTE – leased offices (litres/FTE)</w:t>
            </w:r>
          </w:p>
        </w:tc>
        <w:tc>
          <w:tcPr>
            <w:tcW w:w="2268" w:type="dxa"/>
          </w:tcPr>
          <w:p w:rsidR="0092299C" w:rsidRPr="007859B7" w:rsidRDefault="0092299C" w:rsidP="0092299C">
            <w:pPr>
              <w:pStyle w:val="ARtabletextright"/>
            </w:pPr>
            <w:r>
              <w:t>6,964</w:t>
            </w:r>
          </w:p>
        </w:tc>
        <w:tc>
          <w:tcPr>
            <w:tcW w:w="2268" w:type="dxa"/>
          </w:tcPr>
          <w:p w:rsidR="0092299C" w:rsidRPr="007859B7" w:rsidRDefault="0092299C" w:rsidP="0092299C">
            <w:pPr>
              <w:pStyle w:val="ARtabletextright"/>
            </w:pPr>
            <w:r>
              <w:t>8,546</w:t>
            </w:r>
          </w:p>
        </w:tc>
        <w:tc>
          <w:tcPr>
            <w:tcW w:w="2268" w:type="dxa"/>
          </w:tcPr>
          <w:p w:rsidR="0092299C" w:rsidRPr="007859B7" w:rsidRDefault="0092299C" w:rsidP="0092299C">
            <w:pPr>
              <w:pStyle w:val="ARtabletextright"/>
            </w:pPr>
            <w:r>
              <w:t>8,395</w:t>
            </w:r>
          </w:p>
        </w:tc>
      </w:tr>
      <w:tr w:rsidR="0092299C" w:rsidRPr="007859B7" w:rsidTr="005640EF">
        <w:trPr>
          <w:cantSplit/>
          <w:trHeight w:val="276"/>
        </w:trPr>
        <w:tc>
          <w:tcPr>
            <w:tcW w:w="2835" w:type="dxa"/>
          </w:tcPr>
          <w:p w:rsidR="0092299C" w:rsidRPr="00AE038A" w:rsidRDefault="0092299C" w:rsidP="0092299C">
            <w:pPr>
              <w:pStyle w:val="ARtabletext"/>
            </w:pPr>
            <w:r w:rsidRPr="00AE038A">
              <w:t xml:space="preserve">Water used per FTE – </w:t>
            </w:r>
            <w:r>
              <w:t>g</w:t>
            </w:r>
            <w:r w:rsidRPr="00AE038A">
              <w:t>overnment</w:t>
            </w:r>
            <w:r>
              <w:t>-</w:t>
            </w:r>
            <w:r w:rsidRPr="00AE038A">
              <w:t>owned offices (litres/FTE)</w:t>
            </w:r>
          </w:p>
        </w:tc>
        <w:tc>
          <w:tcPr>
            <w:tcW w:w="2268" w:type="dxa"/>
          </w:tcPr>
          <w:p w:rsidR="0092299C" w:rsidRPr="007859B7" w:rsidRDefault="0092299C" w:rsidP="0092299C">
            <w:pPr>
              <w:pStyle w:val="ARtabletextright"/>
            </w:pPr>
            <w:r>
              <w:t>5,481</w:t>
            </w:r>
          </w:p>
        </w:tc>
        <w:tc>
          <w:tcPr>
            <w:tcW w:w="2268" w:type="dxa"/>
          </w:tcPr>
          <w:p w:rsidR="0092299C" w:rsidRPr="007859B7" w:rsidRDefault="0092299C" w:rsidP="0092299C">
            <w:pPr>
              <w:pStyle w:val="ARtabletextright"/>
            </w:pPr>
            <w:r>
              <w:t>6,090</w:t>
            </w:r>
          </w:p>
        </w:tc>
        <w:tc>
          <w:tcPr>
            <w:tcW w:w="2268" w:type="dxa"/>
          </w:tcPr>
          <w:p w:rsidR="0092299C" w:rsidRPr="007859B7" w:rsidRDefault="0092299C" w:rsidP="0092299C">
            <w:pPr>
              <w:pStyle w:val="ARtabletextright"/>
            </w:pPr>
            <w:r>
              <w:t>6,179</w:t>
            </w:r>
          </w:p>
        </w:tc>
      </w:tr>
      <w:tr w:rsidR="0092299C" w:rsidRPr="007859B7" w:rsidTr="005640EF">
        <w:trPr>
          <w:cantSplit/>
          <w:trHeight w:val="276"/>
        </w:trPr>
        <w:tc>
          <w:tcPr>
            <w:tcW w:w="2835" w:type="dxa"/>
          </w:tcPr>
          <w:p w:rsidR="0092299C" w:rsidRPr="00AE038A" w:rsidRDefault="0092299C" w:rsidP="0092299C">
            <w:pPr>
              <w:pStyle w:val="ARtabletext"/>
            </w:pPr>
            <w:r w:rsidRPr="00AE038A">
              <w:t>Total Water used per FTE (litres/FTE)</w:t>
            </w:r>
          </w:p>
        </w:tc>
        <w:tc>
          <w:tcPr>
            <w:tcW w:w="2268" w:type="dxa"/>
          </w:tcPr>
          <w:p w:rsidR="0092299C" w:rsidRPr="007859B7" w:rsidRDefault="0092299C" w:rsidP="0092299C">
            <w:pPr>
              <w:pStyle w:val="ARtabletextright"/>
            </w:pPr>
            <w:r>
              <w:t>6,611</w:t>
            </w:r>
          </w:p>
        </w:tc>
        <w:tc>
          <w:tcPr>
            <w:tcW w:w="2268" w:type="dxa"/>
          </w:tcPr>
          <w:p w:rsidR="0092299C" w:rsidRPr="007859B7" w:rsidRDefault="0092299C" w:rsidP="0092299C">
            <w:pPr>
              <w:pStyle w:val="ARtabletextright"/>
            </w:pPr>
            <w:r>
              <w:t>7,043</w:t>
            </w:r>
          </w:p>
        </w:tc>
        <w:tc>
          <w:tcPr>
            <w:tcW w:w="2268" w:type="dxa"/>
          </w:tcPr>
          <w:p w:rsidR="0092299C" w:rsidRPr="007859B7" w:rsidRDefault="0092299C" w:rsidP="0092299C">
            <w:pPr>
              <w:pStyle w:val="ARtabletextright"/>
            </w:pPr>
            <w:r>
              <w:t>6,774</w:t>
            </w:r>
          </w:p>
        </w:tc>
      </w:tr>
      <w:tr w:rsidR="0092299C" w:rsidRPr="007859B7" w:rsidTr="005640EF">
        <w:trPr>
          <w:cantSplit/>
          <w:trHeight w:val="276"/>
        </w:trPr>
        <w:tc>
          <w:tcPr>
            <w:tcW w:w="2835" w:type="dxa"/>
          </w:tcPr>
          <w:p w:rsidR="0092299C" w:rsidRPr="00AE038A" w:rsidRDefault="0092299C" w:rsidP="0092299C">
            <w:pPr>
              <w:pStyle w:val="ARtabletext"/>
            </w:pPr>
            <w:r w:rsidRPr="00AE038A">
              <w:t>Water used per unit of office space (litres/m</w:t>
            </w:r>
            <w:r w:rsidRPr="0098256D">
              <w:rPr>
                <w:vertAlign w:val="superscript"/>
              </w:rPr>
              <w:t>2</w:t>
            </w:r>
            <w:r w:rsidRPr="00AE038A">
              <w:t>)</w:t>
            </w:r>
          </w:p>
        </w:tc>
        <w:tc>
          <w:tcPr>
            <w:tcW w:w="2268" w:type="dxa"/>
          </w:tcPr>
          <w:p w:rsidR="0092299C" w:rsidRPr="007859B7" w:rsidRDefault="0092299C" w:rsidP="0092299C">
            <w:pPr>
              <w:pStyle w:val="ARtabletextright"/>
            </w:pPr>
            <w:r>
              <w:t>414</w:t>
            </w:r>
          </w:p>
        </w:tc>
        <w:tc>
          <w:tcPr>
            <w:tcW w:w="2268" w:type="dxa"/>
          </w:tcPr>
          <w:p w:rsidR="0092299C" w:rsidRPr="007859B7" w:rsidRDefault="0092299C" w:rsidP="0092299C">
            <w:pPr>
              <w:pStyle w:val="ARtabletextright"/>
            </w:pPr>
            <w:r>
              <w:t>502</w:t>
            </w:r>
          </w:p>
        </w:tc>
        <w:tc>
          <w:tcPr>
            <w:tcW w:w="2268" w:type="dxa"/>
          </w:tcPr>
          <w:p w:rsidR="0092299C" w:rsidRPr="007859B7" w:rsidRDefault="0092299C" w:rsidP="0092299C">
            <w:pPr>
              <w:pStyle w:val="ARtabletextright"/>
            </w:pPr>
            <w:r>
              <w:t>407</w:t>
            </w:r>
          </w:p>
        </w:tc>
      </w:tr>
    </w:tbl>
    <w:p w:rsidR="0092299C" w:rsidRPr="00EC4B28" w:rsidRDefault="0092299C" w:rsidP="0092299C">
      <w:pPr>
        <w:pStyle w:val="ARtablefootnote"/>
        <w:rPr>
          <w:lang w:eastAsia="en-AU"/>
        </w:rPr>
      </w:pPr>
      <w:r w:rsidRPr="00EC4B28">
        <w:rPr>
          <w:lang w:eastAsia="en-AU"/>
        </w:rPr>
        <w:t xml:space="preserve">Water data represents </w:t>
      </w:r>
      <w:r>
        <w:rPr>
          <w:lang w:eastAsia="en-AU"/>
        </w:rPr>
        <w:t xml:space="preserve">domestic water consumption at </w:t>
      </w:r>
      <w:r w:rsidRPr="00BD0485">
        <w:rPr>
          <w:lang w:eastAsia="en-AU"/>
        </w:rPr>
        <w:t xml:space="preserve">29 </w:t>
      </w:r>
      <w:r w:rsidRPr="00EC4B28">
        <w:rPr>
          <w:lang w:eastAsia="en-AU"/>
        </w:rPr>
        <w:t>administrative office locations.</w:t>
      </w:r>
    </w:p>
    <w:p w:rsidR="0092299C" w:rsidRPr="00EC4B28" w:rsidRDefault="0092299C" w:rsidP="0092299C">
      <w:pPr>
        <w:pStyle w:val="ARtablefootnote"/>
        <w:rPr>
          <w:lang w:eastAsia="en-AU"/>
        </w:rPr>
      </w:pPr>
      <w:r w:rsidRPr="00EC4B28">
        <w:rPr>
          <w:lang w:eastAsia="en-AU"/>
        </w:rPr>
        <w:t xml:space="preserve">This data represents </w:t>
      </w:r>
      <w:r w:rsidRPr="00BD0485">
        <w:rPr>
          <w:lang w:eastAsia="en-AU"/>
        </w:rPr>
        <w:t>84 per cent of office</w:t>
      </w:r>
      <w:r>
        <w:rPr>
          <w:lang w:eastAsia="en-AU"/>
        </w:rPr>
        <w:t>-</w:t>
      </w:r>
      <w:r w:rsidRPr="00BD0485">
        <w:rPr>
          <w:lang w:eastAsia="en-AU"/>
        </w:rPr>
        <w:t>based FTE and 82 per cent of office</w:t>
      </w:r>
      <w:r>
        <w:rPr>
          <w:lang w:eastAsia="en-AU"/>
        </w:rPr>
        <w:t>-</w:t>
      </w:r>
      <w:r w:rsidRPr="00BD0485">
        <w:rPr>
          <w:lang w:eastAsia="en-AU"/>
        </w:rPr>
        <w:t>based area.</w:t>
      </w:r>
    </w:p>
    <w:p w:rsidR="0092299C" w:rsidRPr="00843E15" w:rsidRDefault="0092299C" w:rsidP="0092299C">
      <w:pPr>
        <w:pStyle w:val="Heading3"/>
      </w:pPr>
      <w:r w:rsidRPr="00843E15">
        <w:t xml:space="preserve">High-rise </w:t>
      </w:r>
      <w:r w:rsidRPr="00AE038A">
        <w:t>public</w:t>
      </w:r>
      <w:r w:rsidRPr="00843E15">
        <w:t xml:space="preserve"> housing</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92299C" w:rsidRPr="007859B7" w:rsidTr="005640EF">
        <w:trPr>
          <w:cantSplit/>
          <w:trHeight w:val="241"/>
          <w:tblHeader/>
        </w:trPr>
        <w:tc>
          <w:tcPr>
            <w:tcW w:w="2835" w:type="dxa"/>
            <w:vAlign w:val="bottom"/>
          </w:tcPr>
          <w:p w:rsidR="0092299C" w:rsidRPr="007859B7" w:rsidRDefault="0092299C" w:rsidP="0092299C">
            <w:pPr>
              <w:pStyle w:val="ARtablecolhead"/>
            </w:pPr>
            <w:r w:rsidRPr="007859B7">
              <w:t>Description</w:t>
            </w:r>
          </w:p>
        </w:tc>
        <w:tc>
          <w:tcPr>
            <w:tcW w:w="2268" w:type="dxa"/>
            <w:vAlign w:val="bottom"/>
          </w:tcPr>
          <w:p w:rsidR="0092299C" w:rsidRPr="00CB2E28" w:rsidRDefault="0092299C" w:rsidP="0092299C">
            <w:pPr>
              <w:pStyle w:val="ARtablecolheadright"/>
            </w:pPr>
            <w:r w:rsidRPr="00CB2E28">
              <w:t>2014–15 estimate</w:t>
            </w:r>
          </w:p>
        </w:tc>
        <w:tc>
          <w:tcPr>
            <w:tcW w:w="2268" w:type="dxa"/>
            <w:vAlign w:val="bottom"/>
          </w:tcPr>
          <w:p w:rsidR="0092299C" w:rsidRPr="00CB2E28" w:rsidRDefault="0092299C" w:rsidP="0092299C">
            <w:pPr>
              <w:pStyle w:val="ARtablecolheadright"/>
            </w:pPr>
            <w:r w:rsidRPr="00CB2E28">
              <w:t>2015–16 estimate</w:t>
            </w:r>
          </w:p>
        </w:tc>
        <w:tc>
          <w:tcPr>
            <w:tcW w:w="2268" w:type="dxa"/>
            <w:vAlign w:val="bottom"/>
          </w:tcPr>
          <w:p w:rsidR="0092299C" w:rsidRPr="007859B7" w:rsidRDefault="0092299C" w:rsidP="0092299C">
            <w:pPr>
              <w:pStyle w:val="ARtablecolheadright"/>
            </w:pPr>
            <w:r>
              <w:t>2016–17</w:t>
            </w:r>
            <w:r w:rsidRPr="007859B7">
              <w:t xml:space="preserve"> estimate</w:t>
            </w:r>
          </w:p>
        </w:tc>
      </w:tr>
      <w:tr w:rsidR="0092299C" w:rsidRPr="007859B7" w:rsidTr="005640EF">
        <w:trPr>
          <w:cantSplit/>
          <w:trHeight w:val="241"/>
        </w:trPr>
        <w:tc>
          <w:tcPr>
            <w:tcW w:w="2835" w:type="dxa"/>
          </w:tcPr>
          <w:p w:rsidR="0092299C" w:rsidRPr="007859B7" w:rsidRDefault="0092299C" w:rsidP="0092299C">
            <w:pPr>
              <w:pStyle w:val="ARtabletext"/>
            </w:pPr>
            <w:r w:rsidRPr="007859B7">
              <w:t>Total water used (kilolitres)</w:t>
            </w:r>
          </w:p>
        </w:tc>
        <w:tc>
          <w:tcPr>
            <w:tcW w:w="2268" w:type="dxa"/>
          </w:tcPr>
          <w:p w:rsidR="0092299C" w:rsidRPr="007859B7" w:rsidRDefault="0092299C" w:rsidP="0092299C">
            <w:pPr>
              <w:pStyle w:val="ARtabletextright"/>
            </w:pPr>
            <w:r>
              <w:t>1,328,267</w:t>
            </w:r>
          </w:p>
        </w:tc>
        <w:tc>
          <w:tcPr>
            <w:tcW w:w="2268" w:type="dxa"/>
          </w:tcPr>
          <w:p w:rsidR="0092299C" w:rsidRPr="007859B7" w:rsidRDefault="0092299C" w:rsidP="0092299C">
            <w:pPr>
              <w:pStyle w:val="ARtabletextright"/>
            </w:pPr>
            <w:r>
              <w:t>1,314,161</w:t>
            </w:r>
          </w:p>
        </w:tc>
        <w:tc>
          <w:tcPr>
            <w:tcW w:w="2268" w:type="dxa"/>
          </w:tcPr>
          <w:p w:rsidR="0092299C" w:rsidRPr="007859B7" w:rsidRDefault="0092299C" w:rsidP="0092299C">
            <w:pPr>
              <w:pStyle w:val="ARtabletextright"/>
            </w:pPr>
            <w:r>
              <w:t>1,416,373</w:t>
            </w:r>
          </w:p>
        </w:tc>
      </w:tr>
      <w:tr w:rsidR="0092299C" w:rsidRPr="007859B7" w:rsidTr="005640EF">
        <w:trPr>
          <w:cantSplit/>
          <w:trHeight w:val="241"/>
        </w:trPr>
        <w:tc>
          <w:tcPr>
            <w:tcW w:w="2835" w:type="dxa"/>
          </w:tcPr>
          <w:p w:rsidR="0092299C" w:rsidRPr="007859B7" w:rsidRDefault="0092299C" w:rsidP="0092299C">
            <w:pPr>
              <w:pStyle w:val="ARtabletext"/>
            </w:pPr>
            <w:r w:rsidRPr="007859B7">
              <w:t>Total water usage</w:t>
            </w:r>
            <w:r>
              <w:t xml:space="preserve"> and sewage</w:t>
            </w:r>
            <w:r w:rsidRPr="007859B7">
              <w:t xml:space="preserve"> charge (dollars)</w:t>
            </w:r>
          </w:p>
        </w:tc>
        <w:tc>
          <w:tcPr>
            <w:tcW w:w="2268" w:type="dxa"/>
          </w:tcPr>
          <w:p w:rsidR="0092299C" w:rsidRPr="007859B7" w:rsidRDefault="0092299C" w:rsidP="0092299C">
            <w:pPr>
              <w:pStyle w:val="ARtabletextright"/>
            </w:pPr>
            <w:r>
              <w:t>$5,400,000</w:t>
            </w:r>
          </w:p>
        </w:tc>
        <w:tc>
          <w:tcPr>
            <w:tcW w:w="2268" w:type="dxa"/>
          </w:tcPr>
          <w:p w:rsidR="0092299C" w:rsidRPr="007859B7" w:rsidRDefault="0092299C" w:rsidP="0092299C">
            <w:pPr>
              <w:pStyle w:val="ARtabletextright"/>
            </w:pPr>
            <w:r>
              <w:t>$5,491,000</w:t>
            </w:r>
          </w:p>
        </w:tc>
        <w:tc>
          <w:tcPr>
            <w:tcW w:w="2268" w:type="dxa"/>
          </w:tcPr>
          <w:p w:rsidR="0092299C" w:rsidRPr="007859B7" w:rsidRDefault="0092299C" w:rsidP="0092299C">
            <w:pPr>
              <w:pStyle w:val="ARtabletextright"/>
            </w:pPr>
            <w:r>
              <w:t>$5,969,000</w:t>
            </w:r>
          </w:p>
        </w:tc>
      </w:tr>
    </w:tbl>
    <w:p w:rsidR="0092299C" w:rsidRDefault="0092299C" w:rsidP="0092299C">
      <w:pPr>
        <w:pStyle w:val="ARtablefootnote"/>
        <w:rPr>
          <w:lang w:eastAsia="en-AU"/>
        </w:rPr>
      </w:pPr>
      <w:r w:rsidRPr="004631CF">
        <w:rPr>
          <w:lang w:eastAsia="en-AU"/>
        </w:rPr>
        <w:t>Water data represents</w:t>
      </w:r>
      <w:r w:rsidRPr="004A74AE">
        <w:rPr>
          <w:lang w:eastAsia="en-AU"/>
        </w:rPr>
        <w:t xml:space="preserve"> </w:t>
      </w:r>
      <w:r>
        <w:rPr>
          <w:lang w:eastAsia="en-AU"/>
        </w:rPr>
        <w:t>domestic water consumption at</w:t>
      </w:r>
      <w:r w:rsidRPr="004631CF">
        <w:rPr>
          <w:lang w:eastAsia="en-AU"/>
        </w:rPr>
        <w:t xml:space="preserve"> the 44 public housing high</w:t>
      </w:r>
      <w:r>
        <w:rPr>
          <w:lang w:eastAsia="en-AU"/>
        </w:rPr>
        <w:t>-</w:t>
      </w:r>
      <w:r w:rsidRPr="004631CF">
        <w:rPr>
          <w:lang w:eastAsia="en-AU"/>
        </w:rPr>
        <w:t>rise sites under 3</w:t>
      </w:r>
      <w:r>
        <w:rPr>
          <w:lang w:eastAsia="en-AU"/>
        </w:rPr>
        <w:t>1</w:t>
      </w:r>
      <w:r w:rsidRPr="004631CF">
        <w:rPr>
          <w:lang w:eastAsia="en-AU"/>
        </w:rPr>
        <w:t xml:space="preserve"> accounts based on available data.</w:t>
      </w:r>
    </w:p>
    <w:p w:rsidR="0092299C" w:rsidRPr="00843E15" w:rsidRDefault="0092299C" w:rsidP="0092299C">
      <w:pPr>
        <w:pStyle w:val="Heading3"/>
      </w:pPr>
      <w:r w:rsidRPr="00843E15">
        <w:t>Other public housing</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8"/>
        <w:gridCol w:w="2267"/>
        <w:gridCol w:w="2267"/>
        <w:gridCol w:w="2267"/>
      </w:tblGrid>
      <w:tr w:rsidR="0092299C" w:rsidRPr="007859B7" w:rsidTr="005640EF">
        <w:trPr>
          <w:cantSplit/>
          <w:trHeight w:val="241"/>
          <w:tblHeader/>
        </w:trPr>
        <w:tc>
          <w:tcPr>
            <w:tcW w:w="2840" w:type="dxa"/>
            <w:vAlign w:val="bottom"/>
          </w:tcPr>
          <w:p w:rsidR="0092299C" w:rsidRPr="007859B7" w:rsidRDefault="0092299C" w:rsidP="0092299C">
            <w:pPr>
              <w:pStyle w:val="ARtablecolhead"/>
            </w:pPr>
            <w:r w:rsidRPr="007859B7">
              <w:t>Description</w:t>
            </w:r>
          </w:p>
        </w:tc>
        <w:tc>
          <w:tcPr>
            <w:tcW w:w="2268" w:type="dxa"/>
            <w:tcBorders>
              <w:top w:val="nil"/>
            </w:tcBorders>
            <w:shd w:val="clear" w:color="auto" w:fill="auto"/>
            <w:vAlign w:val="bottom"/>
          </w:tcPr>
          <w:p w:rsidR="0092299C" w:rsidRPr="00CB2E28" w:rsidRDefault="0092299C" w:rsidP="0092299C">
            <w:pPr>
              <w:pStyle w:val="ARtablecolheadright"/>
            </w:pPr>
            <w:r w:rsidRPr="00CB2E28">
              <w:t>2014–15 estimate</w:t>
            </w:r>
          </w:p>
        </w:tc>
        <w:tc>
          <w:tcPr>
            <w:tcW w:w="2268" w:type="dxa"/>
            <w:tcBorders>
              <w:top w:val="nil"/>
            </w:tcBorders>
            <w:shd w:val="clear" w:color="auto" w:fill="auto"/>
            <w:vAlign w:val="bottom"/>
          </w:tcPr>
          <w:p w:rsidR="0092299C" w:rsidRPr="00CB2E28" w:rsidRDefault="0092299C" w:rsidP="0092299C">
            <w:pPr>
              <w:pStyle w:val="ARtablecolheadright"/>
            </w:pPr>
            <w:r w:rsidRPr="00CB2E28">
              <w:t>2015–16 estimate</w:t>
            </w:r>
          </w:p>
        </w:tc>
        <w:tc>
          <w:tcPr>
            <w:tcW w:w="2268" w:type="dxa"/>
            <w:tcBorders>
              <w:top w:val="nil"/>
            </w:tcBorders>
            <w:vAlign w:val="bottom"/>
          </w:tcPr>
          <w:p w:rsidR="0092299C" w:rsidRPr="007859B7" w:rsidRDefault="0092299C" w:rsidP="0092299C">
            <w:pPr>
              <w:pStyle w:val="ARtablecolheadright"/>
            </w:pPr>
            <w:r>
              <w:t>2016–17</w:t>
            </w:r>
            <w:r w:rsidRPr="007859B7">
              <w:t xml:space="preserve"> estimate</w:t>
            </w:r>
          </w:p>
        </w:tc>
      </w:tr>
      <w:tr w:rsidR="0092299C" w:rsidRPr="007859B7" w:rsidTr="005640EF">
        <w:trPr>
          <w:cantSplit/>
          <w:trHeight w:val="241"/>
        </w:trPr>
        <w:tc>
          <w:tcPr>
            <w:tcW w:w="2840" w:type="dxa"/>
          </w:tcPr>
          <w:p w:rsidR="0092299C" w:rsidRPr="007859B7" w:rsidRDefault="0092299C" w:rsidP="0092299C">
            <w:pPr>
              <w:pStyle w:val="ARtabletext"/>
            </w:pPr>
            <w:r w:rsidRPr="007859B7">
              <w:t>Total water used (kilolitres)</w:t>
            </w:r>
          </w:p>
        </w:tc>
        <w:tc>
          <w:tcPr>
            <w:tcW w:w="2268" w:type="dxa"/>
          </w:tcPr>
          <w:p w:rsidR="0092299C" w:rsidRPr="007859B7" w:rsidRDefault="0092299C" w:rsidP="0092299C">
            <w:pPr>
              <w:pStyle w:val="ARtabletextright"/>
            </w:pPr>
            <w:r>
              <w:t>77,953</w:t>
            </w:r>
          </w:p>
        </w:tc>
        <w:tc>
          <w:tcPr>
            <w:tcW w:w="2268" w:type="dxa"/>
          </w:tcPr>
          <w:p w:rsidR="0092299C" w:rsidRPr="007859B7" w:rsidRDefault="0092299C" w:rsidP="0092299C">
            <w:pPr>
              <w:pStyle w:val="ARtabletextright"/>
            </w:pPr>
            <w:r>
              <w:t>83,881</w:t>
            </w:r>
          </w:p>
        </w:tc>
        <w:tc>
          <w:tcPr>
            <w:tcW w:w="2268" w:type="dxa"/>
          </w:tcPr>
          <w:p w:rsidR="0092299C" w:rsidRPr="007859B7" w:rsidRDefault="0092299C" w:rsidP="0092299C">
            <w:pPr>
              <w:pStyle w:val="ARtabletextright"/>
            </w:pPr>
            <w:r>
              <w:t>85,188</w:t>
            </w:r>
          </w:p>
        </w:tc>
      </w:tr>
      <w:tr w:rsidR="0092299C" w:rsidRPr="007859B7" w:rsidTr="005640EF">
        <w:trPr>
          <w:cantSplit/>
          <w:trHeight w:val="241"/>
        </w:trPr>
        <w:tc>
          <w:tcPr>
            <w:tcW w:w="2840" w:type="dxa"/>
          </w:tcPr>
          <w:p w:rsidR="0092299C" w:rsidRPr="007859B7" w:rsidRDefault="0092299C" w:rsidP="0092299C">
            <w:pPr>
              <w:pStyle w:val="ARtabletext"/>
            </w:pPr>
            <w:r w:rsidRPr="007859B7">
              <w:t>Total water usage</w:t>
            </w:r>
            <w:r>
              <w:t xml:space="preserve"> and sewage</w:t>
            </w:r>
            <w:r w:rsidRPr="007859B7">
              <w:t xml:space="preserve"> charge (dollars)</w:t>
            </w:r>
          </w:p>
        </w:tc>
        <w:tc>
          <w:tcPr>
            <w:tcW w:w="2268" w:type="dxa"/>
          </w:tcPr>
          <w:p w:rsidR="0092299C" w:rsidRPr="007859B7" w:rsidRDefault="0092299C" w:rsidP="0092299C">
            <w:pPr>
              <w:pStyle w:val="ARtabletextright"/>
            </w:pPr>
            <w:r>
              <w:t>$300,000</w:t>
            </w:r>
          </w:p>
        </w:tc>
        <w:tc>
          <w:tcPr>
            <w:tcW w:w="2268" w:type="dxa"/>
          </w:tcPr>
          <w:p w:rsidR="0092299C" w:rsidRPr="007859B7" w:rsidRDefault="0092299C" w:rsidP="0092299C">
            <w:pPr>
              <w:pStyle w:val="ARtabletextright"/>
            </w:pPr>
            <w:r>
              <w:t>$333,500</w:t>
            </w:r>
          </w:p>
        </w:tc>
        <w:tc>
          <w:tcPr>
            <w:tcW w:w="2268" w:type="dxa"/>
          </w:tcPr>
          <w:p w:rsidR="0092299C" w:rsidRPr="007859B7" w:rsidRDefault="0092299C" w:rsidP="0092299C">
            <w:pPr>
              <w:pStyle w:val="ARtabletextright"/>
            </w:pPr>
            <w:r>
              <w:t>$341,000</w:t>
            </w:r>
          </w:p>
        </w:tc>
      </w:tr>
    </w:tbl>
    <w:p w:rsidR="0092299C" w:rsidRDefault="0092299C" w:rsidP="0092299C">
      <w:pPr>
        <w:pStyle w:val="ARtablefootnote"/>
        <w:rPr>
          <w:lang w:eastAsia="en-AU"/>
        </w:rPr>
      </w:pPr>
      <w:r>
        <w:rPr>
          <w:lang w:eastAsia="en-AU"/>
        </w:rPr>
        <w:t>Water data represents domestic water consumption at 35 public housing sites based on available data.</w:t>
      </w:r>
    </w:p>
    <w:p w:rsidR="0092299C" w:rsidRPr="00843E15" w:rsidRDefault="0092299C" w:rsidP="0092299C">
      <w:pPr>
        <w:pStyle w:val="Heading3"/>
      </w:pPr>
      <w:r w:rsidRPr="00843E15">
        <w:t xml:space="preserve">Disability </w:t>
      </w:r>
      <w:r w:rsidRPr="0023100D">
        <w:t>housing</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40"/>
        <w:gridCol w:w="2268"/>
        <w:gridCol w:w="2268"/>
        <w:gridCol w:w="2268"/>
      </w:tblGrid>
      <w:tr w:rsidR="0092299C" w:rsidRPr="007859B7" w:rsidTr="0092299C">
        <w:trPr>
          <w:cantSplit/>
          <w:trHeight w:val="241"/>
          <w:tblHeader/>
        </w:trPr>
        <w:tc>
          <w:tcPr>
            <w:tcW w:w="2840" w:type="dxa"/>
            <w:vAlign w:val="bottom"/>
          </w:tcPr>
          <w:p w:rsidR="0092299C" w:rsidRPr="007859B7" w:rsidRDefault="0092299C" w:rsidP="0092299C">
            <w:pPr>
              <w:pStyle w:val="ARtablecolhead"/>
            </w:pPr>
            <w:r w:rsidRPr="007859B7">
              <w:t>Description</w:t>
            </w:r>
          </w:p>
        </w:tc>
        <w:tc>
          <w:tcPr>
            <w:tcW w:w="2268" w:type="dxa"/>
            <w:vAlign w:val="bottom"/>
          </w:tcPr>
          <w:p w:rsidR="0092299C" w:rsidRPr="00CC10BC" w:rsidRDefault="0092299C" w:rsidP="0092299C">
            <w:pPr>
              <w:pStyle w:val="ARtablecolheadright"/>
            </w:pPr>
            <w:r w:rsidRPr="00CC10BC">
              <w:t>2014–15 estimate</w:t>
            </w:r>
          </w:p>
        </w:tc>
        <w:tc>
          <w:tcPr>
            <w:tcW w:w="2268" w:type="dxa"/>
            <w:vAlign w:val="bottom"/>
          </w:tcPr>
          <w:p w:rsidR="0092299C" w:rsidRPr="00CC10BC" w:rsidRDefault="0092299C" w:rsidP="0092299C">
            <w:pPr>
              <w:pStyle w:val="ARtablecolheadright"/>
            </w:pPr>
            <w:r w:rsidRPr="00CC10BC">
              <w:t>2015–16 estimate</w:t>
            </w:r>
          </w:p>
        </w:tc>
        <w:tc>
          <w:tcPr>
            <w:tcW w:w="2268" w:type="dxa"/>
            <w:vAlign w:val="bottom"/>
          </w:tcPr>
          <w:p w:rsidR="0092299C" w:rsidRPr="007859B7" w:rsidRDefault="0092299C" w:rsidP="0092299C">
            <w:pPr>
              <w:pStyle w:val="ARtablecolheadright"/>
            </w:pPr>
            <w:r>
              <w:t>2016–17</w:t>
            </w:r>
            <w:r w:rsidRPr="007859B7">
              <w:t xml:space="preserve"> estimate</w:t>
            </w:r>
          </w:p>
        </w:tc>
      </w:tr>
      <w:tr w:rsidR="0092299C" w:rsidRPr="007859B7" w:rsidTr="004C77CC">
        <w:trPr>
          <w:cantSplit/>
          <w:trHeight w:val="241"/>
        </w:trPr>
        <w:tc>
          <w:tcPr>
            <w:tcW w:w="2840" w:type="dxa"/>
          </w:tcPr>
          <w:p w:rsidR="0092299C" w:rsidRPr="007859B7" w:rsidRDefault="0092299C" w:rsidP="0092299C">
            <w:pPr>
              <w:pStyle w:val="ARtabletext"/>
            </w:pPr>
            <w:r w:rsidRPr="007859B7">
              <w:t>Total water used (kilolitres)</w:t>
            </w:r>
          </w:p>
        </w:tc>
        <w:tc>
          <w:tcPr>
            <w:tcW w:w="2268" w:type="dxa"/>
          </w:tcPr>
          <w:p w:rsidR="0092299C" w:rsidRPr="007859B7" w:rsidRDefault="0092299C" w:rsidP="0092299C">
            <w:pPr>
              <w:pStyle w:val="ARtabletextright"/>
            </w:pPr>
            <w:r>
              <w:t>56,028</w:t>
            </w:r>
          </w:p>
        </w:tc>
        <w:tc>
          <w:tcPr>
            <w:tcW w:w="2268" w:type="dxa"/>
          </w:tcPr>
          <w:p w:rsidR="0092299C" w:rsidRPr="007859B7" w:rsidRDefault="0092299C" w:rsidP="0092299C">
            <w:pPr>
              <w:pStyle w:val="ARtabletextright"/>
            </w:pPr>
            <w:r>
              <w:t>76,882</w:t>
            </w:r>
          </w:p>
        </w:tc>
        <w:tc>
          <w:tcPr>
            <w:tcW w:w="2268" w:type="dxa"/>
          </w:tcPr>
          <w:p w:rsidR="0092299C" w:rsidRPr="007859B7" w:rsidRDefault="0092299C" w:rsidP="0092299C">
            <w:pPr>
              <w:pStyle w:val="ARtabletextright"/>
            </w:pPr>
            <w:r>
              <w:t>57,704</w:t>
            </w:r>
          </w:p>
        </w:tc>
      </w:tr>
      <w:tr w:rsidR="0092299C" w:rsidRPr="007859B7" w:rsidTr="004C77CC">
        <w:trPr>
          <w:cantSplit/>
          <w:trHeight w:val="241"/>
        </w:trPr>
        <w:tc>
          <w:tcPr>
            <w:tcW w:w="2840" w:type="dxa"/>
          </w:tcPr>
          <w:p w:rsidR="0092299C" w:rsidRPr="007859B7" w:rsidRDefault="0092299C" w:rsidP="0092299C">
            <w:pPr>
              <w:pStyle w:val="ARtabletext"/>
            </w:pPr>
            <w:r w:rsidRPr="007859B7">
              <w:t>Total water usage</w:t>
            </w:r>
            <w:r>
              <w:t xml:space="preserve"> and sewage</w:t>
            </w:r>
            <w:r w:rsidRPr="007859B7">
              <w:t xml:space="preserve"> charge (dollars)</w:t>
            </w:r>
          </w:p>
        </w:tc>
        <w:tc>
          <w:tcPr>
            <w:tcW w:w="2268" w:type="dxa"/>
          </w:tcPr>
          <w:p w:rsidR="0092299C" w:rsidRPr="007859B7" w:rsidRDefault="0092299C" w:rsidP="0092299C">
            <w:pPr>
              <w:pStyle w:val="ARtabletextright"/>
            </w:pPr>
            <w:r>
              <w:t>$202,500</w:t>
            </w:r>
          </w:p>
        </w:tc>
        <w:tc>
          <w:tcPr>
            <w:tcW w:w="2268" w:type="dxa"/>
          </w:tcPr>
          <w:p w:rsidR="0092299C" w:rsidRPr="007859B7" w:rsidRDefault="0092299C" w:rsidP="0092299C">
            <w:pPr>
              <w:pStyle w:val="ARtabletextright"/>
            </w:pPr>
            <w:r>
              <w:t>$301,000</w:t>
            </w:r>
          </w:p>
        </w:tc>
        <w:tc>
          <w:tcPr>
            <w:tcW w:w="2268" w:type="dxa"/>
          </w:tcPr>
          <w:p w:rsidR="0092299C" w:rsidRPr="007859B7" w:rsidRDefault="0092299C" w:rsidP="0092299C">
            <w:pPr>
              <w:pStyle w:val="ARtabletextright"/>
            </w:pPr>
            <w:r>
              <w:t>$232,000</w:t>
            </w:r>
          </w:p>
        </w:tc>
      </w:tr>
    </w:tbl>
    <w:p w:rsidR="0092299C" w:rsidRDefault="0092299C" w:rsidP="0092299C">
      <w:pPr>
        <w:pStyle w:val="ARtablefootnote"/>
        <w:rPr>
          <w:lang w:eastAsia="en-AU"/>
        </w:rPr>
      </w:pPr>
      <w:r w:rsidRPr="004631CF">
        <w:rPr>
          <w:lang w:eastAsia="en-AU"/>
        </w:rPr>
        <w:t xml:space="preserve">Water data represents </w:t>
      </w:r>
      <w:r>
        <w:rPr>
          <w:lang w:eastAsia="en-AU"/>
        </w:rPr>
        <w:t xml:space="preserve">domestic water consumption at 14 properties including </w:t>
      </w:r>
      <w:r w:rsidRPr="004631CF">
        <w:rPr>
          <w:lang w:eastAsia="en-AU"/>
        </w:rPr>
        <w:t>larger disability operational facilities.</w:t>
      </w:r>
    </w:p>
    <w:p w:rsidR="0092299C" w:rsidRPr="00843E15" w:rsidRDefault="0092299C" w:rsidP="0092299C">
      <w:pPr>
        <w:pStyle w:val="Heading3"/>
      </w:pPr>
      <w:r w:rsidRPr="00843E15">
        <w:lastRenderedPageBreak/>
        <w:t xml:space="preserve">Youth and </w:t>
      </w:r>
      <w:r>
        <w:t>f</w:t>
      </w:r>
      <w:r w:rsidRPr="00843E15">
        <w:t xml:space="preserve">amily </w:t>
      </w:r>
      <w:r>
        <w:t>w</w:t>
      </w:r>
      <w:r w:rsidRPr="00843E15">
        <w:t>elfare</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40"/>
        <w:gridCol w:w="2268"/>
        <w:gridCol w:w="2268"/>
        <w:gridCol w:w="2268"/>
      </w:tblGrid>
      <w:tr w:rsidR="0092299C" w:rsidRPr="007859B7" w:rsidTr="0092299C">
        <w:trPr>
          <w:cantSplit/>
          <w:trHeight w:val="241"/>
          <w:tblHeader/>
        </w:trPr>
        <w:tc>
          <w:tcPr>
            <w:tcW w:w="2840" w:type="dxa"/>
            <w:vAlign w:val="bottom"/>
          </w:tcPr>
          <w:p w:rsidR="0092299C" w:rsidRPr="007859B7" w:rsidRDefault="0092299C" w:rsidP="0092299C">
            <w:pPr>
              <w:pStyle w:val="ARtablecolhead"/>
            </w:pPr>
            <w:r w:rsidRPr="007859B7">
              <w:t>Description</w:t>
            </w:r>
          </w:p>
        </w:tc>
        <w:tc>
          <w:tcPr>
            <w:tcW w:w="2268" w:type="dxa"/>
            <w:vAlign w:val="bottom"/>
          </w:tcPr>
          <w:p w:rsidR="0092299C" w:rsidRPr="00CC10BC" w:rsidRDefault="0092299C" w:rsidP="0092299C">
            <w:pPr>
              <w:pStyle w:val="ARtablecolheadright"/>
            </w:pPr>
            <w:r w:rsidRPr="00CC10BC">
              <w:t>2014–15 estimate</w:t>
            </w:r>
          </w:p>
        </w:tc>
        <w:tc>
          <w:tcPr>
            <w:tcW w:w="2268" w:type="dxa"/>
            <w:vAlign w:val="bottom"/>
          </w:tcPr>
          <w:p w:rsidR="0092299C" w:rsidRPr="00CC10BC" w:rsidRDefault="0092299C" w:rsidP="0092299C">
            <w:pPr>
              <w:pStyle w:val="ARtablecolheadright"/>
            </w:pPr>
            <w:r w:rsidRPr="00CC10BC">
              <w:t>2015–16 estimate</w:t>
            </w:r>
          </w:p>
        </w:tc>
        <w:tc>
          <w:tcPr>
            <w:tcW w:w="2268" w:type="dxa"/>
            <w:vAlign w:val="bottom"/>
          </w:tcPr>
          <w:p w:rsidR="0092299C" w:rsidRPr="007859B7" w:rsidRDefault="0092299C" w:rsidP="0092299C">
            <w:pPr>
              <w:pStyle w:val="ARtablecolheadright"/>
            </w:pPr>
            <w:r>
              <w:t>2016–17</w:t>
            </w:r>
            <w:r w:rsidRPr="007859B7">
              <w:t xml:space="preserve"> estimate</w:t>
            </w:r>
          </w:p>
        </w:tc>
      </w:tr>
      <w:tr w:rsidR="0092299C" w:rsidRPr="007859B7" w:rsidTr="00A95AE6">
        <w:trPr>
          <w:cantSplit/>
          <w:trHeight w:val="241"/>
        </w:trPr>
        <w:tc>
          <w:tcPr>
            <w:tcW w:w="2840" w:type="dxa"/>
          </w:tcPr>
          <w:p w:rsidR="0092299C" w:rsidRPr="007859B7" w:rsidRDefault="0092299C" w:rsidP="0092299C">
            <w:pPr>
              <w:pStyle w:val="ARtabletext"/>
            </w:pPr>
            <w:r w:rsidRPr="007859B7">
              <w:t>Total water used (kilolitres)</w:t>
            </w:r>
          </w:p>
        </w:tc>
        <w:tc>
          <w:tcPr>
            <w:tcW w:w="2268" w:type="dxa"/>
          </w:tcPr>
          <w:p w:rsidR="0092299C" w:rsidRPr="007859B7" w:rsidRDefault="0092299C" w:rsidP="0092299C">
            <w:pPr>
              <w:pStyle w:val="ARtabletextright"/>
            </w:pPr>
            <w:r>
              <w:t>1,730</w:t>
            </w:r>
          </w:p>
        </w:tc>
        <w:tc>
          <w:tcPr>
            <w:tcW w:w="2268" w:type="dxa"/>
          </w:tcPr>
          <w:p w:rsidR="0092299C" w:rsidRPr="007859B7" w:rsidRDefault="0092299C" w:rsidP="0092299C">
            <w:pPr>
              <w:pStyle w:val="ARtabletextright"/>
            </w:pPr>
            <w:r>
              <w:t>2,366</w:t>
            </w:r>
          </w:p>
        </w:tc>
        <w:tc>
          <w:tcPr>
            <w:tcW w:w="2268" w:type="dxa"/>
          </w:tcPr>
          <w:p w:rsidR="0092299C" w:rsidRPr="007859B7" w:rsidRDefault="0092299C" w:rsidP="0092299C">
            <w:pPr>
              <w:pStyle w:val="ARtabletextright"/>
            </w:pPr>
            <w:r>
              <w:t>2,440</w:t>
            </w:r>
          </w:p>
        </w:tc>
      </w:tr>
      <w:tr w:rsidR="0092299C" w:rsidRPr="007859B7" w:rsidTr="00A95AE6">
        <w:trPr>
          <w:cantSplit/>
          <w:trHeight w:val="241"/>
        </w:trPr>
        <w:tc>
          <w:tcPr>
            <w:tcW w:w="2840" w:type="dxa"/>
          </w:tcPr>
          <w:p w:rsidR="0092299C" w:rsidRPr="007859B7" w:rsidRDefault="0092299C" w:rsidP="0092299C">
            <w:pPr>
              <w:pStyle w:val="ARtabletext"/>
            </w:pPr>
            <w:r w:rsidRPr="007859B7">
              <w:t>Total water usage</w:t>
            </w:r>
            <w:r>
              <w:t xml:space="preserve"> and sewage</w:t>
            </w:r>
            <w:r w:rsidRPr="007859B7">
              <w:t xml:space="preserve"> charge (dollars)</w:t>
            </w:r>
          </w:p>
        </w:tc>
        <w:tc>
          <w:tcPr>
            <w:tcW w:w="2268" w:type="dxa"/>
          </w:tcPr>
          <w:p w:rsidR="0092299C" w:rsidRPr="007859B7" w:rsidRDefault="0092299C" w:rsidP="0092299C">
            <w:pPr>
              <w:pStyle w:val="ARtabletextright"/>
            </w:pPr>
            <w:r>
              <w:t>$6,800</w:t>
            </w:r>
          </w:p>
        </w:tc>
        <w:tc>
          <w:tcPr>
            <w:tcW w:w="2268" w:type="dxa"/>
          </w:tcPr>
          <w:p w:rsidR="0092299C" w:rsidRPr="007859B7" w:rsidRDefault="0092299C" w:rsidP="0092299C">
            <w:pPr>
              <w:pStyle w:val="ARtabletextright"/>
            </w:pPr>
            <w:r>
              <w:t>$8,000</w:t>
            </w:r>
          </w:p>
        </w:tc>
        <w:tc>
          <w:tcPr>
            <w:tcW w:w="2268" w:type="dxa"/>
          </w:tcPr>
          <w:p w:rsidR="0092299C" w:rsidRPr="007859B7" w:rsidRDefault="0092299C" w:rsidP="0092299C">
            <w:pPr>
              <w:pStyle w:val="ARtabletextright"/>
            </w:pPr>
            <w:r>
              <w:t>$9,000</w:t>
            </w:r>
          </w:p>
        </w:tc>
      </w:tr>
    </w:tbl>
    <w:p w:rsidR="0092299C" w:rsidRPr="004631CF" w:rsidRDefault="0092299C" w:rsidP="0092299C">
      <w:pPr>
        <w:pStyle w:val="ARtablefootnote"/>
        <w:rPr>
          <w:lang w:eastAsia="en-AU"/>
        </w:rPr>
      </w:pPr>
      <w:r w:rsidRPr="004631CF">
        <w:rPr>
          <w:lang w:eastAsia="en-AU"/>
        </w:rPr>
        <w:t xml:space="preserve">Water data represents </w:t>
      </w:r>
      <w:r>
        <w:rPr>
          <w:lang w:eastAsia="en-AU"/>
        </w:rPr>
        <w:t>domestic water consumption at five properties.</w:t>
      </w:r>
    </w:p>
    <w:p w:rsidR="0092299C" w:rsidRPr="00843E15" w:rsidRDefault="0092299C" w:rsidP="0092299C">
      <w:pPr>
        <w:pStyle w:val="Heading3"/>
        <w:rPr>
          <w:i/>
          <w:iCs/>
          <w:sz w:val="16"/>
          <w:szCs w:val="16"/>
        </w:rPr>
      </w:pPr>
      <w:r w:rsidRPr="00843E15">
        <w:t xml:space="preserve">Youth </w:t>
      </w:r>
      <w:r>
        <w:t>j</w:t>
      </w:r>
      <w:r w:rsidRPr="0023100D">
        <w:t>ustice</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7"/>
        <w:gridCol w:w="2269"/>
        <w:gridCol w:w="2269"/>
        <w:gridCol w:w="2269"/>
      </w:tblGrid>
      <w:tr w:rsidR="0092299C" w:rsidRPr="007859B7" w:rsidTr="003A07C6">
        <w:trPr>
          <w:cantSplit/>
          <w:trHeight w:val="241"/>
          <w:tblHeader/>
        </w:trPr>
        <w:tc>
          <w:tcPr>
            <w:tcW w:w="2835" w:type="dxa"/>
            <w:vAlign w:val="bottom"/>
          </w:tcPr>
          <w:p w:rsidR="0092299C" w:rsidRPr="007859B7" w:rsidRDefault="0092299C" w:rsidP="0092299C">
            <w:pPr>
              <w:pStyle w:val="ARtablecolhead"/>
            </w:pPr>
            <w:r w:rsidRPr="007859B7">
              <w:t>Description</w:t>
            </w:r>
          </w:p>
        </w:tc>
        <w:tc>
          <w:tcPr>
            <w:tcW w:w="2268" w:type="dxa"/>
            <w:vAlign w:val="bottom"/>
          </w:tcPr>
          <w:p w:rsidR="0092299C" w:rsidRPr="00CC10BC" w:rsidRDefault="0092299C" w:rsidP="0092299C">
            <w:pPr>
              <w:pStyle w:val="ARtablecolheadright"/>
            </w:pPr>
            <w:r w:rsidRPr="00CC10BC">
              <w:t>2014–15 estimate</w:t>
            </w:r>
          </w:p>
        </w:tc>
        <w:tc>
          <w:tcPr>
            <w:tcW w:w="2268" w:type="dxa"/>
            <w:vAlign w:val="bottom"/>
          </w:tcPr>
          <w:p w:rsidR="0092299C" w:rsidRPr="00CC10BC" w:rsidRDefault="0092299C" w:rsidP="0092299C">
            <w:pPr>
              <w:pStyle w:val="ARtablecolheadright"/>
            </w:pPr>
            <w:r w:rsidRPr="00CC10BC">
              <w:t>2015–16 estimate</w:t>
            </w:r>
          </w:p>
        </w:tc>
        <w:tc>
          <w:tcPr>
            <w:tcW w:w="2268" w:type="dxa"/>
            <w:vAlign w:val="bottom"/>
          </w:tcPr>
          <w:p w:rsidR="0092299C" w:rsidRPr="007859B7" w:rsidRDefault="0092299C" w:rsidP="0092299C">
            <w:pPr>
              <w:pStyle w:val="ARtablecolheadright"/>
            </w:pPr>
            <w:r w:rsidRPr="007859B7">
              <w:t>201</w:t>
            </w:r>
            <w:r>
              <w:t>6–17</w:t>
            </w:r>
            <w:r w:rsidRPr="007859B7">
              <w:t xml:space="preserve"> estimate</w:t>
            </w:r>
          </w:p>
        </w:tc>
      </w:tr>
      <w:tr w:rsidR="0092299C" w:rsidRPr="007859B7" w:rsidTr="00A95AE6">
        <w:trPr>
          <w:cantSplit/>
          <w:trHeight w:val="241"/>
        </w:trPr>
        <w:tc>
          <w:tcPr>
            <w:tcW w:w="2835" w:type="dxa"/>
          </w:tcPr>
          <w:p w:rsidR="0092299C" w:rsidRPr="007859B7" w:rsidRDefault="0092299C" w:rsidP="0092299C">
            <w:pPr>
              <w:pStyle w:val="ARtabletext"/>
            </w:pPr>
            <w:r w:rsidRPr="007859B7">
              <w:t>Total water used (kilolitres)</w:t>
            </w:r>
            <w:r>
              <w:t>*</w:t>
            </w:r>
          </w:p>
        </w:tc>
        <w:tc>
          <w:tcPr>
            <w:tcW w:w="2268" w:type="dxa"/>
          </w:tcPr>
          <w:p w:rsidR="0092299C" w:rsidRPr="007859B7" w:rsidRDefault="0092299C" w:rsidP="0092299C">
            <w:pPr>
              <w:pStyle w:val="ARtabletextright"/>
            </w:pPr>
            <w:r>
              <w:t>30,898</w:t>
            </w:r>
          </w:p>
        </w:tc>
        <w:tc>
          <w:tcPr>
            <w:tcW w:w="2268" w:type="dxa"/>
          </w:tcPr>
          <w:p w:rsidR="0092299C" w:rsidRPr="007859B7" w:rsidRDefault="0092299C" w:rsidP="0092299C">
            <w:pPr>
              <w:pStyle w:val="ARtabletextright"/>
            </w:pPr>
            <w:r>
              <w:t>35,383</w:t>
            </w:r>
          </w:p>
        </w:tc>
        <w:tc>
          <w:tcPr>
            <w:tcW w:w="2268" w:type="dxa"/>
          </w:tcPr>
          <w:p w:rsidR="0092299C" w:rsidRPr="007859B7" w:rsidRDefault="0092299C" w:rsidP="0092299C">
            <w:pPr>
              <w:pStyle w:val="ARtabletextright"/>
            </w:pPr>
            <w:r>
              <w:t>26,413</w:t>
            </w:r>
          </w:p>
        </w:tc>
      </w:tr>
      <w:tr w:rsidR="0092299C" w:rsidRPr="007859B7" w:rsidTr="00A95AE6">
        <w:trPr>
          <w:cantSplit/>
          <w:trHeight w:val="241"/>
        </w:trPr>
        <w:tc>
          <w:tcPr>
            <w:tcW w:w="2835" w:type="dxa"/>
          </w:tcPr>
          <w:p w:rsidR="0092299C" w:rsidRPr="007859B7" w:rsidRDefault="0092299C" w:rsidP="0092299C">
            <w:pPr>
              <w:pStyle w:val="ARtabletext"/>
            </w:pPr>
            <w:r w:rsidRPr="007859B7">
              <w:t>Total water usage</w:t>
            </w:r>
            <w:r>
              <w:t xml:space="preserve"> and sewage</w:t>
            </w:r>
            <w:r w:rsidRPr="007859B7">
              <w:t xml:space="preserve"> charge (dollars)</w:t>
            </w:r>
            <w:r>
              <w:t>*</w:t>
            </w:r>
          </w:p>
        </w:tc>
        <w:tc>
          <w:tcPr>
            <w:tcW w:w="2268" w:type="dxa"/>
          </w:tcPr>
          <w:p w:rsidR="0092299C" w:rsidRPr="007859B7" w:rsidRDefault="0092299C" w:rsidP="0092299C">
            <w:pPr>
              <w:pStyle w:val="ARtabletextright"/>
            </w:pPr>
            <w:r>
              <w:t>$85,000</w:t>
            </w:r>
          </w:p>
        </w:tc>
        <w:tc>
          <w:tcPr>
            <w:tcW w:w="2268" w:type="dxa"/>
          </w:tcPr>
          <w:p w:rsidR="0092299C" w:rsidRPr="007859B7" w:rsidRDefault="0092299C" w:rsidP="0092299C">
            <w:pPr>
              <w:pStyle w:val="ARtabletextright"/>
            </w:pPr>
            <w:r>
              <w:t>$99,000</w:t>
            </w:r>
          </w:p>
        </w:tc>
        <w:tc>
          <w:tcPr>
            <w:tcW w:w="2268" w:type="dxa"/>
          </w:tcPr>
          <w:p w:rsidR="0092299C" w:rsidRPr="007859B7" w:rsidRDefault="0092299C" w:rsidP="0092299C">
            <w:pPr>
              <w:pStyle w:val="ARtabletextright"/>
            </w:pPr>
            <w:r>
              <w:t>$75,000</w:t>
            </w:r>
          </w:p>
        </w:tc>
      </w:tr>
    </w:tbl>
    <w:p w:rsidR="0092299C" w:rsidRDefault="0092299C" w:rsidP="0092299C">
      <w:pPr>
        <w:pStyle w:val="ARtablefootnote"/>
      </w:pPr>
      <w:r w:rsidRPr="00394393">
        <w:t xml:space="preserve">Water data represents </w:t>
      </w:r>
      <w:r>
        <w:rPr>
          <w:lang w:eastAsia="en-AU"/>
        </w:rPr>
        <w:t xml:space="preserve">domestic water consumption at </w:t>
      </w:r>
      <w:r>
        <w:t>two</w:t>
      </w:r>
      <w:r w:rsidRPr="00394393">
        <w:t xml:space="preserve"> properties.</w:t>
      </w:r>
    </w:p>
    <w:p w:rsidR="0092299C" w:rsidRDefault="0092299C" w:rsidP="0092299C">
      <w:pPr>
        <w:pStyle w:val="ARtablefootnote"/>
        <w:rPr>
          <w:rFonts w:cs="Arial"/>
          <w:iCs/>
          <w:color w:val="000000"/>
          <w:lang w:eastAsia="en-AU"/>
        </w:rPr>
      </w:pPr>
      <w:r w:rsidRPr="00394393">
        <w:t>*</w:t>
      </w:r>
      <w:r>
        <w:t xml:space="preserve"> </w:t>
      </w:r>
      <w:r w:rsidRPr="00394393">
        <w:t xml:space="preserve">Youth Justice </w:t>
      </w:r>
      <w:r>
        <w:t xml:space="preserve">2016–17 </w:t>
      </w:r>
      <w:r w:rsidRPr="00394393">
        <w:t>consumption reported to 31 March 2017</w:t>
      </w:r>
      <w:r>
        <w:rPr>
          <w:rFonts w:cs="Arial"/>
          <w:iCs/>
          <w:color w:val="000000"/>
          <w:lang w:eastAsia="en-AU"/>
        </w:rPr>
        <w:t>.</w:t>
      </w:r>
    </w:p>
    <w:p w:rsidR="0092299C" w:rsidRPr="00843E15" w:rsidRDefault="0092299C" w:rsidP="0092299C">
      <w:pPr>
        <w:pStyle w:val="Heading3"/>
      </w:pPr>
      <w:r w:rsidRPr="00843E15">
        <w:t>Public health services</w:t>
      </w:r>
    </w:p>
    <w:tbl>
      <w:tblPr>
        <w:tblStyle w:val="TableGrid"/>
        <w:tblW w:w="9639" w:type="dxa"/>
        <w:tblLook w:val="06A0" w:firstRow="1" w:lastRow="0" w:firstColumn="1" w:lastColumn="0" w:noHBand="1" w:noVBand="1"/>
      </w:tblPr>
      <w:tblGrid>
        <w:gridCol w:w="5799"/>
        <w:gridCol w:w="1280"/>
        <w:gridCol w:w="1280"/>
        <w:gridCol w:w="1280"/>
      </w:tblGrid>
      <w:tr w:rsidR="0092299C" w:rsidRPr="00533CB2" w:rsidTr="00A95AE6">
        <w:trPr>
          <w:cnfStyle w:val="100000000000" w:firstRow="1" w:lastRow="0" w:firstColumn="0" w:lastColumn="0" w:oddVBand="0" w:evenVBand="0" w:oddHBand="0" w:evenHBand="0" w:firstRowFirstColumn="0" w:firstRowLastColumn="0" w:lastRowFirstColumn="0" w:lastRowLastColumn="0"/>
          <w:tblHeader/>
        </w:trPr>
        <w:tc>
          <w:tcPr>
            <w:tcW w:w="5778" w:type="dxa"/>
            <w:hideMark/>
          </w:tcPr>
          <w:p w:rsidR="0092299C" w:rsidRPr="00533CB2" w:rsidRDefault="0092299C" w:rsidP="0092299C">
            <w:pPr>
              <w:pStyle w:val="ARtablecolhead"/>
              <w:rPr>
                <w:lang w:eastAsia="en-AU"/>
              </w:rPr>
            </w:pPr>
            <w:r w:rsidRPr="00533CB2">
              <w:rPr>
                <w:lang w:eastAsia="en-AU"/>
              </w:rPr>
              <w:t>Description</w:t>
            </w:r>
          </w:p>
        </w:tc>
        <w:tc>
          <w:tcPr>
            <w:tcW w:w="1276" w:type="dxa"/>
          </w:tcPr>
          <w:p w:rsidR="0092299C" w:rsidRPr="00533CB2"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533CB2">
              <w:rPr>
                <w:lang w:eastAsia="en-AU"/>
              </w:rPr>
              <w:t>201</w:t>
            </w:r>
            <w:r>
              <w:rPr>
                <w:lang w:eastAsia="en-AU"/>
              </w:rPr>
              <w:t>4</w:t>
            </w:r>
            <w:r w:rsidRPr="00533CB2">
              <w:rPr>
                <w:lang w:eastAsia="en-AU"/>
              </w:rPr>
              <w:t>–1</w:t>
            </w:r>
            <w:r>
              <w:rPr>
                <w:lang w:eastAsia="en-AU"/>
              </w:rPr>
              <w:t>5</w:t>
            </w:r>
          </w:p>
        </w:tc>
        <w:tc>
          <w:tcPr>
            <w:tcW w:w="1276" w:type="dxa"/>
          </w:tcPr>
          <w:p w:rsidR="0092299C" w:rsidRPr="00533CB2"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533CB2">
              <w:rPr>
                <w:lang w:eastAsia="en-AU"/>
              </w:rPr>
              <w:t>201</w:t>
            </w:r>
            <w:r>
              <w:rPr>
                <w:lang w:eastAsia="en-AU"/>
              </w:rPr>
              <w:t>5</w:t>
            </w:r>
            <w:r w:rsidRPr="00533CB2">
              <w:rPr>
                <w:lang w:eastAsia="en-AU"/>
              </w:rPr>
              <w:t>–1</w:t>
            </w:r>
            <w:r>
              <w:rPr>
                <w:lang w:eastAsia="en-AU"/>
              </w:rPr>
              <w:t>6</w:t>
            </w:r>
          </w:p>
        </w:tc>
        <w:tc>
          <w:tcPr>
            <w:tcW w:w="1276" w:type="dxa"/>
            <w:hideMark/>
          </w:tcPr>
          <w:p w:rsidR="0092299C" w:rsidRPr="00533CB2" w:rsidRDefault="0092299C" w:rsidP="0092299C">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533CB2">
              <w:rPr>
                <w:lang w:eastAsia="en-AU"/>
              </w:rPr>
              <w:t>201</w:t>
            </w:r>
            <w:r>
              <w:rPr>
                <w:lang w:eastAsia="en-AU"/>
              </w:rPr>
              <w:t>6</w:t>
            </w:r>
            <w:r w:rsidRPr="00533CB2">
              <w:rPr>
                <w:lang w:eastAsia="en-AU"/>
              </w:rPr>
              <w:t>–1</w:t>
            </w:r>
            <w:r>
              <w:rPr>
                <w:lang w:eastAsia="en-AU"/>
              </w:rPr>
              <w:t>7</w:t>
            </w:r>
          </w:p>
        </w:tc>
      </w:tr>
      <w:tr w:rsidR="0092299C" w:rsidRPr="00533CB2" w:rsidTr="00A95AE6">
        <w:tc>
          <w:tcPr>
            <w:tcW w:w="5778" w:type="dxa"/>
            <w:hideMark/>
          </w:tcPr>
          <w:p w:rsidR="0092299C" w:rsidRPr="00533CB2" w:rsidRDefault="0092299C" w:rsidP="0092299C">
            <w:pPr>
              <w:pStyle w:val="ARtabletext"/>
            </w:pPr>
            <w:r w:rsidRPr="00533CB2">
              <w:t>Total water used (</w:t>
            </w:r>
            <w:proofErr w:type="spellStart"/>
            <w:r w:rsidRPr="00533CB2">
              <w:t>megalitres</w:t>
            </w:r>
            <w:proofErr w:type="spellEnd"/>
            <w:r w:rsidRPr="00533CB2">
              <w:t>)</w:t>
            </w:r>
          </w:p>
        </w:tc>
        <w:tc>
          <w:tcPr>
            <w:tcW w:w="1276" w:type="dxa"/>
          </w:tcPr>
          <w:p w:rsidR="0092299C" w:rsidRPr="00533CB2" w:rsidRDefault="0092299C" w:rsidP="0092299C">
            <w:pPr>
              <w:pStyle w:val="ARtabletextright"/>
            </w:pPr>
            <w:r>
              <w:t>3</w:t>
            </w:r>
            <w:r w:rsidRPr="00533CB2">
              <w:t>,</w:t>
            </w:r>
            <w:r>
              <w:t>761</w:t>
            </w:r>
          </w:p>
        </w:tc>
        <w:tc>
          <w:tcPr>
            <w:tcW w:w="1276" w:type="dxa"/>
          </w:tcPr>
          <w:p w:rsidR="0092299C" w:rsidRPr="00533CB2" w:rsidRDefault="0092299C" w:rsidP="0092299C">
            <w:pPr>
              <w:pStyle w:val="ARtabletextright"/>
            </w:pPr>
            <w:r>
              <w:t>4,307</w:t>
            </w:r>
          </w:p>
        </w:tc>
        <w:tc>
          <w:tcPr>
            <w:tcW w:w="1276" w:type="dxa"/>
          </w:tcPr>
          <w:p w:rsidR="0092299C" w:rsidRPr="00533CB2" w:rsidRDefault="0092299C" w:rsidP="0092299C">
            <w:pPr>
              <w:pStyle w:val="ARtabletextright"/>
            </w:pPr>
            <w:r>
              <w:t>4,192</w:t>
            </w:r>
          </w:p>
        </w:tc>
      </w:tr>
      <w:tr w:rsidR="0092299C" w:rsidRPr="00533CB2" w:rsidTr="00A95AE6">
        <w:tc>
          <w:tcPr>
            <w:tcW w:w="5778" w:type="dxa"/>
            <w:hideMark/>
          </w:tcPr>
          <w:p w:rsidR="0092299C" w:rsidRPr="00533CB2" w:rsidRDefault="0092299C" w:rsidP="0092299C">
            <w:pPr>
              <w:pStyle w:val="ARtabletext"/>
            </w:pPr>
            <w:r w:rsidRPr="00533CB2">
              <w:t>Total water usage charge ($ million)</w:t>
            </w:r>
          </w:p>
        </w:tc>
        <w:tc>
          <w:tcPr>
            <w:tcW w:w="1276" w:type="dxa"/>
          </w:tcPr>
          <w:p w:rsidR="0092299C" w:rsidRPr="00533CB2" w:rsidRDefault="0092299C" w:rsidP="0092299C">
            <w:pPr>
              <w:pStyle w:val="ARtabletextright"/>
            </w:pPr>
            <w:r w:rsidRPr="00533CB2">
              <w:t>$1</w:t>
            </w:r>
            <w:r>
              <w:t>3</w:t>
            </w:r>
            <w:r w:rsidRPr="00533CB2">
              <w:t>.</w:t>
            </w:r>
            <w:r>
              <w:t>69</w:t>
            </w:r>
          </w:p>
        </w:tc>
        <w:tc>
          <w:tcPr>
            <w:tcW w:w="1276" w:type="dxa"/>
          </w:tcPr>
          <w:p w:rsidR="0092299C" w:rsidRPr="00533CB2" w:rsidRDefault="0092299C" w:rsidP="0092299C">
            <w:pPr>
              <w:pStyle w:val="ARtabletextright"/>
            </w:pPr>
            <w:r>
              <w:t>$16.90</w:t>
            </w:r>
          </w:p>
        </w:tc>
        <w:tc>
          <w:tcPr>
            <w:tcW w:w="1276" w:type="dxa"/>
          </w:tcPr>
          <w:p w:rsidR="0092299C" w:rsidRPr="00533CB2" w:rsidRDefault="0092299C" w:rsidP="0092299C">
            <w:pPr>
              <w:pStyle w:val="ARtabletextright"/>
            </w:pPr>
            <w:r>
              <w:t>$16.51</w:t>
            </w:r>
          </w:p>
        </w:tc>
      </w:tr>
      <w:tr w:rsidR="0092299C" w:rsidRPr="00533CB2" w:rsidTr="00A95AE6">
        <w:tc>
          <w:tcPr>
            <w:tcW w:w="5778" w:type="dxa"/>
            <w:hideMark/>
          </w:tcPr>
          <w:p w:rsidR="0092299C" w:rsidRPr="00533CB2" w:rsidRDefault="0092299C" w:rsidP="0092299C">
            <w:pPr>
              <w:pStyle w:val="ARtabletext"/>
            </w:pPr>
            <w:r w:rsidRPr="00533CB2">
              <w:t>Water used per separation (kilolitres/ separation)</w:t>
            </w:r>
          </w:p>
        </w:tc>
        <w:tc>
          <w:tcPr>
            <w:tcW w:w="1276" w:type="dxa"/>
          </w:tcPr>
          <w:p w:rsidR="0092299C" w:rsidRPr="00533CB2" w:rsidRDefault="0092299C" w:rsidP="0092299C">
            <w:pPr>
              <w:pStyle w:val="ARtabletextright"/>
            </w:pPr>
            <w:r w:rsidRPr="00533CB2">
              <w:t>2.</w:t>
            </w:r>
            <w:r>
              <w:t>31</w:t>
            </w:r>
          </w:p>
        </w:tc>
        <w:tc>
          <w:tcPr>
            <w:tcW w:w="1276" w:type="dxa"/>
          </w:tcPr>
          <w:p w:rsidR="0092299C" w:rsidRPr="00533CB2" w:rsidRDefault="0092299C" w:rsidP="0092299C">
            <w:pPr>
              <w:pStyle w:val="ARtabletextright"/>
            </w:pPr>
            <w:r>
              <w:t>2.51</w:t>
            </w:r>
          </w:p>
        </w:tc>
        <w:tc>
          <w:tcPr>
            <w:tcW w:w="1276" w:type="dxa"/>
          </w:tcPr>
          <w:p w:rsidR="0092299C" w:rsidRPr="00533CB2" w:rsidRDefault="0092299C" w:rsidP="0092299C">
            <w:pPr>
              <w:pStyle w:val="ARtabletextright"/>
            </w:pPr>
            <w:r>
              <w:t>2.30</w:t>
            </w:r>
          </w:p>
        </w:tc>
      </w:tr>
      <w:tr w:rsidR="0092299C" w:rsidRPr="00533CB2" w:rsidTr="00A95AE6">
        <w:tc>
          <w:tcPr>
            <w:tcW w:w="5778" w:type="dxa"/>
            <w:hideMark/>
          </w:tcPr>
          <w:p w:rsidR="0092299C" w:rsidRPr="00533CB2" w:rsidRDefault="0092299C" w:rsidP="0092299C">
            <w:pPr>
              <w:pStyle w:val="ARtabletext"/>
            </w:pPr>
            <w:r w:rsidRPr="00533CB2">
              <w:t>Water used per bed day (kilolitres/ bed day)</w:t>
            </w:r>
          </w:p>
        </w:tc>
        <w:tc>
          <w:tcPr>
            <w:tcW w:w="1276" w:type="dxa"/>
          </w:tcPr>
          <w:p w:rsidR="0092299C" w:rsidRPr="00533CB2" w:rsidRDefault="0092299C" w:rsidP="0092299C">
            <w:pPr>
              <w:pStyle w:val="ARtabletextright"/>
            </w:pPr>
            <w:r w:rsidRPr="00533CB2">
              <w:t>0.</w:t>
            </w:r>
            <w:r>
              <w:t>56</w:t>
            </w:r>
          </w:p>
        </w:tc>
        <w:tc>
          <w:tcPr>
            <w:tcW w:w="1276" w:type="dxa"/>
          </w:tcPr>
          <w:p w:rsidR="0092299C" w:rsidRPr="00533CB2" w:rsidRDefault="0092299C" w:rsidP="0092299C">
            <w:pPr>
              <w:pStyle w:val="ARtabletextright"/>
            </w:pPr>
            <w:r>
              <w:t>0.63</w:t>
            </w:r>
          </w:p>
        </w:tc>
        <w:tc>
          <w:tcPr>
            <w:tcW w:w="1276" w:type="dxa"/>
          </w:tcPr>
          <w:p w:rsidR="0092299C" w:rsidRPr="00533CB2" w:rsidRDefault="0092299C" w:rsidP="0092299C">
            <w:pPr>
              <w:pStyle w:val="ARtabletextright"/>
            </w:pPr>
            <w:r>
              <w:t>0.60</w:t>
            </w:r>
          </w:p>
        </w:tc>
      </w:tr>
      <w:tr w:rsidR="0092299C" w:rsidRPr="00533CB2" w:rsidTr="00A95AE6">
        <w:tc>
          <w:tcPr>
            <w:tcW w:w="5778" w:type="dxa"/>
            <w:hideMark/>
          </w:tcPr>
          <w:p w:rsidR="0092299C" w:rsidRPr="00533CB2" w:rsidRDefault="0092299C" w:rsidP="0092299C">
            <w:pPr>
              <w:pStyle w:val="ARtabletext"/>
            </w:pPr>
            <w:r w:rsidRPr="00533CB2">
              <w:t>Water used per unit of floor space (kilolitres/m</w:t>
            </w:r>
            <w:r w:rsidRPr="00BB2D7C">
              <w:rPr>
                <w:vertAlign w:val="superscript"/>
              </w:rPr>
              <w:t>2</w:t>
            </w:r>
            <w:r w:rsidRPr="00533CB2">
              <w:t>)</w:t>
            </w:r>
          </w:p>
        </w:tc>
        <w:tc>
          <w:tcPr>
            <w:tcW w:w="1276" w:type="dxa"/>
          </w:tcPr>
          <w:p w:rsidR="0092299C" w:rsidRPr="00533CB2" w:rsidRDefault="0092299C" w:rsidP="0092299C">
            <w:pPr>
              <w:pStyle w:val="ARtabletextright"/>
            </w:pPr>
            <w:r w:rsidRPr="00533CB2">
              <w:t>1.</w:t>
            </w:r>
            <w:r>
              <w:t>17</w:t>
            </w:r>
          </w:p>
        </w:tc>
        <w:tc>
          <w:tcPr>
            <w:tcW w:w="1276" w:type="dxa"/>
          </w:tcPr>
          <w:p w:rsidR="0092299C" w:rsidRPr="00533CB2" w:rsidRDefault="0092299C" w:rsidP="0092299C">
            <w:pPr>
              <w:pStyle w:val="ARtabletextright"/>
            </w:pPr>
            <w:r>
              <w:t>1.31</w:t>
            </w:r>
          </w:p>
        </w:tc>
        <w:tc>
          <w:tcPr>
            <w:tcW w:w="1276" w:type="dxa"/>
          </w:tcPr>
          <w:p w:rsidR="0092299C" w:rsidRPr="00533CB2" w:rsidRDefault="0092299C" w:rsidP="0092299C">
            <w:pPr>
              <w:pStyle w:val="ARtabletextright"/>
            </w:pPr>
            <w:r>
              <w:t>1.21</w:t>
            </w:r>
          </w:p>
        </w:tc>
      </w:tr>
    </w:tbl>
    <w:p w:rsidR="0092299C" w:rsidRPr="004C3A1B" w:rsidRDefault="0092299C" w:rsidP="0092299C">
      <w:pPr>
        <w:pStyle w:val="ARtablefootnote"/>
      </w:pPr>
      <w:r>
        <w:t xml:space="preserve">Reported water </w:t>
      </w:r>
      <w:r w:rsidRPr="0023100D">
        <w:t>usage</w:t>
      </w:r>
      <w:r>
        <w:t xml:space="preserve"> includes an 8 per cent estimate due to some actual data being unavailable from water authorities at the time of reporting.</w:t>
      </w:r>
    </w:p>
    <w:p w:rsidR="0092299C" w:rsidRDefault="0092299C" w:rsidP="0092299C">
      <w:pPr>
        <w:pStyle w:val="Heading2"/>
      </w:pPr>
      <w:r>
        <w:t xml:space="preserve">Waste </w:t>
      </w:r>
      <w:r w:rsidRPr="0023100D">
        <w:t>production</w:t>
      </w:r>
    </w:p>
    <w:p w:rsidR="0092299C" w:rsidRPr="00843E15" w:rsidRDefault="0092299C" w:rsidP="0092299C">
      <w:pPr>
        <w:pStyle w:val="Heading3"/>
      </w:pPr>
      <w:r w:rsidRPr="00843E15">
        <w:t>Office</w:t>
      </w:r>
      <w:r>
        <w:t xml:space="preserve"> </w:t>
      </w:r>
      <w:r w:rsidRPr="0023100D">
        <w:t>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835"/>
        <w:gridCol w:w="2268"/>
        <w:gridCol w:w="2268"/>
        <w:gridCol w:w="2268"/>
      </w:tblGrid>
      <w:tr w:rsidR="0092299C" w:rsidRPr="00F33DBC" w:rsidTr="00D0208F">
        <w:trPr>
          <w:cantSplit/>
          <w:trHeight w:val="285"/>
          <w:tblHeader/>
        </w:trPr>
        <w:tc>
          <w:tcPr>
            <w:tcW w:w="2835" w:type="dxa"/>
            <w:vAlign w:val="bottom"/>
          </w:tcPr>
          <w:p w:rsidR="0092299C" w:rsidRPr="0023100D" w:rsidRDefault="0092299C" w:rsidP="0092299C">
            <w:pPr>
              <w:pStyle w:val="ARtablecolhead"/>
            </w:pPr>
            <w:r w:rsidRPr="0023100D">
              <w:t>Description</w:t>
            </w:r>
          </w:p>
        </w:tc>
        <w:tc>
          <w:tcPr>
            <w:tcW w:w="2268" w:type="dxa"/>
            <w:vAlign w:val="bottom"/>
          </w:tcPr>
          <w:p w:rsidR="0092299C" w:rsidRPr="0023100D" w:rsidRDefault="0092299C" w:rsidP="0092299C">
            <w:pPr>
              <w:pStyle w:val="ARtablecolheadright"/>
            </w:pPr>
            <w:r w:rsidRPr="0023100D">
              <w:t>2014–15 estimate</w:t>
            </w:r>
          </w:p>
        </w:tc>
        <w:tc>
          <w:tcPr>
            <w:tcW w:w="2268" w:type="dxa"/>
            <w:vAlign w:val="bottom"/>
          </w:tcPr>
          <w:p w:rsidR="0092299C" w:rsidRPr="0023100D" w:rsidRDefault="0092299C" w:rsidP="0092299C">
            <w:pPr>
              <w:pStyle w:val="ARtablecolheadright"/>
            </w:pPr>
            <w:r>
              <w:t xml:space="preserve">2015–16 </w:t>
            </w:r>
            <w:r w:rsidRPr="0023100D">
              <w:t>estimate</w:t>
            </w:r>
          </w:p>
        </w:tc>
        <w:tc>
          <w:tcPr>
            <w:tcW w:w="2268" w:type="dxa"/>
            <w:vAlign w:val="bottom"/>
          </w:tcPr>
          <w:p w:rsidR="0092299C" w:rsidRPr="0023100D" w:rsidRDefault="0092299C" w:rsidP="0092299C">
            <w:pPr>
              <w:pStyle w:val="ARtablecolheadright"/>
            </w:pPr>
            <w:r w:rsidRPr="0023100D">
              <w:t>2016–17 estimate</w:t>
            </w:r>
          </w:p>
        </w:tc>
      </w:tr>
      <w:tr w:rsidR="0092299C" w:rsidRPr="00843E15" w:rsidTr="00D0208F">
        <w:trPr>
          <w:cantSplit/>
          <w:trHeight w:val="285"/>
          <w:tblHeader/>
        </w:trPr>
        <w:tc>
          <w:tcPr>
            <w:tcW w:w="2835" w:type="dxa"/>
            <w:vAlign w:val="bottom"/>
          </w:tcPr>
          <w:p w:rsidR="0092299C" w:rsidRPr="0023100D" w:rsidRDefault="0092299C" w:rsidP="0092299C">
            <w:pPr>
              <w:pStyle w:val="ARtablecolhead"/>
            </w:pPr>
            <w:r w:rsidRPr="0023100D">
              <w:t xml:space="preserve">Total units of waste disposed of by destination </w:t>
            </w:r>
          </w:p>
        </w:tc>
        <w:tc>
          <w:tcPr>
            <w:tcW w:w="2268" w:type="dxa"/>
            <w:vAlign w:val="bottom"/>
          </w:tcPr>
          <w:p w:rsidR="0092299C" w:rsidRPr="0023100D" w:rsidRDefault="0092299C" w:rsidP="0092299C">
            <w:pPr>
              <w:pStyle w:val="ARtablecolheadright"/>
            </w:pPr>
            <w:r w:rsidRPr="0023100D">
              <w:t>Kilograms/year</w:t>
            </w:r>
          </w:p>
        </w:tc>
        <w:tc>
          <w:tcPr>
            <w:tcW w:w="2268" w:type="dxa"/>
            <w:vAlign w:val="bottom"/>
          </w:tcPr>
          <w:p w:rsidR="0092299C" w:rsidRPr="0023100D" w:rsidRDefault="0092299C" w:rsidP="0092299C">
            <w:pPr>
              <w:pStyle w:val="ARtablecolheadright"/>
            </w:pPr>
            <w:r w:rsidRPr="0023100D">
              <w:t>Kilograms/year</w:t>
            </w:r>
          </w:p>
        </w:tc>
        <w:tc>
          <w:tcPr>
            <w:tcW w:w="2268" w:type="dxa"/>
            <w:vAlign w:val="bottom"/>
          </w:tcPr>
          <w:p w:rsidR="0092299C" w:rsidRPr="0023100D" w:rsidRDefault="0092299C" w:rsidP="0092299C">
            <w:pPr>
              <w:pStyle w:val="ARtablecolheadright"/>
            </w:pPr>
            <w:r w:rsidRPr="0023100D">
              <w:t>Kilograms/year</w:t>
            </w:r>
          </w:p>
        </w:tc>
      </w:tr>
      <w:tr w:rsidR="0092299C" w:rsidRPr="00F33DBC" w:rsidTr="00D0208F">
        <w:trPr>
          <w:cantSplit/>
          <w:trHeight w:val="285"/>
        </w:trPr>
        <w:tc>
          <w:tcPr>
            <w:tcW w:w="2835" w:type="dxa"/>
          </w:tcPr>
          <w:p w:rsidR="0092299C" w:rsidRPr="00F33DBC" w:rsidRDefault="0092299C" w:rsidP="0092299C">
            <w:pPr>
              <w:pStyle w:val="ARtabletext"/>
            </w:pPr>
            <w:r w:rsidRPr="00F33DBC">
              <w:t>Landfill</w:t>
            </w:r>
          </w:p>
        </w:tc>
        <w:tc>
          <w:tcPr>
            <w:tcW w:w="2268" w:type="dxa"/>
          </w:tcPr>
          <w:p w:rsidR="0092299C" w:rsidRPr="0023100D" w:rsidRDefault="0092299C" w:rsidP="0092299C">
            <w:pPr>
              <w:pStyle w:val="ARtabletextright"/>
            </w:pPr>
            <w:r w:rsidRPr="0023100D">
              <w:t>169,650</w:t>
            </w:r>
          </w:p>
        </w:tc>
        <w:tc>
          <w:tcPr>
            <w:tcW w:w="2268" w:type="dxa"/>
          </w:tcPr>
          <w:p w:rsidR="0092299C" w:rsidRPr="0023100D" w:rsidRDefault="0092299C" w:rsidP="0092299C">
            <w:pPr>
              <w:pStyle w:val="ARtabletextright"/>
            </w:pPr>
            <w:r w:rsidRPr="0023100D">
              <w:t>180,949</w:t>
            </w:r>
          </w:p>
        </w:tc>
        <w:tc>
          <w:tcPr>
            <w:tcW w:w="2268" w:type="dxa"/>
          </w:tcPr>
          <w:p w:rsidR="0092299C" w:rsidRPr="0023100D" w:rsidRDefault="0092299C" w:rsidP="0092299C">
            <w:pPr>
              <w:pStyle w:val="ARtabletextright"/>
            </w:pPr>
            <w:r w:rsidRPr="0023100D">
              <w:t>199,502</w:t>
            </w:r>
          </w:p>
        </w:tc>
      </w:tr>
      <w:tr w:rsidR="0092299C" w:rsidRPr="00F33DBC" w:rsidTr="00D0208F">
        <w:trPr>
          <w:cantSplit/>
          <w:trHeight w:val="285"/>
          <w:tblHeader/>
        </w:trPr>
        <w:tc>
          <w:tcPr>
            <w:tcW w:w="2835" w:type="dxa"/>
          </w:tcPr>
          <w:p w:rsidR="0092299C" w:rsidRPr="00F33DBC" w:rsidRDefault="0092299C" w:rsidP="0092299C">
            <w:pPr>
              <w:pStyle w:val="ARtabletext"/>
            </w:pPr>
            <w:r w:rsidRPr="00F33DBC">
              <w:t>Recycling</w:t>
            </w:r>
          </w:p>
        </w:tc>
        <w:tc>
          <w:tcPr>
            <w:tcW w:w="2268" w:type="dxa"/>
          </w:tcPr>
          <w:p w:rsidR="0092299C" w:rsidRPr="0023100D" w:rsidRDefault="0092299C" w:rsidP="0092299C">
            <w:pPr>
              <w:pStyle w:val="ARtabletextright"/>
            </w:pPr>
            <w:r w:rsidRPr="0023100D">
              <w:t>261,000</w:t>
            </w:r>
          </w:p>
        </w:tc>
        <w:tc>
          <w:tcPr>
            <w:tcW w:w="2268" w:type="dxa"/>
          </w:tcPr>
          <w:p w:rsidR="0092299C" w:rsidRPr="0023100D" w:rsidRDefault="0092299C" w:rsidP="0092299C">
            <w:pPr>
              <w:pStyle w:val="ARtabletextright"/>
            </w:pPr>
            <w:r w:rsidRPr="0023100D">
              <w:t>261,840</w:t>
            </w:r>
          </w:p>
        </w:tc>
        <w:tc>
          <w:tcPr>
            <w:tcW w:w="2268" w:type="dxa"/>
          </w:tcPr>
          <w:p w:rsidR="0092299C" w:rsidRPr="0023100D" w:rsidRDefault="0092299C" w:rsidP="0092299C">
            <w:pPr>
              <w:pStyle w:val="ARtabletextright"/>
            </w:pPr>
            <w:r w:rsidRPr="0023100D">
              <w:t>255,175</w:t>
            </w:r>
          </w:p>
        </w:tc>
      </w:tr>
      <w:tr w:rsidR="0092299C" w:rsidRPr="00F33DBC" w:rsidTr="00D0208F">
        <w:trPr>
          <w:cantSplit/>
          <w:trHeight w:val="285"/>
          <w:tblHeader/>
        </w:trPr>
        <w:tc>
          <w:tcPr>
            <w:tcW w:w="2835" w:type="dxa"/>
          </w:tcPr>
          <w:p w:rsidR="0092299C" w:rsidRPr="00F33DBC" w:rsidRDefault="0092299C" w:rsidP="0092299C">
            <w:pPr>
              <w:pStyle w:val="ARtabletext"/>
            </w:pPr>
            <w:r w:rsidRPr="00F33DBC">
              <w:t>Compost</w:t>
            </w:r>
          </w:p>
        </w:tc>
        <w:tc>
          <w:tcPr>
            <w:tcW w:w="2268" w:type="dxa"/>
          </w:tcPr>
          <w:p w:rsidR="0092299C" w:rsidRPr="0023100D" w:rsidRDefault="0092299C" w:rsidP="0092299C">
            <w:pPr>
              <w:pStyle w:val="ARtabletextright"/>
            </w:pPr>
            <w:r w:rsidRPr="0023100D">
              <w:t>653</w:t>
            </w:r>
          </w:p>
        </w:tc>
        <w:tc>
          <w:tcPr>
            <w:tcW w:w="2268" w:type="dxa"/>
          </w:tcPr>
          <w:p w:rsidR="0092299C" w:rsidRPr="0023100D" w:rsidRDefault="0092299C" w:rsidP="0092299C">
            <w:pPr>
              <w:pStyle w:val="ARtabletextright"/>
            </w:pPr>
            <w:r w:rsidRPr="0023100D">
              <w:t>23,107</w:t>
            </w:r>
          </w:p>
        </w:tc>
        <w:tc>
          <w:tcPr>
            <w:tcW w:w="2268" w:type="dxa"/>
          </w:tcPr>
          <w:p w:rsidR="0092299C" w:rsidRPr="0023100D" w:rsidRDefault="0092299C" w:rsidP="0092299C">
            <w:pPr>
              <w:pStyle w:val="ARtabletextright"/>
            </w:pPr>
            <w:r w:rsidRPr="0023100D">
              <w:t>29,583</w:t>
            </w:r>
          </w:p>
        </w:tc>
      </w:tr>
      <w:tr w:rsidR="0092299C" w:rsidRPr="00912528" w:rsidTr="00D0208F">
        <w:trPr>
          <w:cantSplit/>
          <w:trHeight w:val="285"/>
          <w:tblHeader/>
        </w:trPr>
        <w:tc>
          <w:tcPr>
            <w:tcW w:w="2835" w:type="dxa"/>
          </w:tcPr>
          <w:p w:rsidR="0092299C" w:rsidRPr="00912528" w:rsidRDefault="0092299C" w:rsidP="0092299C">
            <w:pPr>
              <w:pStyle w:val="ARtabletext"/>
              <w:rPr>
                <w:b/>
              </w:rPr>
            </w:pPr>
            <w:r w:rsidRPr="00912528">
              <w:rPr>
                <w:b/>
              </w:rPr>
              <w:t>Total</w:t>
            </w:r>
          </w:p>
        </w:tc>
        <w:tc>
          <w:tcPr>
            <w:tcW w:w="2268" w:type="dxa"/>
          </w:tcPr>
          <w:p w:rsidR="0092299C" w:rsidRPr="0023100D" w:rsidRDefault="0092299C" w:rsidP="0092299C">
            <w:pPr>
              <w:pStyle w:val="ARtabletextright"/>
              <w:rPr>
                <w:b/>
              </w:rPr>
            </w:pPr>
            <w:r w:rsidRPr="0023100D">
              <w:rPr>
                <w:b/>
              </w:rPr>
              <w:t>431,303</w:t>
            </w:r>
          </w:p>
        </w:tc>
        <w:tc>
          <w:tcPr>
            <w:tcW w:w="2268" w:type="dxa"/>
          </w:tcPr>
          <w:p w:rsidR="0092299C" w:rsidRPr="0023100D" w:rsidRDefault="0092299C" w:rsidP="0092299C">
            <w:pPr>
              <w:pStyle w:val="ARtabletextright"/>
              <w:rPr>
                <w:b/>
              </w:rPr>
            </w:pPr>
            <w:r w:rsidRPr="0023100D">
              <w:rPr>
                <w:b/>
              </w:rPr>
              <w:t>465,896</w:t>
            </w:r>
          </w:p>
        </w:tc>
        <w:tc>
          <w:tcPr>
            <w:tcW w:w="2268" w:type="dxa"/>
          </w:tcPr>
          <w:p w:rsidR="0092299C" w:rsidRPr="0023100D" w:rsidRDefault="0092299C" w:rsidP="0092299C">
            <w:pPr>
              <w:pStyle w:val="ARtabletextright"/>
              <w:rPr>
                <w:b/>
              </w:rPr>
            </w:pPr>
            <w:r w:rsidRPr="0023100D">
              <w:rPr>
                <w:b/>
              </w:rPr>
              <w:t>484,260</w:t>
            </w:r>
          </w:p>
        </w:tc>
      </w:tr>
    </w:tbl>
    <w:p w:rsidR="000979BC" w:rsidRDefault="000979BC" w:rsidP="000979B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92299C" w:rsidRPr="00F33DBC" w:rsidTr="0092299C">
        <w:trPr>
          <w:cantSplit/>
          <w:trHeight w:val="285"/>
          <w:tblHeader/>
        </w:trPr>
        <w:tc>
          <w:tcPr>
            <w:tcW w:w="2835" w:type="dxa"/>
            <w:vAlign w:val="bottom"/>
          </w:tcPr>
          <w:p w:rsidR="0092299C" w:rsidRPr="0023100D" w:rsidRDefault="0092299C" w:rsidP="0092299C">
            <w:pPr>
              <w:pStyle w:val="ARtablecolhead"/>
            </w:pPr>
            <w:r w:rsidRPr="0023100D">
              <w:t>Description</w:t>
            </w:r>
          </w:p>
        </w:tc>
        <w:tc>
          <w:tcPr>
            <w:tcW w:w="2268" w:type="dxa"/>
            <w:vAlign w:val="bottom"/>
          </w:tcPr>
          <w:p w:rsidR="0092299C" w:rsidRPr="0023100D" w:rsidRDefault="0092299C" w:rsidP="0092299C">
            <w:pPr>
              <w:pStyle w:val="ARtablecolheadright"/>
            </w:pPr>
            <w:r w:rsidRPr="0023100D">
              <w:t>2014–15 estimate</w:t>
            </w:r>
          </w:p>
        </w:tc>
        <w:tc>
          <w:tcPr>
            <w:tcW w:w="2268" w:type="dxa"/>
            <w:vAlign w:val="bottom"/>
          </w:tcPr>
          <w:p w:rsidR="0092299C" w:rsidRPr="0023100D" w:rsidRDefault="0092299C" w:rsidP="0092299C">
            <w:pPr>
              <w:pStyle w:val="ARtablecolheadright"/>
            </w:pPr>
            <w:r>
              <w:t xml:space="preserve">2015–16 </w:t>
            </w:r>
            <w:r w:rsidRPr="0023100D">
              <w:t>estimate</w:t>
            </w:r>
          </w:p>
        </w:tc>
        <w:tc>
          <w:tcPr>
            <w:tcW w:w="2268" w:type="dxa"/>
            <w:vAlign w:val="bottom"/>
          </w:tcPr>
          <w:p w:rsidR="0092299C" w:rsidRPr="0023100D" w:rsidRDefault="0092299C" w:rsidP="0092299C">
            <w:pPr>
              <w:pStyle w:val="ARtablecolheadright"/>
            </w:pPr>
            <w:r w:rsidRPr="0023100D">
              <w:t>2016–17 estimate</w:t>
            </w:r>
          </w:p>
        </w:tc>
      </w:tr>
      <w:tr w:rsidR="0092299C" w:rsidRPr="00843E15" w:rsidTr="0092299C">
        <w:trPr>
          <w:cantSplit/>
          <w:trHeight w:val="554"/>
          <w:tblHeader/>
        </w:trPr>
        <w:tc>
          <w:tcPr>
            <w:tcW w:w="2835" w:type="dxa"/>
            <w:vAlign w:val="bottom"/>
          </w:tcPr>
          <w:p w:rsidR="0092299C" w:rsidRPr="0023100D" w:rsidRDefault="0092299C" w:rsidP="0092299C">
            <w:pPr>
              <w:pStyle w:val="ARtablecolhead"/>
            </w:pPr>
            <w:r w:rsidRPr="0023100D">
              <w:t>Total units of waste disposed of per FTE by destination</w:t>
            </w:r>
          </w:p>
        </w:tc>
        <w:tc>
          <w:tcPr>
            <w:tcW w:w="2268" w:type="dxa"/>
            <w:vAlign w:val="bottom"/>
          </w:tcPr>
          <w:p w:rsidR="0092299C" w:rsidRPr="0023100D" w:rsidRDefault="0092299C" w:rsidP="0092299C">
            <w:pPr>
              <w:pStyle w:val="ARtablecolheadright"/>
            </w:pPr>
            <w:r w:rsidRPr="0023100D">
              <w:t>Kilograms/FTE/year</w:t>
            </w:r>
          </w:p>
        </w:tc>
        <w:tc>
          <w:tcPr>
            <w:tcW w:w="2268" w:type="dxa"/>
            <w:vAlign w:val="bottom"/>
          </w:tcPr>
          <w:p w:rsidR="0092299C" w:rsidRPr="0023100D" w:rsidRDefault="0092299C" w:rsidP="0092299C">
            <w:pPr>
              <w:pStyle w:val="ARtablecolheadright"/>
            </w:pPr>
            <w:r w:rsidRPr="0023100D">
              <w:t>Kilograms/FTE/year</w:t>
            </w:r>
          </w:p>
        </w:tc>
        <w:tc>
          <w:tcPr>
            <w:tcW w:w="2268" w:type="dxa"/>
            <w:vAlign w:val="bottom"/>
          </w:tcPr>
          <w:p w:rsidR="0092299C" w:rsidRPr="0023100D" w:rsidRDefault="0092299C" w:rsidP="0092299C">
            <w:pPr>
              <w:pStyle w:val="ARtablecolheadright"/>
            </w:pPr>
            <w:r w:rsidRPr="0023100D">
              <w:t>Kilograms/FTE/year</w:t>
            </w:r>
          </w:p>
        </w:tc>
      </w:tr>
      <w:tr w:rsidR="0092299C" w:rsidRPr="00F33DBC" w:rsidTr="0092299C">
        <w:trPr>
          <w:cantSplit/>
          <w:trHeight w:val="285"/>
        </w:trPr>
        <w:tc>
          <w:tcPr>
            <w:tcW w:w="2835" w:type="dxa"/>
          </w:tcPr>
          <w:p w:rsidR="0092299C" w:rsidRPr="00F33DBC" w:rsidRDefault="0092299C" w:rsidP="0092299C">
            <w:pPr>
              <w:pStyle w:val="ARtabletext"/>
            </w:pPr>
            <w:r w:rsidRPr="00F33DBC">
              <w:t>Landfill</w:t>
            </w:r>
          </w:p>
        </w:tc>
        <w:tc>
          <w:tcPr>
            <w:tcW w:w="2268" w:type="dxa"/>
          </w:tcPr>
          <w:p w:rsidR="0092299C" w:rsidRPr="00F33DBC" w:rsidRDefault="0092299C" w:rsidP="0092299C">
            <w:pPr>
              <w:pStyle w:val="ARtabletext"/>
              <w:jc w:val="right"/>
            </w:pPr>
            <w:r w:rsidRPr="00F33DBC">
              <w:t>26</w:t>
            </w:r>
          </w:p>
        </w:tc>
        <w:tc>
          <w:tcPr>
            <w:tcW w:w="2268" w:type="dxa"/>
          </w:tcPr>
          <w:p w:rsidR="0092299C" w:rsidRPr="00F33DBC" w:rsidRDefault="0092299C" w:rsidP="0092299C">
            <w:pPr>
              <w:pStyle w:val="ARtabletext"/>
              <w:jc w:val="right"/>
            </w:pPr>
            <w:r>
              <w:t>24</w:t>
            </w:r>
          </w:p>
        </w:tc>
        <w:tc>
          <w:tcPr>
            <w:tcW w:w="2268" w:type="dxa"/>
          </w:tcPr>
          <w:p w:rsidR="0092299C" w:rsidRPr="00F33DBC" w:rsidRDefault="0092299C" w:rsidP="0092299C">
            <w:pPr>
              <w:pStyle w:val="ARtabletext"/>
              <w:jc w:val="right"/>
            </w:pPr>
            <w:r>
              <w:t>27</w:t>
            </w:r>
          </w:p>
        </w:tc>
      </w:tr>
      <w:tr w:rsidR="0092299C" w:rsidRPr="00F33DBC" w:rsidTr="0092299C">
        <w:trPr>
          <w:cantSplit/>
          <w:trHeight w:val="285"/>
        </w:trPr>
        <w:tc>
          <w:tcPr>
            <w:tcW w:w="2835" w:type="dxa"/>
          </w:tcPr>
          <w:p w:rsidR="0092299C" w:rsidRPr="00F33DBC" w:rsidRDefault="0092299C" w:rsidP="0092299C">
            <w:pPr>
              <w:pStyle w:val="ARtabletext"/>
            </w:pPr>
            <w:r w:rsidRPr="00F33DBC">
              <w:t>Recycling</w:t>
            </w:r>
          </w:p>
        </w:tc>
        <w:tc>
          <w:tcPr>
            <w:tcW w:w="2268" w:type="dxa"/>
          </w:tcPr>
          <w:p w:rsidR="0092299C" w:rsidRPr="00F33DBC" w:rsidRDefault="0092299C" w:rsidP="0092299C">
            <w:pPr>
              <w:pStyle w:val="ARtabletext"/>
              <w:jc w:val="right"/>
            </w:pPr>
            <w:r w:rsidRPr="00F33DBC">
              <w:t>40</w:t>
            </w:r>
          </w:p>
        </w:tc>
        <w:tc>
          <w:tcPr>
            <w:tcW w:w="2268" w:type="dxa"/>
          </w:tcPr>
          <w:p w:rsidR="0092299C" w:rsidRPr="00F33DBC" w:rsidRDefault="0092299C" w:rsidP="0092299C">
            <w:pPr>
              <w:pStyle w:val="ARtabletext"/>
              <w:jc w:val="right"/>
            </w:pPr>
            <w:r>
              <w:t>35</w:t>
            </w:r>
          </w:p>
        </w:tc>
        <w:tc>
          <w:tcPr>
            <w:tcW w:w="2268" w:type="dxa"/>
          </w:tcPr>
          <w:p w:rsidR="0092299C" w:rsidRPr="00F33DBC" w:rsidRDefault="0092299C" w:rsidP="0092299C">
            <w:pPr>
              <w:pStyle w:val="ARtabletext"/>
              <w:jc w:val="right"/>
            </w:pPr>
            <w:r>
              <w:t>34</w:t>
            </w:r>
          </w:p>
        </w:tc>
      </w:tr>
      <w:tr w:rsidR="0092299C" w:rsidRPr="00F33DBC" w:rsidTr="0092299C">
        <w:trPr>
          <w:cantSplit/>
          <w:trHeight w:val="285"/>
        </w:trPr>
        <w:tc>
          <w:tcPr>
            <w:tcW w:w="2835" w:type="dxa"/>
          </w:tcPr>
          <w:p w:rsidR="0092299C" w:rsidRPr="00F33DBC" w:rsidRDefault="0092299C" w:rsidP="0092299C">
            <w:pPr>
              <w:pStyle w:val="ARtabletext"/>
            </w:pPr>
            <w:r w:rsidRPr="00F33DBC">
              <w:t>Compost</w:t>
            </w:r>
          </w:p>
        </w:tc>
        <w:tc>
          <w:tcPr>
            <w:tcW w:w="2268" w:type="dxa"/>
          </w:tcPr>
          <w:p w:rsidR="0092299C" w:rsidRPr="00F33DBC" w:rsidRDefault="0092299C" w:rsidP="0092299C">
            <w:pPr>
              <w:pStyle w:val="ARtabletext"/>
              <w:jc w:val="right"/>
            </w:pPr>
            <w:r w:rsidRPr="00F33DBC">
              <w:t>0.1</w:t>
            </w:r>
          </w:p>
        </w:tc>
        <w:tc>
          <w:tcPr>
            <w:tcW w:w="2268" w:type="dxa"/>
          </w:tcPr>
          <w:p w:rsidR="0092299C" w:rsidRPr="00F33DBC" w:rsidRDefault="0092299C" w:rsidP="0092299C">
            <w:pPr>
              <w:pStyle w:val="ARtabletext"/>
              <w:jc w:val="right"/>
            </w:pPr>
            <w:r>
              <w:t>3</w:t>
            </w:r>
          </w:p>
        </w:tc>
        <w:tc>
          <w:tcPr>
            <w:tcW w:w="2268" w:type="dxa"/>
          </w:tcPr>
          <w:p w:rsidR="0092299C" w:rsidRPr="00F33DBC" w:rsidRDefault="0092299C" w:rsidP="0092299C">
            <w:pPr>
              <w:pStyle w:val="ARtabletext"/>
              <w:jc w:val="right"/>
            </w:pPr>
            <w:r>
              <w:t>4</w:t>
            </w:r>
          </w:p>
        </w:tc>
      </w:tr>
      <w:tr w:rsidR="0092299C" w:rsidRPr="00F33DBC" w:rsidTr="0092299C">
        <w:trPr>
          <w:cantSplit/>
          <w:trHeight w:val="285"/>
        </w:trPr>
        <w:tc>
          <w:tcPr>
            <w:tcW w:w="2835" w:type="dxa"/>
          </w:tcPr>
          <w:p w:rsidR="0092299C" w:rsidRPr="00912528" w:rsidRDefault="0092299C" w:rsidP="0092299C">
            <w:pPr>
              <w:pStyle w:val="ARtabletext"/>
              <w:rPr>
                <w:b/>
              </w:rPr>
            </w:pPr>
            <w:r w:rsidRPr="00912528">
              <w:rPr>
                <w:b/>
              </w:rPr>
              <w:t>Total</w:t>
            </w:r>
          </w:p>
        </w:tc>
        <w:tc>
          <w:tcPr>
            <w:tcW w:w="2268" w:type="dxa"/>
          </w:tcPr>
          <w:p w:rsidR="0092299C" w:rsidRPr="00912528" w:rsidRDefault="0092299C" w:rsidP="0092299C">
            <w:pPr>
              <w:pStyle w:val="ARtabletext"/>
              <w:jc w:val="right"/>
              <w:rPr>
                <w:b/>
              </w:rPr>
            </w:pPr>
            <w:r w:rsidRPr="00912528">
              <w:rPr>
                <w:b/>
              </w:rPr>
              <w:t>66</w:t>
            </w:r>
          </w:p>
        </w:tc>
        <w:tc>
          <w:tcPr>
            <w:tcW w:w="2268" w:type="dxa"/>
          </w:tcPr>
          <w:p w:rsidR="0092299C" w:rsidRPr="00912528" w:rsidRDefault="0092299C" w:rsidP="0092299C">
            <w:pPr>
              <w:pStyle w:val="ARtabletext"/>
              <w:jc w:val="right"/>
              <w:rPr>
                <w:b/>
              </w:rPr>
            </w:pPr>
            <w:r>
              <w:rPr>
                <w:b/>
              </w:rPr>
              <w:t>62</w:t>
            </w:r>
          </w:p>
        </w:tc>
        <w:tc>
          <w:tcPr>
            <w:tcW w:w="2268" w:type="dxa"/>
          </w:tcPr>
          <w:p w:rsidR="0092299C" w:rsidRPr="00912528" w:rsidRDefault="0092299C" w:rsidP="0092299C">
            <w:pPr>
              <w:pStyle w:val="ARtabletext"/>
              <w:jc w:val="right"/>
              <w:rPr>
                <w:b/>
              </w:rPr>
            </w:pPr>
            <w:r>
              <w:rPr>
                <w:b/>
              </w:rPr>
              <w:t>65</w:t>
            </w:r>
          </w:p>
        </w:tc>
      </w:tr>
    </w:tbl>
    <w:p w:rsidR="0092299C" w:rsidRDefault="0092299C" w:rsidP="0092299C">
      <w:pPr>
        <w:pStyle w:val="ARtablecolhead"/>
        <w:spacing w:before="60"/>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92299C" w:rsidRPr="00F33DBC" w:rsidTr="0092299C">
        <w:trPr>
          <w:cantSplit/>
          <w:trHeight w:val="285"/>
          <w:tblHeader/>
        </w:trPr>
        <w:tc>
          <w:tcPr>
            <w:tcW w:w="2835" w:type="dxa"/>
            <w:vAlign w:val="bottom"/>
          </w:tcPr>
          <w:p w:rsidR="0092299C" w:rsidRPr="00F33DBC" w:rsidRDefault="0092299C" w:rsidP="00A95AE6">
            <w:pPr>
              <w:pStyle w:val="ARtablecolhead"/>
              <w:pageBreakBefore/>
            </w:pPr>
            <w:r w:rsidRPr="00F33DBC">
              <w:lastRenderedPageBreak/>
              <w:t>Description</w:t>
            </w:r>
          </w:p>
        </w:tc>
        <w:tc>
          <w:tcPr>
            <w:tcW w:w="2268" w:type="dxa"/>
            <w:vAlign w:val="bottom"/>
          </w:tcPr>
          <w:p w:rsidR="0092299C" w:rsidRPr="00F33DBC" w:rsidRDefault="0092299C" w:rsidP="0092299C">
            <w:pPr>
              <w:pStyle w:val="ARtablecolheadright"/>
            </w:pPr>
            <w:r w:rsidRPr="00F33DBC">
              <w:t>2014–15 estimate</w:t>
            </w:r>
          </w:p>
        </w:tc>
        <w:tc>
          <w:tcPr>
            <w:tcW w:w="2268" w:type="dxa"/>
            <w:vAlign w:val="bottom"/>
          </w:tcPr>
          <w:p w:rsidR="0092299C" w:rsidRPr="00F33DBC" w:rsidRDefault="0092299C" w:rsidP="0092299C">
            <w:pPr>
              <w:pStyle w:val="ARtablecolheadright"/>
            </w:pPr>
            <w:r>
              <w:t>2015–16 estimate</w:t>
            </w:r>
          </w:p>
        </w:tc>
        <w:tc>
          <w:tcPr>
            <w:tcW w:w="2268" w:type="dxa"/>
            <w:vAlign w:val="bottom"/>
          </w:tcPr>
          <w:p w:rsidR="0092299C" w:rsidRPr="00F33DBC" w:rsidRDefault="0092299C" w:rsidP="0092299C">
            <w:pPr>
              <w:pStyle w:val="ARtablecolheadright"/>
            </w:pPr>
            <w:r>
              <w:t>2016–17 estimate</w:t>
            </w:r>
          </w:p>
        </w:tc>
      </w:tr>
      <w:tr w:rsidR="0092299C" w:rsidRPr="00F33DBC" w:rsidTr="0092299C">
        <w:trPr>
          <w:cantSplit/>
          <w:trHeight w:val="285"/>
        </w:trPr>
        <w:tc>
          <w:tcPr>
            <w:tcW w:w="2835" w:type="dxa"/>
          </w:tcPr>
          <w:p w:rsidR="0092299C" w:rsidRPr="0023100D" w:rsidRDefault="0092299C" w:rsidP="0092299C">
            <w:pPr>
              <w:pStyle w:val="ARtabletext"/>
            </w:pPr>
            <w:r w:rsidRPr="0023100D">
              <w:t>Recycling rate (per cent)</w:t>
            </w:r>
          </w:p>
        </w:tc>
        <w:tc>
          <w:tcPr>
            <w:tcW w:w="2268" w:type="dxa"/>
          </w:tcPr>
          <w:p w:rsidR="0092299C" w:rsidRPr="0023100D" w:rsidRDefault="0092299C" w:rsidP="0092299C">
            <w:pPr>
              <w:pStyle w:val="ARtabletextright"/>
            </w:pPr>
            <w:r w:rsidRPr="0023100D">
              <w:t>60%</w:t>
            </w:r>
          </w:p>
        </w:tc>
        <w:tc>
          <w:tcPr>
            <w:tcW w:w="2268" w:type="dxa"/>
          </w:tcPr>
          <w:p w:rsidR="0092299C" w:rsidRPr="0023100D" w:rsidRDefault="0092299C" w:rsidP="0092299C">
            <w:pPr>
              <w:pStyle w:val="ARtabletextright"/>
            </w:pPr>
            <w:r w:rsidRPr="0023100D">
              <w:t>61%</w:t>
            </w:r>
          </w:p>
        </w:tc>
        <w:tc>
          <w:tcPr>
            <w:tcW w:w="2268" w:type="dxa"/>
          </w:tcPr>
          <w:p w:rsidR="0092299C" w:rsidRPr="0023100D" w:rsidRDefault="0092299C" w:rsidP="0092299C">
            <w:pPr>
              <w:pStyle w:val="ARtabletextright"/>
            </w:pPr>
            <w:r w:rsidRPr="0023100D">
              <w:t>59%</w:t>
            </w:r>
          </w:p>
        </w:tc>
      </w:tr>
      <w:tr w:rsidR="0092299C" w:rsidRPr="00F33DBC" w:rsidTr="00DB5778">
        <w:trPr>
          <w:cantSplit/>
          <w:trHeight w:val="554"/>
        </w:trPr>
        <w:tc>
          <w:tcPr>
            <w:tcW w:w="2835" w:type="dxa"/>
          </w:tcPr>
          <w:p w:rsidR="0092299C" w:rsidRPr="0023100D" w:rsidRDefault="0092299C" w:rsidP="0092299C">
            <w:pPr>
              <w:pStyle w:val="ARtabletext"/>
            </w:pPr>
            <w:r w:rsidRPr="0023100D">
              <w:t>Greenhouse gas emissions associated with waste to landfill (tonnes of CO</w:t>
            </w:r>
            <w:r w:rsidRPr="00D23DA6">
              <w:rPr>
                <w:vertAlign w:val="subscript"/>
              </w:rPr>
              <w:t>2</w:t>
            </w:r>
            <w:r w:rsidRPr="0023100D">
              <w:t>-e)</w:t>
            </w:r>
          </w:p>
        </w:tc>
        <w:tc>
          <w:tcPr>
            <w:tcW w:w="2268" w:type="dxa"/>
          </w:tcPr>
          <w:p w:rsidR="0092299C" w:rsidRPr="0023100D" w:rsidRDefault="0092299C" w:rsidP="0092299C">
            <w:pPr>
              <w:pStyle w:val="ARtabletextright"/>
            </w:pPr>
            <w:r w:rsidRPr="0023100D">
              <w:t>209</w:t>
            </w:r>
          </w:p>
        </w:tc>
        <w:tc>
          <w:tcPr>
            <w:tcW w:w="2268" w:type="dxa"/>
          </w:tcPr>
          <w:p w:rsidR="0092299C" w:rsidRPr="0023100D" w:rsidRDefault="0092299C" w:rsidP="0092299C">
            <w:pPr>
              <w:pStyle w:val="ARtabletextright"/>
            </w:pPr>
            <w:r w:rsidRPr="0023100D">
              <w:t>235</w:t>
            </w:r>
          </w:p>
        </w:tc>
        <w:tc>
          <w:tcPr>
            <w:tcW w:w="2268" w:type="dxa"/>
          </w:tcPr>
          <w:p w:rsidR="0092299C" w:rsidRPr="0023100D" w:rsidRDefault="0092299C" w:rsidP="0092299C">
            <w:pPr>
              <w:pStyle w:val="ARtabletextright"/>
            </w:pPr>
            <w:r w:rsidRPr="0023100D">
              <w:t>243</w:t>
            </w:r>
          </w:p>
        </w:tc>
      </w:tr>
    </w:tbl>
    <w:p w:rsidR="0092299C" w:rsidRPr="004E7031" w:rsidRDefault="0092299C" w:rsidP="0092299C">
      <w:pPr>
        <w:pStyle w:val="ARtablefootnote"/>
        <w:rPr>
          <w:lang w:eastAsia="en-AU"/>
        </w:rPr>
      </w:pPr>
      <w:r w:rsidRPr="004E7031">
        <w:rPr>
          <w:lang w:eastAsia="en-AU"/>
        </w:rPr>
        <w:t>Waste data is based on one-day waste audits conducted at 20</w:t>
      </w:r>
      <w:r>
        <w:rPr>
          <w:lang w:eastAsia="en-AU"/>
        </w:rPr>
        <w:t xml:space="preserve"> </w:t>
      </w:r>
      <w:r w:rsidRPr="004E7031">
        <w:rPr>
          <w:lang w:eastAsia="en-AU"/>
        </w:rPr>
        <w:t>selected Department of Health and Human Services offices then extrapolated for estimating annual production data.</w:t>
      </w:r>
    </w:p>
    <w:p w:rsidR="0092299C" w:rsidRPr="004E7031" w:rsidRDefault="0092299C" w:rsidP="0092299C">
      <w:pPr>
        <w:pStyle w:val="ARtablefootnote"/>
        <w:rPr>
          <w:lang w:eastAsia="en-AU"/>
        </w:rPr>
      </w:pPr>
      <w:r>
        <w:rPr>
          <w:lang w:eastAsia="en-AU"/>
        </w:rPr>
        <w:t>W</w:t>
      </w:r>
      <w:r w:rsidRPr="004E7031">
        <w:rPr>
          <w:lang w:eastAsia="en-AU"/>
        </w:rPr>
        <w:t xml:space="preserve">aste data has been extrapolated in accordance with Financial Reporting Directive 24C guidelines to represent 100 per cent of </w:t>
      </w:r>
      <w:r>
        <w:rPr>
          <w:lang w:eastAsia="en-AU"/>
        </w:rPr>
        <w:t>office-</w:t>
      </w:r>
      <w:r w:rsidRPr="004E7031">
        <w:rPr>
          <w:lang w:eastAsia="en-AU"/>
        </w:rPr>
        <w:t xml:space="preserve"> based FTE and 100 per cent of office locations.</w:t>
      </w:r>
    </w:p>
    <w:p w:rsidR="0092299C" w:rsidRDefault="0092299C" w:rsidP="0092299C">
      <w:pPr>
        <w:pStyle w:val="Heading2"/>
      </w:pPr>
      <w:r w:rsidRPr="0023100D">
        <w:t>Transportation</w:t>
      </w:r>
    </w:p>
    <w:p w:rsidR="0092299C" w:rsidRPr="00843E15" w:rsidRDefault="0092299C" w:rsidP="0092299C">
      <w:pPr>
        <w:pStyle w:val="ARtablecaption"/>
      </w:pPr>
      <w:r w:rsidRPr="0023100D">
        <w:t>Vehicle</w:t>
      </w:r>
      <w:r w:rsidRPr="00843E15">
        <w:t xml:space="preserve"> fleet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77"/>
        <w:gridCol w:w="932"/>
        <w:gridCol w:w="1089"/>
        <w:gridCol w:w="932"/>
        <w:gridCol w:w="778"/>
        <w:gridCol w:w="310"/>
        <w:gridCol w:w="1243"/>
        <w:gridCol w:w="1089"/>
        <w:gridCol w:w="1089"/>
      </w:tblGrid>
      <w:tr w:rsidR="0092299C" w:rsidRPr="00E95A7F" w:rsidTr="0092299C">
        <w:trPr>
          <w:cantSplit/>
          <w:tblHeader/>
        </w:trPr>
        <w:tc>
          <w:tcPr>
            <w:tcW w:w="2177" w:type="dxa"/>
            <w:vAlign w:val="bottom"/>
          </w:tcPr>
          <w:p w:rsidR="0092299C" w:rsidRPr="00E95A7F" w:rsidRDefault="0092299C" w:rsidP="0092299C">
            <w:pPr>
              <w:pStyle w:val="ARtablecolhead"/>
            </w:pPr>
            <w:r w:rsidRPr="00E95A7F">
              <w:t>Description</w:t>
            </w:r>
          </w:p>
        </w:tc>
        <w:tc>
          <w:tcPr>
            <w:tcW w:w="3731" w:type="dxa"/>
            <w:gridSpan w:val="4"/>
            <w:vAlign w:val="bottom"/>
          </w:tcPr>
          <w:p w:rsidR="0092299C" w:rsidRPr="00E95A7F" w:rsidRDefault="0092299C" w:rsidP="0092299C">
            <w:pPr>
              <w:pStyle w:val="ARtablecolhead"/>
            </w:pPr>
            <w:r w:rsidRPr="00E95A7F">
              <w:t>Size of vehicle fleet as of 31 March 2017</w:t>
            </w:r>
          </w:p>
        </w:tc>
        <w:tc>
          <w:tcPr>
            <w:tcW w:w="3731" w:type="dxa"/>
            <w:gridSpan w:val="4"/>
            <w:vAlign w:val="bottom"/>
          </w:tcPr>
          <w:p w:rsidR="0092299C" w:rsidRPr="00E95A7F" w:rsidRDefault="0092299C" w:rsidP="0092299C">
            <w:pPr>
              <w:pStyle w:val="ARtablecolhead"/>
            </w:pPr>
          </w:p>
        </w:tc>
      </w:tr>
      <w:tr w:rsidR="0092299C" w:rsidRPr="00843E15" w:rsidTr="0092299C">
        <w:trPr>
          <w:cantSplit/>
          <w:tblHeader/>
        </w:trPr>
        <w:tc>
          <w:tcPr>
            <w:tcW w:w="2177" w:type="dxa"/>
            <w:vAlign w:val="bottom"/>
          </w:tcPr>
          <w:p w:rsidR="0092299C" w:rsidRPr="000C03D1" w:rsidRDefault="0092299C" w:rsidP="0092299C">
            <w:pPr>
              <w:pStyle w:val="ARtablecolhead"/>
            </w:pPr>
            <w:r w:rsidRPr="000C03D1">
              <w:t>Vehicle type</w:t>
            </w:r>
          </w:p>
        </w:tc>
        <w:tc>
          <w:tcPr>
            <w:tcW w:w="932" w:type="dxa"/>
            <w:vAlign w:val="bottom"/>
          </w:tcPr>
          <w:p w:rsidR="0092299C" w:rsidRPr="000C03D1" w:rsidRDefault="0092299C" w:rsidP="0092299C">
            <w:pPr>
              <w:pStyle w:val="ARtablecolheadright"/>
            </w:pPr>
            <w:r w:rsidRPr="000C03D1">
              <w:t>LPG</w:t>
            </w:r>
          </w:p>
        </w:tc>
        <w:tc>
          <w:tcPr>
            <w:tcW w:w="1089" w:type="dxa"/>
            <w:vAlign w:val="bottom"/>
          </w:tcPr>
          <w:p w:rsidR="0092299C" w:rsidRPr="000C03D1" w:rsidRDefault="0092299C" w:rsidP="0092299C">
            <w:pPr>
              <w:pStyle w:val="ARtablecolheadright"/>
            </w:pPr>
            <w:r w:rsidRPr="000C03D1">
              <w:t>Dual fuel</w:t>
            </w:r>
          </w:p>
        </w:tc>
        <w:tc>
          <w:tcPr>
            <w:tcW w:w="932" w:type="dxa"/>
            <w:vAlign w:val="bottom"/>
          </w:tcPr>
          <w:p w:rsidR="0092299C" w:rsidRPr="000C03D1" w:rsidRDefault="0092299C" w:rsidP="0092299C">
            <w:pPr>
              <w:pStyle w:val="ARtablecolheadright"/>
            </w:pPr>
            <w:r w:rsidRPr="000C03D1">
              <w:t>Hybrid</w:t>
            </w:r>
          </w:p>
        </w:tc>
        <w:tc>
          <w:tcPr>
            <w:tcW w:w="1088" w:type="dxa"/>
            <w:gridSpan w:val="2"/>
            <w:vAlign w:val="bottom"/>
          </w:tcPr>
          <w:p w:rsidR="0092299C" w:rsidRPr="000C03D1" w:rsidRDefault="0092299C" w:rsidP="0092299C">
            <w:pPr>
              <w:pStyle w:val="ARtablecolheadright"/>
            </w:pPr>
            <w:r w:rsidRPr="000C03D1">
              <w:t>1–3 cylinder unleaded petrol</w:t>
            </w:r>
          </w:p>
        </w:tc>
        <w:tc>
          <w:tcPr>
            <w:tcW w:w="1243" w:type="dxa"/>
            <w:vAlign w:val="bottom"/>
          </w:tcPr>
          <w:p w:rsidR="0092299C" w:rsidRPr="000C03D1" w:rsidRDefault="0092299C" w:rsidP="0092299C">
            <w:pPr>
              <w:pStyle w:val="ARtablecolheadright"/>
            </w:pPr>
            <w:r w:rsidRPr="000C03D1">
              <w:t>4 cylinder unleaded petrol</w:t>
            </w:r>
          </w:p>
        </w:tc>
        <w:tc>
          <w:tcPr>
            <w:tcW w:w="1089" w:type="dxa"/>
            <w:vAlign w:val="bottom"/>
          </w:tcPr>
          <w:p w:rsidR="0092299C" w:rsidRPr="000C03D1" w:rsidRDefault="0092299C" w:rsidP="0092299C">
            <w:pPr>
              <w:pStyle w:val="ARtablecolheadright"/>
            </w:pPr>
            <w:r w:rsidRPr="000C03D1">
              <w:t xml:space="preserve">6 cylinder unleaded petrol </w:t>
            </w:r>
          </w:p>
        </w:tc>
        <w:tc>
          <w:tcPr>
            <w:tcW w:w="1089" w:type="dxa"/>
            <w:vAlign w:val="bottom"/>
          </w:tcPr>
          <w:p w:rsidR="0092299C" w:rsidRPr="000C03D1" w:rsidRDefault="0092299C" w:rsidP="0092299C">
            <w:pPr>
              <w:pStyle w:val="ARtablecolheadright"/>
            </w:pPr>
            <w:r w:rsidRPr="000C03D1">
              <w:t>Diesel</w:t>
            </w:r>
          </w:p>
        </w:tc>
      </w:tr>
      <w:tr w:rsidR="0092299C" w:rsidRPr="00CF6149" w:rsidTr="0092299C">
        <w:trPr>
          <w:cantSplit/>
        </w:trPr>
        <w:tc>
          <w:tcPr>
            <w:tcW w:w="2177" w:type="dxa"/>
          </w:tcPr>
          <w:p w:rsidR="0092299C" w:rsidRPr="00E95A7F" w:rsidRDefault="0092299C" w:rsidP="0092299C">
            <w:pPr>
              <w:pStyle w:val="ARtabletext"/>
            </w:pPr>
            <w:r w:rsidRPr="00E95A7F">
              <w:t>Commercial</w:t>
            </w:r>
          </w:p>
        </w:tc>
        <w:tc>
          <w:tcPr>
            <w:tcW w:w="932" w:type="dxa"/>
            <w:vAlign w:val="center"/>
          </w:tcPr>
          <w:p w:rsidR="0092299C" w:rsidRPr="0023100D" w:rsidRDefault="0092299C" w:rsidP="0092299C">
            <w:pPr>
              <w:pStyle w:val="ARtabletextright"/>
            </w:pPr>
            <w:r w:rsidRPr="0023100D">
              <w:t>5</w:t>
            </w:r>
          </w:p>
        </w:tc>
        <w:tc>
          <w:tcPr>
            <w:tcW w:w="1089" w:type="dxa"/>
            <w:vAlign w:val="center"/>
          </w:tcPr>
          <w:p w:rsidR="0092299C" w:rsidRPr="0023100D" w:rsidRDefault="0092299C" w:rsidP="0092299C">
            <w:pPr>
              <w:pStyle w:val="ARtabletextright"/>
            </w:pPr>
            <w:r w:rsidRPr="0023100D">
              <w:t>0</w:t>
            </w:r>
          </w:p>
        </w:tc>
        <w:tc>
          <w:tcPr>
            <w:tcW w:w="932" w:type="dxa"/>
            <w:vAlign w:val="center"/>
          </w:tcPr>
          <w:p w:rsidR="0092299C" w:rsidRPr="0023100D" w:rsidRDefault="0092299C" w:rsidP="0092299C">
            <w:pPr>
              <w:pStyle w:val="ARtabletextright"/>
            </w:pPr>
            <w:r w:rsidRPr="0023100D">
              <w:t>0</w:t>
            </w:r>
          </w:p>
        </w:tc>
        <w:tc>
          <w:tcPr>
            <w:tcW w:w="1088" w:type="dxa"/>
            <w:gridSpan w:val="2"/>
            <w:vAlign w:val="center"/>
          </w:tcPr>
          <w:p w:rsidR="0092299C" w:rsidRPr="0023100D" w:rsidRDefault="0092299C" w:rsidP="0092299C">
            <w:pPr>
              <w:pStyle w:val="ARtabletextright"/>
            </w:pPr>
            <w:r w:rsidRPr="0023100D">
              <w:t>9</w:t>
            </w:r>
          </w:p>
        </w:tc>
        <w:tc>
          <w:tcPr>
            <w:tcW w:w="1243" w:type="dxa"/>
            <w:vAlign w:val="center"/>
          </w:tcPr>
          <w:p w:rsidR="0092299C" w:rsidRPr="0023100D" w:rsidRDefault="0092299C" w:rsidP="0092299C">
            <w:pPr>
              <w:pStyle w:val="ARtabletextright"/>
            </w:pPr>
            <w:r w:rsidRPr="0023100D">
              <w:t>3</w:t>
            </w:r>
          </w:p>
        </w:tc>
        <w:tc>
          <w:tcPr>
            <w:tcW w:w="1089" w:type="dxa"/>
            <w:vAlign w:val="center"/>
          </w:tcPr>
          <w:p w:rsidR="0092299C" w:rsidRPr="0023100D" w:rsidRDefault="0092299C" w:rsidP="0092299C">
            <w:pPr>
              <w:pStyle w:val="ARtabletextright"/>
            </w:pPr>
            <w:r w:rsidRPr="0023100D">
              <w:t>0</w:t>
            </w:r>
          </w:p>
        </w:tc>
        <w:tc>
          <w:tcPr>
            <w:tcW w:w="1089" w:type="dxa"/>
            <w:vAlign w:val="center"/>
          </w:tcPr>
          <w:p w:rsidR="0092299C" w:rsidRPr="0023100D" w:rsidRDefault="0092299C" w:rsidP="0092299C">
            <w:pPr>
              <w:pStyle w:val="ARtabletextright"/>
            </w:pPr>
            <w:r w:rsidRPr="0023100D">
              <w:t>35</w:t>
            </w:r>
          </w:p>
        </w:tc>
      </w:tr>
      <w:tr w:rsidR="0092299C" w:rsidRPr="00CF6149" w:rsidTr="0092299C">
        <w:trPr>
          <w:cantSplit/>
        </w:trPr>
        <w:tc>
          <w:tcPr>
            <w:tcW w:w="2177" w:type="dxa"/>
          </w:tcPr>
          <w:p w:rsidR="0092299C" w:rsidRPr="00E95A7F" w:rsidRDefault="0092299C" w:rsidP="0092299C">
            <w:pPr>
              <w:pStyle w:val="ARtabletext"/>
            </w:pPr>
            <w:r w:rsidRPr="00E95A7F">
              <w:t>Executive</w:t>
            </w:r>
          </w:p>
        </w:tc>
        <w:tc>
          <w:tcPr>
            <w:tcW w:w="932" w:type="dxa"/>
            <w:vAlign w:val="center"/>
          </w:tcPr>
          <w:p w:rsidR="0092299C" w:rsidRPr="0023100D" w:rsidRDefault="0092299C" w:rsidP="0092299C">
            <w:pPr>
              <w:pStyle w:val="ARtabletextright"/>
            </w:pPr>
            <w:r w:rsidRPr="0023100D">
              <w:t>0</w:t>
            </w:r>
          </w:p>
        </w:tc>
        <w:tc>
          <w:tcPr>
            <w:tcW w:w="1089" w:type="dxa"/>
            <w:vAlign w:val="center"/>
          </w:tcPr>
          <w:p w:rsidR="0092299C" w:rsidRPr="0023100D" w:rsidRDefault="0092299C" w:rsidP="0092299C">
            <w:pPr>
              <w:pStyle w:val="ARtabletextright"/>
            </w:pPr>
            <w:r w:rsidRPr="0023100D">
              <w:t>0</w:t>
            </w:r>
          </w:p>
        </w:tc>
        <w:tc>
          <w:tcPr>
            <w:tcW w:w="932" w:type="dxa"/>
            <w:vAlign w:val="center"/>
          </w:tcPr>
          <w:p w:rsidR="0092299C" w:rsidRPr="0023100D" w:rsidRDefault="0092299C" w:rsidP="0092299C">
            <w:pPr>
              <w:pStyle w:val="ARtabletextright"/>
            </w:pPr>
            <w:r w:rsidRPr="0023100D">
              <w:t>15</w:t>
            </w:r>
          </w:p>
        </w:tc>
        <w:tc>
          <w:tcPr>
            <w:tcW w:w="1088" w:type="dxa"/>
            <w:gridSpan w:val="2"/>
            <w:vAlign w:val="center"/>
          </w:tcPr>
          <w:p w:rsidR="0092299C" w:rsidRPr="0023100D" w:rsidRDefault="0092299C" w:rsidP="0092299C">
            <w:pPr>
              <w:pStyle w:val="ARtabletextright"/>
            </w:pPr>
            <w:r w:rsidRPr="0023100D">
              <w:t>0</w:t>
            </w:r>
          </w:p>
        </w:tc>
        <w:tc>
          <w:tcPr>
            <w:tcW w:w="1243" w:type="dxa"/>
            <w:vAlign w:val="center"/>
          </w:tcPr>
          <w:p w:rsidR="0092299C" w:rsidRPr="0023100D" w:rsidRDefault="0092299C" w:rsidP="0092299C">
            <w:pPr>
              <w:pStyle w:val="ARtabletextright"/>
            </w:pPr>
            <w:r w:rsidRPr="0023100D">
              <w:t>18</w:t>
            </w:r>
          </w:p>
        </w:tc>
        <w:tc>
          <w:tcPr>
            <w:tcW w:w="1089" w:type="dxa"/>
            <w:vAlign w:val="center"/>
          </w:tcPr>
          <w:p w:rsidR="0092299C" w:rsidRPr="0023100D" w:rsidRDefault="0092299C" w:rsidP="0092299C">
            <w:pPr>
              <w:pStyle w:val="ARtabletextright"/>
            </w:pPr>
            <w:r w:rsidRPr="0023100D">
              <w:t>65</w:t>
            </w:r>
          </w:p>
        </w:tc>
        <w:tc>
          <w:tcPr>
            <w:tcW w:w="1089" w:type="dxa"/>
            <w:vAlign w:val="center"/>
          </w:tcPr>
          <w:p w:rsidR="0092299C" w:rsidRPr="0023100D" w:rsidRDefault="0092299C" w:rsidP="0092299C">
            <w:pPr>
              <w:pStyle w:val="ARtabletextright"/>
            </w:pPr>
            <w:r w:rsidRPr="0023100D">
              <w:t>26</w:t>
            </w:r>
          </w:p>
        </w:tc>
      </w:tr>
      <w:tr w:rsidR="0092299C" w:rsidRPr="00CF6149" w:rsidTr="0092299C">
        <w:trPr>
          <w:cantSplit/>
        </w:trPr>
        <w:tc>
          <w:tcPr>
            <w:tcW w:w="2177" w:type="dxa"/>
          </w:tcPr>
          <w:p w:rsidR="0092299C" w:rsidRPr="00E95A7F" w:rsidRDefault="0092299C" w:rsidP="0092299C">
            <w:pPr>
              <w:pStyle w:val="ARtabletext"/>
            </w:pPr>
            <w:r w:rsidRPr="00E95A7F">
              <w:t>Passenger bus</w:t>
            </w:r>
          </w:p>
        </w:tc>
        <w:tc>
          <w:tcPr>
            <w:tcW w:w="932" w:type="dxa"/>
            <w:vAlign w:val="center"/>
          </w:tcPr>
          <w:p w:rsidR="0092299C" w:rsidRPr="0023100D" w:rsidRDefault="0092299C" w:rsidP="0092299C">
            <w:pPr>
              <w:pStyle w:val="ARtabletextright"/>
            </w:pPr>
            <w:r w:rsidRPr="0023100D">
              <w:t>0</w:t>
            </w:r>
          </w:p>
        </w:tc>
        <w:tc>
          <w:tcPr>
            <w:tcW w:w="1089" w:type="dxa"/>
            <w:vAlign w:val="center"/>
          </w:tcPr>
          <w:p w:rsidR="0092299C" w:rsidRPr="0023100D" w:rsidRDefault="0092299C" w:rsidP="0092299C">
            <w:pPr>
              <w:pStyle w:val="ARtabletextright"/>
            </w:pPr>
            <w:r w:rsidRPr="0023100D">
              <w:t>0</w:t>
            </w:r>
          </w:p>
        </w:tc>
        <w:tc>
          <w:tcPr>
            <w:tcW w:w="932" w:type="dxa"/>
            <w:vAlign w:val="center"/>
          </w:tcPr>
          <w:p w:rsidR="0092299C" w:rsidRPr="0023100D" w:rsidRDefault="0092299C" w:rsidP="0092299C">
            <w:pPr>
              <w:pStyle w:val="ARtabletextright"/>
            </w:pPr>
            <w:r w:rsidRPr="0023100D">
              <w:t>0</w:t>
            </w:r>
          </w:p>
        </w:tc>
        <w:tc>
          <w:tcPr>
            <w:tcW w:w="1088" w:type="dxa"/>
            <w:gridSpan w:val="2"/>
            <w:vAlign w:val="center"/>
          </w:tcPr>
          <w:p w:rsidR="0092299C" w:rsidRPr="0023100D" w:rsidRDefault="0092299C" w:rsidP="0092299C">
            <w:pPr>
              <w:pStyle w:val="ARtabletextright"/>
            </w:pPr>
            <w:r w:rsidRPr="0023100D">
              <w:t>0</w:t>
            </w:r>
          </w:p>
        </w:tc>
        <w:tc>
          <w:tcPr>
            <w:tcW w:w="1243" w:type="dxa"/>
            <w:vAlign w:val="center"/>
          </w:tcPr>
          <w:p w:rsidR="0092299C" w:rsidRPr="0023100D" w:rsidRDefault="0092299C" w:rsidP="0092299C">
            <w:pPr>
              <w:pStyle w:val="ARtabletextright"/>
            </w:pPr>
            <w:r w:rsidRPr="0023100D">
              <w:t>373</w:t>
            </w:r>
          </w:p>
        </w:tc>
        <w:tc>
          <w:tcPr>
            <w:tcW w:w="1089" w:type="dxa"/>
            <w:vAlign w:val="center"/>
          </w:tcPr>
          <w:p w:rsidR="0092299C" w:rsidRPr="0023100D" w:rsidRDefault="0092299C" w:rsidP="0092299C">
            <w:pPr>
              <w:pStyle w:val="ARtabletextright"/>
            </w:pPr>
            <w:r w:rsidRPr="0023100D">
              <w:t>0</w:t>
            </w:r>
          </w:p>
        </w:tc>
        <w:tc>
          <w:tcPr>
            <w:tcW w:w="1089" w:type="dxa"/>
            <w:vAlign w:val="center"/>
          </w:tcPr>
          <w:p w:rsidR="0092299C" w:rsidRPr="0023100D" w:rsidRDefault="0092299C" w:rsidP="0092299C">
            <w:pPr>
              <w:pStyle w:val="ARtabletextright"/>
            </w:pPr>
            <w:r w:rsidRPr="0023100D">
              <w:t>149</w:t>
            </w:r>
          </w:p>
        </w:tc>
      </w:tr>
      <w:tr w:rsidR="0092299C" w:rsidRPr="00CF6149" w:rsidTr="0092299C">
        <w:trPr>
          <w:cantSplit/>
        </w:trPr>
        <w:tc>
          <w:tcPr>
            <w:tcW w:w="2177" w:type="dxa"/>
          </w:tcPr>
          <w:p w:rsidR="0092299C" w:rsidRPr="00E95A7F" w:rsidRDefault="0092299C" w:rsidP="0092299C">
            <w:pPr>
              <w:pStyle w:val="ARtabletext"/>
            </w:pPr>
            <w:r w:rsidRPr="00E95A7F">
              <w:t>Passenger car</w:t>
            </w:r>
          </w:p>
        </w:tc>
        <w:tc>
          <w:tcPr>
            <w:tcW w:w="932" w:type="dxa"/>
            <w:vAlign w:val="center"/>
          </w:tcPr>
          <w:p w:rsidR="0092299C" w:rsidRPr="0023100D" w:rsidRDefault="0092299C" w:rsidP="0092299C">
            <w:pPr>
              <w:pStyle w:val="ARtabletextright"/>
            </w:pPr>
            <w:r w:rsidRPr="0023100D">
              <w:t>78</w:t>
            </w:r>
          </w:p>
        </w:tc>
        <w:tc>
          <w:tcPr>
            <w:tcW w:w="1089" w:type="dxa"/>
            <w:vAlign w:val="center"/>
          </w:tcPr>
          <w:p w:rsidR="0092299C" w:rsidRPr="0023100D" w:rsidRDefault="0092299C" w:rsidP="0092299C">
            <w:pPr>
              <w:pStyle w:val="ARtabletextright"/>
            </w:pPr>
            <w:r w:rsidRPr="0023100D">
              <w:t>0</w:t>
            </w:r>
          </w:p>
        </w:tc>
        <w:tc>
          <w:tcPr>
            <w:tcW w:w="932" w:type="dxa"/>
            <w:vAlign w:val="center"/>
          </w:tcPr>
          <w:p w:rsidR="0092299C" w:rsidRPr="0023100D" w:rsidRDefault="0092299C" w:rsidP="0092299C">
            <w:pPr>
              <w:pStyle w:val="ARtabletextright"/>
            </w:pPr>
            <w:r w:rsidRPr="0023100D">
              <w:t>637</w:t>
            </w:r>
          </w:p>
        </w:tc>
        <w:tc>
          <w:tcPr>
            <w:tcW w:w="1088" w:type="dxa"/>
            <w:gridSpan w:val="2"/>
            <w:vAlign w:val="center"/>
          </w:tcPr>
          <w:p w:rsidR="0092299C" w:rsidRPr="0023100D" w:rsidRDefault="0092299C" w:rsidP="0092299C">
            <w:pPr>
              <w:pStyle w:val="ARtabletextright"/>
            </w:pPr>
            <w:r w:rsidRPr="0023100D">
              <w:t>0</w:t>
            </w:r>
          </w:p>
        </w:tc>
        <w:tc>
          <w:tcPr>
            <w:tcW w:w="1243" w:type="dxa"/>
            <w:vAlign w:val="center"/>
          </w:tcPr>
          <w:p w:rsidR="0092299C" w:rsidRPr="0023100D" w:rsidRDefault="0092299C" w:rsidP="0092299C">
            <w:pPr>
              <w:pStyle w:val="ARtabletextright"/>
            </w:pPr>
            <w:r w:rsidRPr="0023100D">
              <w:t>34</w:t>
            </w:r>
          </w:p>
        </w:tc>
        <w:tc>
          <w:tcPr>
            <w:tcW w:w="1089" w:type="dxa"/>
            <w:vAlign w:val="center"/>
          </w:tcPr>
          <w:p w:rsidR="0092299C" w:rsidRPr="0023100D" w:rsidRDefault="0092299C" w:rsidP="0092299C">
            <w:pPr>
              <w:pStyle w:val="ARtabletextright"/>
            </w:pPr>
            <w:r w:rsidRPr="0023100D">
              <w:t>57</w:t>
            </w:r>
          </w:p>
        </w:tc>
        <w:tc>
          <w:tcPr>
            <w:tcW w:w="1089" w:type="dxa"/>
            <w:vAlign w:val="center"/>
          </w:tcPr>
          <w:p w:rsidR="0092299C" w:rsidRPr="0023100D" w:rsidRDefault="0092299C" w:rsidP="0092299C">
            <w:pPr>
              <w:pStyle w:val="ARtabletextright"/>
            </w:pPr>
            <w:r w:rsidRPr="0023100D">
              <w:t>256</w:t>
            </w:r>
          </w:p>
        </w:tc>
      </w:tr>
      <w:tr w:rsidR="0092299C" w:rsidRPr="00E95A7F" w:rsidTr="0092299C">
        <w:trPr>
          <w:cantSplit/>
        </w:trPr>
        <w:tc>
          <w:tcPr>
            <w:tcW w:w="2177" w:type="dxa"/>
          </w:tcPr>
          <w:p w:rsidR="0092299C" w:rsidRPr="00E95A7F" w:rsidRDefault="0092299C" w:rsidP="0092299C">
            <w:pPr>
              <w:pStyle w:val="ARtabletext"/>
              <w:rPr>
                <w:b/>
              </w:rPr>
            </w:pPr>
            <w:r w:rsidRPr="00E95A7F">
              <w:rPr>
                <w:b/>
              </w:rPr>
              <w:t>Total (1760 vehicles)</w:t>
            </w:r>
          </w:p>
        </w:tc>
        <w:tc>
          <w:tcPr>
            <w:tcW w:w="932" w:type="dxa"/>
            <w:vAlign w:val="center"/>
          </w:tcPr>
          <w:p w:rsidR="0092299C" w:rsidRPr="00E95A7F" w:rsidRDefault="0092299C" w:rsidP="0092299C">
            <w:pPr>
              <w:pStyle w:val="ARtabletextright"/>
              <w:rPr>
                <w:b/>
              </w:rPr>
            </w:pPr>
            <w:r w:rsidRPr="00E95A7F">
              <w:rPr>
                <w:b/>
              </w:rPr>
              <w:t>83</w:t>
            </w:r>
          </w:p>
        </w:tc>
        <w:tc>
          <w:tcPr>
            <w:tcW w:w="1089" w:type="dxa"/>
            <w:vAlign w:val="center"/>
          </w:tcPr>
          <w:p w:rsidR="0092299C" w:rsidRPr="00E95A7F" w:rsidRDefault="0092299C" w:rsidP="0092299C">
            <w:pPr>
              <w:pStyle w:val="ARtabletextright"/>
              <w:rPr>
                <w:b/>
              </w:rPr>
            </w:pPr>
            <w:r w:rsidRPr="00E95A7F">
              <w:rPr>
                <w:b/>
              </w:rPr>
              <w:t>0</w:t>
            </w:r>
          </w:p>
        </w:tc>
        <w:tc>
          <w:tcPr>
            <w:tcW w:w="932" w:type="dxa"/>
            <w:vAlign w:val="center"/>
          </w:tcPr>
          <w:p w:rsidR="0092299C" w:rsidRPr="00E95A7F" w:rsidRDefault="0092299C" w:rsidP="0092299C">
            <w:pPr>
              <w:pStyle w:val="ARtabletextright"/>
              <w:rPr>
                <w:b/>
              </w:rPr>
            </w:pPr>
            <w:r w:rsidRPr="00E95A7F">
              <w:rPr>
                <w:b/>
              </w:rPr>
              <w:t>652</w:t>
            </w:r>
          </w:p>
        </w:tc>
        <w:tc>
          <w:tcPr>
            <w:tcW w:w="1088" w:type="dxa"/>
            <w:gridSpan w:val="2"/>
            <w:vAlign w:val="center"/>
          </w:tcPr>
          <w:p w:rsidR="0092299C" w:rsidRPr="00E95A7F" w:rsidRDefault="0092299C" w:rsidP="0092299C">
            <w:pPr>
              <w:pStyle w:val="ARtabletextright"/>
              <w:rPr>
                <w:b/>
              </w:rPr>
            </w:pPr>
            <w:r w:rsidRPr="00E95A7F">
              <w:rPr>
                <w:b/>
              </w:rPr>
              <w:t>9</w:t>
            </w:r>
          </w:p>
        </w:tc>
        <w:tc>
          <w:tcPr>
            <w:tcW w:w="1243" w:type="dxa"/>
            <w:vAlign w:val="center"/>
          </w:tcPr>
          <w:p w:rsidR="0092299C" w:rsidRPr="00E95A7F" w:rsidRDefault="0092299C" w:rsidP="0092299C">
            <w:pPr>
              <w:pStyle w:val="ARtabletextright"/>
              <w:rPr>
                <w:b/>
              </w:rPr>
            </w:pPr>
            <w:r w:rsidRPr="00E95A7F">
              <w:rPr>
                <w:b/>
              </w:rPr>
              <w:t>428</w:t>
            </w:r>
          </w:p>
        </w:tc>
        <w:tc>
          <w:tcPr>
            <w:tcW w:w="1089" w:type="dxa"/>
            <w:vAlign w:val="center"/>
          </w:tcPr>
          <w:p w:rsidR="0092299C" w:rsidRPr="00E95A7F" w:rsidRDefault="0092299C" w:rsidP="0092299C">
            <w:pPr>
              <w:pStyle w:val="ARtabletextright"/>
              <w:rPr>
                <w:b/>
              </w:rPr>
            </w:pPr>
            <w:r w:rsidRPr="00E95A7F">
              <w:rPr>
                <w:b/>
              </w:rPr>
              <w:t>122</w:t>
            </w:r>
          </w:p>
        </w:tc>
        <w:tc>
          <w:tcPr>
            <w:tcW w:w="1089" w:type="dxa"/>
            <w:vAlign w:val="center"/>
          </w:tcPr>
          <w:p w:rsidR="0092299C" w:rsidRPr="00E95A7F" w:rsidRDefault="0092299C" w:rsidP="0092299C">
            <w:pPr>
              <w:pStyle w:val="ARtabletextright"/>
              <w:rPr>
                <w:b/>
              </w:rPr>
            </w:pPr>
            <w:r w:rsidRPr="00E95A7F">
              <w:rPr>
                <w:b/>
              </w:rPr>
              <w:t>466</w:t>
            </w:r>
          </w:p>
        </w:tc>
      </w:tr>
    </w:tbl>
    <w:p w:rsidR="0092299C" w:rsidRPr="00CF6149" w:rsidRDefault="0092299C" w:rsidP="0092299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92299C" w:rsidRPr="00CF6149" w:rsidTr="0092299C">
        <w:trPr>
          <w:cantSplit/>
          <w:trHeight w:val="101"/>
          <w:tblHeader/>
        </w:trPr>
        <w:tc>
          <w:tcPr>
            <w:tcW w:w="5103" w:type="dxa"/>
            <w:vAlign w:val="bottom"/>
          </w:tcPr>
          <w:p w:rsidR="0092299C" w:rsidRPr="00CF6149" w:rsidRDefault="0092299C" w:rsidP="0092299C">
            <w:pPr>
              <w:pStyle w:val="ARtablecolhead"/>
            </w:pPr>
            <w:r w:rsidRPr="00CF6149">
              <w:t>Description</w:t>
            </w:r>
          </w:p>
        </w:tc>
        <w:tc>
          <w:tcPr>
            <w:tcW w:w="2268" w:type="dxa"/>
            <w:vAlign w:val="bottom"/>
          </w:tcPr>
          <w:p w:rsidR="0092299C" w:rsidRPr="00CF6149" w:rsidRDefault="0092299C" w:rsidP="0092299C">
            <w:pPr>
              <w:pStyle w:val="ARtablecolheadright"/>
            </w:pPr>
            <w:r>
              <w:t>Operational</w:t>
            </w:r>
            <w:r>
              <w:br/>
            </w:r>
            <w:r w:rsidRPr="00CF6149">
              <w:t>(per cent)</w:t>
            </w:r>
          </w:p>
        </w:tc>
        <w:tc>
          <w:tcPr>
            <w:tcW w:w="2268" w:type="dxa"/>
            <w:vAlign w:val="bottom"/>
          </w:tcPr>
          <w:p w:rsidR="0092299C" w:rsidRPr="00CF6149" w:rsidRDefault="0092299C" w:rsidP="0092299C">
            <w:pPr>
              <w:pStyle w:val="ARtablecolheadright"/>
            </w:pPr>
            <w:r>
              <w:t>Executive</w:t>
            </w:r>
            <w:r>
              <w:br/>
            </w:r>
            <w:r w:rsidRPr="00CF6149">
              <w:t>(per cent)</w:t>
            </w:r>
          </w:p>
        </w:tc>
      </w:tr>
      <w:tr w:rsidR="0092299C" w:rsidRPr="00CF6149" w:rsidTr="0092299C">
        <w:trPr>
          <w:cantSplit/>
        </w:trPr>
        <w:tc>
          <w:tcPr>
            <w:tcW w:w="5103" w:type="dxa"/>
          </w:tcPr>
          <w:p w:rsidR="0092299C" w:rsidRPr="0023100D" w:rsidRDefault="0092299C" w:rsidP="0092299C">
            <w:pPr>
              <w:pStyle w:val="ARtabletext"/>
            </w:pPr>
            <w:r w:rsidRPr="0023100D">
              <w:t>LPG</w:t>
            </w:r>
          </w:p>
        </w:tc>
        <w:tc>
          <w:tcPr>
            <w:tcW w:w="2268" w:type="dxa"/>
            <w:vAlign w:val="center"/>
          </w:tcPr>
          <w:p w:rsidR="0092299C" w:rsidRPr="006B7B2D" w:rsidRDefault="0092299C" w:rsidP="0092299C">
            <w:pPr>
              <w:pStyle w:val="ARtabletextright"/>
            </w:pPr>
            <w:r w:rsidRPr="006B7B2D">
              <w:t>5.1</w:t>
            </w:r>
          </w:p>
        </w:tc>
        <w:tc>
          <w:tcPr>
            <w:tcW w:w="2268" w:type="dxa"/>
            <w:vAlign w:val="center"/>
          </w:tcPr>
          <w:p w:rsidR="0092299C" w:rsidRPr="006B7B2D" w:rsidRDefault="0092299C" w:rsidP="0092299C">
            <w:pPr>
              <w:pStyle w:val="ARtabletextright"/>
            </w:pPr>
            <w:r w:rsidRPr="006B7B2D">
              <w:t>0.0</w:t>
            </w:r>
          </w:p>
        </w:tc>
      </w:tr>
      <w:tr w:rsidR="0092299C" w:rsidRPr="00CF6149" w:rsidTr="0092299C">
        <w:trPr>
          <w:cantSplit/>
        </w:trPr>
        <w:tc>
          <w:tcPr>
            <w:tcW w:w="5103" w:type="dxa"/>
          </w:tcPr>
          <w:p w:rsidR="0092299C" w:rsidRPr="0023100D" w:rsidRDefault="0092299C" w:rsidP="0092299C">
            <w:pPr>
              <w:pStyle w:val="ARtabletext"/>
            </w:pPr>
            <w:r w:rsidRPr="0023100D">
              <w:t>Dual fuel</w:t>
            </w:r>
          </w:p>
        </w:tc>
        <w:tc>
          <w:tcPr>
            <w:tcW w:w="2268" w:type="dxa"/>
            <w:vAlign w:val="center"/>
          </w:tcPr>
          <w:p w:rsidR="0092299C" w:rsidRPr="006B7B2D" w:rsidRDefault="0092299C" w:rsidP="0092299C">
            <w:pPr>
              <w:pStyle w:val="ARtabletextright"/>
            </w:pPr>
            <w:r w:rsidRPr="006B7B2D">
              <w:t>0.0</w:t>
            </w:r>
          </w:p>
        </w:tc>
        <w:tc>
          <w:tcPr>
            <w:tcW w:w="2268" w:type="dxa"/>
            <w:vAlign w:val="center"/>
          </w:tcPr>
          <w:p w:rsidR="0092299C" w:rsidRPr="006B7B2D" w:rsidRDefault="0092299C" w:rsidP="0092299C">
            <w:pPr>
              <w:pStyle w:val="ARtabletextright"/>
            </w:pPr>
            <w:r w:rsidRPr="006B7B2D">
              <w:t>0.0</w:t>
            </w:r>
          </w:p>
        </w:tc>
      </w:tr>
      <w:tr w:rsidR="0092299C" w:rsidRPr="00CF6149" w:rsidTr="0092299C">
        <w:trPr>
          <w:cantSplit/>
        </w:trPr>
        <w:tc>
          <w:tcPr>
            <w:tcW w:w="5103" w:type="dxa"/>
          </w:tcPr>
          <w:p w:rsidR="0092299C" w:rsidRPr="0023100D" w:rsidRDefault="0092299C" w:rsidP="0092299C">
            <w:pPr>
              <w:pStyle w:val="ARtabletext"/>
            </w:pPr>
            <w:r w:rsidRPr="0023100D">
              <w:t>Hybrid</w:t>
            </w:r>
          </w:p>
        </w:tc>
        <w:tc>
          <w:tcPr>
            <w:tcW w:w="2268" w:type="dxa"/>
            <w:vAlign w:val="center"/>
          </w:tcPr>
          <w:p w:rsidR="0092299C" w:rsidRPr="006B7B2D" w:rsidRDefault="0092299C" w:rsidP="0092299C">
            <w:pPr>
              <w:pStyle w:val="ARtabletextright"/>
            </w:pPr>
            <w:r w:rsidRPr="006B7B2D">
              <w:t>38.9</w:t>
            </w:r>
          </w:p>
        </w:tc>
        <w:tc>
          <w:tcPr>
            <w:tcW w:w="2268" w:type="dxa"/>
            <w:vAlign w:val="center"/>
          </w:tcPr>
          <w:p w:rsidR="0092299C" w:rsidRPr="006B7B2D" w:rsidRDefault="0092299C" w:rsidP="0092299C">
            <w:pPr>
              <w:pStyle w:val="ARtabletextright"/>
            </w:pPr>
            <w:r w:rsidRPr="006B7B2D">
              <w:t>12.1</w:t>
            </w:r>
          </w:p>
        </w:tc>
      </w:tr>
      <w:tr w:rsidR="0092299C" w:rsidRPr="00CF6149" w:rsidTr="0092299C">
        <w:trPr>
          <w:cantSplit/>
        </w:trPr>
        <w:tc>
          <w:tcPr>
            <w:tcW w:w="5103" w:type="dxa"/>
          </w:tcPr>
          <w:p w:rsidR="0092299C" w:rsidRPr="0023100D" w:rsidRDefault="0092299C" w:rsidP="0092299C">
            <w:pPr>
              <w:pStyle w:val="ARtabletext"/>
            </w:pPr>
            <w:r w:rsidRPr="0023100D">
              <w:t>1</w:t>
            </w:r>
            <w:r>
              <w:t>–</w:t>
            </w:r>
            <w:r w:rsidRPr="0023100D">
              <w:t>3 cylinder unleaded petrol</w:t>
            </w:r>
          </w:p>
        </w:tc>
        <w:tc>
          <w:tcPr>
            <w:tcW w:w="2268" w:type="dxa"/>
            <w:vAlign w:val="center"/>
          </w:tcPr>
          <w:p w:rsidR="0092299C" w:rsidRPr="006B7B2D" w:rsidRDefault="0092299C" w:rsidP="0092299C">
            <w:pPr>
              <w:pStyle w:val="ARtabletextright"/>
            </w:pPr>
            <w:r w:rsidRPr="006B7B2D">
              <w:t>0.6</w:t>
            </w:r>
          </w:p>
        </w:tc>
        <w:tc>
          <w:tcPr>
            <w:tcW w:w="2268" w:type="dxa"/>
            <w:vAlign w:val="center"/>
          </w:tcPr>
          <w:p w:rsidR="0092299C" w:rsidRPr="006B7B2D" w:rsidRDefault="0092299C" w:rsidP="0092299C">
            <w:pPr>
              <w:pStyle w:val="ARtabletextright"/>
            </w:pPr>
            <w:r w:rsidRPr="006B7B2D">
              <w:t>0.0</w:t>
            </w:r>
          </w:p>
        </w:tc>
      </w:tr>
      <w:tr w:rsidR="0092299C" w:rsidRPr="00CF6149" w:rsidTr="0092299C">
        <w:trPr>
          <w:cantSplit/>
        </w:trPr>
        <w:tc>
          <w:tcPr>
            <w:tcW w:w="5103" w:type="dxa"/>
          </w:tcPr>
          <w:p w:rsidR="0092299C" w:rsidRPr="0023100D" w:rsidRDefault="0092299C" w:rsidP="0092299C">
            <w:pPr>
              <w:pStyle w:val="ARtabletext"/>
            </w:pPr>
            <w:r w:rsidRPr="0023100D">
              <w:t>1</w:t>
            </w:r>
            <w:r>
              <w:t>–</w:t>
            </w:r>
            <w:r w:rsidRPr="0023100D">
              <w:t>4 cylinder unleaded petrol</w:t>
            </w:r>
          </w:p>
        </w:tc>
        <w:tc>
          <w:tcPr>
            <w:tcW w:w="2268" w:type="dxa"/>
            <w:vAlign w:val="center"/>
          </w:tcPr>
          <w:p w:rsidR="0092299C" w:rsidRPr="006B7B2D" w:rsidRDefault="0092299C" w:rsidP="0092299C">
            <w:pPr>
              <w:pStyle w:val="ARtabletextright"/>
            </w:pPr>
            <w:r w:rsidRPr="006B7B2D">
              <w:t>25</w:t>
            </w:r>
          </w:p>
        </w:tc>
        <w:tc>
          <w:tcPr>
            <w:tcW w:w="2268" w:type="dxa"/>
            <w:vAlign w:val="center"/>
          </w:tcPr>
          <w:p w:rsidR="0092299C" w:rsidRPr="006B7B2D" w:rsidRDefault="0092299C" w:rsidP="0092299C">
            <w:pPr>
              <w:pStyle w:val="ARtabletextright"/>
            </w:pPr>
            <w:r w:rsidRPr="006B7B2D">
              <w:t>14.5</w:t>
            </w:r>
          </w:p>
        </w:tc>
      </w:tr>
      <w:tr w:rsidR="0092299C" w:rsidRPr="00CF6149" w:rsidTr="0092299C">
        <w:trPr>
          <w:cantSplit/>
        </w:trPr>
        <w:tc>
          <w:tcPr>
            <w:tcW w:w="5103" w:type="dxa"/>
          </w:tcPr>
          <w:p w:rsidR="0092299C" w:rsidRPr="0023100D" w:rsidRDefault="0092299C" w:rsidP="0092299C">
            <w:pPr>
              <w:pStyle w:val="ARtabletext"/>
            </w:pPr>
            <w:r w:rsidRPr="0023100D">
              <w:t>6 cylinder unleaded petrol</w:t>
            </w:r>
          </w:p>
        </w:tc>
        <w:tc>
          <w:tcPr>
            <w:tcW w:w="2268" w:type="dxa"/>
            <w:vAlign w:val="center"/>
          </w:tcPr>
          <w:p w:rsidR="0092299C" w:rsidRPr="006B7B2D" w:rsidRDefault="0092299C" w:rsidP="0092299C">
            <w:pPr>
              <w:pStyle w:val="ARtabletextright"/>
            </w:pPr>
            <w:r w:rsidRPr="006B7B2D">
              <w:t>3.5</w:t>
            </w:r>
          </w:p>
        </w:tc>
        <w:tc>
          <w:tcPr>
            <w:tcW w:w="2268" w:type="dxa"/>
            <w:vAlign w:val="center"/>
          </w:tcPr>
          <w:p w:rsidR="0092299C" w:rsidRPr="006B7B2D" w:rsidRDefault="0092299C" w:rsidP="0092299C">
            <w:pPr>
              <w:pStyle w:val="ARtabletextright"/>
            </w:pPr>
            <w:r w:rsidRPr="006B7B2D">
              <w:t>52.4</w:t>
            </w:r>
          </w:p>
        </w:tc>
      </w:tr>
      <w:tr w:rsidR="0092299C" w:rsidRPr="00CF6149" w:rsidTr="0092299C">
        <w:trPr>
          <w:cantSplit/>
        </w:trPr>
        <w:tc>
          <w:tcPr>
            <w:tcW w:w="5103" w:type="dxa"/>
          </w:tcPr>
          <w:p w:rsidR="0092299C" w:rsidRPr="0023100D" w:rsidRDefault="0092299C" w:rsidP="0092299C">
            <w:pPr>
              <w:pStyle w:val="ARtabletext"/>
            </w:pPr>
            <w:r w:rsidRPr="0023100D">
              <w:t>Diesel</w:t>
            </w:r>
          </w:p>
        </w:tc>
        <w:tc>
          <w:tcPr>
            <w:tcW w:w="2268" w:type="dxa"/>
            <w:vAlign w:val="center"/>
          </w:tcPr>
          <w:p w:rsidR="0092299C" w:rsidRPr="006B7B2D" w:rsidRDefault="0092299C" w:rsidP="0092299C">
            <w:pPr>
              <w:pStyle w:val="ARtabletextright"/>
            </w:pPr>
            <w:r w:rsidRPr="006B7B2D">
              <w:t>26.9</w:t>
            </w:r>
          </w:p>
        </w:tc>
        <w:tc>
          <w:tcPr>
            <w:tcW w:w="2268" w:type="dxa"/>
            <w:vAlign w:val="center"/>
          </w:tcPr>
          <w:p w:rsidR="0092299C" w:rsidRPr="006B7B2D" w:rsidRDefault="0092299C" w:rsidP="0092299C">
            <w:pPr>
              <w:pStyle w:val="ARtabletextright"/>
            </w:pPr>
            <w:r w:rsidRPr="006B7B2D">
              <w:t>21.0</w:t>
            </w:r>
          </w:p>
        </w:tc>
      </w:tr>
    </w:tbl>
    <w:p w:rsidR="0092299C" w:rsidRPr="00CF6149" w:rsidRDefault="0092299C" w:rsidP="0092299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92299C" w:rsidRPr="00CF6149" w:rsidTr="0092299C">
        <w:trPr>
          <w:cantSplit/>
          <w:tblHeader/>
        </w:trPr>
        <w:tc>
          <w:tcPr>
            <w:tcW w:w="2835" w:type="dxa"/>
            <w:vAlign w:val="bottom"/>
          </w:tcPr>
          <w:p w:rsidR="0092299C" w:rsidRPr="0023100D" w:rsidRDefault="0092299C" w:rsidP="0092299C">
            <w:pPr>
              <w:pStyle w:val="ARtablecolhead"/>
            </w:pPr>
            <w:r w:rsidRPr="0023100D">
              <w:t>Description</w:t>
            </w:r>
          </w:p>
        </w:tc>
        <w:tc>
          <w:tcPr>
            <w:tcW w:w="2268" w:type="dxa"/>
            <w:vAlign w:val="bottom"/>
          </w:tcPr>
          <w:p w:rsidR="0092299C" w:rsidRPr="0023100D" w:rsidRDefault="0092299C" w:rsidP="0092299C">
            <w:pPr>
              <w:pStyle w:val="ARtablecolheadright"/>
            </w:pPr>
            <w:r w:rsidRPr="0023100D">
              <w:t>2014–15 estimate</w:t>
            </w:r>
          </w:p>
        </w:tc>
        <w:tc>
          <w:tcPr>
            <w:tcW w:w="2268" w:type="dxa"/>
            <w:vAlign w:val="bottom"/>
          </w:tcPr>
          <w:p w:rsidR="0092299C" w:rsidRPr="0023100D" w:rsidRDefault="0092299C" w:rsidP="0092299C">
            <w:pPr>
              <w:pStyle w:val="ARtablecolheadright"/>
            </w:pPr>
            <w:r>
              <w:t xml:space="preserve">2015–16 </w:t>
            </w:r>
            <w:r w:rsidRPr="0023100D">
              <w:t>estimate</w:t>
            </w:r>
          </w:p>
        </w:tc>
        <w:tc>
          <w:tcPr>
            <w:tcW w:w="2268" w:type="dxa"/>
            <w:vAlign w:val="bottom"/>
          </w:tcPr>
          <w:p w:rsidR="0092299C" w:rsidRPr="0023100D" w:rsidRDefault="0092299C" w:rsidP="0092299C">
            <w:pPr>
              <w:pStyle w:val="ARtablecolheadright"/>
            </w:pPr>
            <w:r w:rsidRPr="0023100D">
              <w:t>2016–17 estimate</w:t>
            </w:r>
          </w:p>
        </w:tc>
      </w:tr>
      <w:tr w:rsidR="0092299C" w:rsidRPr="00843E15" w:rsidTr="0092299C">
        <w:trPr>
          <w:cantSplit/>
          <w:tblHeader/>
        </w:trPr>
        <w:tc>
          <w:tcPr>
            <w:tcW w:w="2835" w:type="dxa"/>
          </w:tcPr>
          <w:p w:rsidR="0092299C" w:rsidRPr="0023100D" w:rsidRDefault="0092299C" w:rsidP="0092299C">
            <w:pPr>
              <w:pStyle w:val="ARtablecolhead"/>
            </w:pPr>
            <w:r w:rsidRPr="0023100D">
              <w:t>Total energy consumption</w:t>
            </w:r>
          </w:p>
        </w:tc>
        <w:tc>
          <w:tcPr>
            <w:tcW w:w="2268" w:type="dxa"/>
            <w:vAlign w:val="bottom"/>
          </w:tcPr>
          <w:p w:rsidR="0092299C" w:rsidRPr="0023100D" w:rsidRDefault="0092299C" w:rsidP="0092299C">
            <w:pPr>
              <w:pStyle w:val="ARtablecolheadright"/>
            </w:pPr>
            <w:proofErr w:type="spellStart"/>
            <w:r w:rsidRPr="0023100D">
              <w:t>Megajoules</w:t>
            </w:r>
            <w:proofErr w:type="spellEnd"/>
          </w:p>
        </w:tc>
        <w:tc>
          <w:tcPr>
            <w:tcW w:w="2268" w:type="dxa"/>
            <w:vAlign w:val="bottom"/>
          </w:tcPr>
          <w:p w:rsidR="0092299C" w:rsidRPr="0023100D" w:rsidRDefault="0092299C" w:rsidP="0092299C">
            <w:pPr>
              <w:pStyle w:val="ARtablecolheadright"/>
            </w:pPr>
            <w:proofErr w:type="spellStart"/>
            <w:r w:rsidRPr="0023100D">
              <w:t>Megajoules</w:t>
            </w:r>
            <w:proofErr w:type="spellEnd"/>
          </w:p>
        </w:tc>
        <w:tc>
          <w:tcPr>
            <w:tcW w:w="2268" w:type="dxa"/>
            <w:vAlign w:val="bottom"/>
          </w:tcPr>
          <w:p w:rsidR="0092299C" w:rsidRPr="0023100D" w:rsidRDefault="0092299C" w:rsidP="0092299C">
            <w:pPr>
              <w:pStyle w:val="ARtablecolheadright"/>
            </w:pPr>
            <w:proofErr w:type="spellStart"/>
            <w:r w:rsidRPr="0023100D">
              <w:t>Megajoules</w:t>
            </w:r>
            <w:proofErr w:type="spellEnd"/>
          </w:p>
        </w:tc>
      </w:tr>
      <w:tr w:rsidR="0092299C" w:rsidRPr="00CF6149" w:rsidTr="0092299C">
        <w:trPr>
          <w:cantSplit/>
        </w:trPr>
        <w:tc>
          <w:tcPr>
            <w:tcW w:w="2835" w:type="dxa"/>
          </w:tcPr>
          <w:p w:rsidR="0092299C" w:rsidRPr="0023100D" w:rsidRDefault="0092299C" w:rsidP="0092299C">
            <w:pPr>
              <w:pStyle w:val="ARtabletext"/>
            </w:pPr>
            <w:r w:rsidRPr="0023100D">
              <w:t>LPG</w:t>
            </w:r>
          </w:p>
        </w:tc>
        <w:tc>
          <w:tcPr>
            <w:tcW w:w="2268" w:type="dxa"/>
          </w:tcPr>
          <w:p w:rsidR="0092299C" w:rsidRPr="00CF6149" w:rsidRDefault="0092299C" w:rsidP="0092299C">
            <w:pPr>
              <w:pStyle w:val="ARtabletextright"/>
            </w:pPr>
            <w:r w:rsidRPr="00CF6149">
              <w:t>19,672,728</w:t>
            </w:r>
          </w:p>
        </w:tc>
        <w:tc>
          <w:tcPr>
            <w:tcW w:w="2268" w:type="dxa"/>
          </w:tcPr>
          <w:p w:rsidR="0092299C" w:rsidRPr="00CF6149" w:rsidRDefault="0092299C" w:rsidP="0092299C">
            <w:pPr>
              <w:pStyle w:val="ARtabletextright"/>
            </w:pPr>
            <w:r>
              <w:t>16,768,004</w:t>
            </w:r>
          </w:p>
        </w:tc>
        <w:tc>
          <w:tcPr>
            <w:tcW w:w="2268" w:type="dxa"/>
            <w:vAlign w:val="center"/>
          </w:tcPr>
          <w:p w:rsidR="0092299C" w:rsidRPr="006B7B2D" w:rsidRDefault="0092299C" w:rsidP="0092299C">
            <w:pPr>
              <w:pStyle w:val="ARtabletextright"/>
            </w:pPr>
            <w:r w:rsidRPr="006B7B2D">
              <w:t>8,604,814</w:t>
            </w:r>
          </w:p>
        </w:tc>
      </w:tr>
      <w:tr w:rsidR="0092299C" w:rsidRPr="00CF6149" w:rsidTr="0092299C">
        <w:trPr>
          <w:cantSplit/>
        </w:trPr>
        <w:tc>
          <w:tcPr>
            <w:tcW w:w="2835" w:type="dxa"/>
          </w:tcPr>
          <w:p w:rsidR="0092299C" w:rsidRPr="0023100D" w:rsidRDefault="0092299C" w:rsidP="0092299C">
            <w:pPr>
              <w:pStyle w:val="ARtabletext"/>
            </w:pPr>
            <w:r w:rsidRPr="0023100D">
              <w:t>Dual fuel</w:t>
            </w:r>
          </w:p>
        </w:tc>
        <w:tc>
          <w:tcPr>
            <w:tcW w:w="2268" w:type="dxa"/>
          </w:tcPr>
          <w:p w:rsidR="0092299C" w:rsidRPr="00CF6149" w:rsidRDefault="0092299C" w:rsidP="0092299C">
            <w:pPr>
              <w:pStyle w:val="ARtabletextright"/>
            </w:pPr>
            <w:r w:rsidRPr="00CF6149">
              <w:t>2,449,269</w:t>
            </w:r>
          </w:p>
        </w:tc>
        <w:tc>
          <w:tcPr>
            <w:tcW w:w="2268" w:type="dxa"/>
          </w:tcPr>
          <w:p w:rsidR="0092299C" w:rsidRPr="00CF6149" w:rsidRDefault="0092299C" w:rsidP="0092299C">
            <w:pPr>
              <w:pStyle w:val="ARtabletextright"/>
            </w:pPr>
            <w:r>
              <w:t>0</w:t>
            </w:r>
          </w:p>
        </w:tc>
        <w:tc>
          <w:tcPr>
            <w:tcW w:w="2268" w:type="dxa"/>
            <w:vAlign w:val="center"/>
          </w:tcPr>
          <w:p w:rsidR="0092299C" w:rsidRPr="006B7B2D" w:rsidRDefault="0092299C" w:rsidP="0092299C">
            <w:pPr>
              <w:pStyle w:val="ARtabletextright"/>
            </w:pPr>
            <w:r w:rsidRPr="006B7B2D">
              <w:t>0</w:t>
            </w:r>
          </w:p>
        </w:tc>
      </w:tr>
      <w:tr w:rsidR="0092299C" w:rsidRPr="00CF6149" w:rsidTr="0092299C">
        <w:trPr>
          <w:cantSplit/>
        </w:trPr>
        <w:tc>
          <w:tcPr>
            <w:tcW w:w="2835" w:type="dxa"/>
          </w:tcPr>
          <w:p w:rsidR="0092299C" w:rsidRPr="0023100D" w:rsidRDefault="0092299C" w:rsidP="0092299C">
            <w:pPr>
              <w:pStyle w:val="ARtabletext"/>
            </w:pPr>
            <w:r w:rsidRPr="0023100D">
              <w:t>Hybrid</w:t>
            </w:r>
          </w:p>
        </w:tc>
        <w:tc>
          <w:tcPr>
            <w:tcW w:w="2268" w:type="dxa"/>
          </w:tcPr>
          <w:p w:rsidR="0092299C" w:rsidRPr="00CF6149" w:rsidRDefault="0092299C" w:rsidP="0092299C">
            <w:pPr>
              <w:pStyle w:val="ARtabletextright"/>
            </w:pPr>
            <w:r w:rsidRPr="00CF6149">
              <w:t>18,770,516</w:t>
            </w:r>
          </w:p>
        </w:tc>
        <w:tc>
          <w:tcPr>
            <w:tcW w:w="2268" w:type="dxa"/>
          </w:tcPr>
          <w:p w:rsidR="0092299C" w:rsidRPr="00CF6149" w:rsidRDefault="0092299C" w:rsidP="0092299C">
            <w:pPr>
              <w:pStyle w:val="ARtabletextright"/>
            </w:pPr>
            <w:r>
              <w:t>20,229,511</w:t>
            </w:r>
          </w:p>
        </w:tc>
        <w:tc>
          <w:tcPr>
            <w:tcW w:w="2268" w:type="dxa"/>
            <w:vAlign w:val="center"/>
          </w:tcPr>
          <w:p w:rsidR="0092299C" w:rsidRPr="006B7B2D" w:rsidRDefault="0092299C" w:rsidP="0092299C">
            <w:pPr>
              <w:pStyle w:val="ARtabletextright"/>
            </w:pPr>
            <w:r w:rsidRPr="006B7B2D">
              <w:t>26,322,030</w:t>
            </w:r>
          </w:p>
        </w:tc>
      </w:tr>
      <w:tr w:rsidR="0092299C" w:rsidRPr="00CF6149" w:rsidTr="0092299C">
        <w:trPr>
          <w:cantSplit/>
        </w:trPr>
        <w:tc>
          <w:tcPr>
            <w:tcW w:w="2835" w:type="dxa"/>
          </w:tcPr>
          <w:p w:rsidR="0092299C" w:rsidRPr="0023100D" w:rsidRDefault="0092299C" w:rsidP="0092299C">
            <w:pPr>
              <w:pStyle w:val="ARtabletext"/>
            </w:pPr>
            <w:r w:rsidRPr="0023100D">
              <w:t>Unleaded petrol</w:t>
            </w:r>
          </w:p>
        </w:tc>
        <w:tc>
          <w:tcPr>
            <w:tcW w:w="2268" w:type="dxa"/>
          </w:tcPr>
          <w:p w:rsidR="0092299C" w:rsidRPr="00CF6149" w:rsidRDefault="0092299C" w:rsidP="0092299C">
            <w:pPr>
              <w:pStyle w:val="ARtabletextright"/>
            </w:pPr>
            <w:r w:rsidRPr="00CF6149">
              <w:t>59,197,243</w:t>
            </w:r>
          </w:p>
        </w:tc>
        <w:tc>
          <w:tcPr>
            <w:tcW w:w="2268" w:type="dxa"/>
          </w:tcPr>
          <w:p w:rsidR="0092299C" w:rsidRPr="00CF6149" w:rsidRDefault="0092299C" w:rsidP="0092299C">
            <w:pPr>
              <w:pStyle w:val="ARtabletextright"/>
            </w:pPr>
            <w:r>
              <w:t>60,517,732</w:t>
            </w:r>
          </w:p>
        </w:tc>
        <w:tc>
          <w:tcPr>
            <w:tcW w:w="2268" w:type="dxa"/>
            <w:vAlign w:val="center"/>
          </w:tcPr>
          <w:p w:rsidR="0092299C" w:rsidRPr="006B7B2D" w:rsidRDefault="0092299C" w:rsidP="0092299C">
            <w:pPr>
              <w:pStyle w:val="ARtabletextright"/>
            </w:pPr>
            <w:r w:rsidRPr="006B7B2D">
              <w:t>51,713,923</w:t>
            </w:r>
          </w:p>
        </w:tc>
      </w:tr>
      <w:tr w:rsidR="0092299C" w:rsidRPr="00CF6149" w:rsidTr="0092299C">
        <w:trPr>
          <w:cantSplit/>
        </w:trPr>
        <w:tc>
          <w:tcPr>
            <w:tcW w:w="2835" w:type="dxa"/>
          </w:tcPr>
          <w:p w:rsidR="0092299C" w:rsidRPr="0023100D" w:rsidRDefault="0092299C" w:rsidP="0092299C">
            <w:pPr>
              <w:pStyle w:val="ARtabletext"/>
            </w:pPr>
            <w:r w:rsidRPr="0023100D">
              <w:t>Diesel</w:t>
            </w:r>
          </w:p>
        </w:tc>
        <w:tc>
          <w:tcPr>
            <w:tcW w:w="2268" w:type="dxa"/>
          </w:tcPr>
          <w:p w:rsidR="0092299C" w:rsidRPr="00CF6149" w:rsidRDefault="0092299C" w:rsidP="0092299C">
            <w:pPr>
              <w:pStyle w:val="ARtabletextright"/>
            </w:pPr>
            <w:r w:rsidRPr="00CF6149">
              <w:t>31,513,114</w:t>
            </w:r>
          </w:p>
        </w:tc>
        <w:tc>
          <w:tcPr>
            <w:tcW w:w="2268" w:type="dxa"/>
          </w:tcPr>
          <w:p w:rsidR="0092299C" w:rsidRPr="00CF6149" w:rsidRDefault="0092299C" w:rsidP="0092299C">
            <w:pPr>
              <w:pStyle w:val="ARtabletextright"/>
            </w:pPr>
            <w:r>
              <w:t>31,624,548</w:t>
            </w:r>
          </w:p>
        </w:tc>
        <w:tc>
          <w:tcPr>
            <w:tcW w:w="2268" w:type="dxa"/>
            <w:vAlign w:val="center"/>
          </w:tcPr>
          <w:p w:rsidR="0092299C" w:rsidRPr="006B7B2D" w:rsidRDefault="0092299C" w:rsidP="0092299C">
            <w:pPr>
              <w:pStyle w:val="ARtabletextright"/>
            </w:pPr>
            <w:r w:rsidRPr="006B7B2D">
              <w:t>35,718,356</w:t>
            </w:r>
          </w:p>
        </w:tc>
      </w:tr>
      <w:tr w:rsidR="0092299C" w:rsidRPr="00912528" w:rsidTr="0092299C">
        <w:trPr>
          <w:cantSplit/>
        </w:trPr>
        <w:tc>
          <w:tcPr>
            <w:tcW w:w="2835" w:type="dxa"/>
          </w:tcPr>
          <w:p w:rsidR="0092299C" w:rsidRPr="0023100D" w:rsidRDefault="0092299C" w:rsidP="0092299C">
            <w:pPr>
              <w:pStyle w:val="ARtabletext"/>
              <w:rPr>
                <w:b/>
              </w:rPr>
            </w:pPr>
            <w:r w:rsidRPr="0023100D">
              <w:rPr>
                <w:b/>
              </w:rPr>
              <w:t>Total</w:t>
            </w:r>
          </w:p>
        </w:tc>
        <w:tc>
          <w:tcPr>
            <w:tcW w:w="2268" w:type="dxa"/>
          </w:tcPr>
          <w:p w:rsidR="0092299C" w:rsidRPr="00912528" w:rsidRDefault="0092299C" w:rsidP="0092299C">
            <w:pPr>
              <w:pStyle w:val="ARtabletextright"/>
              <w:rPr>
                <w:b/>
              </w:rPr>
            </w:pPr>
            <w:r w:rsidRPr="00912528">
              <w:rPr>
                <w:b/>
              </w:rPr>
              <w:t>131,602,870</w:t>
            </w:r>
          </w:p>
        </w:tc>
        <w:tc>
          <w:tcPr>
            <w:tcW w:w="2268" w:type="dxa"/>
          </w:tcPr>
          <w:p w:rsidR="0092299C" w:rsidRPr="00912528" w:rsidRDefault="0092299C" w:rsidP="0092299C">
            <w:pPr>
              <w:pStyle w:val="ARtabletextright"/>
              <w:rPr>
                <w:b/>
              </w:rPr>
            </w:pPr>
            <w:r>
              <w:rPr>
                <w:b/>
              </w:rPr>
              <w:t>129,139,795</w:t>
            </w:r>
          </w:p>
        </w:tc>
        <w:tc>
          <w:tcPr>
            <w:tcW w:w="2268" w:type="dxa"/>
            <w:vAlign w:val="center"/>
          </w:tcPr>
          <w:p w:rsidR="0092299C" w:rsidRPr="006B7B2D" w:rsidRDefault="0092299C" w:rsidP="0092299C">
            <w:pPr>
              <w:pStyle w:val="ARtabletextright"/>
              <w:rPr>
                <w:b/>
              </w:rPr>
            </w:pPr>
            <w:r w:rsidRPr="006B7B2D">
              <w:rPr>
                <w:b/>
              </w:rPr>
              <w:t>122,359,123</w:t>
            </w:r>
          </w:p>
        </w:tc>
      </w:tr>
    </w:tbl>
    <w:p w:rsidR="0092299C" w:rsidRDefault="0092299C" w:rsidP="0092299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92299C" w:rsidRPr="00376DA0" w:rsidTr="0092299C">
        <w:trPr>
          <w:cantSplit/>
          <w:trHeight w:val="270"/>
          <w:tblHeader/>
        </w:trPr>
        <w:tc>
          <w:tcPr>
            <w:tcW w:w="2835" w:type="dxa"/>
            <w:vAlign w:val="bottom"/>
          </w:tcPr>
          <w:p w:rsidR="0092299C" w:rsidRPr="0023100D" w:rsidRDefault="0092299C" w:rsidP="000979BC">
            <w:pPr>
              <w:pStyle w:val="ARtablecolhead"/>
              <w:pageBreakBefore/>
            </w:pPr>
            <w:r w:rsidRPr="0023100D">
              <w:lastRenderedPageBreak/>
              <w:t>Description</w:t>
            </w:r>
          </w:p>
        </w:tc>
        <w:tc>
          <w:tcPr>
            <w:tcW w:w="2268" w:type="dxa"/>
            <w:vAlign w:val="bottom"/>
          </w:tcPr>
          <w:p w:rsidR="0092299C" w:rsidRPr="0023100D" w:rsidRDefault="0092299C" w:rsidP="0092299C">
            <w:pPr>
              <w:pStyle w:val="ARtablecolheadright"/>
            </w:pPr>
            <w:r w:rsidRPr="0023100D">
              <w:t>2014–15 estimate</w:t>
            </w:r>
          </w:p>
        </w:tc>
        <w:tc>
          <w:tcPr>
            <w:tcW w:w="2268" w:type="dxa"/>
            <w:vAlign w:val="bottom"/>
          </w:tcPr>
          <w:p w:rsidR="0092299C" w:rsidRPr="0023100D" w:rsidRDefault="0092299C" w:rsidP="0092299C">
            <w:pPr>
              <w:pStyle w:val="ARtablecolheadright"/>
            </w:pPr>
            <w:r>
              <w:t xml:space="preserve">2015–16 </w:t>
            </w:r>
            <w:r w:rsidRPr="0023100D">
              <w:t>estimate</w:t>
            </w:r>
          </w:p>
        </w:tc>
        <w:tc>
          <w:tcPr>
            <w:tcW w:w="2268" w:type="dxa"/>
            <w:vAlign w:val="bottom"/>
          </w:tcPr>
          <w:p w:rsidR="0092299C" w:rsidRPr="0023100D" w:rsidRDefault="0092299C" w:rsidP="0092299C">
            <w:pPr>
              <w:pStyle w:val="ARtablecolheadright"/>
            </w:pPr>
            <w:r w:rsidRPr="0023100D">
              <w:t>2016–17 estimate</w:t>
            </w:r>
          </w:p>
        </w:tc>
      </w:tr>
      <w:tr w:rsidR="0092299C" w:rsidRPr="00843E15" w:rsidTr="0092299C">
        <w:trPr>
          <w:cantSplit/>
          <w:trHeight w:val="270"/>
          <w:tblHeader/>
        </w:trPr>
        <w:tc>
          <w:tcPr>
            <w:tcW w:w="2835" w:type="dxa"/>
          </w:tcPr>
          <w:p w:rsidR="0092299C" w:rsidRPr="0023100D" w:rsidRDefault="0092299C" w:rsidP="0092299C">
            <w:pPr>
              <w:pStyle w:val="ARtablecolhead"/>
            </w:pPr>
            <w:r w:rsidRPr="0023100D">
              <w:t>Total vehicle travel</w:t>
            </w:r>
          </w:p>
        </w:tc>
        <w:tc>
          <w:tcPr>
            <w:tcW w:w="2268" w:type="dxa"/>
            <w:vAlign w:val="bottom"/>
          </w:tcPr>
          <w:p w:rsidR="0092299C" w:rsidRPr="0023100D" w:rsidRDefault="0092299C" w:rsidP="0092299C">
            <w:pPr>
              <w:pStyle w:val="ARtablecolheadright"/>
            </w:pPr>
            <w:r w:rsidRPr="0023100D">
              <w:t>Kilometres</w:t>
            </w:r>
          </w:p>
        </w:tc>
        <w:tc>
          <w:tcPr>
            <w:tcW w:w="2268" w:type="dxa"/>
            <w:vAlign w:val="bottom"/>
          </w:tcPr>
          <w:p w:rsidR="0092299C" w:rsidRPr="0023100D" w:rsidRDefault="0092299C" w:rsidP="0092299C">
            <w:pPr>
              <w:pStyle w:val="ARtablecolheadright"/>
            </w:pPr>
            <w:r w:rsidRPr="0023100D">
              <w:t>Kilometres</w:t>
            </w:r>
          </w:p>
        </w:tc>
        <w:tc>
          <w:tcPr>
            <w:tcW w:w="2268" w:type="dxa"/>
            <w:vAlign w:val="bottom"/>
          </w:tcPr>
          <w:p w:rsidR="0092299C" w:rsidRPr="0023100D" w:rsidRDefault="0092299C" w:rsidP="0092299C">
            <w:pPr>
              <w:pStyle w:val="ARtablecolheadright"/>
            </w:pPr>
            <w:r w:rsidRPr="0023100D">
              <w:t>Kilometres</w:t>
            </w:r>
          </w:p>
        </w:tc>
      </w:tr>
      <w:tr w:rsidR="0092299C" w:rsidRPr="00376DA0" w:rsidTr="0092299C">
        <w:trPr>
          <w:cantSplit/>
          <w:trHeight w:val="270"/>
        </w:trPr>
        <w:tc>
          <w:tcPr>
            <w:tcW w:w="2835" w:type="dxa"/>
          </w:tcPr>
          <w:p w:rsidR="0092299C" w:rsidRPr="00376DA0" w:rsidRDefault="0092299C" w:rsidP="0092299C">
            <w:pPr>
              <w:pStyle w:val="ARtabletext"/>
            </w:pPr>
            <w:r w:rsidRPr="00376DA0">
              <w:t>LPG</w:t>
            </w:r>
          </w:p>
        </w:tc>
        <w:tc>
          <w:tcPr>
            <w:tcW w:w="2268" w:type="dxa"/>
          </w:tcPr>
          <w:p w:rsidR="0092299C" w:rsidRPr="00962998" w:rsidRDefault="0092299C" w:rsidP="0092299C">
            <w:pPr>
              <w:pStyle w:val="ARtabletextright"/>
            </w:pPr>
            <w:r w:rsidRPr="00962998">
              <w:t>6,049,039</w:t>
            </w:r>
          </w:p>
        </w:tc>
        <w:tc>
          <w:tcPr>
            <w:tcW w:w="2268" w:type="dxa"/>
          </w:tcPr>
          <w:p w:rsidR="0092299C" w:rsidRPr="00962998" w:rsidRDefault="0092299C" w:rsidP="0092299C">
            <w:pPr>
              <w:pStyle w:val="ARtabletextright"/>
            </w:pPr>
            <w:r w:rsidRPr="00962998">
              <w:t>4,787,395</w:t>
            </w:r>
          </w:p>
        </w:tc>
        <w:tc>
          <w:tcPr>
            <w:tcW w:w="2268" w:type="dxa"/>
            <w:vAlign w:val="center"/>
          </w:tcPr>
          <w:p w:rsidR="0092299C" w:rsidRPr="00962998" w:rsidRDefault="0092299C" w:rsidP="0092299C">
            <w:pPr>
              <w:pStyle w:val="ARtabletextright"/>
            </w:pPr>
            <w:r w:rsidRPr="00962998">
              <w:t>2,473,150</w:t>
            </w:r>
          </w:p>
        </w:tc>
      </w:tr>
      <w:tr w:rsidR="0092299C" w:rsidRPr="00376DA0" w:rsidTr="0092299C">
        <w:trPr>
          <w:cantSplit/>
          <w:trHeight w:val="270"/>
        </w:trPr>
        <w:tc>
          <w:tcPr>
            <w:tcW w:w="2835" w:type="dxa"/>
          </w:tcPr>
          <w:p w:rsidR="0092299C" w:rsidRPr="00376DA0" w:rsidRDefault="0092299C" w:rsidP="0092299C">
            <w:pPr>
              <w:pStyle w:val="ARtabletext"/>
            </w:pPr>
            <w:r w:rsidRPr="00376DA0">
              <w:t>Dual fuel</w:t>
            </w:r>
          </w:p>
        </w:tc>
        <w:tc>
          <w:tcPr>
            <w:tcW w:w="2268" w:type="dxa"/>
          </w:tcPr>
          <w:p w:rsidR="0092299C" w:rsidRPr="00962998" w:rsidRDefault="0092299C" w:rsidP="0092299C">
            <w:pPr>
              <w:pStyle w:val="ARtabletextright"/>
            </w:pPr>
            <w:r w:rsidRPr="00962998">
              <w:t>623,356</w:t>
            </w:r>
          </w:p>
        </w:tc>
        <w:tc>
          <w:tcPr>
            <w:tcW w:w="2268" w:type="dxa"/>
          </w:tcPr>
          <w:p w:rsidR="0092299C" w:rsidRPr="00962998" w:rsidRDefault="0092299C" w:rsidP="0092299C">
            <w:pPr>
              <w:pStyle w:val="ARtabletextright"/>
            </w:pPr>
            <w:r w:rsidRPr="00962998">
              <w:t>0</w:t>
            </w:r>
          </w:p>
        </w:tc>
        <w:tc>
          <w:tcPr>
            <w:tcW w:w="2268" w:type="dxa"/>
            <w:vAlign w:val="center"/>
          </w:tcPr>
          <w:p w:rsidR="0092299C" w:rsidRPr="00962998" w:rsidRDefault="0092299C" w:rsidP="0092299C">
            <w:pPr>
              <w:pStyle w:val="ARtabletextright"/>
            </w:pPr>
            <w:r w:rsidRPr="00962998">
              <w:t>0</w:t>
            </w:r>
          </w:p>
        </w:tc>
      </w:tr>
      <w:tr w:rsidR="0092299C" w:rsidRPr="00376DA0" w:rsidTr="0092299C">
        <w:trPr>
          <w:cantSplit/>
          <w:trHeight w:val="270"/>
        </w:trPr>
        <w:tc>
          <w:tcPr>
            <w:tcW w:w="2835" w:type="dxa"/>
          </w:tcPr>
          <w:p w:rsidR="0092299C" w:rsidRPr="00376DA0" w:rsidRDefault="0092299C" w:rsidP="0092299C">
            <w:pPr>
              <w:pStyle w:val="ARtabletext"/>
            </w:pPr>
            <w:r w:rsidRPr="00376DA0">
              <w:t>Hybrid</w:t>
            </w:r>
          </w:p>
        </w:tc>
        <w:tc>
          <w:tcPr>
            <w:tcW w:w="2268" w:type="dxa"/>
          </w:tcPr>
          <w:p w:rsidR="0092299C" w:rsidRPr="00962998" w:rsidRDefault="0092299C" w:rsidP="0092299C">
            <w:pPr>
              <w:pStyle w:val="ARtabletextright"/>
            </w:pPr>
            <w:r w:rsidRPr="00962998">
              <w:t>8,959,794</w:t>
            </w:r>
          </w:p>
        </w:tc>
        <w:tc>
          <w:tcPr>
            <w:tcW w:w="2268" w:type="dxa"/>
          </w:tcPr>
          <w:p w:rsidR="0092299C" w:rsidRPr="00962998" w:rsidRDefault="0092299C" w:rsidP="0092299C">
            <w:pPr>
              <w:pStyle w:val="ARtabletextright"/>
            </w:pPr>
            <w:r w:rsidRPr="00962998">
              <w:t>9,547,954</w:t>
            </w:r>
          </w:p>
        </w:tc>
        <w:tc>
          <w:tcPr>
            <w:tcW w:w="2268" w:type="dxa"/>
            <w:vAlign w:val="center"/>
          </w:tcPr>
          <w:p w:rsidR="0092299C" w:rsidRPr="00962998" w:rsidRDefault="0092299C" w:rsidP="0092299C">
            <w:pPr>
              <w:pStyle w:val="ARtabletextright"/>
            </w:pPr>
            <w:r w:rsidRPr="00962998">
              <w:t>17,889,358</w:t>
            </w:r>
          </w:p>
        </w:tc>
      </w:tr>
      <w:tr w:rsidR="0092299C" w:rsidRPr="00376DA0" w:rsidTr="0092299C">
        <w:trPr>
          <w:cantSplit/>
          <w:trHeight w:val="270"/>
        </w:trPr>
        <w:tc>
          <w:tcPr>
            <w:tcW w:w="2835" w:type="dxa"/>
          </w:tcPr>
          <w:p w:rsidR="0092299C" w:rsidRPr="00376DA0" w:rsidRDefault="0092299C" w:rsidP="0092299C">
            <w:pPr>
              <w:pStyle w:val="ARtabletext"/>
            </w:pPr>
            <w:r w:rsidRPr="00376DA0">
              <w:t>Unleaded petrol</w:t>
            </w:r>
          </w:p>
        </w:tc>
        <w:tc>
          <w:tcPr>
            <w:tcW w:w="2268" w:type="dxa"/>
          </w:tcPr>
          <w:p w:rsidR="0092299C" w:rsidRPr="00962998" w:rsidRDefault="0092299C" w:rsidP="0092299C">
            <w:pPr>
              <w:pStyle w:val="ARtabletextright"/>
            </w:pPr>
            <w:r w:rsidRPr="00962998">
              <w:t>14,978,683</w:t>
            </w:r>
          </w:p>
        </w:tc>
        <w:tc>
          <w:tcPr>
            <w:tcW w:w="2268" w:type="dxa"/>
          </w:tcPr>
          <w:p w:rsidR="0092299C" w:rsidRPr="00962998" w:rsidRDefault="0092299C" w:rsidP="0092299C">
            <w:pPr>
              <w:pStyle w:val="ARtabletextright"/>
            </w:pPr>
            <w:r w:rsidRPr="00962998">
              <w:t>15,040,082</w:t>
            </w:r>
          </w:p>
        </w:tc>
        <w:tc>
          <w:tcPr>
            <w:tcW w:w="2268" w:type="dxa"/>
            <w:vAlign w:val="center"/>
          </w:tcPr>
          <w:p w:rsidR="0092299C" w:rsidRPr="00962998" w:rsidRDefault="0092299C" w:rsidP="0092299C">
            <w:pPr>
              <w:pStyle w:val="ARtabletextright"/>
            </w:pPr>
            <w:r w:rsidRPr="00962998">
              <w:t>12,258,875</w:t>
            </w:r>
          </w:p>
        </w:tc>
      </w:tr>
      <w:tr w:rsidR="0092299C" w:rsidRPr="00376DA0" w:rsidTr="0092299C">
        <w:trPr>
          <w:cantSplit/>
          <w:trHeight w:val="270"/>
        </w:trPr>
        <w:tc>
          <w:tcPr>
            <w:tcW w:w="2835" w:type="dxa"/>
          </w:tcPr>
          <w:p w:rsidR="0092299C" w:rsidRPr="00376DA0" w:rsidRDefault="0092299C" w:rsidP="0092299C">
            <w:pPr>
              <w:pStyle w:val="ARtabletext"/>
            </w:pPr>
            <w:r w:rsidRPr="00376DA0">
              <w:t>Diesel</w:t>
            </w:r>
          </w:p>
        </w:tc>
        <w:tc>
          <w:tcPr>
            <w:tcW w:w="2268" w:type="dxa"/>
          </w:tcPr>
          <w:p w:rsidR="0092299C" w:rsidRPr="00962998" w:rsidRDefault="0092299C" w:rsidP="0092299C">
            <w:pPr>
              <w:pStyle w:val="ARtabletextright"/>
            </w:pPr>
            <w:r w:rsidRPr="00962998">
              <w:t>8,845,691</w:t>
            </w:r>
          </w:p>
        </w:tc>
        <w:tc>
          <w:tcPr>
            <w:tcW w:w="2268" w:type="dxa"/>
          </w:tcPr>
          <w:p w:rsidR="0092299C" w:rsidRPr="00962998" w:rsidRDefault="0092299C" w:rsidP="0092299C">
            <w:pPr>
              <w:pStyle w:val="ARtabletextright"/>
            </w:pPr>
            <w:r w:rsidRPr="00962998">
              <w:t>8,291,883</w:t>
            </w:r>
          </w:p>
        </w:tc>
        <w:tc>
          <w:tcPr>
            <w:tcW w:w="2268" w:type="dxa"/>
            <w:vAlign w:val="center"/>
          </w:tcPr>
          <w:p w:rsidR="0092299C" w:rsidRPr="00962998" w:rsidRDefault="0092299C" w:rsidP="0092299C">
            <w:pPr>
              <w:pStyle w:val="ARtabletextright"/>
            </w:pPr>
            <w:r w:rsidRPr="00962998">
              <w:t>9,912,934</w:t>
            </w:r>
          </w:p>
        </w:tc>
      </w:tr>
      <w:tr w:rsidR="0092299C" w:rsidRPr="00376DA0" w:rsidTr="0092299C">
        <w:trPr>
          <w:cantSplit/>
          <w:trHeight w:val="270"/>
        </w:trPr>
        <w:tc>
          <w:tcPr>
            <w:tcW w:w="2835" w:type="dxa"/>
          </w:tcPr>
          <w:p w:rsidR="0092299C" w:rsidRPr="00376DA0" w:rsidRDefault="0092299C" w:rsidP="0092299C">
            <w:pPr>
              <w:pStyle w:val="ARtabletext"/>
            </w:pPr>
            <w:r w:rsidRPr="00376DA0">
              <w:t>State Government Vehicle Pool</w:t>
            </w:r>
          </w:p>
        </w:tc>
        <w:tc>
          <w:tcPr>
            <w:tcW w:w="2268" w:type="dxa"/>
          </w:tcPr>
          <w:p w:rsidR="0092299C" w:rsidRPr="00962998" w:rsidRDefault="0092299C" w:rsidP="0092299C">
            <w:pPr>
              <w:pStyle w:val="ARtabletextright"/>
            </w:pPr>
            <w:r w:rsidRPr="00962998">
              <w:t>698,036</w:t>
            </w:r>
          </w:p>
        </w:tc>
        <w:tc>
          <w:tcPr>
            <w:tcW w:w="2268" w:type="dxa"/>
          </w:tcPr>
          <w:p w:rsidR="0092299C" w:rsidRPr="00962998" w:rsidRDefault="0092299C" w:rsidP="0092299C">
            <w:pPr>
              <w:pStyle w:val="ARtabletextright"/>
            </w:pPr>
            <w:r w:rsidRPr="00962998">
              <w:t>589,708</w:t>
            </w:r>
          </w:p>
        </w:tc>
        <w:tc>
          <w:tcPr>
            <w:tcW w:w="2268" w:type="dxa"/>
            <w:vAlign w:val="center"/>
          </w:tcPr>
          <w:p w:rsidR="0092299C" w:rsidRPr="00962998" w:rsidRDefault="0092299C" w:rsidP="0092299C">
            <w:pPr>
              <w:pStyle w:val="ARtabletextright"/>
            </w:pPr>
            <w:r w:rsidRPr="00962998">
              <w:t>692,858</w:t>
            </w:r>
          </w:p>
        </w:tc>
      </w:tr>
      <w:tr w:rsidR="0092299C" w:rsidRPr="00912528" w:rsidTr="0092299C">
        <w:trPr>
          <w:cantSplit/>
          <w:trHeight w:val="270"/>
        </w:trPr>
        <w:tc>
          <w:tcPr>
            <w:tcW w:w="2835" w:type="dxa"/>
          </w:tcPr>
          <w:p w:rsidR="0092299C" w:rsidRPr="00912528" w:rsidRDefault="0092299C" w:rsidP="0092299C">
            <w:pPr>
              <w:pStyle w:val="ARtabletext"/>
              <w:rPr>
                <w:b/>
              </w:rPr>
            </w:pPr>
            <w:r w:rsidRPr="00912528">
              <w:rPr>
                <w:b/>
              </w:rPr>
              <w:t>Total</w:t>
            </w:r>
          </w:p>
        </w:tc>
        <w:tc>
          <w:tcPr>
            <w:tcW w:w="2268" w:type="dxa"/>
          </w:tcPr>
          <w:p w:rsidR="0092299C" w:rsidRPr="00962998" w:rsidRDefault="0092299C" w:rsidP="0092299C">
            <w:pPr>
              <w:pStyle w:val="ARtabletextright"/>
              <w:rPr>
                <w:b/>
              </w:rPr>
            </w:pPr>
            <w:r w:rsidRPr="00962998">
              <w:rPr>
                <w:b/>
              </w:rPr>
              <w:t>40,154,599</w:t>
            </w:r>
          </w:p>
        </w:tc>
        <w:tc>
          <w:tcPr>
            <w:tcW w:w="2268" w:type="dxa"/>
          </w:tcPr>
          <w:p w:rsidR="0092299C" w:rsidRPr="00962998" w:rsidRDefault="0092299C" w:rsidP="0092299C">
            <w:pPr>
              <w:pStyle w:val="ARtabletextright"/>
              <w:rPr>
                <w:b/>
              </w:rPr>
            </w:pPr>
            <w:r w:rsidRPr="00962998">
              <w:rPr>
                <w:b/>
              </w:rPr>
              <w:t>38,257,022</w:t>
            </w:r>
          </w:p>
        </w:tc>
        <w:tc>
          <w:tcPr>
            <w:tcW w:w="2268" w:type="dxa"/>
            <w:vAlign w:val="center"/>
          </w:tcPr>
          <w:p w:rsidR="0092299C" w:rsidRPr="00962998" w:rsidRDefault="0092299C" w:rsidP="0092299C">
            <w:pPr>
              <w:pStyle w:val="ARtabletextright"/>
              <w:rPr>
                <w:b/>
              </w:rPr>
            </w:pPr>
            <w:r w:rsidRPr="00962998">
              <w:rPr>
                <w:b/>
              </w:rPr>
              <w:t>43,227,175</w:t>
            </w:r>
          </w:p>
        </w:tc>
      </w:tr>
    </w:tbl>
    <w:p w:rsidR="0092299C" w:rsidRPr="00CF6149" w:rsidRDefault="0092299C" w:rsidP="0092299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92299C" w:rsidRPr="00376DA0" w:rsidTr="0092299C">
        <w:trPr>
          <w:cantSplit/>
          <w:trHeight w:val="270"/>
          <w:tblHeader/>
        </w:trPr>
        <w:tc>
          <w:tcPr>
            <w:tcW w:w="2835" w:type="dxa"/>
            <w:vAlign w:val="bottom"/>
          </w:tcPr>
          <w:p w:rsidR="0092299C" w:rsidRPr="00962998" w:rsidRDefault="0092299C" w:rsidP="0092299C">
            <w:pPr>
              <w:pStyle w:val="ARtablecolhead"/>
            </w:pPr>
            <w:r w:rsidRPr="00962998">
              <w:t>Description</w:t>
            </w:r>
          </w:p>
        </w:tc>
        <w:tc>
          <w:tcPr>
            <w:tcW w:w="2268" w:type="dxa"/>
            <w:tcBorders>
              <w:top w:val="nil"/>
            </w:tcBorders>
            <w:vAlign w:val="bottom"/>
          </w:tcPr>
          <w:p w:rsidR="0092299C" w:rsidRPr="00962998" w:rsidRDefault="0092299C" w:rsidP="0092299C">
            <w:pPr>
              <w:pStyle w:val="ARtablecolheadright"/>
            </w:pPr>
            <w:r w:rsidRPr="00962998">
              <w:t>2014–15</w:t>
            </w:r>
            <w:r>
              <w:t xml:space="preserve"> estimate</w:t>
            </w:r>
          </w:p>
        </w:tc>
        <w:tc>
          <w:tcPr>
            <w:tcW w:w="2268" w:type="dxa"/>
            <w:tcBorders>
              <w:top w:val="nil"/>
            </w:tcBorders>
            <w:vAlign w:val="bottom"/>
          </w:tcPr>
          <w:p w:rsidR="0092299C" w:rsidRPr="00962998" w:rsidRDefault="0092299C" w:rsidP="0092299C">
            <w:pPr>
              <w:pStyle w:val="ARtablecolheadright"/>
            </w:pPr>
            <w:r>
              <w:t xml:space="preserve">2015–16 estimate </w:t>
            </w:r>
          </w:p>
        </w:tc>
        <w:tc>
          <w:tcPr>
            <w:tcW w:w="2268" w:type="dxa"/>
            <w:tcBorders>
              <w:top w:val="nil"/>
            </w:tcBorders>
            <w:vAlign w:val="bottom"/>
          </w:tcPr>
          <w:p w:rsidR="0092299C" w:rsidRPr="00962998" w:rsidRDefault="0092299C" w:rsidP="0092299C">
            <w:pPr>
              <w:pStyle w:val="ARtablecolheadright"/>
            </w:pPr>
            <w:r w:rsidRPr="00962998">
              <w:t>2016–17</w:t>
            </w:r>
            <w:r>
              <w:t>estimate</w:t>
            </w:r>
          </w:p>
        </w:tc>
      </w:tr>
      <w:tr w:rsidR="0092299C" w:rsidRPr="00843E15" w:rsidTr="0092299C">
        <w:trPr>
          <w:cantSplit/>
          <w:trHeight w:val="270"/>
          <w:tblHeader/>
        </w:trPr>
        <w:tc>
          <w:tcPr>
            <w:tcW w:w="2835" w:type="dxa"/>
          </w:tcPr>
          <w:p w:rsidR="0092299C" w:rsidRPr="00962998" w:rsidRDefault="0092299C" w:rsidP="0092299C">
            <w:pPr>
              <w:pStyle w:val="ARtablecolhead"/>
            </w:pPr>
            <w:r w:rsidRPr="00962998">
              <w:t>Total greenhouse gas emissions</w:t>
            </w:r>
          </w:p>
        </w:tc>
        <w:tc>
          <w:tcPr>
            <w:tcW w:w="2268" w:type="dxa"/>
            <w:vAlign w:val="bottom"/>
          </w:tcPr>
          <w:p w:rsidR="0092299C" w:rsidRPr="00962998" w:rsidRDefault="0092299C" w:rsidP="0092299C">
            <w:pPr>
              <w:pStyle w:val="ARtablecolheadright"/>
            </w:pPr>
            <w:r w:rsidRPr="00962998">
              <w:t>Tonnes CO</w:t>
            </w:r>
            <w:r w:rsidRPr="0098256D">
              <w:rPr>
                <w:vertAlign w:val="subscript"/>
              </w:rPr>
              <w:t>2</w:t>
            </w:r>
            <w:r w:rsidRPr="00962998">
              <w:t>-e</w:t>
            </w:r>
          </w:p>
        </w:tc>
        <w:tc>
          <w:tcPr>
            <w:tcW w:w="2268" w:type="dxa"/>
            <w:vAlign w:val="bottom"/>
          </w:tcPr>
          <w:p w:rsidR="0092299C" w:rsidRPr="00962998" w:rsidRDefault="0092299C" w:rsidP="0092299C">
            <w:pPr>
              <w:pStyle w:val="ARtablecolheadright"/>
            </w:pPr>
            <w:r w:rsidRPr="00962998">
              <w:t>Tonnes CO</w:t>
            </w:r>
            <w:r w:rsidRPr="0098256D">
              <w:rPr>
                <w:vertAlign w:val="subscript"/>
              </w:rPr>
              <w:t>2</w:t>
            </w:r>
            <w:r w:rsidRPr="00962998">
              <w:t>-e</w:t>
            </w:r>
          </w:p>
        </w:tc>
        <w:tc>
          <w:tcPr>
            <w:tcW w:w="2268" w:type="dxa"/>
            <w:vAlign w:val="bottom"/>
          </w:tcPr>
          <w:p w:rsidR="0092299C" w:rsidRPr="00962998" w:rsidRDefault="0092299C" w:rsidP="0092299C">
            <w:pPr>
              <w:pStyle w:val="ARtablecolheadright"/>
            </w:pPr>
            <w:r w:rsidRPr="00962998">
              <w:t>Tonnes CO</w:t>
            </w:r>
            <w:r w:rsidRPr="0098256D">
              <w:rPr>
                <w:vertAlign w:val="subscript"/>
              </w:rPr>
              <w:t>2</w:t>
            </w:r>
            <w:r w:rsidRPr="00962998">
              <w:t>-e</w:t>
            </w:r>
          </w:p>
        </w:tc>
      </w:tr>
      <w:tr w:rsidR="0092299C" w:rsidRPr="00376DA0" w:rsidTr="0092299C">
        <w:trPr>
          <w:cantSplit/>
          <w:trHeight w:val="270"/>
        </w:trPr>
        <w:tc>
          <w:tcPr>
            <w:tcW w:w="2835" w:type="dxa"/>
          </w:tcPr>
          <w:p w:rsidR="0092299C" w:rsidRPr="00376DA0" w:rsidRDefault="0092299C" w:rsidP="0092299C">
            <w:pPr>
              <w:pStyle w:val="ARtabletext"/>
            </w:pPr>
            <w:r w:rsidRPr="00376DA0">
              <w:t>LPG</w:t>
            </w:r>
          </w:p>
        </w:tc>
        <w:tc>
          <w:tcPr>
            <w:tcW w:w="2268" w:type="dxa"/>
          </w:tcPr>
          <w:p w:rsidR="0092299C" w:rsidRPr="00376DA0" w:rsidRDefault="0092299C" w:rsidP="0092299C">
            <w:pPr>
              <w:pStyle w:val="ARtabletextright"/>
            </w:pPr>
            <w:r w:rsidRPr="00376DA0">
              <w:t>1,196</w:t>
            </w:r>
          </w:p>
        </w:tc>
        <w:tc>
          <w:tcPr>
            <w:tcW w:w="2268" w:type="dxa"/>
          </w:tcPr>
          <w:p w:rsidR="0092299C" w:rsidRPr="00376DA0" w:rsidRDefault="0092299C" w:rsidP="0092299C">
            <w:pPr>
              <w:pStyle w:val="ARtabletextright"/>
            </w:pPr>
            <w:r>
              <w:t>1,031</w:t>
            </w:r>
          </w:p>
        </w:tc>
        <w:tc>
          <w:tcPr>
            <w:tcW w:w="2268" w:type="dxa"/>
            <w:vAlign w:val="center"/>
          </w:tcPr>
          <w:p w:rsidR="0092299C" w:rsidRPr="006B7B2D" w:rsidRDefault="0092299C" w:rsidP="0092299C">
            <w:pPr>
              <w:pStyle w:val="ARtabletextright"/>
            </w:pPr>
            <w:r w:rsidRPr="006B7B2D">
              <w:t>529</w:t>
            </w:r>
          </w:p>
        </w:tc>
      </w:tr>
      <w:tr w:rsidR="0092299C" w:rsidRPr="00376DA0" w:rsidTr="0092299C">
        <w:trPr>
          <w:cantSplit/>
          <w:trHeight w:val="270"/>
        </w:trPr>
        <w:tc>
          <w:tcPr>
            <w:tcW w:w="2835" w:type="dxa"/>
          </w:tcPr>
          <w:p w:rsidR="0092299C" w:rsidRPr="00376DA0" w:rsidRDefault="0092299C" w:rsidP="0092299C">
            <w:pPr>
              <w:pStyle w:val="ARtabletext"/>
            </w:pPr>
            <w:r w:rsidRPr="00376DA0">
              <w:t>Dual fuel</w:t>
            </w:r>
          </w:p>
        </w:tc>
        <w:tc>
          <w:tcPr>
            <w:tcW w:w="2268" w:type="dxa"/>
          </w:tcPr>
          <w:p w:rsidR="0092299C" w:rsidRPr="00376DA0" w:rsidRDefault="0092299C" w:rsidP="0092299C">
            <w:pPr>
              <w:pStyle w:val="ARtabletextright"/>
            </w:pPr>
            <w:r w:rsidRPr="00376DA0">
              <w:t>150</w:t>
            </w:r>
          </w:p>
        </w:tc>
        <w:tc>
          <w:tcPr>
            <w:tcW w:w="2268" w:type="dxa"/>
          </w:tcPr>
          <w:p w:rsidR="0092299C" w:rsidRPr="00376DA0" w:rsidRDefault="0092299C" w:rsidP="0092299C">
            <w:pPr>
              <w:pStyle w:val="ARtabletextright"/>
            </w:pPr>
            <w:r>
              <w:t>0</w:t>
            </w:r>
          </w:p>
        </w:tc>
        <w:tc>
          <w:tcPr>
            <w:tcW w:w="2268" w:type="dxa"/>
            <w:vAlign w:val="center"/>
          </w:tcPr>
          <w:p w:rsidR="0092299C" w:rsidRPr="006B7B2D" w:rsidRDefault="0092299C" w:rsidP="0092299C">
            <w:pPr>
              <w:pStyle w:val="ARtabletextright"/>
            </w:pPr>
            <w:r w:rsidRPr="006B7B2D">
              <w:t>0</w:t>
            </w:r>
          </w:p>
        </w:tc>
      </w:tr>
      <w:tr w:rsidR="0092299C" w:rsidRPr="00376DA0" w:rsidTr="0092299C">
        <w:trPr>
          <w:cantSplit/>
          <w:trHeight w:val="270"/>
        </w:trPr>
        <w:tc>
          <w:tcPr>
            <w:tcW w:w="2835" w:type="dxa"/>
          </w:tcPr>
          <w:p w:rsidR="0092299C" w:rsidRPr="00376DA0" w:rsidRDefault="0092299C" w:rsidP="0092299C">
            <w:pPr>
              <w:pStyle w:val="ARtabletext"/>
            </w:pPr>
            <w:r w:rsidRPr="00376DA0">
              <w:t>Hybrid</w:t>
            </w:r>
          </w:p>
        </w:tc>
        <w:tc>
          <w:tcPr>
            <w:tcW w:w="2268" w:type="dxa"/>
          </w:tcPr>
          <w:p w:rsidR="0092299C" w:rsidRPr="00376DA0" w:rsidRDefault="0092299C" w:rsidP="0092299C">
            <w:pPr>
              <w:pStyle w:val="ARtabletextright"/>
            </w:pPr>
            <w:r w:rsidRPr="00376DA0">
              <w:t>1,306</w:t>
            </w:r>
          </w:p>
        </w:tc>
        <w:tc>
          <w:tcPr>
            <w:tcW w:w="2268" w:type="dxa"/>
          </w:tcPr>
          <w:p w:rsidR="0092299C" w:rsidRPr="00376DA0" w:rsidRDefault="0092299C" w:rsidP="0092299C">
            <w:pPr>
              <w:pStyle w:val="ARtabletextright"/>
            </w:pPr>
            <w:r>
              <w:t>1,410</w:t>
            </w:r>
          </w:p>
        </w:tc>
        <w:tc>
          <w:tcPr>
            <w:tcW w:w="2268" w:type="dxa"/>
            <w:vAlign w:val="center"/>
          </w:tcPr>
          <w:p w:rsidR="0092299C" w:rsidRPr="006B7B2D" w:rsidRDefault="0092299C" w:rsidP="0092299C">
            <w:pPr>
              <w:pStyle w:val="ARtabletextright"/>
            </w:pPr>
            <w:r w:rsidRPr="006B7B2D">
              <w:t>1,835</w:t>
            </w:r>
          </w:p>
        </w:tc>
      </w:tr>
      <w:tr w:rsidR="0092299C" w:rsidRPr="00376DA0" w:rsidTr="0092299C">
        <w:trPr>
          <w:cantSplit/>
          <w:trHeight w:val="270"/>
        </w:trPr>
        <w:tc>
          <w:tcPr>
            <w:tcW w:w="2835" w:type="dxa"/>
          </w:tcPr>
          <w:p w:rsidR="0092299C" w:rsidRPr="00376DA0" w:rsidRDefault="0092299C" w:rsidP="0092299C">
            <w:pPr>
              <w:pStyle w:val="ARtabletext"/>
            </w:pPr>
            <w:r w:rsidRPr="00376DA0">
              <w:t>Unleaded petrol</w:t>
            </w:r>
          </w:p>
        </w:tc>
        <w:tc>
          <w:tcPr>
            <w:tcW w:w="2268" w:type="dxa"/>
          </w:tcPr>
          <w:p w:rsidR="0092299C" w:rsidRPr="00376DA0" w:rsidRDefault="0092299C" w:rsidP="0092299C">
            <w:pPr>
              <w:pStyle w:val="ARtabletextright"/>
            </w:pPr>
            <w:r w:rsidRPr="00376DA0">
              <w:t>4,120</w:t>
            </w:r>
          </w:p>
        </w:tc>
        <w:tc>
          <w:tcPr>
            <w:tcW w:w="2268" w:type="dxa"/>
          </w:tcPr>
          <w:p w:rsidR="0092299C" w:rsidRPr="00376DA0" w:rsidRDefault="0092299C" w:rsidP="0092299C">
            <w:pPr>
              <w:pStyle w:val="ARtabletextright"/>
            </w:pPr>
            <w:r>
              <w:t>4,218</w:t>
            </w:r>
          </w:p>
        </w:tc>
        <w:tc>
          <w:tcPr>
            <w:tcW w:w="2268" w:type="dxa"/>
            <w:vAlign w:val="center"/>
          </w:tcPr>
          <w:p w:rsidR="0092299C" w:rsidRPr="006B7B2D" w:rsidRDefault="0092299C" w:rsidP="0092299C">
            <w:pPr>
              <w:pStyle w:val="ARtabletextright"/>
            </w:pPr>
            <w:r w:rsidRPr="006B7B2D">
              <w:t>3,604</w:t>
            </w:r>
          </w:p>
        </w:tc>
      </w:tr>
      <w:tr w:rsidR="0092299C" w:rsidRPr="00376DA0" w:rsidTr="0092299C">
        <w:trPr>
          <w:cantSplit/>
          <w:trHeight w:val="270"/>
        </w:trPr>
        <w:tc>
          <w:tcPr>
            <w:tcW w:w="2835" w:type="dxa"/>
          </w:tcPr>
          <w:p w:rsidR="0092299C" w:rsidRPr="00376DA0" w:rsidRDefault="0092299C" w:rsidP="0092299C">
            <w:pPr>
              <w:pStyle w:val="ARtabletext"/>
            </w:pPr>
            <w:r w:rsidRPr="00376DA0">
              <w:t>Diesel</w:t>
            </w:r>
          </w:p>
        </w:tc>
        <w:tc>
          <w:tcPr>
            <w:tcW w:w="2268" w:type="dxa"/>
          </w:tcPr>
          <w:p w:rsidR="0092299C" w:rsidRPr="00376DA0" w:rsidRDefault="0092299C" w:rsidP="0092299C">
            <w:pPr>
              <w:pStyle w:val="ARtabletextright"/>
            </w:pPr>
            <w:r w:rsidRPr="00376DA0">
              <w:t>2,203</w:t>
            </w:r>
          </w:p>
        </w:tc>
        <w:tc>
          <w:tcPr>
            <w:tcW w:w="2268" w:type="dxa"/>
          </w:tcPr>
          <w:p w:rsidR="0092299C" w:rsidRPr="00376DA0" w:rsidRDefault="0092299C" w:rsidP="0092299C">
            <w:pPr>
              <w:pStyle w:val="ARtabletextright"/>
            </w:pPr>
            <w:r>
              <w:t>2,230</w:t>
            </w:r>
          </w:p>
        </w:tc>
        <w:tc>
          <w:tcPr>
            <w:tcW w:w="2268" w:type="dxa"/>
            <w:vAlign w:val="center"/>
          </w:tcPr>
          <w:p w:rsidR="0092299C" w:rsidRPr="006B7B2D" w:rsidRDefault="0092299C" w:rsidP="0092299C">
            <w:pPr>
              <w:pStyle w:val="ARtabletextright"/>
            </w:pPr>
            <w:r w:rsidRPr="006B7B2D">
              <w:t>2,518</w:t>
            </w:r>
          </w:p>
        </w:tc>
      </w:tr>
      <w:tr w:rsidR="0092299C" w:rsidRPr="00376DA0" w:rsidTr="0092299C">
        <w:trPr>
          <w:cantSplit/>
          <w:trHeight w:val="270"/>
        </w:trPr>
        <w:tc>
          <w:tcPr>
            <w:tcW w:w="2835" w:type="dxa"/>
          </w:tcPr>
          <w:p w:rsidR="0092299C" w:rsidRPr="00376DA0" w:rsidRDefault="0092299C" w:rsidP="0092299C">
            <w:pPr>
              <w:pStyle w:val="ARtabletext"/>
            </w:pPr>
            <w:r w:rsidRPr="00376DA0">
              <w:t>State Government Vehicle Pool</w:t>
            </w:r>
          </w:p>
        </w:tc>
        <w:tc>
          <w:tcPr>
            <w:tcW w:w="2268" w:type="dxa"/>
          </w:tcPr>
          <w:p w:rsidR="0092299C" w:rsidRPr="00376DA0" w:rsidRDefault="0092299C" w:rsidP="0092299C">
            <w:pPr>
              <w:pStyle w:val="ARtabletextright"/>
            </w:pPr>
            <w:r w:rsidRPr="00376DA0">
              <w:t>104</w:t>
            </w:r>
          </w:p>
        </w:tc>
        <w:tc>
          <w:tcPr>
            <w:tcW w:w="2268" w:type="dxa"/>
          </w:tcPr>
          <w:p w:rsidR="0092299C" w:rsidRPr="00376DA0" w:rsidRDefault="0092299C" w:rsidP="0092299C">
            <w:pPr>
              <w:pStyle w:val="ARtabletextright"/>
            </w:pPr>
            <w:r>
              <w:t>113</w:t>
            </w:r>
          </w:p>
        </w:tc>
        <w:tc>
          <w:tcPr>
            <w:tcW w:w="2268" w:type="dxa"/>
            <w:vAlign w:val="center"/>
          </w:tcPr>
          <w:p w:rsidR="0092299C" w:rsidRPr="006B7B2D" w:rsidRDefault="0092299C" w:rsidP="0092299C">
            <w:pPr>
              <w:pStyle w:val="ARtabletextright"/>
            </w:pPr>
            <w:r w:rsidRPr="006B7B2D">
              <w:t>128</w:t>
            </w:r>
          </w:p>
        </w:tc>
      </w:tr>
      <w:tr w:rsidR="0092299C" w:rsidRPr="00912528" w:rsidTr="0092299C">
        <w:trPr>
          <w:cantSplit/>
          <w:trHeight w:val="270"/>
        </w:trPr>
        <w:tc>
          <w:tcPr>
            <w:tcW w:w="2835" w:type="dxa"/>
          </w:tcPr>
          <w:p w:rsidR="0092299C" w:rsidRPr="00912528" w:rsidRDefault="0092299C" w:rsidP="0092299C">
            <w:pPr>
              <w:pStyle w:val="ARtabletext"/>
              <w:rPr>
                <w:b/>
              </w:rPr>
            </w:pPr>
            <w:r w:rsidRPr="00912528">
              <w:rPr>
                <w:b/>
              </w:rPr>
              <w:t>Total</w:t>
            </w:r>
          </w:p>
        </w:tc>
        <w:tc>
          <w:tcPr>
            <w:tcW w:w="2268" w:type="dxa"/>
          </w:tcPr>
          <w:p w:rsidR="0092299C" w:rsidRPr="00912528" w:rsidRDefault="0092299C" w:rsidP="0092299C">
            <w:pPr>
              <w:pStyle w:val="ARtabletextright"/>
              <w:rPr>
                <w:b/>
              </w:rPr>
            </w:pPr>
            <w:r w:rsidRPr="00912528">
              <w:rPr>
                <w:b/>
              </w:rPr>
              <w:t>9,079</w:t>
            </w:r>
          </w:p>
        </w:tc>
        <w:tc>
          <w:tcPr>
            <w:tcW w:w="2268" w:type="dxa"/>
          </w:tcPr>
          <w:p w:rsidR="0092299C" w:rsidRPr="00912528" w:rsidRDefault="0092299C" w:rsidP="0092299C">
            <w:pPr>
              <w:pStyle w:val="ARtabletextright"/>
              <w:rPr>
                <w:b/>
              </w:rPr>
            </w:pPr>
            <w:r>
              <w:rPr>
                <w:b/>
              </w:rPr>
              <w:t>9,002</w:t>
            </w:r>
          </w:p>
        </w:tc>
        <w:tc>
          <w:tcPr>
            <w:tcW w:w="2268" w:type="dxa"/>
            <w:vAlign w:val="center"/>
          </w:tcPr>
          <w:p w:rsidR="0092299C" w:rsidRPr="006B7B2D" w:rsidRDefault="0092299C" w:rsidP="0092299C">
            <w:pPr>
              <w:pStyle w:val="ARtabletextright"/>
              <w:rPr>
                <w:b/>
              </w:rPr>
            </w:pPr>
            <w:r w:rsidRPr="006B7B2D">
              <w:rPr>
                <w:b/>
              </w:rPr>
              <w:t>8,614</w:t>
            </w:r>
          </w:p>
        </w:tc>
      </w:tr>
    </w:tbl>
    <w:p w:rsidR="0092299C" w:rsidRPr="00CF6149" w:rsidRDefault="0092299C" w:rsidP="0092299C">
      <w:pPr>
        <w:pStyle w:val="ARbody"/>
      </w:pP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760"/>
        <w:gridCol w:w="2293"/>
        <w:gridCol w:w="2293"/>
        <w:gridCol w:w="2293"/>
      </w:tblGrid>
      <w:tr w:rsidR="0092299C" w:rsidRPr="00376DA0" w:rsidTr="00C94275">
        <w:trPr>
          <w:cantSplit/>
          <w:trHeight w:val="203"/>
          <w:tblHeader/>
        </w:trPr>
        <w:tc>
          <w:tcPr>
            <w:tcW w:w="2758" w:type="dxa"/>
            <w:vAlign w:val="bottom"/>
          </w:tcPr>
          <w:p w:rsidR="0092299C" w:rsidRPr="00962998" w:rsidRDefault="0092299C" w:rsidP="0092299C">
            <w:pPr>
              <w:pStyle w:val="ARtablecolhead"/>
            </w:pPr>
            <w:r w:rsidRPr="00962998">
              <w:t>Description</w:t>
            </w:r>
          </w:p>
        </w:tc>
        <w:tc>
          <w:tcPr>
            <w:tcW w:w="2292" w:type="dxa"/>
            <w:vAlign w:val="bottom"/>
          </w:tcPr>
          <w:p w:rsidR="0092299C" w:rsidRPr="00962998" w:rsidRDefault="0092299C" w:rsidP="0092299C">
            <w:pPr>
              <w:pStyle w:val="ARtablecolheadright"/>
            </w:pPr>
            <w:r w:rsidRPr="00962998">
              <w:t>2014–15</w:t>
            </w:r>
            <w:r>
              <w:t xml:space="preserve"> estimate</w:t>
            </w:r>
          </w:p>
        </w:tc>
        <w:tc>
          <w:tcPr>
            <w:tcW w:w="2292" w:type="dxa"/>
            <w:vAlign w:val="bottom"/>
          </w:tcPr>
          <w:p w:rsidR="0092299C" w:rsidRPr="00962998" w:rsidRDefault="0092299C" w:rsidP="0092299C">
            <w:pPr>
              <w:pStyle w:val="ARtablecolheadright"/>
            </w:pPr>
            <w:r>
              <w:t xml:space="preserve">2015–16 estimate </w:t>
            </w:r>
          </w:p>
        </w:tc>
        <w:tc>
          <w:tcPr>
            <w:tcW w:w="2292" w:type="dxa"/>
            <w:vAlign w:val="bottom"/>
          </w:tcPr>
          <w:p w:rsidR="0092299C" w:rsidRPr="00962998" w:rsidRDefault="0092299C" w:rsidP="0092299C">
            <w:pPr>
              <w:pStyle w:val="ARtablecolheadright"/>
            </w:pPr>
            <w:r>
              <w:t>2016–17 estimate</w:t>
            </w:r>
          </w:p>
        </w:tc>
      </w:tr>
      <w:tr w:rsidR="0092299C" w:rsidRPr="00843E15" w:rsidTr="00C94275">
        <w:trPr>
          <w:cantSplit/>
          <w:trHeight w:val="517"/>
          <w:tblHeader/>
        </w:trPr>
        <w:tc>
          <w:tcPr>
            <w:tcW w:w="2758" w:type="dxa"/>
            <w:vAlign w:val="bottom"/>
          </w:tcPr>
          <w:p w:rsidR="0092299C" w:rsidRPr="00962998" w:rsidRDefault="0092299C" w:rsidP="0092299C">
            <w:pPr>
              <w:pStyle w:val="ARtablecolhead"/>
            </w:pPr>
            <w:r w:rsidRPr="00962998">
              <w:t>Greenhouse gas emissions efficiency</w:t>
            </w:r>
          </w:p>
        </w:tc>
        <w:tc>
          <w:tcPr>
            <w:tcW w:w="2292" w:type="dxa"/>
            <w:vAlign w:val="bottom"/>
          </w:tcPr>
          <w:p w:rsidR="0092299C" w:rsidRPr="00962998" w:rsidRDefault="0092299C" w:rsidP="0092299C">
            <w:pPr>
              <w:pStyle w:val="ARtablecolheadright"/>
            </w:pPr>
            <w:r w:rsidRPr="00962998">
              <w:t>Tonnes of CO</w:t>
            </w:r>
            <w:r w:rsidRPr="0098256D">
              <w:rPr>
                <w:vertAlign w:val="subscript"/>
              </w:rPr>
              <w:t>2</w:t>
            </w:r>
            <w:r w:rsidRPr="00962998">
              <w:t>-e per 1,000 kilometres</w:t>
            </w:r>
          </w:p>
        </w:tc>
        <w:tc>
          <w:tcPr>
            <w:tcW w:w="2292" w:type="dxa"/>
            <w:vAlign w:val="bottom"/>
          </w:tcPr>
          <w:p w:rsidR="0092299C" w:rsidRPr="00962998" w:rsidRDefault="0092299C" w:rsidP="0092299C">
            <w:pPr>
              <w:pStyle w:val="ARtablecolheadright"/>
            </w:pPr>
            <w:r w:rsidRPr="00962998">
              <w:t>Tonnes of CO</w:t>
            </w:r>
            <w:r w:rsidRPr="0098256D">
              <w:rPr>
                <w:vertAlign w:val="subscript"/>
              </w:rPr>
              <w:t>2</w:t>
            </w:r>
            <w:r w:rsidRPr="00962998">
              <w:t>-e per 1,000 kilometres</w:t>
            </w:r>
          </w:p>
        </w:tc>
        <w:tc>
          <w:tcPr>
            <w:tcW w:w="2292" w:type="dxa"/>
            <w:vAlign w:val="bottom"/>
          </w:tcPr>
          <w:p w:rsidR="0092299C" w:rsidRPr="00962998" w:rsidRDefault="0092299C" w:rsidP="0092299C">
            <w:pPr>
              <w:pStyle w:val="ARtablecolheadright"/>
            </w:pPr>
            <w:r w:rsidRPr="00962998">
              <w:t>Tonnes of CO</w:t>
            </w:r>
            <w:r w:rsidRPr="0098256D">
              <w:rPr>
                <w:vertAlign w:val="subscript"/>
              </w:rPr>
              <w:t>2</w:t>
            </w:r>
            <w:r w:rsidRPr="00962998">
              <w:t>-e per 1,000 kilometres</w:t>
            </w:r>
          </w:p>
        </w:tc>
      </w:tr>
      <w:tr w:rsidR="0092299C" w:rsidRPr="00376DA0" w:rsidTr="00C94275">
        <w:trPr>
          <w:cantSplit/>
          <w:trHeight w:val="267"/>
        </w:trPr>
        <w:tc>
          <w:tcPr>
            <w:tcW w:w="2758" w:type="dxa"/>
          </w:tcPr>
          <w:p w:rsidR="0092299C" w:rsidRPr="00376DA0" w:rsidRDefault="0092299C" w:rsidP="0092299C">
            <w:pPr>
              <w:pStyle w:val="ARtabletext"/>
            </w:pPr>
            <w:r w:rsidRPr="00376DA0">
              <w:t>LPG</w:t>
            </w:r>
          </w:p>
        </w:tc>
        <w:tc>
          <w:tcPr>
            <w:tcW w:w="2292" w:type="dxa"/>
          </w:tcPr>
          <w:p w:rsidR="0092299C" w:rsidRPr="00376DA0" w:rsidRDefault="0092299C" w:rsidP="0092299C">
            <w:pPr>
              <w:pStyle w:val="ARtabletext"/>
              <w:jc w:val="right"/>
            </w:pPr>
            <w:r w:rsidRPr="00376DA0">
              <w:t>0.198</w:t>
            </w:r>
          </w:p>
        </w:tc>
        <w:tc>
          <w:tcPr>
            <w:tcW w:w="2292" w:type="dxa"/>
          </w:tcPr>
          <w:p w:rsidR="0092299C" w:rsidRPr="00376DA0" w:rsidRDefault="0092299C" w:rsidP="0092299C">
            <w:pPr>
              <w:pStyle w:val="ARtabletext"/>
              <w:jc w:val="right"/>
            </w:pPr>
            <w:r>
              <w:t>0.251</w:t>
            </w:r>
          </w:p>
        </w:tc>
        <w:tc>
          <w:tcPr>
            <w:tcW w:w="2292" w:type="dxa"/>
            <w:vAlign w:val="center"/>
          </w:tcPr>
          <w:p w:rsidR="0092299C" w:rsidRPr="006B7B2D" w:rsidRDefault="0092299C" w:rsidP="0092299C">
            <w:pPr>
              <w:pStyle w:val="ARtabletext"/>
              <w:jc w:val="right"/>
            </w:pPr>
            <w:r w:rsidRPr="006B7B2D">
              <w:t>0.214</w:t>
            </w:r>
          </w:p>
        </w:tc>
      </w:tr>
      <w:tr w:rsidR="0092299C" w:rsidRPr="00376DA0" w:rsidTr="00C94275">
        <w:trPr>
          <w:cantSplit/>
          <w:trHeight w:val="267"/>
        </w:trPr>
        <w:tc>
          <w:tcPr>
            <w:tcW w:w="2758" w:type="dxa"/>
          </w:tcPr>
          <w:p w:rsidR="0092299C" w:rsidRPr="00376DA0" w:rsidRDefault="0092299C" w:rsidP="0092299C">
            <w:pPr>
              <w:pStyle w:val="ARtabletext"/>
            </w:pPr>
            <w:r w:rsidRPr="00376DA0">
              <w:t>Dual fuel</w:t>
            </w:r>
          </w:p>
        </w:tc>
        <w:tc>
          <w:tcPr>
            <w:tcW w:w="2292" w:type="dxa"/>
          </w:tcPr>
          <w:p w:rsidR="0092299C" w:rsidRPr="00376DA0" w:rsidRDefault="0092299C" w:rsidP="0092299C">
            <w:pPr>
              <w:pStyle w:val="ARtabletext"/>
              <w:jc w:val="right"/>
            </w:pPr>
            <w:r w:rsidRPr="00376DA0">
              <w:t>0.241</w:t>
            </w:r>
          </w:p>
        </w:tc>
        <w:tc>
          <w:tcPr>
            <w:tcW w:w="2292" w:type="dxa"/>
          </w:tcPr>
          <w:p w:rsidR="0092299C" w:rsidRPr="00376DA0" w:rsidRDefault="00EA6A4E" w:rsidP="0092299C">
            <w:pPr>
              <w:pStyle w:val="ARtabletext"/>
              <w:jc w:val="right"/>
            </w:pPr>
            <w:r>
              <w:t>n/a</w:t>
            </w:r>
          </w:p>
        </w:tc>
        <w:tc>
          <w:tcPr>
            <w:tcW w:w="2292" w:type="dxa"/>
            <w:vAlign w:val="center"/>
          </w:tcPr>
          <w:p w:rsidR="0092299C" w:rsidRPr="006B7B2D" w:rsidRDefault="00EA6A4E" w:rsidP="0092299C">
            <w:pPr>
              <w:pStyle w:val="ARtabletext"/>
              <w:jc w:val="right"/>
            </w:pPr>
            <w:r>
              <w:t>n/a</w:t>
            </w:r>
          </w:p>
        </w:tc>
      </w:tr>
      <w:tr w:rsidR="0092299C" w:rsidRPr="00376DA0" w:rsidTr="00C94275">
        <w:trPr>
          <w:cantSplit/>
          <w:trHeight w:val="267"/>
        </w:trPr>
        <w:tc>
          <w:tcPr>
            <w:tcW w:w="2758" w:type="dxa"/>
          </w:tcPr>
          <w:p w:rsidR="0092299C" w:rsidRPr="00376DA0" w:rsidRDefault="0092299C" w:rsidP="0092299C">
            <w:pPr>
              <w:pStyle w:val="ARtabletext"/>
            </w:pPr>
            <w:r w:rsidRPr="00376DA0">
              <w:t>Hybrid</w:t>
            </w:r>
          </w:p>
        </w:tc>
        <w:tc>
          <w:tcPr>
            <w:tcW w:w="2292" w:type="dxa"/>
          </w:tcPr>
          <w:p w:rsidR="0092299C" w:rsidRPr="00376DA0" w:rsidRDefault="0092299C" w:rsidP="0092299C">
            <w:pPr>
              <w:pStyle w:val="ARtabletext"/>
              <w:jc w:val="right"/>
            </w:pPr>
            <w:r w:rsidRPr="00376DA0">
              <w:t>0.146</w:t>
            </w:r>
          </w:p>
        </w:tc>
        <w:tc>
          <w:tcPr>
            <w:tcW w:w="2292" w:type="dxa"/>
          </w:tcPr>
          <w:p w:rsidR="0092299C" w:rsidRPr="00376DA0" w:rsidRDefault="0092299C" w:rsidP="0092299C">
            <w:pPr>
              <w:pStyle w:val="ARtabletext"/>
              <w:jc w:val="right"/>
            </w:pPr>
            <w:r>
              <w:t>0.148</w:t>
            </w:r>
          </w:p>
        </w:tc>
        <w:tc>
          <w:tcPr>
            <w:tcW w:w="2292" w:type="dxa"/>
            <w:vAlign w:val="center"/>
          </w:tcPr>
          <w:p w:rsidR="0092299C" w:rsidRPr="006B7B2D" w:rsidRDefault="0092299C" w:rsidP="0092299C">
            <w:pPr>
              <w:pStyle w:val="ARtabletext"/>
              <w:jc w:val="right"/>
            </w:pPr>
            <w:r w:rsidRPr="006B7B2D">
              <w:t>0.103</w:t>
            </w:r>
          </w:p>
        </w:tc>
      </w:tr>
      <w:tr w:rsidR="0092299C" w:rsidRPr="00376DA0" w:rsidTr="00C94275">
        <w:trPr>
          <w:cantSplit/>
          <w:trHeight w:val="267"/>
        </w:trPr>
        <w:tc>
          <w:tcPr>
            <w:tcW w:w="2758" w:type="dxa"/>
          </w:tcPr>
          <w:p w:rsidR="0092299C" w:rsidRPr="00376DA0" w:rsidRDefault="0092299C" w:rsidP="0092299C">
            <w:pPr>
              <w:pStyle w:val="ARtabletext"/>
            </w:pPr>
            <w:r w:rsidRPr="00376DA0">
              <w:t>Unleaded petrol</w:t>
            </w:r>
          </w:p>
        </w:tc>
        <w:tc>
          <w:tcPr>
            <w:tcW w:w="2292" w:type="dxa"/>
          </w:tcPr>
          <w:p w:rsidR="0092299C" w:rsidRPr="00376DA0" w:rsidRDefault="0092299C" w:rsidP="0092299C">
            <w:pPr>
              <w:pStyle w:val="ARtabletext"/>
              <w:jc w:val="right"/>
            </w:pPr>
            <w:r w:rsidRPr="00376DA0">
              <w:t>0.275</w:t>
            </w:r>
          </w:p>
        </w:tc>
        <w:tc>
          <w:tcPr>
            <w:tcW w:w="2292" w:type="dxa"/>
          </w:tcPr>
          <w:p w:rsidR="0092299C" w:rsidRPr="00376DA0" w:rsidRDefault="0092299C" w:rsidP="0092299C">
            <w:pPr>
              <w:pStyle w:val="ARtabletext"/>
              <w:jc w:val="right"/>
            </w:pPr>
            <w:r>
              <w:t>0.28</w:t>
            </w:r>
          </w:p>
        </w:tc>
        <w:tc>
          <w:tcPr>
            <w:tcW w:w="2292" w:type="dxa"/>
            <w:vAlign w:val="center"/>
          </w:tcPr>
          <w:p w:rsidR="0092299C" w:rsidRPr="006B7B2D" w:rsidRDefault="0092299C" w:rsidP="0092299C">
            <w:pPr>
              <w:pStyle w:val="ARtabletext"/>
              <w:jc w:val="right"/>
            </w:pPr>
            <w:r w:rsidRPr="006B7B2D">
              <w:t>0.294</w:t>
            </w:r>
          </w:p>
        </w:tc>
      </w:tr>
      <w:tr w:rsidR="0092299C" w:rsidRPr="00376DA0" w:rsidTr="00C94275">
        <w:trPr>
          <w:cantSplit/>
          <w:trHeight w:val="267"/>
        </w:trPr>
        <w:tc>
          <w:tcPr>
            <w:tcW w:w="2758" w:type="dxa"/>
          </w:tcPr>
          <w:p w:rsidR="0092299C" w:rsidRPr="00376DA0" w:rsidRDefault="0092299C" w:rsidP="0092299C">
            <w:pPr>
              <w:pStyle w:val="ARtabletext"/>
            </w:pPr>
            <w:r w:rsidRPr="00376DA0">
              <w:t>Diesel</w:t>
            </w:r>
          </w:p>
        </w:tc>
        <w:tc>
          <w:tcPr>
            <w:tcW w:w="2292" w:type="dxa"/>
          </w:tcPr>
          <w:p w:rsidR="0092299C" w:rsidRPr="00376DA0" w:rsidRDefault="0092299C" w:rsidP="0092299C">
            <w:pPr>
              <w:pStyle w:val="ARtabletext"/>
              <w:jc w:val="right"/>
            </w:pPr>
            <w:r w:rsidRPr="00376DA0">
              <w:t>0.249</w:t>
            </w:r>
          </w:p>
        </w:tc>
        <w:tc>
          <w:tcPr>
            <w:tcW w:w="2292" w:type="dxa"/>
          </w:tcPr>
          <w:p w:rsidR="0092299C" w:rsidRPr="00376DA0" w:rsidRDefault="0092299C" w:rsidP="0092299C">
            <w:pPr>
              <w:pStyle w:val="ARtabletext"/>
              <w:jc w:val="right"/>
            </w:pPr>
            <w:r>
              <w:t>0.269</w:t>
            </w:r>
          </w:p>
        </w:tc>
        <w:tc>
          <w:tcPr>
            <w:tcW w:w="2292" w:type="dxa"/>
            <w:vAlign w:val="center"/>
          </w:tcPr>
          <w:p w:rsidR="0092299C" w:rsidRPr="006B7B2D" w:rsidRDefault="0092299C" w:rsidP="0092299C">
            <w:pPr>
              <w:pStyle w:val="ARtabletext"/>
              <w:jc w:val="right"/>
            </w:pPr>
            <w:r w:rsidRPr="006B7B2D">
              <w:t>0.254</w:t>
            </w:r>
          </w:p>
        </w:tc>
      </w:tr>
      <w:tr w:rsidR="0092299C" w:rsidRPr="00376DA0" w:rsidTr="00C94275">
        <w:trPr>
          <w:cantSplit/>
          <w:trHeight w:val="267"/>
        </w:trPr>
        <w:tc>
          <w:tcPr>
            <w:tcW w:w="2758" w:type="dxa"/>
          </w:tcPr>
          <w:p w:rsidR="0092299C" w:rsidRPr="00376DA0" w:rsidRDefault="0092299C" w:rsidP="0092299C">
            <w:pPr>
              <w:pStyle w:val="ARtabletext"/>
            </w:pPr>
            <w:r w:rsidRPr="00376DA0">
              <w:t>State Government Vehicle Pool</w:t>
            </w:r>
          </w:p>
        </w:tc>
        <w:tc>
          <w:tcPr>
            <w:tcW w:w="2292" w:type="dxa"/>
          </w:tcPr>
          <w:p w:rsidR="0092299C" w:rsidRPr="00376DA0" w:rsidRDefault="0092299C" w:rsidP="0092299C">
            <w:pPr>
              <w:pStyle w:val="ARtabletext"/>
              <w:jc w:val="right"/>
            </w:pPr>
            <w:r w:rsidRPr="00376DA0">
              <w:t>0.176</w:t>
            </w:r>
          </w:p>
        </w:tc>
        <w:tc>
          <w:tcPr>
            <w:tcW w:w="2292" w:type="dxa"/>
          </w:tcPr>
          <w:p w:rsidR="0092299C" w:rsidRPr="00376DA0" w:rsidRDefault="0092299C" w:rsidP="0092299C">
            <w:pPr>
              <w:pStyle w:val="ARtabletext"/>
              <w:jc w:val="right"/>
            </w:pPr>
            <w:r>
              <w:t>0.177</w:t>
            </w:r>
          </w:p>
        </w:tc>
        <w:tc>
          <w:tcPr>
            <w:tcW w:w="2292" w:type="dxa"/>
            <w:vAlign w:val="center"/>
          </w:tcPr>
          <w:p w:rsidR="0092299C" w:rsidRPr="006B7B2D" w:rsidRDefault="0092299C" w:rsidP="0092299C">
            <w:pPr>
              <w:pStyle w:val="ARtabletext"/>
              <w:jc w:val="right"/>
            </w:pPr>
            <w:r w:rsidRPr="006B7B2D">
              <w:t>0.185</w:t>
            </w:r>
          </w:p>
        </w:tc>
      </w:tr>
      <w:tr w:rsidR="0092299C" w:rsidRPr="00912528" w:rsidTr="00C94275">
        <w:trPr>
          <w:cantSplit/>
          <w:trHeight w:val="267"/>
        </w:trPr>
        <w:tc>
          <w:tcPr>
            <w:tcW w:w="2758" w:type="dxa"/>
          </w:tcPr>
          <w:p w:rsidR="0092299C" w:rsidRPr="00912528" w:rsidRDefault="0092299C" w:rsidP="0092299C">
            <w:pPr>
              <w:pStyle w:val="ARtabletext"/>
              <w:rPr>
                <w:b/>
              </w:rPr>
            </w:pPr>
            <w:r w:rsidRPr="00912528">
              <w:rPr>
                <w:b/>
              </w:rPr>
              <w:t>Total</w:t>
            </w:r>
          </w:p>
        </w:tc>
        <w:tc>
          <w:tcPr>
            <w:tcW w:w="2292" w:type="dxa"/>
          </w:tcPr>
          <w:p w:rsidR="0092299C" w:rsidRPr="00912528" w:rsidRDefault="0092299C" w:rsidP="0092299C">
            <w:pPr>
              <w:pStyle w:val="ARtabletext"/>
              <w:jc w:val="right"/>
              <w:rPr>
                <w:b/>
              </w:rPr>
            </w:pPr>
            <w:r w:rsidRPr="00912528">
              <w:rPr>
                <w:b/>
              </w:rPr>
              <w:t>0.23</w:t>
            </w:r>
          </w:p>
        </w:tc>
        <w:tc>
          <w:tcPr>
            <w:tcW w:w="2292" w:type="dxa"/>
          </w:tcPr>
          <w:p w:rsidR="0092299C" w:rsidRPr="00912528" w:rsidRDefault="0092299C" w:rsidP="0092299C">
            <w:pPr>
              <w:pStyle w:val="ARtabletext"/>
              <w:jc w:val="right"/>
              <w:rPr>
                <w:b/>
              </w:rPr>
            </w:pPr>
            <w:r>
              <w:rPr>
                <w:b/>
              </w:rPr>
              <w:t>0.24</w:t>
            </w:r>
          </w:p>
        </w:tc>
        <w:tc>
          <w:tcPr>
            <w:tcW w:w="2292" w:type="dxa"/>
            <w:vAlign w:val="center"/>
          </w:tcPr>
          <w:p w:rsidR="0092299C" w:rsidRPr="006B7B2D" w:rsidRDefault="0092299C" w:rsidP="0092299C">
            <w:pPr>
              <w:pStyle w:val="ARtabletext"/>
              <w:jc w:val="right"/>
              <w:rPr>
                <w:b/>
              </w:rPr>
            </w:pPr>
            <w:r w:rsidRPr="006B7B2D">
              <w:rPr>
                <w:b/>
              </w:rPr>
              <w:t>0.20</w:t>
            </w:r>
          </w:p>
        </w:tc>
      </w:tr>
    </w:tbl>
    <w:p w:rsidR="0092299C" w:rsidRPr="000558E3" w:rsidRDefault="0092299C" w:rsidP="0092299C">
      <w:pPr>
        <w:pStyle w:val="ARtablefootnote"/>
        <w:rPr>
          <w:lang w:eastAsia="en-AU"/>
        </w:rPr>
      </w:pPr>
      <w:r w:rsidRPr="000558E3">
        <w:rPr>
          <w:lang w:eastAsia="en-AU"/>
        </w:rPr>
        <w:t>This data represents all operational FTE.</w:t>
      </w:r>
    </w:p>
    <w:p w:rsidR="0092299C" w:rsidRPr="000558E3" w:rsidRDefault="0092299C" w:rsidP="0092299C">
      <w:pPr>
        <w:pStyle w:val="ARtablefootnote"/>
        <w:rPr>
          <w:lang w:eastAsia="en-AU"/>
        </w:rPr>
      </w:pPr>
      <w:r w:rsidRPr="000558E3">
        <w:rPr>
          <w:lang w:eastAsia="en-AU"/>
        </w:rPr>
        <w:t>Energy use, distance travelled and greenhouse gas emissions transport data is based on a 1 April to 31 March fringe benefit year.</w:t>
      </w:r>
    </w:p>
    <w:p w:rsidR="0092299C" w:rsidRPr="00EA3F3A" w:rsidRDefault="0092299C" w:rsidP="0092299C">
      <w:pPr>
        <w:pStyle w:val="ARtablefootnote"/>
        <w:rPr>
          <w:lang w:eastAsia="en-AU"/>
        </w:rPr>
      </w:pPr>
      <w:r w:rsidRPr="000558E3">
        <w:rPr>
          <w:lang w:eastAsia="en-AU"/>
        </w:rPr>
        <w:t>Greenhouse gas emissions are based on National Greenhouse and Energy Reporting (Measurement) Determination 2008 (Schedule 1).</w:t>
      </w:r>
    </w:p>
    <w:p w:rsidR="0092299C" w:rsidRPr="000558E3" w:rsidRDefault="0092299C" w:rsidP="0092299C">
      <w:pPr>
        <w:pStyle w:val="ARtablefootnote"/>
        <w:rPr>
          <w:lang w:eastAsia="en-AU"/>
        </w:rPr>
      </w:pPr>
      <w:r w:rsidRPr="000558E3">
        <w:rPr>
          <w:lang w:eastAsia="en-AU"/>
        </w:rPr>
        <w:t>All emission factors incorporate relevant oxidation factors (sourced from the Department of the Environ</w:t>
      </w:r>
      <w:r>
        <w:rPr>
          <w:lang w:eastAsia="en-AU"/>
        </w:rPr>
        <w:t>ment National Inventory Report).</w:t>
      </w:r>
    </w:p>
    <w:p w:rsidR="0092299C" w:rsidRPr="00962998" w:rsidRDefault="0092299C" w:rsidP="0092299C">
      <w:pPr>
        <w:pStyle w:val="Heading3"/>
      </w:pPr>
      <w:r>
        <w:br w:type="page"/>
      </w:r>
      <w:r w:rsidRPr="00843E15">
        <w:lastRenderedPageBreak/>
        <w:t>Air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912528" w:rsidTr="0092299C">
        <w:trPr>
          <w:cantSplit/>
          <w:trHeight w:val="262"/>
          <w:tblHeader/>
        </w:trPr>
        <w:tc>
          <w:tcPr>
            <w:tcW w:w="4536" w:type="dxa"/>
            <w:vAlign w:val="bottom"/>
          </w:tcPr>
          <w:p w:rsidR="0092299C" w:rsidRPr="00376DA0" w:rsidRDefault="0092299C" w:rsidP="0092299C">
            <w:pPr>
              <w:pStyle w:val="ARtablecolhead"/>
            </w:pPr>
            <w:r w:rsidRPr="00376DA0">
              <w:t>Description</w:t>
            </w:r>
          </w:p>
        </w:tc>
        <w:tc>
          <w:tcPr>
            <w:tcW w:w="1701" w:type="dxa"/>
            <w:vAlign w:val="bottom"/>
          </w:tcPr>
          <w:p w:rsidR="0092299C" w:rsidRPr="00376DA0" w:rsidRDefault="0092299C" w:rsidP="0092299C">
            <w:pPr>
              <w:pStyle w:val="ARtablecolheadright"/>
            </w:pPr>
            <w:r w:rsidRPr="00376DA0">
              <w:t>2014–15 actual</w:t>
            </w:r>
          </w:p>
        </w:tc>
        <w:tc>
          <w:tcPr>
            <w:tcW w:w="1701" w:type="dxa"/>
            <w:vAlign w:val="bottom"/>
          </w:tcPr>
          <w:p w:rsidR="0092299C" w:rsidRPr="00376DA0" w:rsidRDefault="0092299C" w:rsidP="0092299C">
            <w:pPr>
              <w:pStyle w:val="ARtablecolheadright"/>
            </w:pPr>
            <w:r>
              <w:t>2015–16 actual</w:t>
            </w:r>
          </w:p>
        </w:tc>
        <w:tc>
          <w:tcPr>
            <w:tcW w:w="1701" w:type="dxa"/>
            <w:vAlign w:val="bottom"/>
          </w:tcPr>
          <w:p w:rsidR="0092299C" w:rsidRPr="00376DA0" w:rsidRDefault="0092299C" w:rsidP="0092299C">
            <w:pPr>
              <w:pStyle w:val="ARtablecolheadright"/>
            </w:pPr>
            <w:r>
              <w:t>2016–17 actual</w:t>
            </w:r>
          </w:p>
        </w:tc>
      </w:tr>
      <w:tr w:rsidR="0092299C" w:rsidRPr="00376DA0" w:rsidTr="0092299C">
        <w:trPr>
          <w:cantSplit/>
          <w:trHeight w:val="262"/>
        </w:trPr>
        <w:tc>
          <w:tcPr>
            <w:tcW w:w="4536" w:type="dxa"/>
          </w:tcPr>
          <w:p w:rsidR="0092299C" w:rsidRPr="00376DA0" w:rsidRDefault="0092299C" w:rsidP="0092299C">
            <w:pPr>
              <w:pStyle w:val="ARtabletext"/>
            </w:pPr>
            <w:r w:rsidRPr="00376DA0">
              <w:t>Total distance travelled (kilometres)</w:t>
            </w:r>
          </w:p>
        </w:tc>
        <w:tc>
          <w:tcPr>
            <w:tcW w:w="1701" w:type="dxa"/>
          </w:tcPr>
          <w:p w:rsidR="0092299C" w:rsidRPr="00376DA0" w:rsidRDefault="0092299C" w:rsidP="0092299C">
            <w:pPr>
              <w:pStyle w:val="ARtabletextright"/>
            </w:pPr>
            <w:r w:rsidRPr="00376DA0">
              <w:t>4,151,774</w:t>
            </w:r>
          </w:p>
        </w:tc>
        <w:tc>
          <w:tcPr>
            <w:tcW w:w="1701" w:type="dxa"/>
          </w:tcPr>
          <w:p w:rsidR="0092299C" w:rsidRPr="00376DA0" w:rsidRDefault="0092299C" w:rsidP="0092299C">
            <w:pPr>
              <w:pStyle w:val="ARtabletextright"/>
            </w:pPr>
            <w:r>
              <w:t>4,120,505</w:t>
            </w:r>
          </w:p>
        </w:tc>
        <w:tc>
          <w:tcPr>
            <w:tcW w:w="1701" w:type="dxa"/>
          </w:tcPr>
          <w:p w:rsidR="0092299C" w:rsidRPr="00376DA0" w:rsidRDefault="0092299C" w:rsidP="0092299C">
            <w:pPr>
              <w:pStyle w:val="ARtabletextright"/>
            </w:pPr>
            <w:r>
              <w:t>5,436,738</w:t>
            </w:r>
          </w:p>
        </w:tc>
      </w:tr>
      <w:tr w:rsidR="0092299C" w:rsidRPr="00376DA0" w:rsidTr="0092299C">
        <w:trPr>
          <w:cantSplit/>
          <w:trHeight w:val="262"/>
        </w:trPr>
        <w:tc>
          <w:tcPr>
            <w:tcW w:w="4536" w:type="dxa"/>
          </w:tcPr>
          <w:p w:rsidR="0092299C" w:rsidRPr="00376DA0" w:rsidRDefault="0092299C" w:rsidP="0092299C">
            <w:pPr>
              <w:pStyle w:val="ARtabletext"/>
            </w:pPr>
            <w:r w:rsidRPr="00376DA0">
              <w:t>Base fare cost (dollars)</w:t>
            </w:r>
          </w:p>
        </w:tc>
        <w:tc>
          <w:tcPr>
            <w:tcW w:w="1701" w:type="dxa"/>
          </w:tcPr>
          <w:p w:rsidR="0092299C" w:rsidRPr="00376DA0" w:rsidRDefault="0092299C" w:rsidP="0092299C">
            <w:pPr>
              <w:pStyle w:val="ARtabletextright"/>
            </w:pPr>
            <w:r w:rsidRPr="00376DA0">
              <w:t>$1,250,000</w:t>
            </w:r>
          </w:p>
        </w:tc>
        <w:tc>
          <w:tcPr>
            <w:tcW w:w="1701" w:type="dxa"/>
          </w:tcPr>
          <w:p w:rsidR="0092299C" w:rsidRPr="00376DA0" w:rsidRDefault="0092299C" w:rsidP="0092299C">
            <w:pPr>
              <w:pStyle w:val="ARtabletextright"/>
            </w:pPr>
            <w:r>
              <w:t>$1,287,000</w:t>
            </w:r>
          </w:p>
        </w:tc>
        <w:tc>
          <w:tcPr>
            <w:tcW w:w="1701" w:type="dxa"/>
          </w:tcPr>
          <w:p w:rsidR="0092299C" w:rsidRPr="00376DA0" w:rsidRDefault="0092299C" w:rsidP="0092299C">
            <w:pPr>
              <w:pStyle w:val="ARtabletextright"/>
            </w:pPr>
            <w:r>
              <w:t>$1,400,000</w:t>
            </w:r>
          </w:p>
        </w:tc>
      </w:tr>
      <w:tr w:rsidR="0092299C" w:rsidRPr="00376DA0" w:rsidTr="0092299C">
        <w:trPr>
          <w:cantSplit/>
          <w:trHeight w:val="262"/>
        </w:trPr>
        <w:tc>
          <w:tcPr>
            <w:tcW w:w="4536" w:type="dxa"/>
          </w:tcPr>
          <w:p w:rsidR="0092299C" w:rsidRPr="00376DA0" w:rsidRDefault="0092299C" w:rsidP="0092299C">
            <w:pPr>
              <w:pStyle w:val="ARtabletext"/>
            </w:pPr>
            <w:r w:rsidRPr="00376DA0">
              <w:t>Greenhouse gas emissions (tonnes of CO</w:t>
            </w:r>
            <w:r w:rsidRPr="000C7C20">
              <w:rPr>
                <w:vertAlign w:val="subscript"/>
              </w:rPr>
              <w:t>2</w:t>
            </w:r>
            <w:r w:rsidRPr="00376DA0">
              <w:t>-e)</w:t>
            </w:r>
          </w:p>
        </w:tc>
        <w:tc>
          <w:tcPr>
            <w:tcW w:w="1701" w:type="dxa"/>
          </w:tcPr>
          <w:p w:rsidR="0092299C" w:rsidRPr="00376DA0" w:rsidRDefault="0092299C" w:rsidP="0092299C">
            <w:pPr>
              <w:pStyle w:val="ARtabletextright"/>
            </w:pPr>
            <w:r w:rsidRPr="00376DA0">
              <w:t>1,134</w:t>
            </w:r>
          </w:p>
        </w:tc>
        <w:tc>
          <w:tcPr>
            <w:tcW w:w="1701" w:type="dxa"/>
          </w:tcPr>
          <w:p w:rsidR="0092299C" w:rsidRPr="00376DA0" w:rsidRDefault="0092299C" w:rsidP="0092299C">
            <w:pPr>
              <w:pStyle w:val="ARtabletextright"/>
            </w:pPr>
            <w:r>
              <w:t>1,145</w:t>
            </w:r>
          </w:p>
        </w:tc>
        <w:tc>
          <w:tcPr>
            <w:tcW w:w="1701" w:type="dxa"/>
          </w:tcPr>
          <w:p w:rsidR="0092299C" w:rsidRPr="00376DA0" w:rsidRDefault="0092299C" w:rsidP="0092299C">
            <w:pPr>
              <w:pStyle w:val="ARtabletextright"/>
            </w:pPr>
            <w:r>
              <w:t>1454</w:t>
            </w:r>
          </w:p>
        </w:tc>
      </w:tr>
    </w:tbl>
    <w:p w:rsidR="0092299C" w:rsidRPr="000558E3" w:rsidRDefault="0092299C" w:rsidP="0092299C">
      <w:pPr>
        <w:pStyle w:val="ARtablefootnote"/>
        <w:rPr>
          <w:lang w:eastAsia="en-AU"/>
        </w:rPr>
      </w:pPr>
      <w:r w:rsidRPr="000558E3">
        <w:rPr>
          <w:lang w:eastAsia="en-AU"/>
        </w:rPr>
        <w:t>This data represents all operational FTE.</w:t>
      </w:r>
    </w:p>
    <w:p w:rsidR="0092299C" w:rsidRPr="000558E3" w:rsidRDefault="0092299C" w:rsidP="0092299C">
      <w:pPr>
        <w:pStyle w:val="ARtablefootnote"/>
        <w:rPr>
          <w:lang w:eastAsia="en-AU"/>
        </w:rPr>
      </w:pPr>
      <w:r>
        <w:rPr>
          <w:lang w:eastAsia="en-AU"/>
        </w:rPr>
        <w:t>G</w:t>
      </w:r>
      <w:r w:rsidRPr="000558E3">
        <w:rPr>
          <w:lang w:eastAsia="en-AU"/>
        </w:rPr>
        <w:t xml:space="preserve">reenhouse gas emissions are </w:t>
      </w:r>
      <w:r>
        <w:rPr>
          <w:lang w:eastAsia="en-AU"/>
        </w:rPr>
        <w:t>provided by the supplier of Travel Management Services State Purchase Contract.</w:t>
      </w:r>
    </w:p>
    <w:p w:rsidR="0092299C" w:rsidRPr="00843E15" w:rsidRDefault="0092299C" w:rsidP="0092299C">
      <w:pPr>
        <w:pStyle w:val="Heading3"/>
      </w:pPr>
      <w:r w:rsidRPr="00612F7A">
        <w:t>Commuter</w:t>
      </w:r>
      <w:r w:rsidRPr="00843E15">
        <w:t xml:space="preserve">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C671E2" w:rsidTr="00DB5778">
        <w:trPr>
          <w:cantSplit/>
          <w:trHeight w:val="309"/>
          <w:tblHeader/>
        </w:trPr>
        <w:tc>
          <w:tcPr>
            <w:tcW w:w="4536" w:type="dxa"/>
            <w:vAlign w:val="bottom"/>
          </w:tcPr>
          <w:p w:rsidR="0092299C" w:rsidRPr="00912528" w:rsidRDefault="0092299C" w:rsidP="0092299C">
            <w:pPr>
              <w:pStyle w:val="ARtablecolhead"/>
            </w:pPr>
            <w:r w:rsidRPr="00912528">
              <w:t>Percentage of employees regularly using sustainable travel (public transport, cycling, walking, car-pooling or working from home) to commute</w:t>
            </w:r>
          </w:p>
        </w:tc>
        <w:tc>
          <w:tcPr>
            <w:tcW w:w="1701" w:type="dxa"/>
            <w:vAlign w:val="bottom"/>
          </w:tcPr>
          <w:p w:rsidR="0092299C" w:rsidRPr="00912528" w:rsidRDefault="0092299C" w:rsidP="0092299C">
            <w:pPr>
              <w:pStyle w:val="ARtablecolheadright"/>
            </w:pPr>
            <w:r>
              <w:t>2014–15 e</w:t>
            </w:r>
            <w:r w:rsidRPr="00912528">
              <w:t>stimate</w:t>
            </w:r>
          </w:p>
        </w:tc>
        <w:tc>
          <w:tcPr>
            <w:tcW w:w="1701" w:type="dxa"/>
            <w:vAlign w:val="bottom"/>
          </w:tcPr>
          <w:p w:rsidR="0092299C" w:rsidRPr="00912528" w:rsidRDefault="0092299C" w:rsidP="0092299C">
            <w:pPr>
              <w:pStyle w:val="ARtablecolheadright"/>
            </w:pPr>
            <w:r>
              <w:t xml:space="preserve">2015–16 </w:t>
            </w:r>
            <w:r w:rsidRPr="00912528">
              <w:t>estimate</w:t>
            </w:r>
          </w:p>
        </w:tc>
        <w:tc>
          <w:tcPr>
            <w:tcW w:w="1701" w:type="dxa"/>
            <w:vAlign w:val="bottom"/>
          </w:tcPr>
          <w:p w:rsidR="0092299C" w:rsidRPr="00912528" w:rsidRDefault="0092299C" w:rsidP="0092299C">
            <w:pPr>
              <w:pStyle w:val="ARtablecolheadright"/>
            </w:pPr>
            <w:r>
              <w:t xml:space="preserve">2016–17 </w:t>
            </w:r>
            <w:r w:rsidRPr="00912528">
              <w:t>estimate</w:t>
            </w:r>
          </w:p>
        </w:tc>
      </w:tr>
      <w:tr w:rsidR="0092299C" w:rsidRPr="00C671E2" w:rsidTr="00DB5778">
        <w:trPr>
          <w:cantSplit/>
          <w:trHeight w:val="107"/>
        </w:trPr>
        <w:tc>
          <w:tcPr>
            <w:tcW w:w="4536" w:type="dxa"/>
          </w:tcPr>
          <w:p w:rsidR="0092299C" w:rsidRPr="00912528" w:rsidRDefault="0092299C" w:rsidP="0092299C">
            <w:pPr>
              <w:pStyle w:val="ARtabletext"/>
            </w:pPr>
            <w:r w:rsidRPr="00912528">
              <w:t>Central business district</w:t>
            </w:r>
          </w:p>
        </w:tc>
        <w:tc>
          <w:tcPr>
            <w:tcW w:w="1701" w:type="dxa"/>
          </w:tcPr>
          <w:p w:rsidR="0092299C" w:rsidRPr="00C671E2" w:rsidRDefault="0092299C" w:rsidP="0092299C">
            <w:pPr>
              <w:pStyle w:val="ARtabletextright"/>
            </w:pPr>
            <w:r w:rsidRPr="00C671E2">
              <w:t>93%</w:t>
            </w:r>
          </w:p>
        </w:tc>
        <w:tc>
          <w:tcPr>
            <w:tcW w:w="1701" w:type="dxa"/>
          </w:tcPr>
          <w:p w:rsidR="0092299C" w:rsidRPr="00C671E2" w:rsidRDefault="0092299C" w:rsidP="0092299C">
            <w:pPr>
              <w:pStyle w:val="ARtabletextright"/>
            </w:pPr>
            <w:r>
              <w:t>93%</w:t>
            </w:r>
          </w:p>
        </w:tc>
        <w:tc>
          <w:tcPr>
            <w:tcW w:w="1701" w:type="dxa"/>
          </w:tcPr>
          <w:p w:rsidR="0092299C" w:rsidRPr="00C671E2" w:rsidRDefault="0092299C" w:rsidP="0092299C">
            <w:pPr>
              <w:pStyle w:val="ARtabletextright"/>
            </w:pPr>
            <w:r>
              <w:t>96%</w:t>
            </w:r>
          </w:p>
        </w:tc>
      </w:tr>
      <w:tr w:rsidR="0092299C" w:rsidRPr="00C671E2" w:rsidTr="00DB5778">
        <w:trPr>
          <w:cantSplit/>
          <w:trHeight w:val="107"/>
        </w:trPr>
        <w:tc>
          <w:tcPr>
            <w:tcW w:w="4536" w:type="dxa"/>
          </w:tcPr>
          <w:p w:rsidR="0092299C" w:rsidRPr="00912528" w:rsidRDefault="0092299C" w:rsidP="0092299C">
            <w:pPr>
              <w:pStyle w:val="ARtabletext"/>
            </w:pPr>
            <w:r w:rsidRPr="00912528">
              <w:t>Metropolitan</w:t>
            </w:r>
          </w:p>
        </w:tc>
        <w:tc>
          <w:tcPr>
            <w:tcW w:w="1701" w:type="dxa"/>
          </w:tcPr>
          <w:p w:rsidR="0092299C" w:rsidRPr="00C671E2" w:rsidRDefault="0092299C" w:rsidP="0092299C">
            <w:pPr>
              <w:pStyle w:val="ARtabletextright"/>
            </w:pPr>
            <w:r w:rsidRPr="00C671E2">
              <w:t>43%</w:t>
            </w:r>
          </w:p>
        </w:tc>
        <w:tc>
          <w:tcPr>
            <w:tcW w:w="1701" w:type="dxa"/>
          </w:tcPr>
          <w:p w:rsidR="0092299C" w:rsidRPr="00C671E2" w:rsidRDefault="0092299C" w:rsidP="0092299C">
            <w:pPr>
              <w:pStyle w:val="ARtabletextright"/>
            </w:pPr>
            <w:r>
              <w:t>56%</w:t>
            </w:r>
          </w:p>
        </w:tc>
        <w:tc>
          <w:tcPr>
            <w:tcW w:w="1701" w:type="dxa"/>
          </w:tcPr>
          <w:p w:rsidR="0092299C" w:rsidRPr="00C671E2" w:rsidRDefault="0092299C" w:rsidP="0092299C">
            <w:pPr>
              <w:pStyle w:val="ARtabletextright"/>
            </w:pPr>
            <w:r>
              <w:t>55%</w:t>
            </w:r>
          </w:p>
        </w:tc>
      </w:tr>
      <w:tr w:rsidR="0092299C" w:rsidRPr="00C671E2" w:rsidTr="00DB5778">
        <w:trPr>
          <w:cantSplit/>
          <w:trHeight w:val="107"/>
        </w:trPr>
        <w:tc>
          <w:tcPr>
            <w:tcW w:w="4536" w:type="dxa"/>
          </w:tcPr>
          <w:p w:rsidR="0092299C" w:rsidRPr="00912528" w:rsidRDefault="0092299C" w:rsidP="0092299C">
            <w:pPr>
              <w:pStyle w:val="ARtabletext"/>
            </w:pPr>
            <w:r w:rsidRPr="00912528">
              <w:t>Regional/rural</w:t>
            </w:r>
          </w:p>
        </w:tc>
        <w:tc>
          <w:tcPr>
            <w:tcW w:w="1701" w:type="dxa"/>
          </w:tcPr>
          <w:p w:rsidR="0092299C" w:rsidRPr="00C671E2" w:rsidRDefault="0092299C" w:rsidP="0092299C">
            <w:pPr>
              <w:pStyle w:val="ARtabletextright"/>
            </w:pPr>
            <w:r w:rsidRPr="00C671E2">
              <w:t>31%</w:t>
            </w:r>
          </w:p>
        </w:tc>
        <w:tc>
          <w:tcPr>
            <w:tcW w:w="1701" w:type="dxa"/>
          </w:tcPr>
          <w:p w:rsidR="0092299C" w:rsidRPr="00C671E2" w:rsidRDefault="0092299C" w:rsidP="0092299C">
            <w:pPr>
              <w:pStyle w:val="ARtabletextright"/>
            </w:pPr>
            <w:r>
              <w:t>39%</w:t>
            </w:r>
          </w:p>
        </w:tc>
        <w:tc>
          <w:tcPr>
            <w:tcW w:w="1701" w:type="dxa"/>
          </w:tcPr>
          <w:p w:rsidR="0092299C" w:rsidRPr="00C671E2" w:rsidRDefault="0092299C" w:rsidP="0092299C">
            <w:pPr>
              <w:pStyle w:val="ARtabletextright"/>
            </w:pPr>
            <w:r>
              <w:t>38%</w:t>
            </w:r>
          </w:p>
        </w:tc>
      </w:tr>
      <w:tr w:rsidR="0092299C" w:rsidRPr="00C671E2" w:rsidTr="00DB5778">
        <w:trPr>
          <w:cantSplit/>
          <w:trHeight w:val="107"/>
        </w:trPr>
        <w:tc>
          <w:tcPr>
            <w:tcW w:w="4536" w:type="dxa"/>
          </w:tcPr>
          <w:p w:rsidR="0092299C" w:rsidRPr="00912528" w:rsidRDefault="0092299C" w:rsidP="0092299C">
            <w:pPr>
              <w:pStyle w:val="ARtabletext"/>
              <w:rPr>
                <w:b/>
              </w:rPr>
            </w:pPr>
            <w:r w:rsidRPr="00912528">
              <w:rPr>
                <w:b/>
              </w:rPr>
              <w:t>Total</w:t>
            </w:r>
          </w:p>
        </w:tc>
        <w:tc>
          <w:tcPr>
            <w:tcW w:w="1701" w:type="dxa"/>
          </w:tcPr>
          <w:p w:rsidR="0092299C" w:rsidRPr="00912528" w:rsidRDefault="0092299C" w:rsidP="0092299C">
            <w:pPr>
              <w:pStyle w:val="ARtabletextright"/>
              <w:rPr>
                <w:b/>
                <w:bCs/>
              </w:rPr>
            </w:pPr>
            <w:r w:rsidRPr="00912528">
              <w:rPr>
                <w:b/>
                <w:bCs/>
              </w:rPr>
              <w:t>82%</w:t>
            </w:r>
          </w:p>
        </w:tc>
        <w:tc>
          <w:tcPr>
            <w:tcW w:w="1701" w:type="dxa"/>
          </w:tcPr>
          <w:p w:rsidR="0092299C" w:rsidRPr="00912528" w:rsidRDefault="0092299C" w:rsidP="0092299C">
            <w:pPr>
              <w:pStyle w:val="ARtabletextright"/>
              <w:rPr>
                <w:b/>
                <w:bCs/>
              </w:rPr>
            </w:pPr>
            <w:r>
              <w:rPr>
                <w:b/>
                <w:bCs/>
              </w:rPr>
              <w:t>79%</w:t>
            </w:r>
          </w:p>
        </w:tc>
        <w:tc>
          <w:tcPr>
            <w:tcW w:w="1701" w:type="dxa"/>
          </w:tcPr>
          <w:p w:rsidR="0092299C" w:rsidRPr="00912528" w:rsidRDefault="0092299C" w:rsidP="0092299C">
            <w:pPr>
              <w:pStyle w:val="ARtabletextright"/>
              <w:rPr>
                <w:b/>
                <w:bCs/>
              </w:rPr>
            </w:pPr>
            <w:r>
              <w:rPr>
                <w:b/>
                <w:bCs/>
              </w:rPr>
              <w:t>84%</w:t>
            </w:r>
          </w:p>
        </w:tc>
      </w:tr>
    </w:tbl>
    <w:p w:rsidR="0092299C" w:rsidRPr="006B13B0" w:rsidRDefault="0092299C" w:rsidP="0092299C">
      <w:pPr>
        <w:pStyle w:val="ARtablefootnote"/>
        <w:rPr>
          <w:lang w:eastAsia="en-AU"/>
        </w:rPr>
      </w:pPr>
      <w:r w:rsidRPr="006B13B0">
        <w:rPr>
          <w:lang w:eastAsia="en-AU"/>
        </w:rPr>
        <w:t>Sustainable transp</w:t>
      </w:r>
      <w:r>
        <w:rPr>
          <w:lang w:eastAsia="en-AU"/>
        </w:rPr>
        <w:t>ort data was obtained from the d</w:t>
      </w:r>
      <w:r w:rsidRPr="006B13B0">
        <w:rPr>
          <w:lang w:eastAsia="en-AU"/>
        </w:rPr>
        <w:t>epartment’s travel survey conducted in May</w:t>
      </w:r>
      <w:r>
        <w:rPr>
          <w:lang w:eastAsia="en-AU"/>
        </w:rPr>
        <w:t>–June 2017</w:t>
      </w:r>
      <w:r w:rsidRPr="006B13B0">
        <w:rPr>
          <w:lang w:eastAsia="en-AU"/>
        </w:rPr>
        <w:t>. Results exclude responses from surveyed staff that were on leave or did not travel to work during the survey period.</w:t>
      </w:r>
    </w:p>
    <w:p w:rsidR="0092299C" w:rsidRPr="00364CD1" w:rsidRDefault="0092299C" w:rsidP="0092299C">
      <w:pPr>
        <w:pStyle w:val="Heading2"/>
      </w:pPr>
      <w:r>
        <w:t xml:space="preserve">Procurement and </w:t>
      </w:r>
      <w:r w:rsidRPr="00612F7A">
        <w:t>paper</w:t>
      </w:r>
    </w:p>
    <w:p w:rsidR="0092299C" w:rsidRPr="00843E15" w:rsidRDefault="0092299C" w:rsidP="0092299C">
      <w:pPr>
        <w:pStyle w:val="Heading3"/>
      </w:pPr>
      <w:r w:rsidRPr="00843E15">
        <w:t xml:space="preserve">Procurement of office </w:t>
      </w:r>
      <w:r w:rsidRPr="00612F7A">
        <w:t>products</w:t>
      </w:r>
      <w:r w:rsidRPr="00843E15">
        <w:t xml:space="preserve"> and stationery with en</w:t>
      </w:r>
      <w:r>
        <w:t xml:space="preserve">vironmental considerations from </w:t>
      </w:r>
      <w:r w:rsidRPr="00843E15">
        <w:t>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912528" w:rsidTr="0092299C">
        <w:trPr>
          <w:cantSplit/>
          <w:tblHeader/>
        </w:trPr>
        <w:tc>
          <w:tcPr>
            <w:tcW w:w="4536" w:type="dxa"/>
            <w:vAlign w:val="bottom"/>
          </w:tcPr>
          <w:p w:rsidR="0092299C" w:rsidRPr="00C671E2" w:rsidRDefault="0092299C" w:rsidP="0092299C">
            <w:pPr>
              <w:pStyle w:val="ARtablecolhead"/>
            </w:pPr>
            <w:r w:rsidRPr="00C671E2">
              <w:t>Description</w:t>
            </w:r>
          </w:p>
        </w:tc>
        <w:tc>
          <w:tcPr>
            <w:tcW w:w="1701" w:type="dxa"/>
            <w:vAlign w:val="bottom"/>
          </w:tcPr>
          <w:p w:rsidR="0092299C" w:rsidRPr="00C671E2" w:rsidRDefault="0092299C" w:rsidP="0092299C">
            <w:pPr>
              <w:pStyle w:val="ARtablecolheadright"/>
            </w:pPr>
            <w:r w:rsidRPr="00C671E2">
              <w:t>2014–15 actual</w:t>
            </w:r>
          </w:p>
        </w:tc>
        <w:tc>
          <w:tcPr>
            <w:tcW w:w="1701" w:type="dxa"/>
            <w:vAlign w:val="bottom"/>
          </w:tcPr>
          <w:p w:rsidR="0092299C" w:rsidRPr="00C671E2" w:rsidRDefault="0092299C" w:rsidP="0092299C">
            <w:pPr>
              <w:pStyle w:val="ARtablecolheadright"/>
            </w:pPr>
            <w:r>
              <w:t>2015–16 actual</w:t>
            </w:r>
          </w:p>
        </w:tc>
        <w:tc>
          <w:tcPr>
            <w:tcW w:w="1701" w:type="dxa"/>
            <w:vAlign w:val="bottom"/>
          </w:tcPr>
          <w:p w:rsidR="0092299C" w:rsidRPr="00C671E2" w:rsidRDefault="0092299C" w:rsidP="0092299C">
            <w:pPr>
              <w:pStyle w:val="ARtablecolheadright"/>
            </w:pPr>
            <w:r>
              <w:t>2016–17 actual</w:t>
            </w:r>
          </w:p>
        </w:tc>
      </w:tr>
      <w:tr w:rsidR="0092299C" w:rsidRPr="00912528" w:rsidTr="0092299C">
        <w:trPr>
          <w:cantSplit/>
        </w:trPr>
        <w:tc>
          <w:tcPr>
            <w:tcW w:w="4536" w:type="dxa"/>
          </w:tcPr>
          <w:p w:rsidR="0092299C" w:rsidRPr="00C671E2" w:rsidRDefault="0092299C" w:rsidP="0092299C">
            <w:pPr>
              <w:pStyle w:val="ARtabletext"/>
            </w:pPr>
            <w:r>
              <w:t>Furniture</w:t>
            </w:r>
          </w:p>
        </w:tc>
        <w:tc>
          <w:tcPr>
            <w:tcW w:w="1701" w:type="dxa"/>
          </w:tcPr>
          <w:p w:rsidR="0092299C" w:rsidRPr="00C671E2" w:rsidRDefault="0092299C" w:rsidP="0092299C">
            <w:pPr>
              <w:pStyle w:val="ARtabletextright"/>
            </w:pPr>
            <w:r>
              <w:t>16%</w:t>
            </w:r>
          </w:p>
        </w:tc>
        <w:tc>
          <w:tcPr>
            <w:tcW w:w="1701" w:type="dxa"/>
          </w:tcPr>
          <w:p w:rsidR="0092299C" w:rsidRPr="00C671E2" w:rsidRDefault="0092299C" w:rsidP="0092299C">
            <w:pPr>
              <w:pStyle w:val="ARtabletextright"/>
            </w:pPr>
            <w:r>
              <w:t>4%</w:t>
            </w:r>
          </w:p>
        </w:tc>
        <w:tc>
          <w:tcPr>
            <w:tcW w:w="1701" w:type="dxa"/>
          </w:tcPr>
          <w:p w:rsidR="0092299C" w:rsidRPr="00C671E2" w:rsidRDefault="0092299C" w:rsidP="0092299C">
            <w:pPr>
              <w:pStyle w:val="ARtabletextright"/>
            </w:pPr>
            <w:r>
              <w:t>2%</w:t>
            </w:r>
          </w:p>
        </w:tc>
      </w:tr>
      <w:tr w:rsidR="0092299C" w:rsidRPr="00912528" w:rsidTr="0092299C">
        <w:trPr>
          <w:cantSplit/>
        </w:trPr>
        <w:tc>
          <w:tcPr>
            <w:tcW w:w="4536" w:type="dxa"/>
          </w:tcPr>
          <w:p w:rsidR="0092299C" w:rsidRPr="00C671E2" w:rsidRDefault="0092299C" w:rsidP="0092299C">
            <w:pPr>
              <w:pStyle w:val="ARtabletext"/>
            </w:pPr>
            <w:r>
              <w:t>Kitchen</w:t>
            </w:r>
          </w:p>
        </w:tc>
        <w:tc>
          <w:tcPr>
            <w:tcW w:w="1701" w:type="dxa"/>
          </w:tcPr>
          <w:p w:rsidR="0092299C" w:rsidRPr="00C671E2" w:rsidRDefault="0092299C" w:rsidP="0092299C">
            <w:pPr>
              <w:pStyle w:val="ARtabletextright"/>
            </w:pPr>
            <w:r>
              <w:t>14%</w:t>
            </w:r>
          </w:p>
        </w:tc>
        <w:tc>
          <w:tcPr>
            <w:tcW w:w="1701" w:type="dxa"/>
          </w:tcPr>
          <w:p w:rsidR="0092299C" w:rsidRPr="00C671E2" w:rsidRDefault="0092299C" w:rsidP="0092299C">
            <w:pPr>
              <w:pStyle w:val="ARtabletextright"/>
            </w:pPr>
            <w:r>
              <w:t>17%</w:t>
            </w:r>
          </w:p>
        </w:tc>
        <w:tc>
          <w:tcPr>
            <w:tcW w:w="1701" w:type="dxa"/>
          </w:tcPr>
          <w:p w:rsidR="0092299C" w:rsidRPr="00C671E2" w:rsidRDefault="0092299C" w:rsidP="0092299C">
            <w:pPr>
              <w:pStyle w:val="ARtabletextright"/>
            </w:pPr>
            <w:r>
              <w:t>17%</w:t>
            </w:r>
          </w:p>
        </w:tc>
      </w:tr>
      <w:tr w:rsidR="0092299C" w:rsidRPr="00912528" w:rsidTr="0092299C">
        <w:trPr>
          <w:cantSplit/>
        </w:trPr>
        <w:tc>
          <w:tcPr>
            <w:tcW w:w="4536" w:type="dxa"/>
          </w:tcPr>
          <w:p w:rsidR="0092299C" w:rsidRPr="00C671E2" w:rsidRDefault="0092299C" w:rsidP="0092299C">
            <w:pPr>
              <w:pStyle w:val="ARtabletext"/>
            </w:pPr>
            <w:r>
              <w:t>Facilities solutions</w:t>
            </w:r>
          </w:p>
        </w:tc>
        <w:tc>
          <w:tcPr>
            <w:tcW w:w="1701" w:type="dxa"/>
          </w:tcPr>
          <w:p w:rsidR="0092299C" w:rsidRPr="00C671E2" w:rsidRDefault="0092299C" w:rsidP="0092299C">
            <w:pPr>
              <w:pStyle w:val="ARtabletextright"/>
            </w:pPr>
            <w:r>
              <w:t>22%</w:t>
            </w:r>
          </w:p>
        </w:tc>
        <w:tc>
          <w:tcPr>
            <w:tcW w:w="1701" w:type="dxa"/>
          </w:tcPr>
          <w:p w:rsidR="0092299C" w:rsidRPr="00C671E2" w:rsidRDefault="0092299C" w:rsidP="0092299C">
            <w:pPr>
              <w:pStyle w:val="ARtabletextright"/>
            </w:pPr>
            <w:r>
              <w:t>33%</w:t>
            </w:r>
          </w:p>
        </w:tc>
        <w:tc>
          <w:tcPr>
            <w:tcW w:w="1701" w:type="dxa"/>
          </w:tcPr>
          <w:p w:rsidR="0092299C" w:rsidRPr="00C671E2" w:rsidRDefault="0092299C" w:rsidP="0092299C">
            <w:pPr>
              <w:pStyle w:val="ARtabletextright"/>
            </w:pPr>
            <w:r>
              <w:t>36%</w:t>
            </w:r>
          </w:p>
        </w:tc>
      </w:tr>
      <w:tr w:rsidR="0092299C" w:rsidRPr="00912528" w:rsidTr="0092299C">
        <w:trPr>
          <w:cantSplit/>
        </w:trPr>
        <w:tc>
          <w:tcPr>
            <w:tcW w:w="4536" w:type="dxa"/>
          </w:tcPr>
          <w:p w:rsidR="0092299C" w:rsidRPr="00C671E2" w:rsidRDefault="0092299C" w:rsidP="0092299C">
            <w:pPr>
              <w:pStyle w:val="ARtabletext"/>
            </w:pPr>
            <w:r>
              <w:t>Office products</w:t>
            </w:r>
          </w:p>
        </w:tc>
        <w:tc>
          <w:tcPr>
            <w:tcW w:w="1701" w:type="dxa"/>
          </w:tcPr>
          <w:p w:rsidR="0092299C" w:rsidRPr="00C671E2" w:rsidRDefault="0092299C" w:rsidP="0092299C">
            <w:pPr>
              <w:pStyle w:val="ARtabletextright"/>
            </w:pPr>
            <w:r>
              <w:t>40%</w:t>
            </w:r>
          </w:p>
        </w:tc>
        <w:tc>
          <w:tcPr>
            <w:tcW w:w="1701" w:type="dxa"/>
          </w:tcPr>
          <w:p w:rsidR="0092299C" w:rsidRPr="00C671E2" w:rsidRDefault="0092299C" w:rsidP="0092299C">
            <w:pPr>
              <w:pStyle w:val="ARtabletextright"/>
            </w:pPr>
            <w:r>
              <w:t>11%</w:t>
            </w:r>
          </w:p>
        </w:tc>
        <w:tc>
          <w:tcPr>
            <w:tcW w:w="1701" w:type="dxa"/>
          </w:tcPr>
          <w:p w:rsidR="0092299C" w:rsidRPr="00C671E2" w:rsidRDefault="0092299C" w:rsidP="0092299C">
            <w:pPr>
              <w:pStyle w:val="ARtabletextright"/>
            </w:pPr>
            <w:r>
              <w:t>24%</w:t>
            </w:r>
          </w:p>
        </w:tc>
      </w:tr>
      <w:tr w:rsidR="0092299C" w:rsidRPr="004A6A1D" w:rsidTr="0092299C">
        <w:trPr>
          <w:cantSplit/>
        </w:trPr>
        <w:tc>
          <w:tcPr>
            <w:tcW w:w="4536" w:type="dxa"/>
          </w:tcPr>
          <w:p w:rsidR="0092299C" w:rsidRPr="004A6A1D" w:rsidRDefault="0092299C" w:rsidP="0092299C">
            <w:pPr>
              <w:pStyle w:val="ARtabletext"/>
              <w:rPr>
                <w:b/>
              </w:rPr>
            </w:pPr>
            <w:r>
              <w:rPr>
                <w:b/>
              </w:rPr>
              <w:t>Total</w:t>
            </w:r>
          </w:p>
        </w:tc>
        <w:tc>
          <w:tcPr>
            <w:tcW w:w="1701" w:type="dxa"/>
          </w:tcPr>
          <w:p w:rsidR="0092299C" w:rsidRPr="004A6A1D" w:rsidRDefault="0092299C" w:rsidP="0092299C">
            <w:pPr>
              <w:pStyle w:val="ARtabletextright"/>
              <w:rPr>
                <w:b/>
              </w:rPr>
            </w:pPr>
            <w:r>
              <w:rPr>
                <w:b/>
              </w:rPr>
              <w:t>34%</w:t>
            </w:r>
          </w:p>
        </w:tc>
        <w:tc>
          <w:tcPr>
            <w:tcW w:w="1701" w:type="dxa"/>
          </w:tcPr>
          <w:p w:rsidR="0092299C" w:rsidRPr="004A6A1D" w:rsidRDefault="0092299C" w:rsidP="0092299C">
            <w:pPr>
              <w:pStyle w:val="ARtabletextright"/>
              <w:rPr>
                <w:b/>
              </w:rPr>
            </w:pPr>
            <w:r>
              <w:rPr>
                <w:b/>
              </w:rPr>
              <w:t>37%</w:t>
            </w:r>
          </w:p>
        </w:tc>
        <w:tc>
          <w:tcPr>
            <w:tcW w:w="1701" w:type="dxa"/>
          </w:tcPr>
          <w:p w:rsidR="0092299C" w:rsidRPr="004A6A1D" w:rsidRDefault="0092299C" w:rsidP="0092299C">
            <w:pPr>
              <w:pStyle w:val="ARtabletextright"/>
              <w:rPr>
                <w:b/>
              </w:rPr>
            </w:pPr>
            <w:r>
              <w:rPr>
                <w:b/>
              </w:rPr>
              <w:t>36%</w:t>
            </w:r>
          </w:p>
        </w:tc>
      </w:tr>
    </w:tbl>
    <w:p w:rsidR="0092299C" w:rsidRDefault="0092299C" w:rsidP="0092299C">
      <w:pPr>
        <w:pStyle w:val="ARtablefootnote"/>
        <w:rPr>
          <w:lang w:eastAsia="en-AU"/>
        </w:rPr>
      </w:pPr>
      <w:r w:rsidRPr="004A6A1D">
        <w:rPr>
          <w:lang w:eastAsia="en-AU"/>
        </w:rPr>
        <w:t xml:space="preserve">Office products and stationery data is obtained from the </w:t>
      </w:r>
      <w:r>
        <w:rPr>
          <w:lang w:eastAsia="en-AU"/>
        </w:rPr>
        <w:t>d</w:t>
      </w:r>
      <w:r w:rsidRPr="004A6A1D">
        <w:rPr>
          <w:lang w:eastAsia="en-AU"/>
        </w:rPr>
        <w:t xml:space="preserve">epartment’s state purchase contract. Environmental considerations are based on </w:t>
      </w:r>
      <w:r>
        <w:rPr>
          <w:lang w:eastAsia="en-AU"/>
        </w:rPr>
        <w:t xml:space="preserve">expenditure in </w:t>
      </w:r>
      <w:r w:rsidRPr="004A6A1D">
        <w:rPr>
          <w:lang w:eastAsia="en-AU"/>
        </w:rPr>
        <w:t xml:space="preserve">the supplier’s </w:t>
      </w:r>
      <w:r>
        <w:rPr>
          <w:lang w:eastAsia="en-AU"/>
        </w:rPr>
        <w:t>Planet Friendly</w:t>
      </w:r>
      <w:r w:rsidRPr="004A6A1D">
        <w:rPr>
          <w:lang w:eastAsia="en-AU"/>
        </w:rPr>
        <w:t xml:space="preserve"> category criteria.</w:t>
      </w:r>
    </w:p>
    <w:p w:rsidR="0092299C" w:rsidRPr="004A6A1D" w:rsidRDefault="0092299C" w:rsidP="0092299C">
      <w:pPr>
        <w:pStyle w:val="ARtablefootnote"/>
        <w:rPr>
          <w:lang w:eastAsia="en-AU"/>
        </w:rPr>
      </w:pPr>
      <w:r w:rsidRPr="004A6A1D">
        <w:rPr>
          <w:lang w:eastAsia="en-AU"/>
        </w:rPr>
        <w:t>Results include</w:t>
      </w:r>
      <w:r>
        <w:rPr>
          <w:lang w:eastAsia="en-AU"/>
        </w:rPr>
        <w:t>:</w:t>
      </w:r>
      <w:r w:rsidRPr="004A6A1D">
        <w:rPr>
          <w:lang w:eastAsia="en-AU"/>
        </w:rPr>
        <w:t xml:space="preserve"> expenditure on office furniture</w:t>
      </w:r>
      <w:r>
        <w:rPr>
          <w:lang w:eastAsia="en-AU"/>
        </w:rPr>
        <w:t>;</w:t>
      </w:r>
      <w:r w:rsidRPr="004A6A1D">
        <w:rPr>
          <w:lang w:eastAsia="en-AU"/>
        </w:rPr>
        <w:t xml:space="preserve"> coffee and catering supplies</w:t>
      </w:r>
      <w:r>
        <w:rPr>
          <w:lang w:eastAsia="en-AU"/>
        </w:rPr>
        <w:t>;</w:t>
      </w:r>
      <w:r w:rsidRPr="004A6A1D">
        <w:rPr>
          <w:lang w:eastAsia="en-AU"/>
        </w:rPr>
        <w:t xml:space="preserve"> janitorial products</w:t>
      </w:r>
      <w:r>
        <w:rPr>
          <w:lang w:eastAsia="en-AU"/>
        </w:rPr>
        <w:t>;</w:t>
      </w:r>
      <w:r w:rsidRPr="004A6A1D">
        <w:rPr>
          <w:lang w:eastAsia="en-AU"/>
        </w:rPr>
        <w:t xml:space="preserve"> packaging</w:t>
      </w:r>
      <w:r>
        <w:rPr>
          <w:lang w:eastAsia="en-AU"/>
        </w:rPr>
        <w:t>;</w:t>
      </w:r>
      <w:r w:rsidRPr="004A6A1D">
        <w:rPr>
          <w:lang w:eastAsia="en-AU"/>
        </w:rPr>
        <w:t xml:space="preserve"> workplace safety supplies</w:t>
      </w:r>
      <w:r>
        <w:rPr>
          <w:lang w:eastAsia="en-AU"/>
        </w:rPr>
        <w:t>;</w:t>
      </w:r>
      <w:r w:rsidRPr="004A6A1D">
        <w:rPr>
          <w:lang w:eastAsia="en-AU"/>
        </w:rPr>
        <w:t xml:space="preserve"> educational supplies</w:t>
      </w:r>
      <w:r>
        <w:rPr>
          <w:lang w:eastAsia="en-AU"/>
        </w:rPr>
        <w:t>;</w:t>
      </w:r>
      <w:r w:rsidRPr="004A6A1D">
        <w:rPr>
          <w:lang w:eastAsia="en-AU"/>
        </w:rPr>
        <w:t xml:space="preserve"> computer hardware</w:t>
      </w:r>
      <w:r>
        <w:rPr>
          <w:lang w:eastAsia="en-AU"/>
        </w:rPr>
        <w:t>;</w:t>
      </w:r>
      <w:r w:rsidRPr="004A6A1D">
        <w:rPr>
          <w:lang w:eastAsia="en-AU"/>
        </w:rPr>
        <w:t xml:space="preserve"> office technology products</w:t>
      </w:r>
      <w:r>
        <w:rPr>
          <w:lang w:eastAsia="en-AU"/>
        </w:rPr>
        <w:t>;</w:t>
      </w:r>
      <w:r w:rsidRPr="004A6A1D">
        <w:rPr>
          <w:lang w:eastAsia="en-AU"/>
        </w:rPr>
        <w:t xml:space="preserve"> computer consumables</w:t>
      </w:r>
      <w:r>
        <w:rPr>
          <w:lang w:eastAsia="en-AU"/>
        </w:rPr>
        <w:t>;</w:t>
      </w:r>
      <w:r w:rsidRPr="004A6A1D">
        <w:rPr>
          <w:lang w:eastAsia="en-AU"/>
        </w:rPr>
        <w:t xml:space="preserve"> general office products</w:t>
      </w:r>
      <w:r>
        <w:rPr>
          <w:lang w:eastAsia="en-AU"/>
        </w:rPr>
        <w:t>;</w:t>
      </w:r>
      <w:r w:rsidRPr="004A6A1D">
        <w:rPr>
          <w:lang w:eastAsia="en-AU"/>
        </w:rPr>
        <w:t xml:space="preserve"> office filing and storage</w:t>
      </w:r>
      <w:r>
        <w:rPr>
          <w:lang w:eastAsia="en-AU"/>
        </w:rPr>
        <w:t>;</w:t>
      </w:r>
      <w:r w:rsidRPr="004A6A1D">
        <w:rPr>
          <w:lang w:eastAsia="en-AU"/>
        </w:rPr>
        <w:t xml:space="preserve"> office machines and electronics</w:t>
      </w:r>
      <w:r>
        <w:rPr>
          <w:lang w:eastAsia="en-AU"/>
        </w:rPr>
        <w:t>;</w:t>
      </w:r>
      <w:r w:rsidRPr="004A6A1D">
        <w:rPr>
          <w:lang w:eastAsia="en-AU"/>
        </w:rPr>
        <w:t xml:space="preserve"> office paper products</w:t>
      </w:r>
      <w:r>
        <w:rPr>
          <w:lang w:eastAsia="en-AU"/>
        </w:rPr>
        <w:t>;</w:t>
      </w:r>
      <w:r w:rsidRPr="004A6A1D">
        <w:rPr>
          <w:lang w:eastAsia="en-AU"/>
        </w:rPr>
        <w:t xml:space="preserve"> and writing instruments.</w:t>
      </w:r>
    </w:p>
    <w:p w:rsidR="0092299C" w:rsidRPr="00843E15" w:rsidRDefault="0092299C" w:rsidP="0092299C">
      <w:pPr>
        <w:pStyle w:val="Heading3"/>
      </w:pPr>
      <w:r w:rsidRPr="00843E15">
        <w:t>Paper use from 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912528" w:rsidTr="0092299C">
        <w:trPr>
          <w:cantSplit/>
          <w:tblHeader/>
        </w:trPr>
        <w:tc>
          <w:tcPr>
            <w:tcW w:w="4536" w:type="dxa"/>
            <w:vAlign w:val="bottom"/>
          </w:tcPr>
          <w:p w:rsidR="0092299C" w:rsidRPr="00C671E2" w:rsidRDefault="0092299C" w:rsidP="0092299C">
            <w:pPr>
              <w:pStyle w:val="ARtablecolhead"/>
              <w:spacing w:line="240" w:lineRule="auto"/>
            </w:pPr>
            <w:r w:rsidRPr="00C671E2">
              <w:t>Description</w:t>
            </w:r>
          </w:p>
        </w:tc>
        <w:tc>
          <w:tcPr>
            <w:tcW w:w="1701" w:type="dxa"/>
            <w:vAlign w:val="bottom"/>
          </w:tcPr>
          <w:p w:rsidR="0092299C" w:rsidRPr="00C671E2" w:rsidRDefault="0092299C" w:rsidP="0092299C">
            <w:pPr>
              <w:pStyle w:val="ARtablecolheadright"/>
            </w:pPr>
            <w:r w:rsidRPr="00C671E2">
              <w:t>2014–15 actual</w:t>
            </w:r>
          </w:p>
        </w:tc>
        <w:tc>
          <w:tcPr>
            <w:tcW w:w="1701" w:type="dxa"/>
            <w:vAlign w:val="bottom"/>
          </w:tcPr>
          <w:p w:rsidR="0092299C" w:rsidRPr="00C671E2" w:rsidRDefault="0092299C" w:rsidP="0092299C">
            <w:pPr>
              <w:pStyle w:val="ARtablecolheadright"/>
            </w:pPr>
            <w:r>
              <w:t>2015–16 actual</w:t>
            </w:r>
          </w:p>
        </w:tc>
        <w:tc>
          <w:tcPr>
            <w:tcW w:w="1701" w:type="dxa"/>
            <w:vAlign w:val="bottom"/>
          </w:tcPr>
          <w:p w:rsidR="0092299C" w:rsidRPr="00C671E2" w:rsidRDefault="0092299C" w:rsidP="0092299C">
            <w:pPr>
              <w:pStyle w:val="ARtablecolheadright"/>
            </w:pPr>
            <w:r>
              <w:t>2016–17</w:t>
            </w:r>
            <w:r w:rsidRPr="00C671E2">
              <w:t xml:space="preserve"> actual</w:t>
            </w:r>
          </w:p>
        </w:tc>
      </w:tr>
      <w:tr w:rsidR="0092299C" w:rsidRPr="00912528" w:rsidTr="0092299C">
        <w:trPr>
          <w:cantSplit/>
        </w:trPr>
        <w:tc>
          <w:tcPr>
            <w:tcW w:w="4536" w:type="dxa"/>
          </w:tcPr>
          <w:p w:rsidR="0092299C" w:rsidRPr="00C671E2" w:rsidRDefault="0092299C" w:rsidP="0092299C">
            <w:pPr>
              <w:pStyle w:val="ARtabletext"/>
            </w:pPr>
            <w:r w:rsidRPr="00C671E2">
              <w:t>Total units of paper used – A4 equivalent (reams)</w:t>
            </w:r>
          </w:p>
        </w:tc>
        <w:tc>
          <w:tcPr>
            <w:tcW w:w="1701" w:type="dxa"/>
          </w:tcPr>
          <w:p w:rsidR="0092299C" w:rsidRPr="00C671E2" w:rsidRDefault="0092299C" w:rsidP="0092299C">
            <w:pPr>
              <w:pStyle w:val="ARtabletextright"/>
            </w:pPr>
            <w:r w:rsidRPr="00C671E2">
              <w:t>104,524</w:t>
            </w:r>
          </w:p>
        </w:tc>
        <w:tc>
          <w:tcPr>
            <w:tcW w:w="1701" w:type="dxa"/>
          </w:tcPr>
          <w:p w:rsidR="0092299C" w:rsidRPr="00C671E2" w:rsidRDefault="0092299C" w:rsidP="0092299C">
            <w:pPr>
              <w:pStyle w:val="ARtabletextright"/>
            </w:pPr>
            <w:r>
              <w:t>103,378</w:t>
            </w:r>
          </w:p>
        </w:tc>
        <w:tc>
          <w:tcPr>
            <w:tcW w:w="1701" w:type="dxa"/>
          </w:tcPr>
          <w:p w:rsidR="0092299C" w:rsidRPr="00C671E2" w:rsidRDefault="0092299C" w:rsidP="0092299C">
            <w:pPr>
              <w:pStyle w:val="ARtabletextright"/>
            </w:pPr>
            <w:r>
              <w:t>108,012</w:t>
            </w:r>
          </w:p>
        </w:tc>
      </w:tr>
      <w:tr w:rsidR="0092299C" w:rsidRPr="00912528" w:rsidTr="0092299C">
        <w:trPr>
          <w:cantSplit/>
        </w:trPr>
        <w:tc>
          <w:tcPr>
            <w:tcW w:w="4536" w:type="dxa"/>
          </w:tcPr>
          <w:p w:rsidR="0092299C" w:rsidRPr="00C671E2" w:rsidRDefault="0092299C" w:rsidP="0092299C">
            <w:pPr>
              <w:pStyle w:val="ARtabletext"/>
            </w:pPr>
            <w:r w:rsidRPr="00C671E2">
              <w:t>Units of paper used per FTE (reams/FTE)</w:t>
            </w:r>
          </w:p>
        </w:tc>
        <w:tc>
          <w:tcPr>
            <w:tcW w:w="1701" w:type="dxa"/>
          </w:tcPr>
          <w:p w:rsidR="0092299C" w:rsidRPr="00C671E2" w:rsidRDefault="0092299C" w:rsidP="0092299C">
            <w:pPr>
              <w:pStyle w:val="ARtabletextright"/>
            </w:pPr>
            <w:r w:rsidRPr="00C671E2">
              <w:t>9.3</w:t>
            </w:r>
          </w:p>
        </w:tc>
        <w:tc>
          <w:tcPr>
            <w:tcW w:w="1701" w:type="dxa"/>
          </w:tcPr>
          <w:p w:rsidR="0092299C" w:rsidRPr="00C671E2" w:rsidRDefault="0092299C" w:rsidP="0092299C">
            <w:pPr>
              <w:pStyle w:val="ARtabletextright"/>
            </w:pPr>
            <w:r>
              <w:t>9</w:t>
            </w:r>
          </w:p>
        </w:tc>
        <w:tc>
          <w:tcPr>
            <w:tcW w:w="1701" w:type="dxa"/>
          </w:tcPr>
          <w:p w:rsidR="0092299C" w:rsidRPr="00CF28BD" w:rsidRDefault="0092299C" w:rsidP="0092299C">
            <w:pPr>
              <w:pStyle w:val="ARtabletextright"/>
              <w:rPr>
                <w:highlight w:val="yellow"/>
              </w:rPr>
            </w:pPr>
            <w:r w:rsidRPr="003064FC">
              <w:t>9.6</w:t>
            </w:r>
          </w:p>
        </w:tc>
      </w:tr>
      <w:tr w:rsidR="0092299C" w:rsidRPr="00912528" w:rsidTr="0092299C">
        <w:trPr>
          <w:cantSplit/>
        </w:trPr>
        <w:tc>
          <w:tcPr>
            <w:tcW w:w="4536" w:type="dxa"/>
          </w:tcPr>
          <w:p w:rsidR="0092299C" w:rsidRPr="00C671E2" w:rsidRDefault="0092299C" w:rsidP="0092299C">
            <w:pPr>
              <w:pStyle w:val="ARtabletext"/>
            </w:pPr>
            <w:r w:rsidRPr="00C671E2">
              <w:t>Total cost of paper used (dollars)</w:t>
            </w:r>
          </w:p>
        </w:tc>
        <w:tc>
          <w:tcPr>
            <w:tcW w:w="1701" w:type="dxa"/>
          </w:tcPr>
          <w:p w:rsidR="0092299C" w:rsidRPr="00C671E2" w:rsidRDefault="0092299C" w:rsidP="0092299C">
            <w:pPr>
              <w:pStyle w:val="ARtabletextright"/>
            </w:pPr>
            <w:r w:rsidRPr="00C671E2">
              <w:t>$557,000</w:t>
            </w:r>
          </w:p>
        </w:tc>
        <w:tc>
          <w:tcPr>
            <w:tcW w:w="1701" w:type="dxa"/>
          </w:tcPr>
          <w:p w:rsidR="0092299C" w:rsidRPr="00C671E2" w:rsidRDefault="0092299C" w:rsidP="0092299C">
            <w:pPr>
              <w:pStyle w:val="ARtabletextright"/>
            </w:pPr>
            <w:r>
              <w:t>$571,000</w:t>
            </w:r>
          </w:p>
        </w:tc>
        <w:tc>
          <w:tcPr>
            <w:tcW w:w="1701" w:type="dxa"/>
          </w:tcPr>
          <w:p w:rsidR="0092299C" w:rsidRPr="00C671E2" w:rsidRDefault="0092299C" w:rsidP="0092299C">
            <w:pPr>
              <w:pStyle w:val="ARtabletextright"/>
            </w:pPr>
            <w:r>
              <w:t>$578,500</w:t>
            </w:r>
          </w:p>
        </w:tc>
      </w:tr>
      <w:tr w:rsidR="0092299C" w:rsidRPr="00912528" w:rsidTr="00F14FB2">
        <w:trPr>
          <w:cantSplit/>
        </w:trPr>
        <w:tc>
          <w:tcPr>
            <w:tcW w:w="4536" w:type="dxa"/>
          </w:tcPr>
          <w:p w:rsidR="0092299C" w:rsidRPr="00C671E2" w:rsidRDefault="0092299C" w:rsidP="0092299C">
            <w:pPr>
              <w:pStyle w:val="ARtabletext"/>
            </w:pPr>
            <w:r w:rsidRPr="00C671E2">
              <w:t>Greenhouse gas emissions associated with paper use (tonnes of CO</w:t>
            </w:r>
            <w:r w:rsidRPr="000C7C20">
              <w:rPr>
                <w:vertAlign w:val="subscript"/>
              </w:rPr>
              <w:t>2</w:t>
            </w:r>
            <w:r w:rsidRPr="00C671E2">
              <w:t>-e)</w:t>
            </w:r>
          </w:p>
        </w:tc>
        <w:tc>
          <w:tcPr>
            <w:tcW w:w="1701" w:type="dxa"/>
          </w:tcPr>
          <w:p w:rsidR="0092299C" w:rsidRPr="00C671E2" w:rsidRDefault="0092299C" w:rsidP="0092299C">
            <w:pPr>
              <w:pStyle w:val="ARtabletextright"/>
            </w:pPr>
            <w:r w:rsidRPr="00C671E2">
              <w:t>234</w:t>
            </w:r>
          </w:p>
        </w:tc>
        <w:tc>
          <w:tcPr>
            <w:tcW w:w="1701" w:type="dxa"/>
          </w:tcPr>
          <w:p w:rsidR="0092299C" w:rsidRPr="00C671E2" w:rsidRDefault="0092299C" w:rsidP="0092299C">
            <w:pPr>
              <w:pStyle w:val="ARtabletextright"/>
            </w:pPr>
            <w:r>
              <w:t>333</w:t>
            </w:r>
          </w:p>
        </w:tc>
        <w:tc>
          <w:tcPr>
            <w:tcW w:w="1701" w:type="dxa"/>
          </w:tcPr>
          <w:p w:rsidR="0092299C" w:rsidRPr="00C671E2" w:rsidRDefault="0092299C" w:rsidP="0092299C">
            <w:pPr>
              <w:pStyle w:val="ARtabletextright"/>
            </w:pPr>
            <w:r>
              <w:t>382</w:t>
            </w:r>
          </w:p>
        </w:tc>
      </w:tr>
    </w:tbl>
    <w:p w:rsidR="0092299C" w:rsidRDefault="0092299C" w:rsidP="0092299C">
      <w:pPr>
        <w:pStyle w:val="ARbody"/>
        <w:spacing w:line="240" w:lineRule="auto"/>
        <w:rPr>
          <w:lang w:eastAsia="en-AU"/>
        </w:rPr>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41"/>
        <w:gridCol w:w="1701"/>
        <w:gridCol w:w="1843"/>
        <w:gridCol w:w="1559"/>
      </w:tblGrid>
      <w:tr w:rsidR="0092299C" w:rsidRPr="00C671E2" w:rsidTr="0092299C">
        <w:trPr>
          <w:cantSplit/>
          <w:tblHeader/>
        </w:trPr>
        <w:tc>
          <w:tcPr>
            <w:tcW w:w="4541" w:type="dxa"/>
          </w:tcPr>
          <w:p w:rsidR="0092299C" w:rsidRPr="00C671E2" w:rsidRDefault="0092299C" w:rsidP="00FF657A">
            <w:pPr>
              <w:pStyle w:val="ARtablegreenbold"/>
              <w:pageBreakBefore/>
            </w:pPr>
            <w:r w:rsidRPr="00016106">
              <w:rPr>
                <w:color w:val="auto"/>
              </w:rPr>
              <w:lastRenderedPageBreak/>
              <w:t>Percentage recycled content copy paper purchased</w:t>
            </w:r>
          </w:p>
        </w:tc>
        <w:tc>
          <w:tcPr>
            <w:tcW w:w="1701" w:type="dxa"/>
            <w:vAlign w:val="bottom"/>
          </w:tcPr>
          <w:p w:rsidR="0092299C" w:rsidRPr="00C671E2" w:rsidRDefault="0092299C" w:rsidP="0092299C">
            <w:pPr>
              <w:pStyle w:val="ARtablecolhead"/>
              <w:spacing w:line="240" w:lineRule="auto"/>
              <w:jc w:val="right"/>
            </w:pPr>
            <w:r w:rsidRPr="00C671E2">
              <w:t>2014–15 actual</w:t>
            </w:r>
          </w:p>
        </w:tc>
        <w:tc>
          <w:tcPr>
            <w:tcW w:w="1843" w:type="dxa"/>
            <w:vAlign w:val="bottom"/>
          </w:tcPr>
          <w:p w:rsidR="0092299C" w:rsidRPr="00C671E2" w:rsidRDefault="0092299C" w:rsidP="0092299C">
            <w:pPr>
              <w:pStyle w:val="ARtablecolhead"/>
              <w:spacing w:line="240" w:lineRule="auto"/>
              <w:jc w:val="right"/>
            </w:pPr>
            <w:r>
              <w:t>2015–16 actual</w:t>
            </w:r>
          </w:p>
        </w:tc>
        <w:tc>
          <w:tcPr>
            <w:tcW w:w="1559" w:type="dxa"/>
            <w:vAlign w:val="bottom"/>
          </w:tcPr>
          <w:p w:rsidR="0092299C" w:rsidRPr="00C671E2" w:rsidRDefault="0092299C" w:rsidP="0092299C">
            <w:pPr>
              <w:pStyle w:val="ARtablecolhead"/>
              <w:spacing w:line="240" w:lineRule="auto"/>
              <w:jc w:val="right"/>
            </w:pPr>
            <w:r>
              <w:t>2016–17</w:t>
            </w:r>
            <w:r w:rsidRPr="00C671E2">
              <w:t xml:space="preserve"> actual</w:t>
            </w:r>
          </w:p>
        </w:tc>
      </w:tr>
      <w:tr w:rsidR="0092299C" w:rsidRPr="00C671E2" w:rsidTr="0092299C">
        <w:trPr>
          <w:cantSplit/>
        </w:trPr>
        <w:tc>
          <w:tcPr>
            <w:tcW w:w="4541" w:type="dxa"/>
          </w:tcPr>
          <w:p w:rsidR="0092299C" w:rsidRPr="00C671E2" w:rsidRDefault="0092299C" w:rsidP="0092299C">
            <w:pPr>
              <w:pStyle w:val="ARtabletext"/>
            </w:pPr>
            <w:r w:rsidRPr="00C671E2">
              <w:t>75–100 per cent recycled</w:t>
            </w:r>
          </w:p>
        </w:tc>
        <w:tc>
          <w:tcPr>
            <w:tcW w:w="1701" w:type="dxa"/>
          </w:tcPr>
          <w:p w:rsidR="0092299C" w:rsidRPr="00C671E2" w:rsidRDefault="0092299C" w:rsidP="0092299C">
            <w:pPr>
              <w:pStyle w:val="ARtabletext"/>
              <w:jc w:val="right"/>
            </w:pPr>
            <w:r w:rsidRPr="00C671E2">
              <w:t>32%</w:t>
            </w:r>
          </w:p>
        </w:tc>
        <w:tc>
          <w:tcPr>
            <w:tcW w:w="1843" w:type="dxa"/>
          </w:tcPr>
          <w:p w:rsidR="0092299C" w:rsidRPr="00C671E2" w:rsidRDefault="0092299C" w:rsidP="0092299C">
            <w:pPr>
              <w:pStyle w:val="ARtabletext"/>
              <w:tabs>
                <w:tab w:val="left" w:pos="1276"/>
              </w:tabs>
              <w:jc w:val="right"/>
            </w:pPr>
            <w:r>
              <w:t>52%</w:t>
            </w:r>
          </w:p>
        </w:tc>
        <w:tc>
          <w:tcPr>
            <w:tcW w:w="1559" w:type="dxa"/>
          </w:tcPr>
          <w:p w:rsidR="0092299C" w:rsidRPr="00C671E2" w:rsidRDefault="0092299C" w:rsidP="0092299C">
            <w:pPr>
              <w:pStyle w:val="ARtabletext"/>
              <w:tabs>
                <w:tab w:val="left" w:pos="1276"/>
              </w:tabs>
              <w:jc w:val="right"/>
            </w:pPr>
            <w:r>
              <w:t>91%</w:t>
            </w:r>
          </w:p>
        </w:tc>
      </w:tr>
      <w:tr w:rsidR="0092299C" w:rsidRPr="00C671E2" w:rsidTr="0092299C">
        <w:trPr>
          <w:cantSplit/>
        </w:trPr>
        <w:tc>
          <w:tcPr>
            <w:tcW w:w="4541" w:type="dxa"/>
          </w:tcPr>
          <w:p w:rsidR="0092299C" w:rsidRPr="00C671E2" w:rsidRDefault="0092299C" w:rsidP="0092299C">
            <w:pPr>
              <w:pStyle w:val="ARtabletext"/>
            </w:pPr>
            <w:r w:rsidRPr="00C671E2">
              <w:t>50–75 per cent recycled</w:t>
            </w:r>
          </w:p>
        </w:tc>
        <w:tc>
          <w:tcPr>
            <w:tcW w:w="1701" w:type="dxa"/>
          </w:tcPr>
          <w:p w:rsidR="0092299C" w:rsidRPr="00C671E2" w:rsidRDefault="0092299C" w:rsidP="0092299C">
            <w:pPr>
              <w:pStyle w:val="ARtabletext"/>
              <w:jc w:val="right"/>
            </w:pPr>
            <w:r w:rsidRPr="00C671E2">
              <w:t>64%</w:t>
            </w:r>
          </w:p>
        </w:tc>
        <w:tc>
          <w:tcPr>
            <w:tcW w:w="1843" w:type="dxa"/>
          </w:tcPr>
          <w:p w:rsidR="0092299C" w:rsidRPr="00C671E2" w:rsidRDefault="0092299C" w:rsidP="0092299C">
            <w:pPr>
              <w:pStyle w:val="ARtabletext"/>
              <w:jc w:val="right"/>
            </w:pPr>
            <w:r>
              <w:t>44%</w:t>
            </w:r>
          </w:p>
        </w:tc>
        <w:tc>
          <w:tcPr>
            <w:tcW w:w="1559" w:type="dxa"/>
          </w:tcPr>
          <w:p w:rsidR="0092299C" w:rsidRPr="00C671E2" w:rsidRDefault="0092299C" w:rsidP="0092299C">
            <w:pPr>
              <w:pStyle w:val="ARtabletext"/>
              <w:jc w:val="right"/>
            </w:pPr>
            <w:r>
              <w:t>0%</w:t>
            </w:r>
          </w:p>
        </w:tc>
      </w:tr>
      <w:tr w:rsidR="0092299C" w:rsidRPr="00C671E2" w:rsidTr="0092299C">
        <w:trPr>
          <w:cantSplit/>
        </w:trPr>
        <w:tc>
          <w:tcPr>
            <w:tcW w:w="4541" w:type="dxa"/>
          </w:tcPr>
          <w:p w:rsidR="0092299C" w:rsidRPr="00C671E2" w:rsidRDefault="0092299C" w:rsidP="0092299C">
            <w:pPr>
              <w:pStyle w:val="ARtabletext"/>
            </w:pPr>
            <w:r w:rsidRPr="00C671E2">
              <w:t>0–50 per cent recycled</w:t>
            </w:r>
          </w:p>
        </w:tc>
        <w:tc>
          <w:tcPr>
            <w:tcW w:w="1701" w:type="dxa"/>
          </w:tcPr>
          <w:p w:rsidR="0092299C" w:rsidRPr="00C671E2" w:rsidRDefault="0092299C" w:rsidP="0092299C">
            <w:pPr>
              <w:pStyle w:val="ARtabletext"/>
              <w:jc w:val="right"/>
            </w:pPr>
            <w:r>
              <w:t>4</w:t>
            </w:r>
            <w:r w:rsidRPr="00C671E2">
              <w:t>%</w:t>
            </w:r>
          </w:p>
        </w:tc>
        <w:tc>
          <w:tcPr>
            <w:tcW w:w="1843" w:type="dxa"/>
          </w:tcPr>
          <w:p w:rsidR="0092299C" w:rsidRPr="00C671E2" w:rsidRDefault="0092299C" w:rsidP="0092299C">
            <w:pPr>
              <w:pStyle w:val="ARtabletext"/>
              <w:jc w:val="right"/>
            </w:pPr>
            <w:r>
              <w:t>4%</w:t>
            </w:r>
          </w:p>
        </w:tc>
        <w:tc>
          <w:tcPr>
            <w:tcW w:w="1559" w:type="dxa"/>
          </w:tcPr>
          <w:p w:rsidR="0092299C" w:rsidRPr="00C671E2" w:rsidRDefault="0092299C" w:rsidP="0092299C">
            <w:pPr>
              <w:pStyle w:val="ARtabletext"/>
              <w:jc w:val="right"/>
            </w:pPr>
            <w:r>
              <w:t>9%</w:t>
            </w:r>
          </w:p>
        </w:tc>
      </w:tr>
    </w:tbl>
    <w:p w:rsidR="0092299C" w:rsidRDefault="0092299C" w:rsidP="0092299C">
      <w:pPr>
        <w:pStyle w:val="ARtablefootnote"/>
        <w:rPr>
          <w:lang w:eastAsia="en-AU"/>
        </w:rPr>
      </w:pPr>
      <w:r w:rsidRPr="004A6A1D">
        <w:rPr>
          <w:lang w:eastAsia="en-AU"/>
        </w:rPr>
        <w:t xml:space="preserve">One ream is 500 sheets of paper. </w:t>
      </w:r>
      <w:r w:rsidRPr="00BF2DCE">
        <w:rPr>
          <w:lang w:eastAsia="en-AU"/>
        </w:rPr>
        <w:t>Paper usage data provided by whole-of-Victorian-government supplier</w:t>
      </w:r>
      <w:r>
        <w:rPr>
          <w:lang w:eastAsia="en-AU"/>
        </w:rPr>
        <w:t xml:space="preserve"> COS. Paper purchased outside this supplier is not included. Data</w:t>
      </w:r>
      <w:r w:rsidRPr="004A6A1D">
        <w:rPr>
          <w:lang w:eastAsia="en-AU"/>
        </w:rPr>
        <w:t xml:space="preserve"> represent all operational FTE.</w:t>
      </w:r>
    </w:p>
    <w:p w:rsidR="0092299C" w:rsidRPr="00461F6A" w:rsidRDefault="0092299C" w:rsidP="0092299C">
      <w:pPr>
        <w:pStyle w:val="ARtablefootnote"/>
      </w:pPr>
      <w:r w:rsidRPr="004A6A1D">
        <w:rPr>
          <w:lang w:eastAsia="en-AU"/>
        </w:rPr>
        <w:t>Greenhouse gas emissions are based on the Financial Reporting Directive 24C and its accompanying greenhouse gas emission reporting template, which calculates both Australian made and imported emissio</w:t>
      </w:r>
      <w:r w:rsidRPr="00461F6A">
        <w:t>ns.</w:t>
      </w:r>
    </w:p>
    <w:p w:rsidR="0092299C" w:rsidRDefault="0092299C" w:rsidP="0092299C">
      <w:pPr>
        <w:pStyle w:val="Heading3"/>
      </w:pPr>
      <w:bookmarkStart w:id="71" w:name="_Ref492895520"/>
      <w:r w:rsidRPr="00843E15">
        <w:t>Public health services paper use</w:t>
      </w:r>
      <w:bookmarkEnd w:id="71"/>
    </w:p>
    <w:p w:rsidR="0092299C" w:rsidRDefault="0092299C" w:rsidP="0092299C">
      <w:pPr>
        <w:pStyle w:val="ARtablefootnote"/>
        <w:rPr>
          <w:lang w:eastAsia="en-AU"/>
        </w:rPr>
      </w:pPr>
      <w:r w:rsidRPr="004A6A1D">
        <w:rPr>
          <w:lang w:eastAsia="en-AU"/>
        </w:rPr>
        <w:t xml:space="preserve">One ream is 500 sheets of paper. One A3 ream of paper is equivalent to two A4 reams. Paper data is sourced from the </w:t>
      </w:r>
      <w:proofErr w:type="spellStart"/>
      <w:r w:rsidRPr="004A6A1D">
        <w:rPr>
          <w:lang w:eastAsia="en-AU"/>
        </w:rPr>
        <w:t>statewide</w:t>
      </w:r>
      <w:proofErr w:type="spellEnd"/>
      <w:r w:rsidRPr="004A6A1D">
        <w:rPr>
          <w:lang w:eastAsia="en-AU"/>
        </w:rPr>
        <w:t xml:space="preserve"> stationery contract managed by Health Purchasing Victoria.</w:t>
      </w:r>
    </w:p>
    <w:p w:rsidR="0092299C" w:rsidRDefault="0092299C" w:rsidP="0092299C">
      <w:pPr>
        <w:pStyle w:val="ARtablefootnote"/>
        <w:rPr>
          <w:lang w:eastAsia="en-AU"/>
        </w:rPr>
      </w:pPr>
      <w:r>
        <w:rPr>
          <w:lang w:eastAsia="en-AU"/>
        </w:rPr>
        <w:t xml:space="preserve">FTE is the full-time equivalent staff employed by a public health service as of 30 June for the financial year. </w:t>
      </w:r>
      <w:r w:rsidRPr="00431F71">
        <w:rPr>
          <w:lang w:eastAsia="en-AU"/>
        </w:rPr>
        <w:t>C</w:t>
      </w:r>
      <w:r>
        <w:rPr>
          <w:lang w:eastAsia="en-AU"/>
        </w:rPr>
        <w:t xml:space="preserve">ertified means that the supplier and/or </w:t>
      </w:r>
      <w:r w:rsidRPr="00431F71">
        <w:rPr>
          <w:lang w:eastAsia="en-AU"/>
        </w:rPr>
        <w:t xml:space="preserve">manufacturer </w:t>
      </w:r>
      <w:r>
        <w:rPr>
          <w:lang w:eastAsia="en-AU"/>
        </w:rPr>
        <w:t xml:space="preserve">has </w:t>
      </w:r>
      <w:r w:rsidRPr="00431F71">
        <w:rPr>
          <w:lang w:eastAsia="en-AU"/>
        </w:rPr>
        <w:t>assert</w:t>
      </w:r>
      <w:r>
        <w:rPr>
          <w:lang w:eastAsia="en-AU"/>
        </w:rPr>
        <w:t>ed</w:t>
      </w:r>
      <w:r w:rsidRPr="00431F71">
        <w:rPr>
          <w:lang w:eastAsia="en-AU"/>
        </w:rPr>
        <w:t xml:space="preserve"> that the fibre sourced for the paper meets either an international Forestry Management standard and has a chain-of-custody certification linking the product and fibre sourcing.</w:t>
      </w:r>
      <w:r>
        <w:rPr>
          <w:lang w:eastAsia="en-AU"/>
        </w:rPr>
        <w:t xml:space="preserve"> </w:t>
      </w:r>
      <w:r w:rsidRPr="00431F71">
        <w:rPr>
          <w:lang w:eastAsia="en-AU"/>
        </w:rPr>
        <w:t xml:space="preserve">Accepted certification schemes are </w:t>
      </w:r>
      <w:r>
        <w:rPr>
          <w:lang w:eastAsia="en-AU"/>
        </w:rPr>
        <w:t xml:space="preserve">the </w:t>
      </w:r>
      <w:r w:rsidRPr="00431F71">
        <w:rPr>
          <w:lang w:eastAsia="en-AU"/>
        </w:rPr>
        <w:t>F</w:t>
      </w:r>
      <w:r>
        <w:rPr>
          <w:lang w:eastAsia="en-AU"/>
        </w:rPr>
        <w:t xml:space="preserve">orestry </w:t>
      </w:r>
      <w:r w:rsidRPr="00431F71">
        <w:rPr>
          <w:lang w:eastAsia="en-AU"/>
        </w:rPr>
        <w:t>S</w:t>
      </w:r>
      <w:r>
        <w:rPr>
          <w:lang w:eastAsia="en-AU"/>
        </w:rPr>
        <w:t xml:space="preserve">tewardship </w:t>
      </w:r>
      <w:r w:rsidRPr="00431F71">
        <w:rPr>
          <w:lang w:eastAsia="en-AU"/>
        </w:rPr>
        <w:t>C</w:t>
      </w:r>
      <w:r>
        <w:rPr>
          <w:lang w:eastAsia="en-AU"/>
        </w:rPr>
        <w:t>ouncil</w:t>
      </w:r>
      <w:r w:rsidRPr="00431F71">
        <w:rPr>
          <w:lang w:eastAsia="en-AU"/>
        </w:rPr>
        <w:t>, A</w:t>
      </w:r>
      <w:r>
        <w:rPr>
          <w:lang w:eastAsia="en-AU"/>
        </w:rPr>
        <w:t xml:space="preserve">ustralian </w:t>
      </w:r>
      <w:r w:rsidRPr="00431F71">
        <w:rPr>
          <w:lang w:eastAsia="en-AU"/>
        </w:rPr>
        <w:t>F</w:t>
      </w:r>
      <w:r>
        <w:rPr>
          <w:lang w:eastAsia="en-AU"/>
        </w:rPr>
        <w:t xml:space="preserve">orestry </w:t>
      </w:r>
      <w:r w:rsidRPr="00431F71">
        <w:rPr>
          <w:lang w:eastAsia="en-AU"/>
        </w:rPr>
        <w:t>S</w:t>
      </w:r>
      <w:r>
        <w:rPr>
          <w:lang w:eastAsia="en-AU"/>
        </w:rPr>
        <w:t>tandard</w:t>
      </w:r>
      <w:r w:rsidRPr="00431F71">
        <w:rPr>
          <w:lang w:eastAsia="en-AU"/>
        </w:rPr>
        <w:t xml:space="preserve"> or other country-specific standards endorsed by the P</w:t>
      </w:r>
      <w:r>
        <w:rPr>
          <w:lang w:eastAsia="en-AU"/>
        </w:rPr>
        <w:t xml:space="preserve">rogramme for the </w:t>
      </w:r>
      <w:r w:rsidRPr="00431F71">
        <w:rPr>
          <w:lang w:eastAsia="en-AU"/>
        </w:rPr>
        <w:t>E</w:t>
      </w:r>
      <w:r>
        <w:rPr>
          <w:lang w:eastAsia="en-AU"/>
        </w:rPr>
        <w:t xml:space="preserve">ndorsement of </w:t>
      </w:r>
      <w:r w:rsidRPr="00431F71">
        <w:rPr>
          <w:lang w:eastAsia="en-AU"/>
        </w:rPr>
        <w:t>F</w:t>
      </w:r>
      <w:r>
        <w:rPr>
          <w:lang w:eastAsia="en-AU"/>
        </w:rPr>
        <w:t xml:space="preserve">orest </w:t>
      </w:r>
      <w:r w:rsidRPr="00431F71">
        <w:rPr>
          <w:lang w:eastAsia="en-AU"/>
        </w:rPr>
        <w:t>C</w:t>
      </w:r>
      <w:r>
        <w:rPr>
          <w:lang w:eastAsia="en-AU"/>
        </w:rPr>
        <w:t>ertification</w:t>
      </w:r>
      <w:r w:rsidRPr="00431F71">
        <w:rPr>
          <w:lang w:eastAsia="en-AU"/>
        </w:rPr>
        <w:t>.</w:t>
      </w:r>
    </w:p>
    <w:tbl>
      <w:tblPr>
        <w:tblW w:w="9639" w:type="dxa"/>
        <w:tblInd w:w="5" w:type="dxa"/>
        <w:tblLayout w:type="fixed"/>
        <w:tblCellMar>
          <w:left w:w="0" w:type="dxa"/>
        </w:tblCellMar>
        <w:tblLook w:val="00A0" w:firstRow="1" w:lastRow="0" w:firstColumn="1" w:lastColumn="0" w:noHBand="0" w:noVBand="0"/>
      </w:tblPr>
      <w:tblGrid>
        <w:gridCol w:w="4767"/>
        <w:gridCol w:w="1624"/>
        <w:gridCol w:w="1624"/>
        <w:gridCol w:w="1624"/>
      </w:tblGrid>
      <w:tr w:rsidR="0092299C" w:rsidRPr="00C671E2" w:rsidTr="0092299C">
        <w:trPr>
          <w:cantSplit/>
          <w:tblHeader/>
        </w:trPr>
        <w:tc>
          <w:tcPr>
            <w:tcW w:w="4767" w:type="dxa"/>
            <w:tcBorders>
              <w:left w:val="single" w:sz="4" w:space="0" w:color="FFFFFF" w:themeColor="background1"/>
              <w:bottom w:val="single" w:sz="4" w:space="0" w:color="000000" w:themeColor="text1"/>
              <w:right w:val="single" w:sz="4" w:space="0" w:color="FFFFFF" w:themeColor="background1"/>
            </w:tcBorders>
            <w:vAlign w:val="bottom"/>
          </w:tcPr>
          <w:p w:rsidR="0092299C" w:rsidRPr="00C671E2" w:rsidRDefault="0092299C" w:rsidP="0092299C">
            <w:pPr>
              <w:pStyle w:val="ARtablecolhead"/>
              <w:spacing w:line="240" w:lineRule="auto"/>
            </w:pPr>
            <w:r w:rsidRPr="00C671E2">
              <w:t>Description</w:t>
            </w:r>
          </w:p>
        </w:tc>
        <w:tc>
          <w:tcPr>
            <w:tcW w:w="1624" w:type="dxa"/>
            <w:tcBorders>
              <w:left w:val="single" w:sz="4" w:space="0" w:color="FFFFFF" w:themeColor="background1"/>
              <w:bottom w:val="single" w:sz="4" w:space="0" w:color="000000" w:themeColor="text1"/>
              <w:right w:val="single" w:sz="4" w:space="0" w:color="FFFFFF" w:themeColor="background1"/>
            </w:tcBorders>
            <w:vAlign w:val="bottom"/>
          </w:tcPr>
          <w:p w:rsidR="0092299C" w:rsidRPr="00C671E2" w:rsidRDefault="0092299C" w:rsidP="0092299C">
            <w:pPr>
              <w:pStyle w:val="ARtablecolheadright"/>
            </w:pPr>
            <w:r>
              <w:t>2014–15</w:t>
            </w:r>
          </w:p>
        </w:tc>
        <w:tc>
          <w:tcPr>
            <w:tcW w:w="1624" w:type="dxa"/>
            <w:tcBorders>
              <w:left w:val="single" w:sz="4" w:space="0" w:color="FFFFFF" w:themeColor="background1"/>
              <w:bottom w:val="single" w:sz="4" w:space="0" w:color="000000" w:themeColor="text1"/>
              <w:right w:val="single" w:sz="4" w:space="0" w:color="FFFFFF" w:themeColor="background1"/>
            </w:tcBorders>
            <w:vAlign w:val="bottom"/>
          </w:tcPr>
          <w:p w:rsidR="0092299C" w:rsidRPr="00C671E2" w:rsidRDefault="0092299C" w:rsidP="0092299C">
            <w:pPr>
              <w:pStyle w:val="ARtablecolheadright"/>
            </w:pPr>
            <w:r>
              <w:t>2015–16</w:t>
            </w:r>
          </w:p>
        </w:tc>
        <w:tc>
          <w:tcPr>
            <w:tcW w:w="1624" w:type="dxa"/>
            <w:tcBorders>
              <w:left w:val="single" w:sz="4" w:space="0" w:color="FFFFFF" w:themeColor="background1"/>
              <w:bottom w:val="single" w:sz="4" w:space="0" w:color="000000" w:themeColor="text1"/>
              <w:right w:val="single" w:sz="4" w:space="0" w:color="FFFFFF" w:themeColor="background1"/>
            </w:tcBorders>
            <w:vAlign w:val="bottom"/>
          </w:tcPr>
          <w:p w:rsidR="0092299C" w:rsidRPr="00C671E2" w:rsidRDefault="0092299C" w:rsidP="0092299C">
            <w:pPr>
              <w:pStyle w:val="ARtablecolheadright"/>
            </w:pPr>
            <w:r>
              <w:t>2016–17</w:t>
            </w:r>
          </w:p>
        </w:tc>
      </w:tr>
      <w:tr w:rsidR="0092299C" w:rsidRPr="00C671E2" w:rsidTr="0092299C">
        <w:trPr>
          <w:cantSplit/>
        </w:trPr>
        <w:tc>
          <w:tcPr>
            <w:tcW w:w="47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D41F0" w:rsidRDefault="0092299C" w:rsidP="0092299C">
            <w:pPr>
              <w:pStyle w:val="ARtabletext"/>
            </w:pPr>
            <w:r w:rsidRPr="00CD41F0">
              <w:t>Total units of paper used – A4 equivalent (reams)</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542,881</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574,394</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575,729</w:t>
            </w:r>
          </w:p>
        </w:tc>
      </w:tr>
      <w:tr w:rsidR="0092299C" w:rsidRPr="00C671E2" w:rsidTr="0092299C">
        <w:trPr>
          <w:cantSplit/>
        </w:trPr>
        <w:tc>
          <w:tcPr>
            <w:tcW w:w="47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D41F0" w:rsidRDefault="0092299C" w:rsidP="0092299C">
            <w:pPr>
              <w:pStyle w:val="ARtabletext"/>
            </w:pPr>
            <w:r w:rsidRPr="00CD41F0">
              <w:t>Total cost of paper used ($ million</w:t>
            </w:r>
            <w:r>
              <w:t>)</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$2.</w:t>
            </w:r>
            <w:r w:rsidDel="008A0401">
              <w:t xml:space="preserve"> </w:t>
            </w:r>
            <w:r>
              <w:t>08</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$2.14</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$1.75</w:t>
            </w:r>
          </w:p>
        </w:tc>
      </w:tr>
      <w:tr w:rsidR="0092299C" w:rsidRPr="00C671E2" w:rsidTr="0092299C">
        <w:trPr>
          <w:cantSplit/>
        </w:trPr>
        <w:tc>
          <w:tcPr>
            <w:tcW w:w="47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D41F0" w:rsidRDefault="0092299C" w:rsidP="0092299C">
            <w:pPr>
              <w:pStyle w:val="ARtabletext"/>
            </w:pPr>
            <w:r w:rsidRPr="00CD41F0">
              <w:t>Units of paper used per FTE (reams/FTE)</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6.49</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6.73</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6.48</w:t>
            </w:r>
          </w:p>
        </w:tc>
      </w:tr>
      <w:tr w:rsidR="0092299C" w:rsidRPr="00C671E2" w:rsidTr="0092299C">
        <w:trPr>
          <w:cantSplit/>
        </w:trPr>
        <w:tc>
          <w:tcPr>
            <w:tcW w:w="47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D41F0" w:rsidRDefault="0092299C" w:rsidP="0092299C">
            <w:pPr>
              <w:pStyle w:val="ARtabletext"/>
            </w:pPr>
            <w:r w:rsidRPr="00CD41F0">
              <w:t>Contains recycled content (</w:t>
            </w:r>
            <w:r>
              <w:t xml:space="preserve">0–49 </w:t>
            </w:r>
            <w:r w:rsidRPr="00CD41F0">
              <w:t>per cent)</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99%</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99.3%</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96.6%</w:t>
            </w:r>
          </w:p>
        </w:tc>
      </w:tr>
      <w:tr w:rsidR="0092299C" w:rsidRPr="00C671E2" w:rsidTr="0092299C">
        <w:trPr>
          <w:cantSplit/>
        </w:trPr>
        <w:tc>
          <w:tcPr>
            <w:tcW w:w="47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D41F0" w:rsidRDefault="0092299C" w:rsidP="0092299C">
            <w:pPr>
              <w:pStyle w:val="ARtabletext"/>
            </w:pPr>
            <w:r w:rsidRPr="00CD41F0">
              <w:t>Contains recycled content (</w:t>
            </w:r>
            <w:r>
              <w:t xml:space="preserve">50–75 </w:t>
            </w:r>
            <w:r w:rsidRPr="00CD41F0">
              <w:t>per cent)</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Default="0092299C" w:rsidP="0092299C">
            <w:pPr>
              <w:pStyle w:val="ARtabletextright"/>
            </w:pPr>
            <w:r>
              <w:t>0.4%</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0.3%</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2.1%</w:t>
            </w:r>
          </w:p>
        </w:tc>
      </w:tr>
      <w:tr w:rsidR="0092299C" w:rsidRPr="00C671E2" w:rsidTr="0092299C">
        <w:trPr>
          <w:cantSplit/>
        </w:trPr>
        <w:tc>
          <w:tcPr>
            <w:tcW w:w="47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D41F0" w:rsidRDefault="0092299C" w:rsidP="0092299C">
            <w:pPr>
              <w:pStyle w:val="ARtabletext"/>
            </w:pPr>
            <w:r w:rsidRPr="00CD41F0">
              <w:t>Contains recycled content (</w:t>
            </w:r>
            <w:r>
              <w:t xml:space="preserve">76–100 </w:t>
            </w:r>
            <w:r w:rsidRPr="00CD41F0">
              <w:t>per cent)</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Default="0092299C" w:rsidP="0092299C">
            <w:pPr>
              <w:pStyle w:val="ARtabletextright"/>
            </w:pPr>
            <w:r>
              <w:t>0.6%</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0.4%</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1.3%</w:t>
            </w:r>
          </w:p>
        </w:tc>
      </w:tr>
      <w:tr w:rsidR="0092299C" w:rsidRPr="00C671E2" w:rsidTr="0092299C">
        <w:trPr>
          <w:cantSplit/>
        </w:trPr>
        <w:tc>
          <w:tcPr>
            <w:tcW w:w="47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D41F0" w:rsidRDefault="0092299C" w:rsidP="0092299C">
            <w:pPr>
              <w:pStyle w:val="ARtabletext"/>
            </w:pPr>
            <w:r w:rsidRPr="00CD41F0">
              <w:t>Certification in regard to fibre sourcing (per cent)</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44.3%</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43.5%</w:t>
            </w:r>
          </w:p>
        </w:tc>
        <w:tc>
          <w:tcPr>
            <w:tcW w:w="162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C671E2" w:rsidRDefault="0092299C" w:rsidP="0092299C">
            <w:pPr>
              <w:pStyle w:val="ARtabletextright"/>
            </w:pPr>
            <w:r>
              <w:t>98.1%</w:t>
            </w:r>
          </w:p>
        </w:tc>
      </w:tr>
    </w:tbl>
    <w:p w:rsidR="0092299C" w:rsidRPr="00BB2D7C" w:rsidRDefault="0092299C" w:rsidP="0092299C">
      <w:pPr>
        <w:pStyle w:val="Heading2"/>
      </w:pPr>
      <w:bookmarkStart w:id="72" w:name="_Ref492905747"/>
      <w:r w:rsidRPr="00BB2D7C">
        <w:t xml:space="preserve">National </w:t>
      </w:r>
      <w:r w:rsidRPr="00612F7A">
        <w:t>pollutant</w:t>
      </w:r>
      <w:r w:rsidRPr="00BB2D7C">
        <w:t xml:space="preserve"> inventory</w:t>
      </w:r>
      <w:bookmarkEnd w:id="72"/>
    </w:p>
    <w:p w:rsidR="0092299C" w:rsidRDefault="0092299C" w:rsidP="0092299C">
      <w:pPr>
        <w:pStyle w:val="ARbody"/>
      </w:pPr>
      <w:r w:rsidRPr="00073108">
        <w:t xml:space="preserve">The Commonwealth National </w:t>
      </w:r>
      <w:r w:rsidRPr="00612F7A">
        <w:t>Pollutant</w:t>
      </w:r>
      <w:r w:rsidRPr="00073108">
        <w:t xml:space="preserve"> Inventory (NPI) provides the community, industry and government with information on substances emitted to the air, land and water. The inventory tracks the amount</w:t>
      </w:r>
      <w:r>
        <w:t>, in kilograms,</w:t>
      </w:r>
      <w:r w:rsidRPr="00073108">
        <w:t xml:space="preserve"> of substances emitted by organisations that trigger the reporting threshold. The table below is </w:t>
      </w:r>
      <w:r w:rsidR="00120697">
        <w:br/>
      </w:r>
      <w:r w:rsidRPr="00073108">
        <w:t>an aggregation of substances reported by Victorian public health services through the NPI.</w:t>
      </w:r>
    </w:p>
    <w:tbl>
      <w:tblPr>
        <w:tblW w:w="9629" w:type="dxa"/>
        <w:tblInd w:w="10" w:type="dxa"/>
        <w:tblBorders>
          <w:insideH w:val="single" w:sz="4" w:space="0" w:color="000000" w:themeColor="text1"/>
        </w:tblBorders>
        <w:tblLayout w:type="fixed"/>
        <w:tblCellMar>
          <w:left w:w="0" w:type="dxa"/>
        </w:tblCellMar>
        <w:tblLook w:val="00A0" w:firstRow="1" w:lastRow="0" w:firstColumn="1" w:lastColumn="0" w:noHBand="0" w:noVBand="0"/>
      </w:tblPr>
      <w:tblGrid>
        <w:gridCol w:w="4673"/>
        <w:gridCol w:w="1652"/>
        <w:gridCol w:w="1652"/>
        <w:gridCol w:w="1652"/>
      </w:tblGrid>
      <w:tr w:rsidR="0092299C" w:rsidRPr="00073108" w:rsidTr="0092299C">
        <w:trPr>
          <w:cantSplit/>
          <w:tblHeader/>
        </w:trPr>
        <w:tc>
          <w:tcPr>
            <w:tcW w:w="4673" w:type="dxa"/>
            <w:tcBorders>
              <w:top w:val="nil"/>
              <w:left w:val="single" w:sz="4" w:space="0" w:color="FFFFFF" w:themeColor="background1"/>
              <w:bottom w:val="single" w:sz="4" w:space="0" w:color="000000" w:themeColor="text1"/>
              <w:right w:val="single" w:sz="4" w:space="0" w:color="FFFFFF" w:themeColor="background1"/>
            </w:tcBorders>
            <w:vAlign w:val="bottom"/>
          </w:tcPr>
          <w:p w:rsidR="0092299C" w:rsidRPr="00073108" w:rsidRDefault="0092299C" w:rsidP="0092299C">
            <w:pPr>
              <w:pStyle w:val="ARtablecolhead"/>
              <w:spacing w:line="240" w:lineRule="auto"/>
            </w:pPr>
            <w:r w:rsidRPr="00073108">
              <w:t>Description</w:t>
            </w:r>
          </w:p>
        </w:tc>
        <w:tc>
          <w:tcPr>
            <w:tcW w:w="1652" w:type="dxa"/>
            <w:tcBorders>
              <w:top w:val="nil"/>
              <w:left w:val="single" w:sz="4" w:space="0" w:color="FFFFFF" w:themeColor="background1"/>
              <w:bottom w:val="single" w:sz="4" w:space="0" w:color="000000" w:themeColor="text1"/>
              <w:right w:val="single" w:sz="4" w:space="0" w:color="FFFFFF" w:themeColor="background1"/>
            </w:tcBorders>
            <w:vAlign w:val="bottom"/>
          </w:tcPr>
          <w:p w:rsidR="0092299C" w:rsidRPr="00073108" w:rsidRDefault="0092299C" w:rsidP="0092299C">
            <w:pPr>
              <w:pStyle w:val="ARtablecolheadright"/>
            </w:pPr>
            <w:r w:rsidRPr="00073108">
              <w:t>201</w:t>
            </w:r>
            <w:r>
              <w:t>3</w:t>
            </w:r>
            <w:r w:rsidRPr="00073108">
              <w:t>–1</w:t>
            </w:r>
            <w:r>
              <w:t>4</w:t>
            </w:r>
          </w:p>
        </w:tc>
        <w:tc>
          <w:tcPr>
            <w:tcW w:w="1652" w:type="dxa"/>
            <w:tcBorders>
              <w:top w:val="nil"/>
              <w:left w:val="single" w:sz="4" w:space="0" w:color="FFFFFF" w:themeColor="background1"/>
              <w:bottom w:val="single" w:sz="4" w:space="0" w:color="000000" w:themeColor="text1"/>
              <w:right w:val="single" w:sz="4" w:space="0" w:color="FFFFFF" w:themeColor="background1"/>
            </w:tcBorders>
            <w:vAlign w:val="bottom"/>
          </w:tcPr>
          <w:p w:rsidR="0092299C" w:rsidRPr="00073108" w:rsidRDefault="0092299C" w:rsidP="0092299C">
            <w:pPr>
              <w:pStyle w:val="ARtablecolheadright"/>
            </w:pPr>
            <w:r w:rsidRPr="00073108">
              <w:t>201</w:t>
            </w:r>
            <w:r>
              <w:t>4–</w:t>
            </w:r>
            <w:r w:rsidRPr="00073108">
              <w:t>1</w:t>
            </w:r>
            <w:r>
              <w:t>5</w:t>
            </w:r>
          </w:p>
        </w:tc>
        <w:tc>
          <w:tcPr>
            <w:tcW w:w="1652" w:type="dxa"/>
            <w:tcBorders>
              <w:top w:val="nil"/>
              <w:left w:val="single" w:sz="4" w:space="0" w:color="FFFFFF" w:themeColor="background1"/>
              <w:bottom w:val="single" w:sz="4" w:space="0" w:color="000000" w:themeColor="text1"/>
              <w:right w:val="single" w:sz="4" w:space="0" w:color="FFFFFF" w:themeColor="background1"/>
            </w:tcBorders>
            <w:vAlign w:val="bottom"/>
          </w:tcPr>
          <w:p w:rsidR="0092299C" w:rsidRPr="00073108" w:rsidRDefault="0092299C" w:rsidP="0092299C">
            <w:pPr>
              <w:pStyle w:val="ARtablecolheadright"/>
            </w:pPr>
            <w:r>
              <w:t>2015–16</w:t>
            </w:r>
          </w:p>
        </w:tc>
      </w:tr>
      <w:tr w:rsidR="0092299C" w:rsidRPr="00073108" w:rsidTr="0092299C">
        <w:trPr>
          <w:cantSplit/>
        </w:trPr>
        <w:tc>
          <w:tcPr>
            <w:tcW w:w="46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
            </w:pPr>
            <w:r w:rsidRPr="00073108">
              <w:t>Carbon monoxide</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rsidRPr="00073108">
              <w:t>79,438</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60,411</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55,895</w:t>
            </w:r>
          </w:p>
        </w:tc>
      </w:tr>
      <w:tr w:rsidR="0092299C" w:rsidRPr="00073108" w:rsidTr="0092299C">
        <w:trPr>
          <w:cantSplit/>
        </w:trPr>
        <w:tc>
          <w:tcPr>
            <w:tcW w:w="46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
            </w:pPr>
            <w:r w:rsidRPr="00073108">
              <w:t>Oxides of nitrogen</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rsidRPr="00073108">
              <w:t>67,908</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61,913</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56,713</w:t>
            </w:r>
          </w:p>
        </w:tc>
      </w:tr>
      <w:tr w:rsidR="0092299C" w:rsidRPr="00073108" w:rsidTr="0092299C">
        <w:trPr>
          <w:cantSplit/>
        </w:trPr>
        <w:tc>
          <w:tcPr>
            <w:tcW w:w="46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
            </w:pPr>
            <w:r w:rsidRPr="00073108">
              <w:t>Particulate matter (2.5 µm and 10 µm)</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rsidRPr="00073108">
              <w:t>5,561</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5,439</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10,284</w:t>
            </w:r>
          </w:p>
        </w:tc>
      </w:tr>
      <w:tr w:rsidR="0092299C" w:rsidRPr="00073108" w:rsidTr="0092299C">
        <w:trPr>
          <w:cantSplit/>
        </w:trPr>
        <w:tc>
          <w:tcPr>
            <w:tcW w:w="46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
            </w:pPr>
            <w:r w:rsidRPr="00073108">
              <w:t>Total volatile organic compounds</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rsidRPr="00073108">
              <w:t>5,288</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4,287</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3,939</w:t>
            </w:r>
          </w:p>
        </w:tc>
      </w:tr>
      <w:tr w:rsidR="0092299C" w:rsidRPr="00073108" w:rsidTr="0092299C">
        <w:trPr>
          <w:cantSplit/>
        </w:trPr>
        <w:tc>
          <w:tcPr>
            <w:tcW w:w="46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
            </w:pPr>
            <w:r w:rsidRPr="00073108">
              <w:t>Sulphur dioxide</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rsidRPr="00073108">
              <w:t>801</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775</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721</w:t>
            </w:r>
          </w:p>
        </w:tc>
      </w:tr>
      <w:tr w:rsidR="0092299C" w:rsidRPr="00073108" w:rsidTr="0092299C">
        <w:trPr>
          <w:cantSplit/>
        </w:trPr>
        <w:tc>
          <w:tcPr>
            <w:tcW w:w="46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
            </w:pPr>
            <w:r w:rsidRPr="00073108">
              <w:t>Other substances</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rsidRPr="00073108">
              <w:t>27</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10</w:t>
            </w:r>
          </w:p>
        </w:tc>
        <w:tc>
          <w:tcPr>
            <w:tcW w:w="16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2299C" w:rsidRPr="00073108" w:rsidRDefault="0092299C" w:rsidP="0092299C">
            <w:pPr>
              <w:pStyle w:val="ARtabletextright"/>
            </w:pPr>
            <w:r>
              <w:t>2.7</w:t>
            </w:r>
          </w:p>
        </w:tc>
      </w:tr>
    </w:tbl>
    <w:p w:rsidR="0093192F" w:rsidRDefault="0092299C" w:rsidP="0093192F">
      <w:pPr>
        <w:pStyle w:val="ARtablefootnote"/>
        <w:rPr>
          <w:color w:val="000000"/>
          <w:lang w:eastAsia="en-AU"/>
        </w:rPr>
      </w:pPr>
      <w:r w:rsidRPr="00073108">
        <w:t xml:space="preserve">Other substances includes: </w:t>
      </w:r>
      <w:r>
        <w:rPr>
          <w:color w:val="000000"/>
          <w:lang w:eastAsia="en-AU"/>
        </w:rPr>
        <w:t>a</w:t>
      </w:r>
      <w:r w:rsidRPr="001217D6">
        <w:rPr>
          <w:color w:val="000000"/>
          <w:lang w:eastAsia="en-AU"/>
        </w:rPr>
        <w:t>cetaldehyde</w:t>
      </w:r>
      <w:r>
        <w:rPr>
          <w:color w:val="000000"/>
          <w:lang w:eastAsia="en-AU"/>
        </w:rPr>
        <w:t xml:space="preserve">; </w:t>
      </w:r>
      <w:r w:rsidRPr="00073108">
        <w:t>arsenic and compounds</w:t>
      </w:r>
      <w:r>
        <w:t>;</w:t>
      </w:r>
      <w:r w:rsidRPr="00073108">
        <w:t xml:space="preserve"> </w:t>
      </w:r>
      <w:r>
        <w:rPr>
          <w:color w:val="000000"/>
          <w:lang w:eastAsia="en-AU"/>
        </w:rPr>
        <w:t>b</w:t>
      </w:r>
      <w:r w:rsidRPr="001217D6">
        <w:rPr>
          <w:color w:val="000000"/>
          <w:lang w:eastAsia="en-AU"/>
        </w:rPr>
        <w:t>enzene</w:t>
      </w:r>
      <w:r>
        <w:rPr>
          <w:color w:val="000000"/>
          <w:lang w:eastAsia="en-AU"/>
        </w:rPr>
        <w:t>; b</w:t>
      </w:r>
      <w:r w:rsidRPr="001217D6">
        <w:rPr>
          <w:color w:val="000000"/>
          <w:lang w:eastAsia="en-AU"/>
        </w:rPr>
        <w:t xml:space="preserve">eryllium </w:t>
      </w:r>
      <w:r>
        <w:rPr>
          <w:color w:val="000000"/>
          <w:lang w:eastAsia="en-AU"/>
        </w:rPr>
        <w:t>and</w:t>
      </w:r>
      <w:r w:rsidRPr="001217D6">
        <w:rPr>
          <w:color w:val="000000"/>
          <w:lang w:eastAsia="en-AU"/>
        </w:rPr>
        <w:t xml:space="preserve"> compounds</w:t>
      </w:r>
      <w:r>
        <w:rPr>
          <w:color w:val="000000"/>
          <w:lang w:eastAsia="en-AU"/>
        </w:rPr>
        <w:t>; 1,3-b</w:t>
      </w:r>
      <w:r w:rsidRPr="001217D6">
        <w:rPr>
          <w:color w:val="000000"/>
          <w:lang w:eastAsia="en-AU"/>
        </w:rPr>
        <w:t>utadiene (vinyl ethylene)</w:t>
      </w:r>
      <w:r>
        <w:rPr>
          <w:color w:val="000000"/>
          <w:lang w:eastAsia="en-AU"/>
        </w:rPr>
        <w:t>;</w:t>
      </w:r>
      <w:r w:rsidR="008957E2">
        <w:rPr>
          <w:color w:val="000000"/>
          <w:lang w:eastAsia="en-AU"/>
        </w:rPr>
        <w:t> </w:t>
      </w:r>
      <w:r w:rsidRPr="00073108">
        <w:t>cadmium and compounds</w:t>
      </w:r>
      <w:r>
        <w:t>;</w:t>
      </w:r>
      <w:r w:rsidRPr="00073108">
        <w:t xml:space="preserve"> chromium (III) compounds</w:t>
      </w:r>
      <w:r>
        <w:t>;</w:t>
      </w:r>
      <w:r w:rsidRPr="00073108">
        <w:t xml:space="preserve"> </w:t>
      </w:r>
      <w:r>
        <w:rPr>
          <w:color w:val="000000"/>
          <w:lang w:eastAsia="en-AU"/>
        </w:rPr>
        <w:t>c</w:t>
      </w:r>
      <w:r w:rsidRPr="001217D6">
        <w:rPr>
          <w:color w:val="000000"/>
          <w:lang w:eastAsia="en-AU"/>
        </w:rPr>
        <w:t xml:space="preserve">obalt </w:t>
      </w:r>
      <w:r>
        <w:rPr>
          <w:color w:val="000000"/>
          <w:lang w:eastAsia="en-AU"/>
        </w:rPr>
        <w:t>and</w:t>
      </w:r>
      <w:r w:rsidRPr="001217D6">
        <w:rPr>
          <w:color w:val="000000"/>
          <w:lang w:eastAsia="en-AU"/>
        </w:rPr>
        <w:t xml:space="preserve"> compounds</w:t>
      </w:r>
      <w:r>
        <w:rPr>
          <w:color w:val="000000"/>
          <w:lang w:eastAsia="en-AU"/>
        </w:rPr>
        <w:t xml:space="preserve">; </w:t>
      </w:r>
      <w:r w:rsidRPr="00073108">
        <w:t>copper and compounds</w:t>
      </w:r>
      <w:r>
        <w:t>;</w:t>
      </w:r>
      <w:r w:rsidRPr="00073108">
        <w:t xml:space="preserve"> </w:t>
      </w:r>
      <w:proofErr w:type="spellStart"/>
      <w:r w:rsidRPr="00073108">
        <w:t>Cumene</w:t>
      </w:r>
      <w:proofErr w:type="spellEnd"/>
      <w:r w:rsidRPr="00073108">
        <w:t xml:space="preserve"> </w:t>
      </w:r>
      <w:r w:rsidR="008957E2">
        <w:br/>
      </w:r>
      <w:r w:rsidRPr="00073108">
        <w:t>(1-methylethylbenzene)</w:t>
      </w:r>
      <w:r>
        <w:t>;</w:t>
      </w:r>
      <w:r w:rsidRPr="00073108">
        <w:t xml:space="preserve"> cyclohexane</w:t>
      </w:r>
      <w:r>
        <w:t>;</w:t>
      </w:r>
      <w:r w:rsidRPr="00073108">
        <w:t xml:space="preserve"> ethylbenzene</w:t>
      </w:r>
      <w:r>
        <w:t>;</w:t>
      </w:r>
      <w:r w:rsidRPr="00073108">
        <w:t xml:space="preserve"> formaldehyde (methyl aldehyde) lead and compounds</w:t>
      </w:r>
      <w:r>
        <w:t>;</w:t>
      </w:r>
      <w:r w:rsidRPr="00073108">
        <w:t xml:space="preserve"> </w:t>
      </w:r>
      <w:r>
        <w:rPr>
          <w:color w:val="000000"/>
          <w:lang w:eastAsia="en-AU"/>
        </w:rPr>
        <w:t>m</w:t>
      </w:r>
      <w:r w:rsidRPr="001217D6">
        <w:rPr>
          <w:color w:val="000000"/>
          <w:lang w:eastAsia="en-AU"/>
        </w:rPr>
        <w:t xml:space="preserve">anganese </w:t>
      </w:r>
      <w:r>
        <w:rPr>
          <w:color w:val="000000"/>
          <w:lang w:eastAsia="en-AU"/>
        </w:rPr>
        <w:t>and</w:t>
      </w:r>
      <w:r w:rsidRPr="001217D6">
        <w:rPr>
          <w:color w:val="000000"/>
          <w:lang w:eastAsia="en-AU"/>
        </w:rPr>
        <w:t xml:space="preserve"> compounds</w:t>
      </w:r>
      <w:r>
        <w:rPr>
          <w:color w:val="000000"/>
          <w:lang w:eastAsia="en-AU"/>
        </w:rPr>
        <w:t xml:space="preserve">; </w:t>
      </w:r>
      <w:r w:rsidRPr="00073108">
        <w:t>mercury and compounds</w:t>
      </w:r>
      <w:r>
        <w:t>;</w:t>
      </w:r>
      <w:r w:rsidRPr="00073108">
        <w:t xml:space="preserve"> n-Hexane</w:t>
      </w:r>
      <w:r>
        <w:t>;</w:t>
      </w:r>
      <w:r w:rsidRPr="00073108">
        <w:t xml:space="preserve"> nickel and compounds</w:t>
      </w:r>
      <w:r>
        <w:t xml:space="preserve">; </w:t>
      </w:r>
      <w:r w:rsidRPr="00073108">
        <w:t>polycyclic aromatic hydrocarbon</w:t>
      </w:r>
      <w:r>
        <w:t xml:space="preserve">; </w:t>
      </w:r>
      <w:r>
        <w:rPr>
          <w:color w:val="000000"/>
          <w:lang w:eastAsia="en-AU"/>
        </w:rPr>
        <w:t>p</w:t>
      </w:r>
      <w:r w:rsidRPr="001217D6">
        <w:rPr>
          <w:color w:val="000000"/>
          <w:lang w:eastAsia="en-AU"/>
        </w:rPr>
        <w:t>olychlorinated dioxins and furans (TEQ)</w:t>
      </w:r>
      <w:r>
        <w:rPr>
          <w:color w:val="000000"/>
          <w:lang w:eastAsia="en-AU"/>
        </w:rPr>
        <w:t>; s</w:t>
      </w:r>
      <w:r w:rsidRPr="001217D6">
        <w:rPr>
          <w:color w:val="000000"/>
          <w:lang w:eastAsia="en-AU"/>
        </w:rPr>
        <w:t xml:space="preserve">elenium </w:t>
      </w:r>
      <w:r>
        <w:rPr>
          <w:color w:val="000000"/>
          <w:lang w:eastAsia="en-AU"/>
        </w:rPr>
        <w:t>and</w:t>
      </w:r>
      <w:r w:rsidRPr="001217D6">
        <w:rPr>
          <w:color w:val="000000"/>
          <w:lang w:eastAsia="en-AU"/>
        </w:rPr>
        <w:t xml:space="preserve"> compounds</w:t>
      </w:r>
      <w:r>
        <w:rPr>
          <w:color w:val="000000"/>
          <w:lang w:eastAsia="en-AU"/>
        </w:rPr>
        <w:t>; t</w:t>
      </w:r>
      <w:r w:rsidRPr="001217D6">
        <w:rPr>
          <w:color w:val="000000"/>
          <w:lang w:eastAsia="en-AU"/>
        </w:rPr>
        <w:t>oluene (methylbenzene)</w:t>
      </w:r>
      <w:r>
        <w:rPr>
          <w:color w:val="000000"/>
          <w:lang w:eastAsia="en-AU"/>
        </w:rPr>
        <w:t>; x</w:t>
      </w:r>
      <w:r w:rsidRPr="001217D6">
        <w:rPr>
          <w:color w:val="000000"/>
          <w:lang w:eastAsia="en-AU"/>
        </w:rPr>
        <w:t>ylenes (individual or mixed isomers)</w:t>
      </w:r>
      <w:r>
        <w:rPr>
          <w:color w:val="000000"/>
          <w:lang w:eastAsia="en-AU"/>
        </w:rPr>
        <w:t>; and zinc and compounds.</w:t>
      </w:r>
    </w:p>
    <w:p w:rsidR="009C5F30" w:rsidRPr="004434D5" w:rsidRDefault="009C5F30" w:rsidP="0093192F">
      <w:pPr>
        <w:pStyle w:val="ARtablefootnote"/>
      </w:pPr>
      <w:r>
        <w:t>2015–</w:t>
      </w:r>
      <w:r w:rsidRPr="009C5F30">
        <w:t>16 is the most recent data available from the National Pollutant Inventory at the date of this printing.</w:t>
      </w:r>
    </w:p>
    <w:p w:rsidR="00E70ABB" w:rsidRDefault="00E70ABB" w:rsidP="00300E48">
      <w:pPr>
        <w:pStyle w:val="ARbody"/>
        <w:sectPr w:rsidR="00E70ABB" w:rsidSect="0093192F">
          <w:headerReference w:type="even" r:id="rId91"/>
          <w:headerReference w:type="default" r:id="rId92"/>
          <w:endnotePr>
            <w:numFmt w:val="decimal"/>
          </w:endnotePr>
          <w:pgSz w:w="11900" w:h="16840" w:code="9"/>
          <w:pgMar w:top="1531" w:right="851" w:bottom="680" w:left="1418" w:header="510" w:footer="340" w:gutter="0"/>
          <w:cols w:space="454"/>
        </w:sectPr>
      </w:pPr>
      <w:bookmarkStart w:id="73" w:name="_Toc431820987"/>
    </w:p>
    <w:p w:rsidR="0093192F" w:rsidRPr="0093192F" w:rsidRDefault="0093192F" w:rsidP="000B2035">
      <w:pPr>
        <w:pStyle w:val="Heading1"/>
      </w:pPr>
      <w:bookmarkStart w:id="74" w:name="_Toc493069465"/>
      <w:r w:rsidRPr="0093192F">
        <w:lastRenderedPageBreak/>
        <w:t>Department of Health and Human Services: Financial statements for the financial year</w:t>
      </w:r>
      <w:r w:rsidRPr="0093192F">
        <w:br/>
        <w:t>ended 30 June 201</w:t>
      </w:r>
      <w:bookmarkEnd w:id="73"/>
      <w:r w:rsidRPr="0093192F">
        <w:t>7</w:t>
      </w:r>
      <w:bookmarkEnd w:id="74"/>
    </w:p>
    <w:p w:rsidR="00CD075B" w:rsidRDefault="0093192F">
      <w:pPr>
        <w:pStyle w:val="TOC1"/>
        <w:rPr>
          <w:rFonts w:asciiTheme="minorHAnsi" w:eastAsiaTheme="minorEastAsia" w:hAnsiTheme="minorHAnsi" w:cstheme="minorBidi"/>
          <w:sz w:val="22"/>
          <w:szCs w:val="22"/>
          <w:lang w:eastAsia="en-AU"/>
        </w:rPr>
      </w:pPr>
      <w:r w:rsidRPr="0093192F">
        <w:rPr>
          <w:rFonts w:eastAsia="Times"/>
          <w:sz w:val="19"/>
          <w:szCs w:val="19"/>
          <w:lang w:eastAsia="en-AU"/>
        </w:rPr>
        <w:fldChar w:fldCharType="begin"/>
      </w:r>
      <w:r w:rsidRPr="0093192F">
        <w:rPr>
          <w:rFonts w:eastAsia="Times"/>
          <w:sz w:val="19"/>
          <w:szCs w:val="19"/>
          <w:lang w:eastAsia="en-AU"/>
        </w:rPr>
        <w:instrText xml:space="preserve"> TOC</w:instrText>
      </w:r>
      <w:r w:rsidR="00E3193D">
        <w:rPr>
          <w:rFonts w:eastAsia="Times"/>
          <w:sz w:val="19"/>
          <w:szCs w:val="19"/>
          <w:lang w:eastAsia="en-AU"/>
        </w:rPr>
        <w:instrText xml:space="preserve"> \b Financials</w:instrText>
      </w:r>
      <w:r w:rsidRPr="0093192F">
        <w:rPr>
          <w:rFonts w:eastAsia="Times"/>
          <w:sz w:val="19"/>
          <w:szCs w:val="19"/>
          <w:lang w:eastAsia="en-AU"/>
        </w:rPr>
        <w:instrText xml:space="preserve"> \h \z \u \t "Heading 2,1,Heading 3,2" </w:instrText>
      </w:r>
      <w:r w:rsidRPr="0093192F">
        <w:rPr>
          <w:rFonts w:eastAsia="Times"/>
          <w:sz w:val="19"/>
          <w:szCs w:val="19"/>
          <w:lang w:eastAsia="en-AU"/>
        </w:rPr>
        <w:fldChar w:fldCharType="separate"/>
      </w:r>
      <w:hyperlink w:anchor="_Toc493069483" w:history="1">
        <w:r w:rsidR="00CD075B" w:rsidRPr="009F5010">
          <w:rPr>
            <w:rStyle w:val="Hyperlink"/>
            <w:lang w:eastAsia="en-AU"/>
          </w:rPr>
          <w:t>Responsible body’s and Chief Finance Officer’s declaration</w:t>
        </w:r>
        <w:r w:rsidR="00CD075B">
          <w:rPr>
            <w:webHidden/>
          </w:rPr>
          <w:tab/>
        </w:r>
        <w:r w:rsidR="00CD075B">
          <w:rPr>
            <w:webHidden/>
          </w:rPr>
          <w:fldChar w:fldCharType="begin"/>
        </w:r>
        <w:r w:rsidR="00CD075B">
          <w:rPr>
            <w:webHidden/>
          </w:rPr>
          <w:instrText xml:space="preserve"> PAGEREF _Toc493069483 \h </w:instrText>
        </w:r>
        <w:r w:rsidR="00CD075B">
          <w:rPr>
            <w:webHidden/>
          </w:rPr>
        </w:r>
        <w:r w:rsidR="00CD075B">
          <w:rPr>
            <w:webHidden/>
          </w:rPr>
          <w:fldChar w:fldCharType="separate"/>
        </w:r>
        <w:r w:rsidR="00CA48ED">
          <w:rPr>
            <w:webHidden/>
          </w:rPr>
          <w:t>127</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84" w:history="1">
        <w:r w:rsidR="00CD075B" w:rsidRPr="009F5010">
          <w:rPr>
            <w:rStyle w:val="Hyperlink"/>
            <w:lang w:eastAsia="en-AU"/>
          </w:rPr>
          <w:t>Independent auditor’s report</w:t>
        </w:r>
        <w:r w:rsidR="00CD075B">
          <w:rPr>
            <w:webHidden/>
          </w:rPr>
          <w:tab/>
        </w:r>
        <w:r w:rsidR="00CD075B">
          <w:rPr>
            <w:webHidden/>
          </w:rPr>
          <w:fldChar w:fldCharType="begin"/>
        </w:r>
        <w:r w:rsidR="00CD075B">
          <w:rPr>
            <w:webHidden/>
          </w:rPr>
          <w:instrText xml:space="preserve"> PAGEREF _Toc493069484 \h </w:instrText>
        </w:r>
        <w:r w:rsidR="00CD075B">
          <w:rPr>
            <w:webHidden/>
          </w:rPr>
        </w:r>
        <w:r w:rsidR="00CD075B">
          <w:rPr>
            <w:webHidden/>
          </w:rPr>
          <w:fldChar w:fldCharType="separate"/>
        </w:r>
        <w:r w:rsidR="00CA48ED">
          <w:rPr>
            <w:webHidden/>
          </w:rPr>
          <w:t>128</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85" w:history="1">
        <w:r w:rsidR="00CD075B" w:rsidRPr="009F5010">
          <w:rPr>
            <w:rStyle w:val="Hyperlink"/>
          </w:rPr>
          <w:t>Comprehensive operating statement for the financial year ended 30 June 2017</w:t>
        </w:r>
        <w:r w:rsidR="00CD075B">
          <w:rPr>
            <w:webHidden/>
          </w:rPr>
          <w:tab/>
        </w:r>
        <w:r w:rsidR="00CD075B">
          <w:rPr>
            <w:webHidden/>
          </w:rPr>
          <w:fldChar w:fldCharType="begin"/>
        </w:r>
        <w:r w:rsidR="00CD075B">
          <w:rPr>
            <w:webHidden/>
          </w:rPr>
          <w:instrText xml:space="preserve"> PAGEREF _Toc493069485 \h </w:instrText>
        </w:r>
        <w:r w:rsidR="00CD075B">
          <w:rPr>
            <w:webHidden/>
          </w:rPr>
        </w:r>
        <w:r w:rsidR="00CD075B">
          <w:rPr>
            <w:webHidden/>
          </w:rPr>
          <w:fldChar w:fldCharType="separate"/>
        </w:r>
        <w:r w:rsidR="00CA48ED">
          <w:rPr>
            <w:webHidden/>
          </w:rPr>
          <w:t>130</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86" w:history="1">
        <w:r w:rsidR="00CD075B" w:rsidRPr="009F5010">
          <w:rPr>
            <w:rStyle w:val="Hyperlink"/>
          </w:rPr>
          <w:t>Balance sheet as at 30 June 2017</w:t>
        </w:r>
        <w:r w:rsidR="00CD075B">
          <w:rPr>
            <w:webHidden/>
          </w:rPr>
          <w:tab/>
        </w:r>
        <w:r w:rsidR="00CD075B">
          <w:rPr>
            <w:webHidden/>
          </w:rPr>
          <w:fldChar w:fldCharType="begin"/>
        </w:r>
        <w:r w:rsidR="00CD075B">
          <w:rPr>
            <w:webHidden/>
          </w:rPr>
          <w:instrText xml:space="preserve"> PAGEREF _Toc493069486 \h </w:instrText>
        </w:r>
        <w:r w:rsidR="00CD075B">
          <w:rPr>
            <w:webHidden/>
          </w:rPr>
        </w:r>
        <w:r w:rsidR="00CD075B">
          <w:rPr>
            <w:webHidden/>
          </w:rPr>
          <w:fldChar w:fldCharType="separate"/>
        </w:r>
        <w:r w:rsidR="00CA48ED">
          <w:rPr>
            <w:webHidden/>
          </w:rPr>
          <w:t>131</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87" w:history="1">
        <w:r w:rsidR="00CD075B" w:rsidRPr="009F5010">
          <w:rPr>
            <w:rStyle w:val="Hyperlink"/>
          </w:rPr>
          <w:t>Statement of changes in equity for the financial year ended 30 June 2017</w:t>
        </w:r>
        <w:r w:rsidR="00CD075B">
          <w:rPr>
            <w:webHidden/>
          </w:rPr>
          <w:tab/>
        </w:r>
        <w:r w:rsidR="00CD075B">
          <w:rPr>
            <w:webHidden/>
          </w:rPr>
          <w:fldChar w:fldCharType="begin"/>
        </w:r>
        <w:r w:rsidR="00CD075B">
          <w:rPr>
            <w:webHidden/>
          </w:rPr>
          <w:instrText xml:space="preserve"> PAGEREF _Toc493069487 \h </w:instrText>
        </w:r>
        <w:r w:rsidR="00CD075B">
          <w:rPr>
            <w:webHidden/>
          </w:rPr>
        </w:r>
        <w:r w:rsidR="00CD075B">
          <w:rPr>
            <w:webHidden/>
          </w:rPr>
          <w:fldChar w:fldCharType="separate"/>
        </w:r>
        <w:r w:rsidR="00CA48ED">
          <w:rPr>
            <w:webHidden/>
          </w:rPr>
          <w:t>132</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88" w:history="1">
        <w:r w:rsidR="00CD075B" w:rsidRPr="009F5010">
          <w:rPr>
            <w:rStyle w:val="Hyperlink"/>
          </w:rPr>
          <w:t>Cash flow statement for the financial year ended 30 June 2017</w:t>
        </w:r>
        <w:r w:rsidR="00CD075B">
          <w:rPr>
            <w:webHidden/>
          </w:rPr>
          <w:tab/>
        </w:r>
        <w:r w:rsidR="00CD075B">
          <w:rPr>
            <w:webHidden/>
          </w:rPr>
          <w:fldChar w:fldCharType="begin"/>
        </w:r>
        <w:r w:rsidR="00CD075B">
          <w:rPr>
            <w:webHidden/>
          </w:rPr>
          <w:instrText xml:space="preserve"> PAGEREF _Toc493069488 \h </w:instrText>
        </w:r>
        <w:r w:rsidR="00CD075B">
          <w:rPr>
            <w:webHidden/>
          </w:rPr>
        </w:r>
        <w:r w:rsidR="00CD075B">
          <w:rPr>
            <w:webHidden/>
          </w:rPr>
          <w:fldChar w:fldCharType="separate"/>
        </w:r>
        <w:r w:rsidR="00CA48ED">
          <w:rPr>
            <w:webHidden/>
          </w:rPr>
          <w:t>133</w:t>
        </w:r>
        <w:r w:rsidR="00CD075B">
          <w:rPr>
            <w:webHidden/>
          </w:rPr>
          <w:fldChar w:fldCharType="end"/>
        </w:r>
      </w:hyperlink>
    </w:p>
    <w:p w:rsidR="00CD075B" w:rsidRDefault="00EF589D">
      <w:pPr>
        <w:pStyle w:val="TOC1"/>
        <w:rPr>
          <w:rFonts w:asciiTheme="minorHAnsi" w:eastAsiaTheme="minorEastAsia" w:hAnsiTheme="minorHAnsi" w:cstheme="minorBidi"/>
          <w:sz w:val="22"/>
          <w:szCs w:val="22"/>
          <w:lang w:eastAsia="en-AU"/>
        </w:rPr>
      </w:pPr>
      <w:hyperlink w:anchor="_Toc493069489" w:history="1">
        <w:r w:rsidR="00CD075B" w:rsidRPr="009F5010">
          <w:rPr>
            <w:rStyle w:val="Hyperlink"/>
          </w:rPr>
          <w:t>Notes to and forming part of the financial statements for the financial year ended 30 June 2017</w:t>
        </w:r>
        <w:r w:rsidR="00CD075B">
          <w:rPr>
            <w:webHidden/>
          </w:rPr>
          <w:tab/>
        </w:r>
        <w:r w:rsidR="00CD075B">
          <w:rPr>
            <w:webHidden/>
          </w:rPr>
          <w:fldChar w:fldCharType="begin"/>
        </w:r>
        <w:r w:rsidR="00CD075B">
          <w:rPr>
            <w:webHidden/>
          </w:rPr>
          <w:instrText xml:space="preserve"> PAGEREF _Toc493069489 \h </w:instrText>
        </w:r>
        <w:r w:rsidR="00CD075B">
          <w:rPr>
            <w:webHidden/>
          </w:rPr>
        </w:r>
        <w:r w:rsidR="00CD075B">
          <w:rPr>
            <w:webHidden/>
          </w:rPr>
          <w:fldChar w:fldCharType="separate"/>
        </w:r>
        <w:r w:rsidR="00CA48ED">
          <w:rPr>
            <w:webHidden/>
          </w:rPr>
          <w:t>134</w:t>
        </w:r>
        <w:r w:rsidR="00CD075B">
          <w:rPr>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0" w:history="1">
        <w:r w:rsidR="00CD075B" w:rsidRPr="009F5010">
          <w:rPr>
            <w:rStyle w:val="Hyperlink"/>
            <w:noProof/>
          </w:rPr>
          <w:t>1. About this report</w:t>
        </w:r>
        <w:r w:rsidR="00CD075B">
          <w:rPr>
            <w:noProof/>
            <w:webHidden/>
          </w:rPr>
          <w:tab/>
        </w:r>
        <w:r w:rsidR="00CD075B">
          <w:rPr>
            <w:noProof/>
            <w:webHidden/>
          </w:rPr>
          <w:fldChar w:fldCharType="begin"/>
        </w:r>
        <w:r w:rsidR="00CD075B">
          <w:rPr>
            <w:noProof/>
            <w:webHidden/>
          </w:rPr>
          <w:instrText xml:space="preserve"> PAGEREF _Toc493069490 \h </w:instrText>
        </w:r>
        <w:r w:rsidR="00CD075B">
          <w:rPr>
            <w:noProof/>
            <w:webHidden/>
          </w:rPr>
        </w:r>
        <w:r w:rsidR="00CD075B">
          <w:rPr>
            <w:noProof/>
            <w:webHidden/>
          </w:rPr>
          <w:fldChar w:fldCharType="separate"/>
        </w:r>
        <w:r w:rsidR="00CA48ED">
          <w:rPr>
            <w:noProof/>
            <w:webHidden/>
          </w:rPr>
          <w:t>134</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1" w:history="1">
        <w:r w:rsidR="00CD075B" w:rsidRPr="009F5010">
          <w:rPr>
            <w:rStyle w:val="Hyperlink"/>
            <w:noProof/>
          </w:rPr>
          <w:t>2. Funding delivery of our services</w:t>
        </w:r>
        <w:r w:rsidR="00CD075B">
          <w:rPr>
            <w:noProof/>
            <w:webHidden/>
          </w:rPr>
          <w:tab/>
        </w:r>
        <w:r w:rsidR="00CD075B">
          <w:rPr>
            <w:noProof/>
            <w:webHidden/>
          </w:rPr>
          <w:fldChar w:fldCharType="begin"/>
        </w:r>
        <w:r w:rsidR="00CD075B">
          <w:rPr>
            <w:noProof/>
            <w:webHidden/>
          </w:rPr>
          <w:instrText xml:space="preserve"> PAGEREF _Toc493069491 \h </w:instrText>
        </w:r>
        <w:r w:rsidR="00CD075B">
          <w:rPr>
            <w:noProof/>
            <w:webHidden/>
          </w:rPr>
        </w:r>
        <w:r w:rsidR="00CD075B">
          <w:rPr>
            <w:noProof/>
            <w:webHidden/>
          </w:rPr>
          <w:fldChar w:fldCharType="separate"/>
        </w:r>
        <w:r w:rsidR="00CA48ED">
          <w:rPr>
            <w:noProof/>
            <w:webHidden/>
          </w:rPr>
          <w:t>136</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2" w:history="1">
        <w:r w:rsidR="00CD075B" w:rsidRPr="009F5010">
          <w:rPr>
            <w:rStyle w:val="Hyperlink"/>
            <w:noProof/>
          </w:rPr>
          <w:t>3. The cost of delivering services</w:t>
        </w:r>
        <w:r w:rsidR="00CD075B">
          <w:rPr>
            <w:noProof/>
            <w:webHidden/>
          </w:rPr>
          <w:tab/>
        </w:r>
        <w:r w:rsidR="00CD075B">
          <w:rPr>
            <w:noProof/>
            <w:webHidden/>
          </w:rPr>
          <w:fldChar w:fldCharType="begin"/>
        </w:r>
        <w:r w:rsidR="00CD075B">
          <w:rPr>
            <w:noProof/>
            <w:webHidden/>
          </w:rPr>
          <w:instrText xml:space="preserve"> PAGEREF _Toc493069492 \h </w:instrText>
        </w:r>
        <w:r w:rsidR="00CD075B">
          <w:rPr>
            <w:noProof/>
            <w:webHidden/>
          </w:rPr>
        </w:r>
        <w:r w:rsidR="00CD075B">
          <w:rPr>
            <w:noProof/>
            <w:webHidden/>
          </w:rPr>
          <w:fldChar w:fldCharType="separate"/>
        </w:r>
        <w:r w:rsidR="00CA48ED">
          <w:rPr>
            <w:noProof/>
            <w:webHidden/>
          </w:rPr>
          <w:t>142</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3" w:history="1">
        <w:r w:rsidR="00CD075B" w:rsidRPr="009F5010">
          <w:rPr>
            <w:rStyle w:val="Hyperlink"/>
            <w:noProof/>
          </w:rPr>
          <w:t>4. Disaggregated financial information by output</w:t>
        </w:r>
        <w:r w:rsidR="00CD075B">
          <w:rPr>
            <w:noProof/>
            <w:webHidden/>
          </w:rPr>
          <w:tab/>
        </w:r>
        <w:r w:rsidR="00CD075B">
          <w:rPr>
            <w:noProof/>
            <w:webHidden/>
          </w:rPr>
          <w:fldChar w:fldCharType="begin"/>
        </w:r>
        <w:r w:rsidR="00CD075B">
          <w:rPr>
            <w:noProof/>
            <w:webHidden/>
          </w:rPr>
          <w:instrText xml:space="preserve"> PAGEREF _Toc493069493 \h </w:instrText>
        </w:r>
        <w:r w:rsidR="00CD075B">
          <w:rPr>
            <w:noProof/>
            <w:webHidden/>
          </w:rPr>
        </w:r>
        <w:r w:rsidR="00CD075B">
          <w:rPr>
            <w:noProof/>
            <w:webHidden/>
          </w:rPr>
          <w:fldChar w:fldCharType="separate"/>
        </w:r>
        <w:r w:rsidR="00CA48ED">
          <w:rPr>
            <w:noProof/>
            <w:webHidden/>
          </w:rPr>
          <w:t>149</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4" w:history="1">
        <w:r w:rsidR="00CD075B" w:rsidRPr="009F5010">
          <w:rPr>
            <w:rStyle w:val="Hyperlink"/>
            <w:noProof/>
          </w:rPr>
          <w:t>5. Key assets available to support output delivery</w:t>
        </w:r>
        <w:r w:rsidR="00CD075B">
          <w:rPr>
            <w:noProof/>
            <w:webHidden/>
          </w:rPr>
          <w:tab/>
        </w:r>
        <w:r w:rsidR="00CD075B">
          <w:rPr>
            <w:noProof/>
            <w:webHidden/>
          </w:rPr>
          <w:fldChar w:fldCharType="begin"/>
        </w:r>
        <w:r w:rsidR="00CD075B">
          <w:rPr>
            <w:noProof/>
            <w:webHidden/>
          </w:rPr>
          <w:instrText xml:space="preserve"> PAGEREF _Toc493069494 \h </w:instrText>
        </w:r>
        <w:r w:rsidR="00CD075B">
          <w:rPr>
            <w:noProof/>
            <w:webHidden/>
          </w:rPr>
        </w:r>
        <w:r w:rsidR="00CD075B">
          <w:rPr>
            <w:noProof/>
            <w:webHidden/>
          </w:rPr>
          <w:fldChar w:fldCharType="separate"/>
        </w:r>
        <w:r w:rsidR="00CA48ED">
          <w:rPr>
            <w:noProof/>
            <w:webHidden/>
          </w:rPr>
          <w:t>158</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5" w:history="1">
        <w:r w:rsidR="00CD075B" w:rsidRPr="009F5010">
          <w:rPr>
            <w:rStyle w:val="Hyperlink"/>
            <w:noProof/>
          </w:rPr>
          <w:t>6. Other assets and liabilities</w:t>
        </w:r>
        <w:r w:rsidR="00CD075B">
          <w:rPr>
            <w:noProof/>
            <w:webHidden/>
          </w:rPr>
          <w:tab/>
        </w:r>
        <w:r w:rsidR="00CD075B">
          <w:rPr>
            <w:noProof/>
            <w:webHidden/>
          </w:rPr>
          <w:fldChar w:fldCharType="begin"/>
        </w:r>
        <w:r w:rsidR="00CD075B">
          <w:rPr>
            <w:noProof/>
            <w:webHidden/>
          </w:rPr>
          <w:instrText xml:space="preserve"> PAGEREF _Toc493069495 \h </w:instrText>
        </w:r>
        <w:r w:rsidR="00CD075B">
          <w:rPr>
            <w:noProof/>
            <w:webHidden/>
          </w:rPr>
        </w:r>
        <w:r w:rsidR="00CD075B">
          <w:rPr>
            <w:noProof/>
            <w:webHidden/>
          </w:rPr>
          <w:fldChar w:fldCharType="separate"/>
        </w:r>
        <w:r w:rsidR="00CA48ED">
          <w:rPr>
            <w:noProof/>
            <w:webHidden/>
          </w:rPr>
          <w:t>163</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6" w:history="1">
        <w:r w:rsidR="00CD075B" w:rsidRPr="009F5010">
          <w:rPr>
            <w:rStyle w:val="Hyperlink"/>
            <w:noProof/>
          </w:rPr>
          <w:t>7. How we financed our operations</w:t>
        </w:r>
        <w:r w:rsidR="00CD075B">
          <w:rPr>
            <w:noProof/>
            <w:webHidden/>
          </w:rPr>
          <w:tab/>
        </w:r>
        <w:r w:rsidR="00CD075B">
          <w:rPr>
            <w:noProof/>
            <w:webHidden/>
          </w:rPr>
          <w:fldChar w:fldCharType="begin"/>
        </w:r>
        <w:r w:rsidR="00CD075B">
          <w:rPr>
            <w:noProof/>
            <w:webHidden/>
          </w:rPr>
          <w:instrText xml:space="preserve"> PAGEREF _Toc493069496 \h </w:instrText>
        </w:r>
        <w:r w:rsidR="00CD075B">
          <w:rPr>
            <w:noProof/>
            <w:webHidden/>
          </w:rPr>
        </w:r>
        <w:r w:rsidR="00CD075B">
          <w:rPr>
            <w:noProof/>
            <w:webHidden/>
          </w:rPr>
          <w:fldChar w:fldCharType="separate"/>
        </w:r>
        <w:r w:rsidR="00CA48ED">
          <w:rPr>
            <w:noProof/>
            <w:webHidden/>
          </w:rPr>
          <w:t>171</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7" w:history="1">
        <w:r w:rsidR="00CD075B" w:rsidRPr="009F5010">
          <w:rPr>
            <w:rStyle w:val="Hyperlink"/>
            <w:noProof/>
          </w:rPr>
          <w:t>8. Risks, contingencies and valuation judgements</w:t>
        </w:r>
        <w:r w:rsidR="00CD075B">
          <w:rPr>
            <w:noProof/>
            <w:webHidden/>
          </w:rPr>
          <w:tab/>
        </w:r>
        <w:r w:rsidR="00CD075B">
          <w:rPr>
            <w:noProof/>
            <w:webHidden/>
          </w:rPr>
          <w:fldChar w:fldCharType="begin"/>
        </w:r>
        <w:r w:rsidR="00CD075B">
          <w:rPr>
            <w:noProof/>
            <w:webHidden/>
          </w:rPr>
          <w:instrText xml:space="preserve"> PAGEREF _Toc493069497 \h </w:instrText>
        </w:r>
        <w:r w:rsidR="00CD075B">
          <w:rPr>
            <w:noProof/>
            <w:webHidden/>
          </w:rPr>
        </w:r>
        <w:r w:rsidR="00CD075B">
          <w:rPr>
            <w:noProof/>
            <w:webHidden/>
          </w:rPr>
          <w:fldChar w:fldCharType="separate"/>
        </w:r>
        <w:r w:rsidR="00CA48ED">
          <w:rPr>
            <w:noProof/>
            <w:webHidden/>
          </w:rPr>
          <w:t>181</w:t>
        </w:r>
        <w:r w:rsidR="00CD075B">
          <w:rPr>
            <w:noProof/>
            <w:webHidden/>
          </w:rPr>
          <w:fldChar w:fldCharType="end"/>
        </w:r>
      </w:hyperlink>
    </w:p>
    <w:p w:rsidR="00CD075B" w:rsidRDefault="00EF589D">
      <w:pPr>
        <w:pStyle w:val="TOC2"/>
        <w:rPr>
          <w:rFonts w:asciiTheme="minorHAnsi" w:eastAsiaTheme="minorEastAsia" w:hAnsiTheme="minorHAnsi" w:cstheme="minorBidi"/>
          <w:noProof/>
          <w:sz w:val="22"/>
          <w:szCs w:val="22"/>
          <w:lang w:eastAsia="en-AU"/>
        </w:rPr>
      </w:pPr>
      <w:hyperlink w:anchor="_Toc493069498" w:history="1">
        <w:r w:rsidR="00CD075B" w:rsidRPr="009F5010">
          <w:rPr>
            <w:rStyle w:val="Hyperlink"/>
            <w:noProof/>
          </w:rPr>
          <w:t>9. Other disclosures</w:t>
        </w:r>
        <w:r w:rsidR="00CD075B">
          <w:rPr>
            <w:noProof/>
            <w:webHidden/>
          </w:rPr>
          <w:tab/>
        </w:r>
        <w:r w:rsidR="00CD075B">
          <w:rPr>
            <w:noProof/>
            <w:webHidden/>
          </w:rPr>
          <w:fldChar w:fldCharType="begin"/>
        </w:r>
        <w:r w:rsidR="00CD075B">
          <w:rPr>
            <w:noProof/>
            <w:webHidden/>
          </w:rPr>
          <w:instrText xml:space="preserve"> PAGEREF _Toc493069498 \h </w:instrText>
        </w:r>
        <w:r w:rsidR="00CD075B">
          <w:rPr>
            <w:noProof/>
            <w:webHidden/>
          </w:rPr>
        </w:r>
        <w:r w:rsidR="00CD075B">
          <w:rPr>
            <w:noProof/>
            <w:webHidden/>
          </w:rPr>
          <w:fldChar w:fldCharType="separate"/>
        </w:r>
        <w:r w:rsidR="00CA48ED">
          <w:rPr>
            <w:noProof/>
            <w:webHidden/>
          </w:rPr>
          <w:t>192</w:t>
        </w:r>
        <w:r w:rsidR="00CD075B">
          <w:rPr>
            <w:noProof/>
            <w:webHidden/>
          </w:rPr>
          <w:fldChar w:fldCharType="end"/>
        </w:r>
      </w:hyperlink>
    </w:p>
    <w:p w:rsidR="00FA3BD2" w:rsidRPr="00FA3BD2" w:rsidRDefault="0093192F" w:rsidP="00FA3BD2">
      <w:pPr>
        <w:pStyle w:val="ARbody"/>
      </w:pPr>
      <w:r w:rsidRPr="0093192F">
        <w:rPr>
          <w:noProof/>
        </w:rPr>
        <w:fldChar w:fldCharType="end"/>
      </w:r>
      <w:bookmarkStart w:id="75" w:name="Financials"/>
      <w:r w:rsidR="00FA3BD2" w:rsidRPr="00FA3BD2">
        <w:br w:type="page"/>
      </w:r>
    </w:p>
    <w:p w:rsidR="0093192F" w:rsidRPr="0093192F" w:rsidRDefault="0093192F" w:rsidP="00FA3BD2">
      <w:pPr>
        <w:pStyle w:val="Heading2"/>
        <w:rPr>
          <w:lang w:eastAsia="en-AU"/>
        </w:rPr>
      </w:pPr>
      <w:bookmarkStart w:id="76" w:name="_Ref492907016"/>
      <w:bookmarkStart w:id="77" w:name="_Toc493069483"/>
      <w:r w:rsidRPr="0093192F">
        <w:rPr>
          <w:lang w:eastAsia="en-AU"/>
        </w:rPr>
        <w:lastRenderedPageBreak/>
        <w:t>Responsible body’s and Chief Finance</w:t>
      </w:r>
      <w:r w:rsidR="00FA3BD2">
        <w:rPr>
          <w:lang w:eastAsia="en-AU"/>
        </w:rPr>
        <w:t xml:space="preserve"> </w:t>
      </w:r>
      <w:r w:rsidRPr="0093192F">
        <w:rPr>
          <w:lang w:eastAsia="en-AU"/>
        </w:rPr>
        <w:t>Officer’s declaration</w:t>
      </w:r>
      <w:bookmarkEnd w:id="76"/>
      <w:bookmarkEnd w:id="77"/>
    </w:p>
    <w:p w:rsidR="00AA035A" w:rsidRDefault="0093192F" w:rsidP="00FA3BD2">
      <w:pPr>
        <w:pStyle w:val="ARbody"/>
      </w:pPr>
      <w:r w:rsidRPr="0093192F">
        <w:t xml:space="preserve">The attached financial statements for the Department of Health and Human Services, including the Director of Housing, Mental Health Complaints Commissioner, Mental Health Tribunal and the Commission for Children and Young People (the department) have been prepared in accordance with Direction 5.2 of the </w:t>
      </w:r>
      <w:r w:rsidRPr="0093192F">
        <w:rPr>
          <w:i/>
        </w:rPr>
        <w:t xml:space="preserve">Standing Directions of the Minister for Finance: under the </w:t>
      </w:r>
      <w:r w:rsidRPr="0093192F">
        <w:rPr>
          <w:i/>
          <w:iCs/>
        </w:rPr>
        <w:t xml:space="preserve">Financial Management Act </w:t>
      </w:r>
      <w:r w:rsidRPr="0093192F">
        <w:rPr>
          <w:i/>
        </w:rPr>
        <w:t>1994</w:t>
      </w:r>
      <w:r w:rsidRPr="0093192F">
        <w:t>, applicable financial reporting directions, Australian accounting standards including Interpretations and other mandatory professional reporting requirements.</w:t>
      </w:r>
    </w:p>
    <w:p w:rsidR="00AA035A" w:rsidRDefault="0093192F" w:rsidP="00FA3BD2">
      <w:pPr>
        <w:pStyle w:val="ARbody"/>
      </w:pPr>
      <w:r w:rsidRPr="0093192F">
        <w:t>We further state that, in our opinion, the information set out in the ‘Comprehensive operating statement’, ‘Balance sheet’, ‘Statement of changes in equity’, ‘Cash flow statement’ and accompanying notes, presents fairly the financial transactions during the year ended 30 June 2017 and financial position of the department at 30 June 2017.</w:t>
      </w:r>
    </w:p>
    <w:p w:rsidR="0093192F" w:rsidRPr="0093192F" w:rsidRDefault="0093192F" w:rsidP="00FA3BD2">
      <w:pPr>
        <w:pStyle w:val="ARbody"/>
      </w:pPr>
      <w:r w:rsidRPr="0093192F">
        <w:t>At the time of signing, we are not aware of any circumstance that would render any particulars included in the financial statements to be misleading or inaccurate.</w:t>
      </w:r>
    </w:p>
    <w:p w:rsidR="0093192F" w:rsidRPr="00300E48" w:rsidRDefault="0093192F" w:rsidP="00300E48">
      <w:pPr>
        <w:pStyle w:val="ARbody"/>
      </w:pPr>
      <w:r w:rsidRPr="0093192F">
        <w:t>We authorise the attached financial statemen</w:t>
      </w:r>
      <w:r w:rsidR="00300E48">
        <w:t>ts for issue on 31 August 2017.</w:t>
      </w:r>
    </w:p>
    <w:p w:rsidR="0093192F" w:rsidRPr="0093192F" w:rsidRDefault="0093192F" w:rsidP="0093192F">
      <w:pPr>
        <w:spacing w:after="120" w:line="260" w:lineRule="atLeast"/>
        <w:rPr>
          <w:rFonts w:eastAsia="Times" w:cs="Arial"/>
          <w:sz w:val="20"/>
          <w:szCs w:val="20"/>
        </w:rPr>
      </w:pPr>
      <w:r w:rsidRPr="0093192F">
        <w:rPr>
          <w:rFonts w:eastAsia="Times" w:cs="Arial"/>
          <w:noProof/>
          <w:sz w:val="20"/>
          <w:szCs w:val="20"/>
          <w:lang w:eastAsia="en-AU"/>
        </w:rPr>
        <w:drawing>
          <wp:inline distT="0" distB="0" distL="0" distR="0" wp14:anchorId="1F68FFDD" wp14:editId="1A2C864C">
            <wp:extent cx="2519394" cy="3881923"/>
            <wp:effectExtent l="0" t="0" r="0" b="4445"/>
            <wp:docPr id="2" name="Picture 2" descr="Signed by Kym Peake, Secretary, Department of Health and Human Services, Melbourne, 31 August 2017; and Greg Stenton, Chief Finance Officer, Department of Health and Human Services, Melbourne, 31 Augu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25025" cy="3890599"/>
                    </a:xfrm>
                    <a:prstGeom prst="rect">
                      <a:avLst/>
                    </a:prstGeom>
                    <a:noFill/>
                    <a:ln>
                      <a:noFill/>
                    </a:ln>
                  </pic:spPr>
                </pic:pic>
              </a:graphicData>
            </a:graphic>
          </wp:inline>
        </w:drawing>
      </w:r>
    </w:p>
    <w:p w:rsidR="0093192F" w:rsidRPr="0093192F" w:rsidRDefault="0093192F" w:rsidP="009821F1">
      <w:pPr>
        <w:pStyle w:val="Heading2"/>
        <w:spacing w:before="0" w:after="200"/>
        <w:rPr>
          <w:lang w:eastAsia="en-AU"/>
        </w:rPr>
      </w:pPr>
      <w:bookmarkStart w:id="78" w:name="_Toc430961071"/>
      <w:bookmarkStart w:id="79" w:name="_Ref492906932"/>
      <w:bookmarkStart w:id="80" w:name="_Toc493069484"/>
      <w:r w:rsidRPr="0093192F">
        <w:rPr>
          <w:lang w:eastAsia="en-AU"/>
        </w:rPr>
        <w:lastRenderedPageBreak/>
        <w:t>Independent auditor’s report</w:t>
      </w:r>
      <w:bookmarkEnd w:id="78"/>
      <w:bookmarkEnd w:id="79"/>
      <w:bookmarkEnd w:id="80"/>
    </w:p>
    <w:p w:rsidR="0093192F" w:rsidRDefault="00E70ABB" w:rsidP="00A509D4">
      <w:pPr>
        <w:pStyle w:val="ARbody"/>
        <w:rPr>
          <w:lang w:eastAsia="en-AU"/>
        </w:rPr>
      </w:pPr>
      <w:r>
        <w:rPr>
          <w:noProof/>
          <w:lang w:eastAsia="en-AU"/>
        </w:rPr>
        <w:drawing>
          <wp:inline distT="0" distB="0" distL="0" distR="0" wp14:anchorId="156E9BF5" wp14:editId="497F2D7A">
            <wp:extent cx="6115462" cy="8649360"/>
            <wp:effectExtent l="0" t="0" r="0" b="0"/>
            <wp:docPr id="4" name="Picture 4" descr="Letter from the the Victorian Auditor-General’s Office (VAGO), Independent Auditor’s Report. Page 1 of 2. To the Secretary of the Department of Health and Human Services. Opinion: I have audited the financial report of the Department of Health and Human Services (the department) which comprises the: balance sheet as at 30 June 2017; comprehensive operating statement for the year then ended; statement of changes in equity for the year then ended; cash flow statement for the year then ended; notes to the financial statements, including a summary of significant accounting policies; responsible body's and chief finance officer's declaration. In my opinion the financial report presents fairly, in all material respects, the financial position of the department as at 30 June 2017 and their financial performance and cash flows for the year then ended in accordance with the financial reporting requirements of Part 7 of the Financial Management Act 1994 and applicable Australian Accounting Standards. Basis for Opinion: I have conducted my audit in accordance with the Audit Act 1994 which incorporates the Australian Auditing Standards. My responsibilities under the Act are further described in the Auditor’s Responsibilities for the Audit of the Financial Report section of my report. My independence is established by the Constitution Act 1975. My staff and I are independent of the department in accordance with the ethical requirements of the Accounting Professional and Ethical Standards Board’s APES 110 Code of Ethics for Professional Accountants (the Code) that are relevant to my audit of the financial report in Australia. My staff and I have also fulfilled our other ethical responsibilities in accordance with the Code. I believe that the audit evidence I have obtained is sufficient and appropriate to provide a basis for my opinion. Secretary's responsibilities for the financial report: The Secretary of the department is responsible for the preparation and fair presentation of the financial report in accordance with Australian Accounting Standards and the Financial Management Act 1994, and for such internal control as the Secretary determines is necessary to enable the preparation and fair presentation of a financial report that is free from material misstatement, whether due to fraud or error. In preparing the financial report, the Secretary is responsible for assessing the department’s ability to continue as a going concern, and using the going concern basis of accounting unless it is inappropriate to do so. Address block of VAGO: Level 31 / 35 Collins Street, Melbourne Vic 3000. Telephone 03 8601 7000, enquiries@audit.vic.gov.au, www.audit.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 Audit Opinion DHHS 2017 - page 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15462" cy="8649360"/>
                    </a:xfrm>
                    <a:prstGeom prst="rect">
                      <a:avLst/>
                    </a:prstGeom>
                  </pic:spPr>
                </pic:pic>
              </a:graphicData>
            </a:graphic>
          </wp:inline>
        </w:drawing>
      </w:r>
    </w:p>
    <w:p w:rsidR="00A509D4" w:rsidRDefault="00A509D4" w:rsidP="00A509D4">
      <w:pPr>
        <w:pStyle w:val="ARaccessibilitypara"/>
        <w:rPr>
          <w:rFonts w:cs="Arial"/>
          <w:sz w:val="20"/>
          <w:lang w:eastAsia="en-AU"/>
        </w:rPr>
      </w:pPr>
      <w:r>
        <w:rPr>
          <w:lang w:eastAsia="en-AU"/>
        </w:rPr>
        <w:br w:type="page"/>
      </w:r>
    </w:p>
    <w:p w:rsidR="00A509D4" w:rsidRPr="0093192F" w:rsidRDefault="00A509D4" w:rsidP="009821F1">
      <w:pPr>
        <w:pStyle w:val="ARbody"/>
        <w:spacing w:line="540" w:lineRule="atLeast"/>
        <w:rPr>
          <w:lang w:eastAsia="en-AU"/>
        </w:rPr>
      </w:pPr>
    </w:p>
    <w:p w:rsidR="0093192F" w:rsidRPr="00A33CCC" w:rsidRDefault="00CD19E4" w:rsidP="00A33CCC">
      <w:pPr>
        <w:pStyle w:val="ARbody"/>
        <w:rPr>
          <w:lang w:eastAsia="en-AU"/>
        </w:rPr>
      </w:pPr>
      <w:r>
        <w:rPr>
          <w:noProof/>
          <w:lang w:eastAsia="en-AU"/>
        </w:rPr>
        <w:drawing>
          <wp:inline distT="0" distB="0" distL="0" distR="0" wp14:anchorId="6C5E5BE3" wp14:editId="0823301E">
            <wp:extent cx="6115684" cy="8649675"/>
            <wp:effectExtent l="0" t="0" r="0" b="0"/>
            <wp:docPr id="11" name="Picture 11" descr="Letter from the the Victorian Auditor-General’s Office, Independent Auditor’s Report. Page 2 of 2. Auditor’s responsibilities for  the  audit of the financial report: 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As part of an audit in accordance with the Australian Auditing Standards, I exercise professional judgement and maintain professional scepticism throughout the audit. I also: 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 obtain an understanding of internal control relevant to the audit in order to design audit procedures that are appropriate in the circumstances, but not for the purpose of expressing an opinion on the effectiveness of the department’s internal control; evaluate the appropriateness of accounting policies used and the reasonableness of accounting estimates and related disclosures made by the Secretary; conclude on the appropriateness of the Secretary’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department to cease to continue as a going concern; evaluate the overall presentation, structure and content of the financial report, including the disclosures, and whether the financial report represents the underlying transactions and events in a manner that achieves fair presentation. I communicate with the Secretary regarding, among other matters, the planned scope and timing of the audit and significant audit findings, including any significant deficiencies in internal control that I identify during my audit. Signed by Andrew Greaves, Auditor-General, Melbourne, 31 Augu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 Audit Opinion DHHS 2017 - page 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15684" cy="8649675"/>
                    </a:xfrm>
                    <a:prstGeom prst="rect">
                      <a:avLst/>
                    </a:prstGeom>
                  </pic:spPr>
                </pic:pic>
              </a:graphicData>
            </a:graphic>
          </wp:inline>
        </w:drawing>
      </w:r>
    </w:p>
    <w:p w:rsidR="00C232A3" w:rsidRDefault="00C232A3" w:rsidP="00C232A3">
      <w:pPr>
        <w:pStyle w:val="Heading2"/>
      </w:pPr>
      <w:bookmarkStart w:id="81" w:name="_Toc493069485"/>
      <w:r w:rsidRPr="0065656D">
        <w:lastRenderedPageBreak/>
        <w:t>Co</w:t>
      </w:r>
      <w:r>
        <w:t>mprehensive operating statement</w:t>
      </w:r>
      <w:r>
        <w:br/>
      </w:r>
      <w:r w:rsidRPr="0065656D">
        <w:t>for the financial year ended 30 June 201</w:t>
      </w:r>
      <w:r>
        <w:t>7</w:t>
      </w:r>
      <w:bookmarkEnd w:id="81"/>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6574"/>
        <w:gridCol w:w="779"/>
        <w:gridCol w:w="1143"/>
        <w:gridCol w:w="1143"/>
      </w:tblGrid>
      <w:tr w:rsidR="00C232A3" w:rsidRPr="00AB62BD" w:rsidTr="00246127">
        <w:trPr>
          <w:cantSplit/>
          <w:tblHeader/>
        </w:trPr>
        <w:tc>
          <w:tcPr>
            <w:tcW w:w="6521" w:type="dxa"/>
            <w:tcBorders>
              <w:bottom w:val="single" w:sz="4" w:space="0" w:color="auto"/>
            </w:tcBorders>
            <w:noWrap/>
            <w:vAlign w:val="bottom"/>
            <w:hideMark/>
          </w:tcPr>
          <w:p w:rsidR="00C232A3" w:rsidRPr="00E10FE5" w:rsidRDefault="00C232A3" w:rsidP="00C232A3">
            <w:pPr>
              <w:pStyle w:val="ARfintablecolhead"/>
              <w:rPr>
                <w:rStyle w:val="Strong"/>
              </w:rPr>
            </w:pPr>
          </w:p>
        </w:tc>
        <w:tc>
          <w:tcPr>
            <w:tcW w:w="680" w:type="dxa"/>
            <w:tcBorders>
              <w:bottom w:val="single" w:sz="4" w:space="0" w:color="auto"/>
            </w:tcBorders>
            <w:noWrap/>
            <w:vAlign w:val="bottom"/>
            <w:hideMark/>
          </w:tcPr>
          <w:p w:rsidR="00C232A3" w:rsidRPr="00E10FE5" w:rsidRDefault="00C232A3" w:rsidP="00C232A3">
            <w:pPr>
              <w:pStyle w:val="ARfintablecolheadcentre"/>
            </w:pPr>
            <w:r w:rsidRPr="00E10FE5">
              <w:t>Note</w:t>
            </w:r>
          </w:p>
        </w:tc>
        <w:tc>
          <w:tcPr>
            <w:tcW w:w="1134" w:type="dxa"/>
            <w:tcBorders>
              <w:bottom w:val="single" w:sz="4" w:space="0" w:color="auto"/>
            </w:tcBorders>
            <w:shd w:val="clear" w:color="auto" w:fill="E7E6E6"/>
            <w:noWrap/>
            <w:vAlign w:val="bottom"/>
            <w:hideMark/>
          </w:tcPr>
          <w:p w:rsidR="00C232A3" w:rsidRPr="00E10FE5" w:rsidRDefault="00C232A3" w:rsidP="00C232A3">
            <w:pPr>
              <w:pStyle w:val="ARfintablecolheadright"/>
            </w:pPr>
            <w:r w:rsidRPr="00E10FE5">
              <w:t>2017</w:t>
            </w:r>
          </w:p>
          <w:p w:rsidR="00C232A3" w:rsidRPr="00E10FE5" w:rsidRDefault="00C232A3" w:rsidP="00C232A3">
            <w:pPr>
              <w:pStyle w:val="ARfintablecolheadright"/>
            </w:pPr>
            <w:r w:rsidRPr="00E10FE5">
              <w:t>$M</w:t>
            </w:r>
          </w:p>
        </w:tc>
        <w:tc>
          <w:tcPr>
            <w:tcW w:w="1134" w:type="dxa"/>
            <w:tcBorders>
              <w:bottom w:val="single" w:sz="4" w:space="0" w:color="auto"/>
            </w:tcBorders>
            <w:noWrap/>
            <w:vAlign w:val="bottom"/>
            <w:hideMark/>
          </w:tcPr>
          <w:p w:rsidR="00C232A3" w:rsidRPr="00E10FE5" w:rsidRDefault="00C232A3" w:rsidP="00C232A3">
            <w:pPr>
              <w:pStyle w:val="ARfintablecolheadright"/>
            </w:pPr>
            <w:r w:rsidRPr="00E10FE5">
              <w:t>2016</w:t>
            </w:r>
          </w:p>
          <w:p w:rsidR="00C232A3" w:rsidRPr="00E10FE5" w:rsidRDefault="00C232A3" w:rsidP="00C232A3">
            <w:pPr>
              <w:pStyle w:val="ARfintablecolheadright"/>
            </w:pPr>
            <w:r w:rsidRPr="00E10FE5">
              <w:t>$M</w:t>
            </w:r>
          </w:p>
        </w:tc>
      </w:tr>
      <w:tr w:rsidR="00C232A3" w:rsidRPr="00AB62BD" w:rsidTr="00246127">
        <w:trPr>
          <w:cantSplit/>
        </w:trPr>
        <w:tc>
          <w:tcPr>
            <w:tcW w:w="6521" w:type="dxa"/>
            <w:tcBorders>
              <w:top w:val="single" w:sz="4" w:space="0" w:color="auto"/>
              <w:bottom w:val="single" w:sz="4" w:space="0" w:color="A6A6A6" w:themeColor="background1" w:themeShade="A6"/>
            </w:tcBorders>
            <w:hideMark/>
          </w:tcPr>
          <w:p w:rsidR="00C232A3" w:rsidRPr="00AB62BD" w:rsidRDefault="00C232A3" w:rsidP="00C232A3">
            <w:pPr>
              <w:pStyle w:val="ARfintablebody"/>
              <w:rPr>
                <w:bCs/>
                <w:lang w:eastAsia="en-AU"/>
              </w:rPr>
            </w:pPr>
            <w:r w:rsidRPr="00AB62BD">
              <w:rPr>
                <w:rStyle w:val="Strong"/>
              </w:rPr>
              <w:t>Income from transactions</w:t>
            </w:r>
          </w:p>
        </w:tc>
        <w:tc>
          <w:tcPr>
            <w:tcW w:w="680"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lang w:eastAsia="en-AU"/>
              </w:rPr>
            </w:pP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Output appropriations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13,755.3</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12,901.7</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Special appropriations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1,334.6</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1,341.2</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Interest income</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Pr>
                <w:lang w:eastAsia="en-AU"/>
              </w:rPr>
              <w:t>2.4.1</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8.9</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9.4</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Rental income and income from services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2.4.2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480.9</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476.6</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Grants and other income transfers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2.4.3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871.5</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832.0</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Fair value of assets and services received free of charge or for nominal consideration</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2.4.4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136.6</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11.6</w:t>
            </w:r>
          </w:p>
        </w:tc>
      </w:tr>
      <w:tr w:rsidR="00C232A3" w:rsidRPr="00AB62BD" w:rsidTr="00246127">
        <w:trPr>
          <w:cantSplit/>
        </w:trPr>
        <w:tc>
          <w:tcPr>
            <w:tcW w:w="6521" w:type="dxa"/>
            <w:tcBorders>
              <w:top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Other income</w:t>
            </w:r>
          </w:p>
        </w:tc>
        <w:tc>
          <w:tcPr>
            <w:tcW w:w="680"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2.4.5</w:t>
            </w:r>
          </w:p>
        </w:tc>
        <w:tc>
          <w:tcPr>
            <w:tcW w:w="1134" w:type="dxa"/>
            <w:tcBorders>
              <w:top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90.9</w:t>
            </w:r>
          </w:p>
        </w:tc>
        <w:tc>
          <w:tcPr>
            <w:tcW w:w="1134"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367.2</w:t>
            </w:r>
          </w:p>
        </w:tc>
      </w:tr>
      <w:tr w:rsidR="00C232A3" w:rsidRPr="00AB62BD" w:rsidTr="00246127">
        <w:trPr>
          <w:cantSplit/>
        </w:trPr>
        <w:tc>
          <w:tcPr>
            <w:tcW w:w="6521" w:type="dxa"/>
            <w:tcBorders>
              <w:bottom w:val="single" w:sz="4" w:space="0" w:color="auto"/>
            </w:tcBorders>
            <w:hideMark/>
          </w:tcPr>
          <w:p w:rsidR="00C232A3" w:rsidRPr="00E10FE5" w:rsidRDefault="00C232A3" w:rsidP="00C232A3">
            <w:pPr>
              <w:pStyle w:val="ARfintablebodybold"/>
            </w:pPr>
            <w:r w:rsidRPr="00E10FE5">
              <w:t>Total income from transactions</w:t>
            </w:r>
          </w:p>
        </w:tc>
        <w:tc>
          <w:tcPr>
            <w:tcW w:w="680" w:type="dxa"/>
            <w:tcBorders>
              <w:bottom w:val="single" w:sz="4" w:space="0" w:color="auto"/>
            </w:tcBorders>
            <w:noWrap/>
            <w:hideMark/>
          </w:tcPr>
          <w:p w:rsidR="00C232A3" w:rsidRPr="00AB62BD" w:rsidRDefault="00C232A3" w:rsidP="00C232A3">
            <w:pPr>
              <w:pStyle w:val="ARfintablebodyright"/>
              <w:rPr>
                <w:lang w:eastAsia="en-AU"/>
              </w:rPr>
            </w:pPr>
          </w:p>
        </w:tc>
        <w:tc>
          <w:tcPr>
            <w:tcW w:w="1134" w:type="dxa"/>
            <w:tcBorders>
              <w:bottom w:val="single" w:sz="4" w:space="0" w:color="auto"/>
            </w:tcBorders>
            <w:shd w:val="clear" w:color="auto" w:fill="E7E6E6"/>
            <w:noWrap/>
            <w:hideMark/>
          </w:tcPr>
          <w:p w:rsidR="00C232A3" w:rsidRPr="00AB62BD" w:rsidRDefault="00C232A3" w:rsidP="00C232A3">
            <w:pPr>
              <w:pStyle w:val="ARfintablebodyright"/>
              <w:rPr>
                <w:b/>
                <w:bCs/>
                <w:lang w:eastAsia="en-AU"/>
              </w:rPr>
            </w:pPr>
            <w:r w:rsidRPr="00AB62BD">
              <w:rPr>
                <w:rStyle w:val="Strong"/>
              </w:rPr>
              <w:t>16,678.6</w:t>
            </w:r>
          </w:p>
        </w:tc>
        <w:tc>
          <w:tcPr>
            <w:tcW w:w="1134" w:type="dxa"/>
            <w:tcBorders>
              <w:bottom w:val="single" w:sz="4" w:space="0" w:color="auto"/>
            </w:tcBorders>
            <w:noWrap/>
            <w:hideMark/>
          </w:tcPr>
          <w:p w:rsidR="00C232A3" w:rsidRPr="00AB62BD" w:rsidRDefault="00C232A3" w:rsidP="00C232A3">
            <w:pPr>
              <w:pStyle w:val="ARfintablebodyright"/>
              <w:rPr>
                <w:rStyle w:val="Strong"/>
                <w:bCs w:val="0"/>
              </w:rPr>
            </w:pPr>
            <w:r w:rsidRPr="00AB62BD">
              <w:rPr>
                <w:rStyle w:val="Strong"/>
              </w:rPr>
              <w:t>15,939.8</w:t>
            </w:r>
          </w:p>
        </w:tc>
      </w:tr>
      <w:tr w:rsidR="00C232A3" w:rsidRPr="00AB62BD" w:rsidTr="00246127">
        <w:trPr>
          <w:cantSplit/>
        </w:trPr>
        <w:tc>
          <w:tcPr>
            <w:tcW w:w="6521" w:type="dxa"/>
            <w:tcBorders>
              <w:top w:val="single" w:sz="4" w:space="0" w:color="auto"/>
              <w:bottom w:val="single" w:sz="4" w:space="0" w:color="A6A6A6" w:themeColor="background1" w:themeShade="A6"/>
            </w:tcBorders>
            <w:hideMark/>
          </w:tcPr>
          <w:p w:rsidR="00C232A3" w:rsidRPr="00E10FE5" w:rsidRDefault="00C232A3" w:rsidP="00C232A3">
            <w:pPr>
              <w:pStyle w:val="ARfintablebodybold"/>
            </w:pPr>
            <w:r w:rsidRPr="00E10FE5">
              <w:t>Expenses from transactions</w:t>
            </w:r>
          </w:p>
        </w:tc>
        <w:tc>
          <w:tcPr>
            <w:tcW w:w="680"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lang w:eastAsia="en-AU"/>
              </w:rPr>
            </w:pP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Employee expenses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3.1.1(a)</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1,260.3</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1,191.2</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Depreciation and amortisation</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5.1.1</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269.8</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280.7</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Interest expense</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7.1.2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1.1</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0.3</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Maintenance</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192.2</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200.1</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Grants and other expense transfers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3.1.2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13,163.2</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11,916.6</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Capital asset charge</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3.1.3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1,116.7</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1,016.8</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Fair value of assets and services provided free of charge or for nominal consideration</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3.1.4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209.6</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11.9</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tabs>
                <w:tab w:val="left" w:pos="2269"/>
              </w:tabs>
              <w:rPr>
                <w:lang w:eastAsia="en-AU"/>
              </w:rPr>
            </w:pPr>
            <w:r w:rsidRPr="00AB62BD">
              <w:rPr>
                <w:lang w:eastAsia="en-AU"/>
              </w:rPr>
              <w:t>Other operating expenses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3.1.5</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528.4</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490.2</w:t>
            </w:r>
          </w:p>
        </w:tc>
      </w:tr>
      <w:tr w:rsidR="00C232A3" w:rsidRPr="00AB62BD" w:rsidTr="00246127">
        <w:trPr>
          <w:cantSplit/>
        </w:trPr>
        <w:tc>
          <w:tcPr>
            <w:tcW w:w="6521" w:type="dxa"/>
            <w:tcBorders>
              <w:top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Other property management expenses</w:t>
            </w:r>
          </w:p>
        </w:tc>
        <w:tc>
          <w:tcPr>
            <w:tcW w:w="680"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3.1.6</w:t>
            </w:r>
          </w:p>
        </w:tc>
        <w:tc>
          <w:tcPr>
            <w:tcW w:w="1134" w:type="dxa"/>
            <w:tcBorders>
              <w:top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198.4</w:t>
            </w:r>
          </w:p>
        </w:tc>
        <w:tc>
          <w:tcPr>
            <w:tcW w:w="1134"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210.1</w:t>
            </w:r>
          </w:p>
        </w:tc>
      </w:tr>
      <w:tr w:rsidR="00C232A3" w:rsidRPr="00AB62BD" w:rsidTr="00246127">
        <w:trPr>
          <w:cantSplit/>
        </w:trPr>
        <w:tc>
          <w:tcPr>
            <w:tcW w:w="6521" w:type="dxa"/>
            <w:hideMark/>
          </w:tcPr>
          <w:p w:rsidR="00C232A3" w:rsidRPr="00E10FE5" w:rsidRDefault="00C232A3" w:rsidP="00C10F4F">
            <w:pPr>
              <w:pStyle w:val="ARfintablebody"/>
            </w:pPr>
            <w:r w:rsidRPr="00E10FE5">
              <w:rPr>
                <w:rStyle w:val="Strong"/>
              </w:rPr>
              <w:t>Total expenses from transactions</w:t>
            </w:r>
          </w:p>
        </w:tc>
        <w:tc>
          <w:tcPr>
            <w:tcW w:w="680" w:type="dxa"/>
            <w:noWrap/>
            <w:hideMark/>
          </w:tcPr>
          <w:p w:rsidR="00C232A3" w:rsidRPr="00AB62BD" w:rsidRDefault="00C232A3" w:rsidP="00C232A3">
            <w:pPr>
              <w:pStyle w:val="ARfintablebodyright"/>
              <w:rPr>
                <w:lang w:eastAsia="en-AU"/>
              </w:rPr>
            </w:pPr>
          </w:p>
        </w:tc>
        <w:tc>
          <w:tcPr>
            <w:tcW w:w="1134" w:type="dxa"/>
            <w:shd w:val="clear" w:color="auto" w:fill="E7E6E6"/>
            <w:noWrap/>
            <w:hideMark/>
          </w:tcPr>
          <w:p w:rsidR="00C232A3" w:rsidRPr="00AB62BD" w:rsidRDefault="00C232A3" w:rsidP="00C232A3">
            <w:pPr>
              <w:pStyle w:val="ARfintablebodyright"/>
              <w:rPr>
                <w:b/>
                <w:bCs/>
                <w:lang w:eastAsia="en-AU"/>
              </w:rPr>
            </w:pPr>
            <w:r w:rsidRPr="00AB62BD">
              <w:rPr>
                <w:rStyle w:val="Strong"/>
              </w:rPr>
              <w:t>16,939.7</w:t>
            </w:r>
          </w:p>
        </w:tc>
        <w:tc>
          <w:tcPr>
            <w:tcW w:w="1134" w:type="dxa"/>
            <w:noWrap/>
            <w:hideMark/>
          </w:tcPr>
          <w:p w:rsidR="00C232A3" w:rsidRPr="00AB62BD" w:rsidRDefault="00C232A3" w:rsidP="00C232A3">
            <w:pPr>
              <w:pStyle w:val="ARfintablebodyright"/>
              <w:rPr>
                <w:rStyle w:val="Strong"/>
                <w:bCs w:val="0"/>
              </w:rPr>
            </w:pPr>
            <w:r w:rsidRPr="00AB62BD">
              <w:rPr>
                <w:rStyle w:val="Strong"/>
              </w:rPr>
              <w:t>15,317.8</w:t>
            </w:r>
          </w:p>
        </w:tc>
      </w:tr>
      <w:tr w:rsidR="00C232A3" w:rsidRPr="00AB62BD" w:rsidTr="00246127">
        <w:trPr>
          <w:cantSplit/>
        </w:trPr>
        <w:tc>
          <w:tcPr>
            <w:tcW w:w="6521" w:type="dxa"/>
            <w:tcBorders>
              <w:bottom w:val="single" w:sz="4" w:space="0" w:color="auto"/>
            </w:tcBorders>
            <w:hideMark/>
          </w:tcPr>
          <w:p w:rsidR="00C232A3" w:rsidRPr="00E10FE5" w:rsidRDefault="00C232A3" w:rsidP="00C10F4F">
            <w:pPr>
              <w:pStyle w:val="ARfintablebody"/>
            </w:pPr>
            <w:r w:rsidRPr="00E10FE5">
              <w:rPr>
                <w:rStyle w:val="Strong"/>
              </w:rPr>
              <w:t>Net result from transactions (net operating balance)</w:t>
            </w:r>
          </w:p>
        </w:tc>
        <w:tc>
          <w:tcPr>
            <w:tcW w:w="680" w:type="dxa"/>
            <w:tcBorders>
              <w:bottom w:val="single" w:sz="4" w:space="0" w:color="auto"/>
            </w:tcBorders>
            <w:noWrap/>
            <w:hideMark/>
          </w:tcPr>
          <w:p w:rsidR="00C232A3" w:rsidRPr="00AB62BD" w:rsidRDefault="00C232A3" w:rsidP="00C232A3">
            <w:pPr>
              <w:pStyle w:val="ARfintablebodyright"/>
              <w:rPr>
                <w:lang w:eastAsia="en-AU"/>
              </w:rPr>
            </w:pPr>
          </w:p>
        </w:tc>
        <w:tc>
          <w:tcPr>
            <w:tcW w:w="1134" w:type="dxa"/>
            <w:tcBorders>
              <w:bottom w:val="single" w:sz="4" w:space="0" w:color="auto"/>
            </w:tcBorders>
            <w:shd w:val="clear" w:color="auto" w:fill="E7E6E6"/>
            <w:noWrap/>
            <w:hideMark/>
          </w:tcPr>
          <w:p w:rsidR="00C232A3" w:rsidRPr="00AB62BD" w:rsidRDefault="00C232A3" w:rsidP="00C232A3">
            <w:pPr>
              <w:pStyle w:val="ARfintablebodyright"/>
              <w:rPr>
                <w:b/>
                <w:bCs/>
                <w:lang w:eastAsia="en-AU"/>
              </w:rPr>
            </w:pPr>
            <w:r w:rsidRPr="00AB62BD">
              <w:rPr>
                <w:rStyle w:val="Strong"/>
              </w:rPr>
              <w:t>(261.2)</w:t>
            </w:r>
          </w:p>
        </w:tc>
        <w:tc>
          <w:tcPr>
            <w:tcW w:w="1134" w:type="dxa"/>
            <w:tcBorders>
              <w:bottom w:val="single" w:sz="4" w:space="0" w:color="auto"/>
            </w:tcBorders>
            <w:noWrap/>
            <w:hideMark/>
          </w:tcPr>
          <w:p w:rsidR="00C232A3" w:rsidRPr="00AB62BD" w:rsidRDefault="00C232A3" w:rsidP="00C232A3">
            <w:pPr>
              <w:pStyle w:val="ARfintablebodyright"/>
              <w:rPr>
                <w:rStyle w:val="Strong"/>
                <w:bCs w:val="0"/>
              </w:rPr>
            </w:pPr>
            <w:r w:rsidRPr="00AB62BD">
              <w:rPr>
                <w:rStyle w:val="Strong"/>
              </w:rPr>
              <w:t>622.1</w:t>
            </w:r>
          </w:p>
        </w:tc>
      </w:tr>
      <w:tr w:rsidR="00C232A3" w:rsidRPr="00AB62BD" w:rsidTr="00246127">
        <w:trPr>
          <w:cantSplit/>
        </w:trPr>
        <w:tc>
          <w:tcPr>
            <w:tcW w:w="6521" w:type="dxa"/>
            <w:tcBorders>
              <w:top w:val="single" w:sz="4" w:space="0" w:color="auto"/>
              <w:bottom w:val="single" w:sz="4" w:space="0" w:color="A6A6A6" w:themeColor="background1" w:themeShade="A6"/>
            </w:tcBorders>
            <w:hideMark/>
          </w:tcPr>
          <w:p w:rsidR="00C232A3" w:rsidRPr="00E10FE5" w:rsidRDefault="00C232A3" w:rsidP="00C10F4F">
            <w:pPr>
              <w:pStyle w:val="ARfintablebody"/>
            </w:pPr>
            <w:r w:rsidRPr="00E10FE5">
              <w:rPr>
                <w:rStyle w:val="Strong"/>
              </w:rPr>
              <w:t>Other economic flows included in net result</w:t>
            </w:r>
          </w:p>
        </w:tc>
        <w:tc>
          <w:tcPr>
            <w:tcW w:w="680"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lang w:eastAsia="en-AU"/>
              </w:rPr>
            </w:pP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10F4F">
            <w:pPr>
              <w:pStyle w:val="ARfintablebody"/>
              <w:rPr>
                <w:lang w:eastAsia="en-AU"/>
              </w:rPr>
            </w:pPr>
            <w:r w:rsidRPr="00AB62BD">
              <w:rPr>
                <w:lang w:eastAsia="en-AU"/>
              </w:rPr>
              <w:t>Net gain/(loss) on non-financial assets</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9.2(a)</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(6.0)</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0.9</w:t>
            </w: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Net gain/(loss) on financial instruments</w:t>
            </w:r>
            <w:r>
              <w:rPr>
                <w:lang w:eastAsia="en-AU"/>
              </w:rPr>
              <w:t xml:space="preserve"> </w:t>
            </w:r>
            <w:r w:rsidRPr="00AB62BD">
              <w:rPr>
                <w:vertAlign w:val="superscript"/>
                <w:lang w:eastAsia="en-AU"/>
              </w:rPr>
              <w:t>(ii)</w:t>
            </w:r>
            <w:r w:rsidRPr="00AB62BD">
              <w:rPr>
                <w:lang w:eastAsia="en-AU"/>
              </w:rPr>
              <w:t xml:space="preserve"> </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9.2(b)</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1.5</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0.6</w:t>
            </w:r>
          </w:p>
        </w:tc>
      </w:tr>
      <w:tr w:rsidR="00C232A3" w:rsidRPr="00AB62BD" w:rsidTr="00246127">
        <w:trPr>
          <w:cantSplit/>
        </w:trPr>
        <w:tc>
          <w:tcPr>
            <w:tcW w:w="6521" w:type="dxa"/>
            <w:tcBorders>
              <w:top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Other gains/(losses) from other economic flows</w:t>
            </w:r>
          </w:p>
        </w:tc>
        <w:tc>
          <w:tcPr>
            <w:tcW w:w="680"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9.2(c)</w:t>
            </w:r>
          </w:p>
        </w:tc>
        <w:tc>
          <w:tcPr>
            <w:tcW w:w="1134" w:type="dxa"/>
            <w:tcBorders>
              <w:top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(0.6)</w:t>
            </w:r>
          </w:p>
        </w:tc>
        <w:tc>
          <w:tcPr>
            <w:tcW w:w="1134"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(22.1)</w:t>
            </w:r>
          </w:p>
        </w:tc>
      </w:tr>
      <w:tr w:rsidR="00C232A3" w:rsidRPr="00AB62BD" w:rsidTr="00246127">
        <w:trPr>
          <w:cantSplit/>
        </w:trPr>
        <w:tc>
          <w:tcPr>
            <w:tcW w:w="6521" w:type="dxa"/>
            <w:hideMark/>
          </w:tcPr>
          <w:p w:rsidR="00C232A3" w:rsidRPr="00E10FE5" w:rsidRDefault="00C232A3" w:rsidP="00C232A3">
            <w:pPr>
              <w:pStyle w:val="ARfintablebodybold"/>
            </w:pPr>
            <w:r w:rsidRPr="00E10FE5">
              <w:t>Total other economic flows included in net result</w:t>
            </w:r>
          </w:p>
        </w:tc>
        <w:tc>
          <w:tcPr>
            <w:tcW w:w="680" w:type="dxa"/>
            <w:noWrap/>
            <w:hideMark/>
          </w:tcPr>
          <w:p w:rsidR="00C232A3" w:rsidRPr="00AB62BD" w:rsidRDefault="00C232A3" w:rsidP="00C232A3">
            <w:pPr>
              <w:pStyle w:val="ARfintablebodyright"/>
              <w:rPr>
                <w:lang w:eastAsia="en-AU"/>
              </w:rPr>
            </w:pPr>
          </w:p>
        </w:tc>
        <w:tc>
          <w:tcPr>
            <w:tcW w:w="1134" w:type="dxa"/>
            <w:shd w:val="clear" w:color="auto" w:fill="E7E6E6"/>
            <w:noWrap/>
            <w:hideMark/>
          </w:tcPr>
          <w:p w:rsidR="00C232A3" w:rsidRPr="00AB62BD" w:rsidRDefault="00C232A3" w:rsidP="00C232A3">
            <w:pPr>
              <w:pStyle w:val="ARfintablebodyright"/>
              <w:rPr>
                <w:b/>
                <w:bCs/>
                <w:lang w:eastAsia="en-AU"/>
              </w:rPr>
            </w:pPr>
            <w:r w:rsidRPr="00AB62BD">
              <w:rPr>
                <w:rStyle w:val="Strong"/>
              </w:rPr>
              <w:t>(5.1)</w:t>
            </w:r>
          </w:p>
        </w:tc>
        <w:tc>
          <w:tcPr>
            <w:tcW w:w="1134" w:type="dxa"/>
            <w:noWrap/>
            <w:hideMark/>
          </w:tcPr>
          <w:p w:rsidR="00C232A3" w:rsidRPr="00AB62BD" w:rsidRDefault="00C232A3" w:rsidP="00C232A3">
            <w:pPr>
              <w:pStyle w:val="ARfintablebodyright"/>
              <w:rPr>
                <w:rStyle w:val="Strong"/>
                <w:bCs w:val="0"/>
              </w:rPr>
            </w:pPr>
            <w:r w:rsidRPr="00AB62BD">
              <w:rPr>
                <w:rStyle w:val="Strong"/>
              </w:rPr>
              <w:t>(20.6)</w:t>
            </w:r>
          </w:p>
        </w:tc>
      </w:tr>
      <w:tr w:rsidR="00C232A3" w:rsidRPr="00AB62BD" w:rsidTr="00246127">
        <w:trPr>
          <w:cantSplit/>
        </w:trPr>
        <w:tc>
          <w:tcPr>
            <w:tcW w:w="6521" w:type="dxa"/>
            <w:tcBorders>
              <w:bottom w:val="single" w:sz="4" w:space="0" w:color="auto"/>
            </w:tcBorders>
            <w:hideMark/>
          </w:tcPr>
          <w:p w:rsidR="00C232A3" w:rsidRPr="00E10FE5" w:rsidRDefault="00C232A3" w:rsidP="00C232A3">
            <w:pPr>
              <w:pStyle w:val="ARfintablebodybold"/>
            </w:pPr>
            <w:r w:rsidRPr="00E10FE5">
              <w:t>Net result</w:t>
            </w:r>
          </w:p>
        </w:tc>
        <w:tc>
          <w:tcPr>
            <w:tcW w:w="680" w:type="dxa"/>
            <w:tcBorders>
              <w:bottom w:val="single" w:sz="4" w:space="0" w:color="auto"/>
            </w:tcBorders>
            <w:noWrap/>
            <w:hideMark/>
          </w:tcPr>
          <w:p w:rsidR="00C232A3" w:rsidRPr="00AB62BD" w:rsidRDefault="00C232A3" w:rsidP="00C232A3">
            <w:pPr>
              <w:pStyle w:val="ARfintablebodyright"/>
              <w:rPr>
                <w:lang w:eastAsia="en-AU"/>
              </w:rPr>
            </w:pPr>
          </w:p>
        </w:tc>
        <w:tc>
          <w:tcPr>
            <w:tcW w:w="1134" w:type="dxa"/>
            <w:tcBorders>
              <w:bottom w:val="single" w:sz="4" w:space="0" w:color="auto"/>
            </w:tcBorders>
            <w:shd w:val="clear" w:color="auto" w:fill="E7E6E6"/>
            <w:noWrap/>
            <w:hideMark/>
          </w:tcPr>
          <w:p w:rsidR="00C232A3" w:rsidRPr="00AB62BD" w:rsidRDefault="00C232A3" w:rsidP="00C232A3">
            <w:pPr>
              <w:pStyle w:val="ARfintablebodyright"/>
              <w:rPr>
                <w:b/>
                <w:bCs/>
                <w:lang w:eastAsia="en-AU"/>
              </w:rPr>
            </w:pPr>
            <w:r w:rsidRPr="00AB62BD">
              <w:rPr>
                <w:rStyle w:val="Strong"/>
              </w:rPr>
              <w:t>(266.3)</w:t>
            </w:r>
          </w:p>
        </w:tc>
        <w:tc>
          <w:tcPr>
            <w:tcW w:w="1134" w:type="dxa"/>
            <w:tcBorders>
              <w:bottom w:val="single" w:sz="4" w:space="0" w:color="auto"/>
            </w:tcBorders>
            <w:noWrap/>
            <w:hideMark/>
          </w:tcPr>
          <w:p w:rsidR="00C232A3" w:rsidRPr="00AB62BD" w:rsidRDefault="00C232A3" w:rsidP="00C232A3">
            <w:pPr>
              <w:pStyle w:val="ARfintablebodyright"/>
              <w:rPr>
                <w:rStyle w:val="Strong"/>
                <w:bCs w:val="0"/>
              </w:rPr>
            </w:pPr>
            <w:r w:rsidRPr="00AB62BD">
              <w:rPr>
                <w:rStyle w:val="Strong"/>
              </w:rPr>
              <w:t>601.5</w:t>
            </w:r>
          </w:p>
        </w:tc>
      </w:tr>
      <w:tr w:rsidR="00C232A3" w:rsidRPr="00AB62BD" w:rsidTr="00246127">
        <w:trPr>
          <w:cantSplit/>
        </w:trPr>
        <w:tc>
          <w:tcPr>
            <w:tcW w:w="6521" w:type="dxa"/>
            <w:tcBorders>
              <w:top w:val="single" w:sz="4" w:space="0" w:color="auto"/>
              <w:bottom w:val="single" w:sz="4" w:space="0" w:color="A6A6A6" w:themeColor="background1" w:themeShade="A6"/>
            </w:tcBorders>
            <w:hideMark/>
          </w:tcPr>
          <w:p w:rsidR="00C232A3" w:rsidRPr="00E10FE5" w:rsidRDefault="00C232A3" w:rsidP="00C232A3">
            <w:pPr>
              <w:pStyle w:val="ARfintablebodybold"/>
            </w:pPr>
            <w:r w:rsidRPr="00E10FE5">
              <w:t>Other economic flows – other comprehensive income</w:t>
            </w:r>
          </w:p>
        </w:tc>
        <w:tc>
          <w:tcPr>
            <w:tcW w:w="680"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rsidR="00C232A3" w:rsidRPr="00AB62BD" w:rsidRDefault="00C232A3" w:rsidP="00C232A3">
            <w:pPr>
              <w:pStyle w:val="ARfintablebodyright"/>
              <w:rPr>
                <w:lang w:eastAsia="en-AU"/>
              </w:rPr>
            </w:pP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E10FE5" w:rsidRDefault="00C232A3" w:rsidP="00C232A3">
            <w:pPr>
              <w:pStyle w:val="ARfintablebodybold"/>
            </w:pPr>
            <w:r w:rsidRPr="00E10FE5">
              <w:t>Items that will not be reclassified to net result</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rStyle w:val="Strong"/>
                <w:bCs w:val="0"/>
              </w:rPr>
            </w:pP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p>
        </w:tc>
      </w:tr>
      <w:tr w:rsidR="00C232A3" w:rsidRPr="00AB62BD" w:rsidTr="00246127">
        <w:trPr>
          <w:cantSplit/>
        </w:trPr>
        <w:tc>
          <w:tcPr>
            <w:tcW w:w="6521" w:type="dxa"/>
            <w:tcBorders>
              <w:top w:val="single" w:sz="4" w:space="0" w:color="A6A6A6" w:themeColor="background1" w:themeShade="A6"/>
              <w:bottom w:val="single" w:sz="4" w:space="0" w:color="A6A6A6" w:themeColor="background1" w:themeShade="A6"/>
            </w:tcBorders>
            <w:hideMark/>
          </w:tcPr>
          <w:p w:rsidR="00C232A3" w:rsidRPr="00AB62BD" w:rsidRDefault="00C232A3" w:rsidP="00C232A3">
            <w:pPr>
              <w:pStyle w:val="ARfintablebody"/>
              <w:rPr>
                <w:lang w:eastAsia="en-AU"/>
              </w:rPr>
            </w:pPr>
            <w:r w:rsidRPr="00AB62BD">
              <w:rPr>
                <w:lang w:eastAsia="en-AU"/>
              </w:rPr>
              <w:t>Changes in physical asset revaluation surplus</w:t>
            </w:r>
          </w:p>
        </w:tc>
        <w:tc>
          <w:tcPr>
            <w:tcW w:w="680"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9.4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1,997.0</w:t>
            </w:r>
          </w:p>
        </w:tc>
        <w:tc>
          <w:tcPr>
            <w:tcW w:w="1134" w:type="dxa"/>
            <w:tcBorders>
              <w:top w:val="single" w:sz="4" w:space="0" w:color="A6A6A6" w:themeColor="background1" w:themeShade="A6"/>
              <w:bottom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2,468.7</w:t>
            </w:r>
          </w:p>
        </w:tc>
      </w:tr>
      <w:tr w:rsidR="00C232A3" w:rsidRPr="00AB62BD" w:rsidTr="00246127">
        <w:trPr>
          <w:cantSplit/>
        </w:trPr>
        <w:tc>
          <w:tcPr>
            <w:tcW w:w="6521" w:type="dxa"/>
            <w:tcBorders>
              <w:top w:val="single" w:sz="4" w:space="0" w:color="A6A6A6" w:themeColor="background1" w:themeShade="A6"/>
            </w:tcBorders>
            <w:hideMark/>
          </w:tcPr>
          <w:p w:rsidR="00C232A3" w:rsidRPr="00AB62BD" w:rsidRDefault="00C232A3" w:rsidP="00C232A3">
            <w:pPr>
              <w:pStyle w:val="ARfintablebody"/>
              <w:rPr>
                <w:lang w:eastAsia="en-AU"/>
              </w:rPr>
            </w:pPr>
            <w:proofErr w:type="spellStart"/>
            <w:r w:rsidRPr="00AB62BD">
              <w:rPr>
                <w:lang w:eastAsia="en-AU"/>
              </w:rPr>
              <w:t>Remeasurement</w:t>
            </w:r>
            <w:proofErr w:type="spellEnd"/>
            <w:r w:rsidRPr="00AB62BD">
              <w:rPr>
                <w:lang w:eastAsia="en-AU"/>
              </w:rPr>
              <w:t xml:space="preserve"> of superannuation defined benefit plans</w:t>
            </w:r>
          </w:p>
        </w:tc>
        <w:tc>
          <w:tcPr>
            <w:tcW w:w="680"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3.1.1(b)</w:t>
            </w:r>
          </w:p>
        </w:tc>
        <w:tc>
          <w:tcPr>
            <w:tcW w:w="1134" w:type="dxa"/>
            <w:tcBorders>
              <w:top w:val="single" w:sz="4" w:space="0" w:color="A6A6A6" w:themeColor="background1" w:themeShade="A6"/>
            </w:tcBorders>
            <w:shd w:val="clear" w:color="auto" w:fill="E7E6E6"/>
            <w:noWrap/>
            <w:hideMark/>
          </w:tcPr>
          <w:p w:rsidR="00C232A3" w:rsidRPr="00AB62BD" w:rsidRDefault="00C232A3" w:rsidP="00C232A3">
            <w:pPr>
              <w:pStyle w:val="ARfintablebodyright"/>
              <w:rPr>
                <w:lang w:eastAsia="en-AU"/>
              </w:rPr>
            </w:pPr>
            <w:r w:rsidRPr="00AB62BD">
              <w:rPr>
                <w:lang w:eastAsia="en-AU"/>
              </w:rPr>
              <w:t>0.9</w:t>
            </w:r>
          </w:p>
        </w:tc>
        <w:tc>
          <w:tcPr>
            <w:tcW w:w="1134" w:type="dxa"/>
            <w:tcBorders>
              <w:top w:val="single" w:sz="4" w:space="0" w:color="A6A6A6" w:themeColor="background1" w:themeShade="A6"/>
            </w:tcBorders>
            <w:noWrap/>
            <w:hideMark/>
          </w:tcPr>
          <w:p w:rsidR="00C232A3" w:rsidRPr="00AB62BD" w:rsidRDefault="00C232A3" w:rsidP="00C232A3">
            <w:pPr>
              <w:pStyle w:val="ARfintablebodyright"/>
              <w:rPr>
                <w:lang w:eastAsia="en-AU"/>
              </w:rPr>
            </w:pPr>
            <w:r w:rsidRPr="00AB62BD">
              <w:rPr>
                <w:lang w:eastAsia="en-AU"/>
              </w:rPr>
              <w:t>0.9</w:t>
            </w:r>
          </w:p>
        </w:tc>
      </w:tr>
      <w:tr w:rsidR="00C232A3" w:rsidRPr="00AB62BD" w:rsidTr="00246127">
        <w:trPr>
          <w:cantSplit/>
        </w:trPr>
        <w:tc>
          <w:tcPr>
            <w:tcW w:w="6521" w:type="dxa"/>
            <w:tcBorders>
              <w:top w:val="single" w:sz="4" w:space="0" w:color="auto"/>
            </w:tcBorders>
            <w:hideMark/>
          </w:tcPr>
          <w:p w:rsidR="00C232A3" w:rsidRPr="00E10FE5" w:rsidRDefault="00C232A3" w:rsidP="00C232A3">
            <w:pPr>
              <w:pStyle w:val="ARfintablebodybold"/>
            </w:pPr>
            <w:r w:rsidRPr="00E10FE5">
              <w:t>Total other economic flows – other comprehensive income</w:t>
            </w:r>
          </w:p>
        </w:tc>
        <w:tc>
          <w:tcPr>
            <w:tcW w:w="680" w:type="dxa"/>
            <w:tcBorders>
              <w:top w:val="single" w:sz="4" w:space="0" w:color="auto"/>
            </w:tcBorders>
            <w:noWrap/>
            <w:hideMark/>
          </w:tcPr>
          <w:p w:rsidR="00C232A3" w:rsidRPr="00AB62BD" w:rsidRDefault="00C232A3" w:rsidP="00C232A3">
            <w:pPr>
              <w:pStyle w:val="ARfintablebodyright"/>
              <w:rPr>
                <w:lang w:eastAsia="en-AU"/>
              </w:rPr>
            </w:pPr>
          </w:p>
        </w:tc>
        <w:tc>
          <w:tcPr>
            <w:tcW w:w="1134" w:type="dxa"/>
            <w:tcBorders>
              <w:top w:val="single" w:sz="4" w:space="0" w:color="auto"/>
            </w:tcBorders>
            <w:shd w:val="clear" w:color="auto" w:fill="E7E6E6"/>
            <w:noWrap/>
            <w:hideMark/>
          </w:tcPr>
          <w:p w:rsidR="00C232A3" w:rsidRPr="00AB62BD" w:rsidRDefault="00C232A3" w:rsidP="00C232A3">
            <w:pPr>
              <w:pStyle w:val="ARfintablebodyright"/>
              <w:rPr>
                <w:b/>
                <w:bCs/>
                <w:lang w:eastAsia="en-AU"/>
              </w:rPr>
            </w:pPr>
            <w:r w:rsidRPr="00AB62BD">
              <w:rPr>
                <w:rStyle w:val="Strong"/>
              </w:rPr>
              <w:t>1,997.9</w:t>
            </w:r>
          </w:p>
        </w:tc>
        <w:tc>
          <w:tcPr>
            <w:tcW w:w="1134" w:type="dxa"/>
            <w:tcBorders>
              <w:top w:val="single" w:sz="4" w:space="0" w:color="auto"/>
            </w:tcBorders>
            <w:noWrap/>
            <w:hideMark/>
          </w:tcPr>
          <w:p w:rsidR="00C232A3" w:rsidRPr="00AB62BD" w:rsidRDefault="00C232A3" w:rsidP="00C232A3">
            <w:pPr>
              <w:pStyle w:val="ARfintablebodyright"/>
              <w:rPr>
                <w:rStyle w:val="Strong"/>
                <w:bCs w:val="0"/>
              </w:rPr>
            </w:pPr>
            <w:r w:rsidRPr="00AB62BD">
              <w:rPr>
                <w:rStyle w:val="Strong"/>
              </w:rPr>
              <w:t>2,469.6</w:t>
            </w:r>
          </w:p>
        </w:tc>
      </w:tr>
      <w:tr w:rsidR="00C232A3" w:rsidRPr="00AB62BD" w:rsidTr="00246127">
        <w:trPr>
          <w:cantSplit/>
        </w:trPr>
        <w:tc>
          <w:tcPr>
            <w:tcW w:w="6521" w:type="dxa"/>
            <w:hideMark/>
          </w:tcPr>
          <w:p w:rsidR="00C232A3" w:rsidRPr="00E10FE5" w:rsidRDefault="00C232A3" w:rsidP="00C232A3">
            <w:pPr>
              <w:pStyle w:val="ARfintablebodybold"/>
            </w:pPr>
            <w:r w:rsidRPr="00E10FE5">
              <w:t>Comprehensive result</w:t>
            </w:r>
          </w:p>
        </w:tc>
        <w:tc>
          <w:tcPr>
            <w:tcW w:w="680" w:type="dxa"/>
            <w:noWrap/>
            <w:hideMark/>
          </w:tcPr>
          <w:p w:rsidR="00C232A3" w:rsidRPr="00AB62BD" w:rsidRDefault="00C232A3" w:rsidP="00C232A3">
            <w:pPr>
              <w:pStyle w:val="ARfintablebodyright"/>
              <w:rPr>
                <w:lang w:eastAsia="en-AU"/>
              </w:rPr>
            </w:pPr>
          </w:p>
        </w:tc>
        <w:tc>
          <w:tcPr>
            <w:tcW w:w="1134" w:type="dxa"/>
            <w:shd w:val="clear" w:color="auto" w:fill="E7E6E6"/>
            <w:noWrap/>
            <w:hideMark/>
          </w:tcPr>
          <w:p w:rsidR="00C232A3" w:rsidRPr="00AB62BD" w:rsidRDefault="00C232A3" w:rsidP="00C232A3">
            <w:pPr>
              <w:pStyle w:val="ARfintablebodyright"/>
              <w:rPr>
                <w:b/>
                <w:bCs/>
                <w:lang w:eastAsia="en-AU"/>
              </w:rPr>
            </w:pPr>
            <w:r w:rsidRPr="00AB62BD">
              <w:rPr>
                <w:rStyle w:val="Strong"/>
              </w:rPr>
              <w:t>1,731.6</w:t>
            </w:r>
          </w:p>
        </w:tc>
        <w:tc>
          <w:tcPr>
            <w:tcW w:w="1134" w:type="dxa"/>
            <w:noWrap/>
            <w:hideMark/>
          </w:tcPr>
          <w:p w:rsidR="00C232A3" w:rsidRPr="00AB62BD" w:rsidRDefault="00C232A3" w:rsidP="00C232A3">
            <w:pPr>
              <w:pStyle w:val="ARfintablebodyright"/>
              <w:rPr>
                <w:rStyle w:val="Strong"/>
                <w:bCs w:val="0"/>
              </w:rPr>
            </w:pPr>
            <w:r w:rsidRPr="00AB62BD">
              <w:rPr>
                <w:rStyle w:val="Strong"/>
              </w:rPr>
              <w:t>3,071.1</w:t>
            </w:r>
          </w:p>
        </w:tc>
      </w:tr>
    </w:tbl>
    <w:p w:rsidR="00C232A3" w:rsidRPr="00AB62BD" w:rsidRDefault="00C232A3" w:rsidP="00C232A3">
      <w:pPr>
        <w:pStyle w:val="ARfintablefootnote"/>
        <w:rPr>
          <w:lang w:eastAsia="en-AU"/>
        </w:rPr>
      </w:pPr>
      <w:r w:rsidRPr="00AB62BD">
        <w:rPr>
          <w:lang w:eastAsia="en-AU"/>
        </w:rPr>
        <w:t>The comprehensive operating statement should be read in conjunction with the notes to the financial statements.</w:t>
      </w:r>
    </w:p>
    <w:p w:rsidR="00C232A3" w:rsidRPr="00AB62BD" w:rsidRDefault="00C232A3" w:rsidP="00C232A3">
      <w:pPr>
        <w:pStyle w:val="ARfintablefootnote"/>
        <w:rPr>
          <w:iCs/>
          <w:lang w:eastAsia="en-AU"/>
        </w:rPr>
      </w:pPr>
      <w:r w:rsidRPr="00AB62BD">
        <w:rPr>
          <w:iCs/>
          <w:lang w:eastAsia="en-AU"/>
        </w:rPr>
        <w:t>Notes:</w:t>
      </w:r>
    </w:p>
    <w:p w:rsidR="00C232A3" w:rsidRPr="00AB62BD" w:rsidRDefault="00C232A3" w:rsidP="00C232A3">
      <w:pPr>
        <w:pStyle w:val="ARfintablefootnoteroman"/>
      </w:pPr>
      <w:r w:rsidRPr="00AB62BD">
        <w:t>(</w:t>
      </w:r>
      <w:proofErr w:type="spellStart"/>
      <w:r w:rsidRPr="00AB62BD">
        <w:t>i</w:t>
      </w:r>
      <w:proofErr w:type="spellEnd"/>
      <w:r w:rsidRPr="00AB62BD">
        <w:t>)</w:t>
      </w:r>
      <w:r>
        <w:tab/>
      </w:r>
      <w:r w:rsidRPr="00AB62BD">
        <w:t>‘Net gain/(loss) on non-financial assets’ includes unrealised and realised gains/(losses) from revaluations, impairments, and disposals of all physical assets and intangible assets, except when these are taken through the asset revaluation surplus.</w:t>
      </w:r>
    </w:p>
    <w:p w:rsidR="00C232A3" w:rsidRPr="00AB62BD" w:rsidRDefault="00C232A3" w:rsidP="00C232A3">
      <w:pPr>
        <w:pStyle w:val="ARfintablefootnoteroman"/>
      </w:pPr>
      <w:r w:rsidRPr="00AB62BD">
        <w:t>(ii)</w:t>
      </w:r>
      <w:r>
        <w:tab/>
      </w:r>
      <w:r w:rsidRPr="00AB62BD">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available for sale revaluation surplus.</w:t>
      </w:r>
    </w:p>
    <w:p w:rsidR="007339B9" w:rsidRDefault="007339B9" w:rsidP="007339B9">
      <w:pPr>
        <w:pStyle w:val="ARbody"/>
        <w:rPr>
          <w:rFonts w:eastAsia="MS Gothic"/>
          <w:color w:val="404040"/>
          <w:sz w:val="30"/>
          <w:szCs w:val="30"/>
        </w:rPr>
      </w:pPr>
      <w:r>
        <w:br w:type="page"/>
      </w:r>
    </w:p>
    <w:p w:rsidR="00C232A3" w:rsidRPr="002D6C90" w:rsidRDefault="00C232A3" w:rsidP="00C232A3">
      <w:pPr>
        <w:pStyle w:val="Heading2"/>
      </w:pPr>
      <w:bookmarkStart w:id="82" w:name="_Toc493069486"/>
      <w:r w:rsidRPr="002D6C90">
        <w:rPr>
          <w:bCs w:val="0"/>
        </w:rPr>
        <w:lastRenderedPageBreak/>
        <w:t>Balance sheet as at 30 June 2017</w:t>
      </w:r>
      <w:bookmarkEnd w:id="8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6608"/>
        <w:gridCol w:w="773"/>
        <w:gridCol w:w="1129"/>
        <w:gridCol w:w="1129"/>
      </w:tblGrid>
      <w:tr w:rsidR="00C232A3" w:rsidRPr="00AB62BD" w:rsidTr="00C232A3">
        <w:trPr>
          <w:cantSplit/>
          <w:tblHeader/>
        </w:trPr>
        <w:tc>
          <w:tcPr>
            <w:tcW w:w="6691" w:type="dxa"/>
            <w:tcBorders>
              <w:bottom w:val="single" w:sz="4" w:space="0" w:color="auto"/>
            </w:tcBorders>
            <w:vAlign w:val="bottom"/>
          </w:tcPr>
          <w:p w:rsidR="00C232A3" w:rsidRPr="00AB62BD" w:rsidRDefault="00C232A3" w:rsidP="00C232A3">
            <w:pPr>
              <w:pStyle w:val="ARfintablecolhead"/>
            </w:pPr>
          </w:p>
        </w:tc>
        <w:tc>
          <w:tcPr>
            <w:tcW w:w="680" w:type="dxa"/>
            <w:tcBorders>
              <w:bottom w:val="single" w:sz="4" w:space="0" w:color="auto"/>
            </w:tcBorders>
            <w:vAlign w:val="bottom"/>
          </w:tcPr>
          <w:p w:rsidR="00C232A3" w:rsidRPr="00AB62BD" w:rsidRDefault="00C232A3" w:rsidP="00C232A3">
            <w:pPr>
              <w:pStyle w:val="ARfintablecolheadcentre"/>
              <w:rPr>
                <w:bCs/>
                <w:color w:val="000000"/>
              </w:rPr>
            </w:pPr>
            <w:r w:rsidRPr="00096C9B">
              <w:t>Note</w:t>
            </w:r>
          </w:p>
        </w:tc>
        <w:tc>
          <w:tcPr>
            <w:tcW w:w="1134" w:type="dxa"/>
            <w:tcBorders>
              <w:bottom w:val="single" w:sz="4" w:space="0" w:color="auto"/>
            </w:tcBorders>
            <w:shd w:val="clear" w:color="auto" w:fill="E7E6E6"/>
            <w:vAlign w:val="bottom"/>
          </w:tcPr>
          <w:p w:rsidR="00C232A3" w:rsidRPr="00096C9B" w:rsidRDefault="00C232A3" w:rsidP="00C232A3">
            <w:pPr>
              <w:pStyle w:val="ARfintablecolheadright"/>
            </w:pPr>
            <w:r w:rsidRPr="00096C9B">
              <w:t>2017</w:t>
            </w:r>
          </w:p>
          <w:p w:rsidR="00C232A3" w:rsidRPr="00096C9B" w:rsidRDefault="00C232A3" w:rsidP="00C232A3">
            <w:pPr>
              <w:pStyle w:val="ARfintablecolheadright"/>
            </w:pPr>
            <w:r w:rsidRPr="00096C9B">
              <w:t>$M</w:t>
            </w:r>
          </w:p>
        </w:tc>
        <w:tc>
          <w:tcPr>
            <w:tcW w:w="1134" w:type="dxa"/>
            <w:tcBorders>
              <w:bottom w:val="single" w:sz="4" w:space="0" w:color="auto"/>
            </w:tcBorders>
            <w:vAlign w:val="bottom"/>
          </w:tcPr>
          <w:p w:rsidR="00C232A3" w:rsidRPr="00096C9B" w:rsidRDefault="00C232A3" w:rsidP="00C232A3">
            <w:pPr>
              <w:pStyle w:val="ARfintablecolheadright"/>
            </w:pPr>
            <w:r w:rsidRPr="00096C9B">
              <w:t>2016</w:t>
            </w:r>
          </w:p>
          <w:p w:rsidR="00C232A3" w:rsidRPr="00096C9B" w:rsidRDefault="00C232A3" w:rsidP="00C232A3">
            <w:pPr>
              <w:pStyle w:val="ARfintablecolheadright"/>
            </w:pPr>
            <w:r w:rsidRPr="00096C9B">
              <w:t>$M</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096C9B" w:rsidRDefault="00C232A3" w:rsidP="00C232A3">
            <w:pPr>
              <w:pStyle w:val="ARfintablebodybold"/>
            </w:pPr>
            <w:r w:rsidRPr="00096C9B">
              <w:t>Assets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096C9B" w:rsidRDefault="00C232A3" w:rsidP="00C232A3">
            <w:pPr>
              <w:pStyle w:val="ARfintablebodybold"/>
            </w:pPr>
            <w:r w:rsidRPr="00096C9B">
              <w:t>Financial assets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7.3</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383.7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230.8</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Receivables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6.1</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2,693.1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2,671.0</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Loans </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6.2</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80.7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82.9</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rStyle w:val="Strong"/>
                <w:bCs w:val="0"/>
              </w:rPr>
            </w:pPr>
            <w:r w:rsidRPr="00AB62BD">
              <w:rPr>
                <w:lang w:eastAsia="en-AU"/>
              </w:rPr>
              <w:t>Short term investments – term deposits</w:t>
            </w:r>
          </w:p>
        </w:tc>
        <w:tc>
          <w:tcPr>
            <w:tcW w:w="680" w:type="dxa"/>
            <w:tcBorders>
              <w:top w:val="single" w:sz="4" w:space="0" w:color="A6A6A6" w:themeColor="background1" w:themeShade="A6"/>
            </w:tcBorders>
          </w:tcPr>
          <w:p w:rsidR="00C232A3" w:rsidRPr="00AB62BD" w:rsidRDefault="00C232A3" w:rsidP="00C232A3">
            <w:pPr>
              <w:pStyle w:val="ARfintablebodyright"/>
              <w:rPr>
                <w:bCs/>
                <w:lang w:eastAsia="en-AU"/>
              </w:rPr>
            </w:pPr>
          </w:p>
        </w:tc>
        <w:tc>
          <w:tcPr>
            <w:tcW w:w="1134" w:type="dxa"/>
            <w:tcBorders>
              <w:top w:val="single" w:sz="4" w:space="0" w:color="A6A6A6" w:themeColor="background1" w:themeShade="A6"/>
            </w:tcBorders>
            <w:shd w:val="clear" w:color="auto" w:fill="E7E6E6"/>
          </w:tcPr>
          <w:p w:rsidR="00C232A3" w:rsidRPr="00096C9B" w:rsidRDefault="00C232A3" w:rsidP="00C232A3">
            <w:pPr>
              <w:pStyle w:val="ARfintablebodyright"/>
            </w:pPr>
            <w:r w:rsidRPr="00096C9B">
              <w:t>418.5</w:t>
            </w:r>
          </w:p>
        </w:tc>
        <w:tc>
          <w:tcPr>
            <w:tcW w:w="1134" w:type="dxa"/>
            <w:tcBorders>
              <w:top w:val="single" w:sz="4" w:space="0" w:color="A6A6A6" w:themeColor="background1" w:themeShade="A6"/>
            </w:tcBorders>
          </w:tcPr>
          <w:p w:rsidR="00C232A3" w:rsidRPr="00096C9B" w:rsidRDefault="00C232A3" w:rsidP="00C232A3">
            <w:pPr>
              <w:pStyle w:val="ARfintablebodyright"/>
            </w:pPr>
            <w:r w:rsidRPr="00096C9B">
              <w:t>346.8</w:t>
            </w:r>
          </w:p>
        </w:tc>
      </w:tr>
      <w:tr w:rsidR="00C232A3" w:rsidRPr="00AB62BD" w:rsidTr="00C232A3">
        <w:trPr>
          <w:cantSplit/>
        </w:trPr>
        <w:tc>
          <w:tcPr>
            <w:tcW w:w="6691" w:type="dxa"/>
            <w:tcBorders>
              <w:bottom w:val="single" w:sz="4" w:space="0" w:color="auto"/>
            </w:tcBorders>
          </w:tcPr>
          <w:p w:rsidR="00C232A3" w:rsidRPr="00096C9B" w:rsidRDefault="00C232A3" w:rsidP="00C232A3">
            <w:pPr>
              <w:pStyle w:val="ARfintablebodybold"/>
            </w:pPr>
            <w:r w:rsidRPr="00096C9B">
              <w:t>Total financial assets</w:t>
            </w:r>
          </w:p>
        </w:tc>
        <w:tc>
          <w:tcPr>
            <w:tcW w:w="680" w:type="dxa"/>
            <w:tcBorders>
              <w:bottom w:val="single" w:sz="4" w:space="0" w:color="auto"/>
            </w:tcBorders>
          </w:tcPr>
          <w:p w:rsidR="00C232A3" w:rsidRPr="00AB62BD" w:rsidRDefault="00C232A3" w:rsidP="00C232A3">
            <w:pPr>
              <w:pStyle w:val="ARfintablebodyright"/>
              <w:rPr>
                <w:b/>
                <w:bCs/>
                <w:lang w:eastAsia="en-AU"/>
              </w:rPr>
            </w:pP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3,575.9</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3,331.6</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096C9B" w:rsidRDefault="00C232A3" w:rsidP="00C232A3">
            <w:pPr>
              <w:pStyle w:val="ARfintablebodybold"/>
            </w:pPr>
            <w:r w:rsidRPr="00096C9B">
              <w:t>Non-financial assets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Non-financial physical assets classified as held for sale </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26.3</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Property, plant and equipment</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5.1</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26,138.7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24,689.6</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Intangible assets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5.2</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64.1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69.3</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Investments accounted for using the equity method </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5.3</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35.0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35.0</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Prepayments</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6.3</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11.4</w:t>
            </w:r>
          </w:p>
        </w:tc>
      </w:tr>
      <w:tr w:rsidR="00C232A3" w:rsidRPr="00AB62BD" w:rsidTr="00C232A3">
        <w:trPr>
          <w:cantSplit/>
        </w:trPr>
        <w:tc>
          <w:tcPr>
            <w:tcW w:w="6691" w:type="dxa"/>
          </w:tcPr>
          <w:p w:rsidR="00C232A3" w:rsidRPr="00096C9B" w:rsidRDefault="00C232A3" w:rsidP="00C232A3">
            <w:pPr>
              <w:pStyle w:val="ARfintablebodybold"/>
            </w:pPr>
            <w:r w:rsidRPr="00096C9B">
              <w:t>Total non-financial assets</w:t>
            </w:r>
          </w:p>
        </w:tc>
        <w:tc>
          <w:tcPr>
            <w:tcW w:w="680" w:type="dxa"/>
          </w:tcPr>
          <w:p w:rsidR="00C232A3" w:rsidRPr="00AB62BD" w:rsidRDefault="00C232A3" w:rsidP="00C232A3">
            <w:pPr>
              <w:pStyle w:val="ARfintablebodyright"/>
              <w:rPr>
                <w:b/>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26,255.7</w:t>
            </w:r>
          </w:p>
        </w:tc>
        <w:tc>
          <w:tcPr>
            <w:tcW w:w="1134" w:type="dxa"/>
          </w:tcPr>
          <w:p w:rsidR="00C232A3" w:rsidRPr="00AB62BD" w:rsidRDefault="00C232A3" w:rsidP="00C232A3">
            <w:pPr>
              <w:pStyle w:val="ARfintablebodyright"/>
              <w:rPr>
                <w:rStyle w:val="Strong"/>
                <w:bCs w:val="0"/>
              </w:rPr>
            </w:pPr>
            <w:r w:rsidRPr="00AB62BD">
              <w:rPr>
                <w:rStyle w:val="Strong"/>
              </w:rPr>
              <w:t>24,831.6</w:t>
            </w:r>
          </w:p>
        </w:tc>
      </w:tr>
      <w:tr w:rsidR="00C232A3" w:rsidRPr="00AB62BD" w:rsidTr="00C232A3">
        <w:trPr>
          <w:cantSplit/>
        </w:trPr>
        <w:tc>
          <w:tcPr>
            <w:tcW w:w="6691" w:type="dxa"/>
            <w:tcBorders>
              <w:bottom w:val="single" w:sz="4" w:space="0" w:color="auto"/>
            </w:tcBorders>
          </w:tcPr>
          <w:p w:rsidR="00C232A3" w:rsidRPr="00096C9B" w:rsidRDefault="00C232A3" w:rsidP="00C232A3">
            <w:pPr>
              <w:pStyle w:val="ARfintablebodybold"/>
            </w:pPr>
            <w:r w:rsidRPr="00096C9B">
              <w:t>Total assets</w:t>
            </w:r>
          </w:p>
        </w:tc>
        <w:tc>
          <w:tcPr>
            <w:tcW w:w="680" w:type="dxa"/>
            <w:tcBorders>
              <w:bottom w:val="single" w:sz="4" w:space="0" w:color="auto"/>
            </w:tcBorders>
          </w:tcPr>
          <w:p w:rsidR="00C232A3" w:rsidRPr="00AB62BD" w:rsidRDefault="00C232A3" w:rsidP="00C232A3">
            <w:pPr>
              <w:pStyle w:val="ARfintablebodyright"/>
              <w:rPr>
                <w:b/>
                <w:bCs/>
                <w:lang w:eastAsia="en-AU"/>
              </w:rPr>
            </w:pP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29,831.5</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28,163.2</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096C9B" w:rsidRDefault="00C232A3" w:rsidP="00C232A3">
            <w:pPr>
              <w:pStyle w:val="ARfintablebodybold"/>
            </w:pPr>
            <w:r w:rsidRPr="00096C9B">
              <w:t>Liabilities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Payables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6.4</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1,208.6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955.0</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Borrowings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7.1</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106.5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103.9</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Employee related provisions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3.1.1(b)</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395.4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400.9</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provisions</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6.5</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85.1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82.5</w:t>
            </w:r>
          </w:p>
        </w:tc>
      </w:tr>
      <w:tr w:rsidR="00C232A3" w:rsidRPr="00AB62BD" w:rsidTr="00C232A3">
        <w:trPr>
          <w:cantSplit/>
        </w:trPr>
        <w:tc>
          <w:tcPr>
            <w:tcW w:w="6691" w:type="dxa"/>
          </w:tcPr>
          <w:p w:rsidR="00C232A3" w:rsidRPr="00096C9B" w:rsidRDefault="00C232A3" w:rsidP="00C232A3">
            <w:pPr>
              <w:pStyle w:val="ARfintablebodybold"/>
            </w:pPr>
            <w:r w:rsidRPr="00096C9B">
              <w:t>Total liabilities</w:t>
            </w:r>
          </w:p>
        </w:tc>
        <w:tc>
          <w:tcPr>
            <w:tcW w:w="680" w:type="dxa"/>
          </w:tcPr>
          <w:p w:rsidR="00C232A3" w:rsidRPr="00AB62BD" w:rsidRDefault="00C232A3" w:rsidP="00C232A3">
            <w:pPr>
              <w:pStyle w:val="ARfintablebodyright"/>
              <w:rPr>
                <w:b/>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1,795.5</w:t>
            </w:r>
          </w:p>
        </w:tc>
        <w:tc>
          <w:tcPr>
            <w:tcW w:w="1134" w:type="dxa"/>
          </w:tcPr>
          <w:p w:rsidR="00C232A3" w:rsidRPr="00AB62BD" w:rsidRDefault="00C232A3" w:rsidP="00C232A3">
            <w:pPr>
              <w:pStyle w:val="ARfintablebodyright"/>
              <w:rPr>
                <w:rStyle w:val="Strong"/>
                <w:bCs w:val="0"/>
              </w:rPr>
            </w:pPr>
            <w:r w:rsidRPr="00AB62BD">
              <w:rPr>
                <w:rStyle w:val="Strong"/>
              </w:rPr>
              <w:t>1,542.3</w:t>
            </w:r>
          </w:p>
        </w:tc>
      </w:tr>
      <w:tr w:rsidR="00C232A3" w:rsidRPr="00AB62BD" w:rsidTr="00C232A3">
        <w:trPr>
          <w:cantSplit/>
        </w:trPr>
        <w:tc>
          <w:tcPr>
            <w:tcW w:w="6691" w:type="dxa"/>
            <w:tcBorders>
              <w:bottom w:val="single" w:sz="4" w:space="0" w:color="auto"/>
            </w:tcBorders>
          </w:tcPr>
          <w:p w:rsidR="00C232A3" w:rsidRPr="00096C9B" w:rsidRDefault="00C232A3" w:rsidP="00C232A3">
            <w:pPr>
              <w:pStyle w:val="ARfintablebodybold"/>
            </w:pPr>
            <w:r w:rsidRPr="00096C9B">
              <w:t>Net assets</w:t>
            </w:r>
          </w:p>
        </w:tc>
        <w:tc>
          <w:tcPr>
            <w:tcW w:w="680" w:type="dxa"/>
            <w:tcBorders>
              <w:bottom w:val="single" w:sz="4" w:space="0" w:color="auto"/>
            </w:tcBorders>
          </w:tcPr>
          <w:p w:rsidR="00C232A3" w:rsidRPr="00AB62BD" w:rsidRDefault="00C232A3" w:rsidP="00C232A3">
            <w:pPr>
              <w:pStyle w:val="ARfintablebodyright"/>
              <w:rPr>
                <w:b/>
                <w:bCs/>
                <w:lang w:eastAsia="en-AU"/>
              </w:rPr>
            </w:pP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28,036.0</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26,620.9</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096C9B" w:rsidRDefault="00C232A3" w:rsidP="00C232A3">
            <w:pPr>
              <w:pStyle w:val="ARfintablebodybold"/>
            </w:pPr>
            <w:r w:rsidRPr="00096C9B">
              <w:t>Equity</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Accumulated surplus/(deficit)</w:t>
            </w:r>
          </w:p>
        </w:tc>
        <w:tc>
          <w:tcPr>
            <w:tcW w:w="680" w:type="dxa"/>
            <w:tcBorders>
              <w:top w:val="single" w:sz="4" w:space="0" w:color="A6A6A6" w:themeColor="background1" w:themeShade="A6"/>
              <w:bottom w:val="single" w:sz="4" w:space="0" w:color="A6A6A6" w:themeColor="background1" w:themeShade="A6"/>
            </w:tcBorders>
            <w:shd w:val="clear" w:color="auto" w:fill="auto"/>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1,431.8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1,697.2</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Physical asset revaluation surplus</w:t>
            </w:r>
          </w:p>
        </w:tc>
        <w:tc>
          <w:tcPr>
            <w:tcW w:w="680" w:type="dxa"/>
            <w:tcBorders>
              <w:top w:val="single" w:sz="4" w:space="0" w:color="A6A6A6" w:themeColor="background1" w:themeShade="A6"/>
              <w:bottom w:val="single" w:sz="4" w:space="0" w:color="A6A6A6" w:themeColor="background1" w:themeShade="A6"/>
            </w:tcBorders>
            <w:shd w:val="clear" w:color="auto" w:fill="auto"/>
          </w:tcPr>
          <w:p w:rsidR="00C232A3" w:rsidRPr="00AB62BD" w:rsidRDefault="00C232A3" w:rsidP="00C232A3">
            <w:pPr>
              <w:pStyle w:val="ARfintablebodyright"/>
              <w:rPr>
                <w:lang w:eastAsia="en-AU"/>
              </w:rPr>
            </w:pPr>
            <w:r w:rsidRPr="00AB62BD">
              <w:rPr>
                <w:lang w:eastAsia="en-AU"/>
              </w:rPr>
              <w:t>9.4</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4,542.1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2,545.1</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Contributed capital</w:t>
            </w:r>
          </w:p>
        </w:tc>
        <w:tc>
          <w:tcPr>
            <w:tcW w:w="680" w:type="dxa"/>
            <w:tcBorders>
              <w:top w:val="single" w:sz="4" w:space="0" w:color="A6A6A6" w:themeColor="background1" w:themeShade="A6"/>
            </w:tcBorders>
            <w:shd w:val="clear" w:color="auto" w:fill="auto"/>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22,062.0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22,378.5</w:t>
            </w:r>
          </w:p>
        </w:tc>
      </w:tr>
      <w:tr w:rsidR="00C232A3" w:rsidRPr="00AB62BD" w:rsidTr="00C232A3">
        <w:trPr>
          <w:cantSplit/>
        </w:trPr>
        <w:tc>
          <w:tcPr>
            <w:tcW w:w="6691" w:type="dxa"/>
          </w:tcPr>
          <w:p w:rsidR="00C232A3" w:rsidRPr="00096C9B" w:rsidRDefault="00C232A3" w:rsidP="00C232A3">
            <w:pPr>
              <w:pStyle w:val="ARfintablebodybold"/>
            </w:pPr>
            <w:r w:rsidRPr="00096C9B">
              <w:t>Net worth</w:t>
            </w:r>
          </w:p>
        </w:tc>
        <w:tc>
          <w:tcPr>
            <w:tcW w:w="680" w:type="dxa"/>
          </w:tcPr>
          <w:p w:rsidR="00C232A3" w:rsidRPr="00AB62BD" w:rsidRDefault="00C232A3" w:rsidP="00C232A3">
            <w:pPr>
              <w:pStyle w:val="ARfintablebodyright"/>
              <w:rPr>
                <w:b/>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28,036.0</w:t>
            </w:r>
          </w:p>
        </w:tc>
        <w:tc>
          <w:tcPr>
            <w:tcW w:w="1134" w:type="dxa"/>
          </w:tcPr>
          <w:p w:rsidR="00C232A3" w:rsidRPr="00AB62BD" w:rsidRDefault="00C232A3" w:rsidP="00C232A3">
            <w:pPr>
              <w:pStyle w:val="ARfintablebodyright"/>
              <w:rPr>
                <w:rStyle w:val="Strong"/>
                <w:bCs w:val="0"/>
              </w:rPr>
            </w:pPr>
            <w:r w:rsidRPr="00AB62BD">
              <w:rPr>
                <w:rStyle w:val="Strong"/>
              </w:rPr>
              <w:t>26,620.9</w:t>
            </w:r>
          </w:p>
        </w:tc>
      </w:tr>
    </w:tbl>
    <w:p w:rsidR="00C232A3" w:rsidRPr="00AB62BD" w:rsidRDefault="00C232A3" w:rsidP="00C232A3">
      <w:pPr>
        <w:pStyle w:val="ARfintablefootnote"/>
        <w:rPr>
          <w:lang w:eastAsia="en-AU"/>
        </w:rPr>
      </w:pPr>
      <w:r w:rsidRPr="00AB62BD">
        <w:rPr>
          <w:lang w:eastAsia="en-AU"/>
        </w:rPr>
        <w:t>The balance sheet should be read in conjunction with the notes to the financial statements.</w:t>
      </w:r>
    </w:p>
    <w:p w:rsidR="007339B9" w:rsidRDefault="007339B9" w:rsidP="007339B9">
      <w:pPr>
        <w:pStyle w:val="ARbody"/>
        <w:rPr>
          <w:rFonts w:eastAsia="MS Gothic"/>
          <w:color w:val="404040"/>
          <w:sz w:val="30"/>
          <w:szCs w:val="30"/>
        </w:rPr>
      </w:pPr>
      <w:r>
        <w:br w:type="page"/>
      </w:r>
    </w:p>
    <w:p w:rsidR="00C232A3" w:rsidRPr="00F94954" w:rsidRDefault="00C232A3" w:rsidP="00C232A3">
      <w:pPr>
        <w:pStyle w:val="Heading2"/>
      </w:pPr>
      <w:bookmarkStart w:id="83" w:name="_Toc493069487"/>
      <w:r w:rsidRPr="00F94954">
        <w:lastRenderedPageBreak/>
        <w:t>Statement of changes in equity</w:t>
      </w:r>
      <w:r>
        <w:br/>
      </w:r>
      <w:r w:rsidRPr="00F94954">
        <w:t>for the financial year ended 30 June 2017</w:t>
      </w:r>
      <w:bookmarkEnd w:id="83"/>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743"/>
        <w:gridCol w:w="680"/>
        <w:gridCol w:w="1304"/>
        <w:gridCol w:w="1304"/>
        <w:gridCol w:w="1304"/>
        <w:gridCol w:w="1304"/>
      </w:tblGrid>
      <w:tr w:rsidR="00C232A3" w:rsidRPr="00AB62BD" w:rsidTr="00C232A3">
        <w:tc>
          <w:tcPr>
            <w:tcW w:w="3743" w:type="dxa"/>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680" w:type="dxa"/>
            <w:vAlign w:val="bottom"/>
          </w:tcPr>
          <w:p w:rsidR="00C232A3" w:rsidRPr="00E84009" w:rsidRDefault="00C232A3" w:rsidP="00C232A3">
            <w:pPr>
              <w:pStyle w:val="ARfintablecolheadright"/>
            </w:pPr>
            <w:r w:rsidRPr="00E84009">
              <w:t>Note</w:t>
            </w:r>
          </w:p>
        </w:tc>
        <w:tc>
          <w:tcPr>
            <w:tcW w:w="1304" w:type="dxa"/>
            <w:vAlign w:val="bottom"/>
          </w:tcPr>
          <w:p w:rsidR="00C232A3" w:rsidRPr="00E84009" w:rsidRDefault="00C232A3" w:rsidP="00C232A3">
            <w:pPr>
              <w:pStyle w:val="ARfintablecolheadright"/>
            </w:pPr>
            <w:r w:rsidRPr="00E84009">
              <w:t>Physical asset revaluation reserve</w:t>
            </w:r>
          </w:p>
          <w:p w:rsidR="00C232A3" w:rsidRPr="00E84009" w:rsidRDefault="00C232A3" w:rsidP="00C232A3">
            <w:pPr>
              <w:pStyle w:val="ARfintablecolheadright"/>
            </w:pPr>
            <w:r w:rsidRPr="00E84009">
              <w:t>$M</w:t>
            </w:r>
          </w:p>
        </w:tc>
        <w:tc>
          <w:tcPr>
            <w:tcW w:w="1304" w:type="dxa"/>
            <w:vAlign w:val="bottom"/>
          </w:tcPr>
          <w:p w:rsidR="00C232A3" w:rsidRPr="00E84009" w:rsidRDefault="00C232A3" w:rsidP="00C232A3">
            <w:pPr>
              <w:pStyle w:val="ARfintablecolheadright"/>
            </w:pPr>
            <w:r w:rsidRPr="00E84009">
              <w:t>Accumulated surplus/</w:t>
            </w:r>
            <w:r w:rsidRPr="00E84009">
              <w:br/>
              <w:t>(deficit)</w:t>
            </w:r>
          </w:p>
          <w:p w:rsidR="00C232A3" w:rsidRPr="00E84009" w:rsidRDefault="00C232A3" w:rsidP="00C232A3">
            <w:pPr>
              <w:pStyle w:val="ARfintablecolheadright"/>
            </w:pPr>
            <w:r w:rsidRPr="00E84009">
              <w:t>$M</w:t>
            </w:r>
          </w:p>
        </w:tc>
        <w:tc>
          <w:tcPr>
            <w:tcW w:w="1304" w:type="dxa"/>
            <w:vAlign w:val="bottom"/>
          </w:tcPr>
          <w:p w:rsidR="00C232A3" w:rsidRPr="00E84009" w:rsidRDefault="00C232A3" w:rsidP="00C232A3">
            <w:pPr>
              <w:pStyle w:val="ARfintablecolheadright"/>
            </w:pPr>
            <w:r w:rsidRPr="00E84009">
              <w:t>Contributed capital</w:t>
            </w:r>
          </w:p>
          <w:p w:rsidR="00C232A3" w:rsidRPr="00E84009" w:rsidRDefault="00C232A3" w:rsidP="00C232A3">
            <w:pPr>
              <w:pStyle w:val="ARfintablecolheadright"/>
            </w:pPr>
            <w:r w:rsidRPr="00E84009">
              <w:t>$M</w:t>
            </w:r>
          </w:p>
        </w:tc>
        <w:tc>
          <w:tcPr>
            <w:tcW w:w="1304" w:type="dxa"/>
            <w:vAlign w:val="bottom"/>
          </w:tcPr>
          <w:p w:rsidR="00C232A3" w:rsidRPr="00E84009" w:rsidRDefault="00C232A3" w:rsidP="00C232A3">
            <w:pPr>
              <w:pStyle w:val="ARfintablecolheadright"/>
            </w:pPr>
            <w:r w:rsidRPr="00E84009">
              <w:t>Total</w:t>
            </w:r>
          </w:p>
          <w:p w:rsidR="00C232A3" w:rsidRPr="00E84009" w:rsidRDefault="00C232A3" w:rsidP="00C232A3">
            <w:pPr>
              <w:pStyle w:val="ARfintablecolheadright"/>
            </w:pPr>
            <w:r w:rsidRPr="00E84009">
              <w:t>$M</w:t>
            </w:r>
          </w:p>
        </w:tc>
      </w:tr>
      <w:tr w:rsidR="00C232A3" w:rsidRPr="00AB62BD" w:rsidTr="00C232A3">
        <w:tc>
          <w:tcPr>
            <w:tcW w:w="3743" w:type="dxa"/>
            <w:tcBorders>
              <w:bottom w:val="single" w:sz="4" w:space="0" w:color="auto"/>
            </w:tcBorders>
          </w:tcPr>
          <w:p w:rsidR="00C232A3" w:rsidRPr="00E84009" w:rsidRDefault="00C232A3" w:rsidP="00C232A3">
            <w:pPr>
              <w:pStyle w:val="ARfintablebodybold"/>
            </w:pPr>
            <w:r w:rsidRPr="00E84009">
              <w:t>Balance at 1 July 2015</w:t>
            </w:r>
          </w:p>
        </w:tc>
        <w:tc>
          <w:tcPr>
            <w:tcW w:w="680" w:type="dxa"/>
            <w:tcBorders>
              <w:bottom w:val="single" w:sz="4" w:space="0" w:color="auto"/>
            </w:tcBorders>
          </w:tcPr>
          <w:p w:rsidR="00C232A3" w:rsidRPr="00AB62BD" w:rsidRDefault="00C232A3" w:rsidP="00C232A3">
            <w:pPr>
              <w:pStyle w:val="ARfintablebodyright"/>
              <w:rPr>
                <w:lang w:eastAsia="en-AU"/>
              </w:rPr>
            </w:pP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76.4</w:t>
            </w: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1,094.8</w:t>
            </w: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22,365.0</w:t>
            </w: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23,536.2</w:t>
            </w:r>
          </w:p>
        </w:tc>
      </w:tr>
      <w:tr w:rsidR="00C232A3" w:rsidRPr="00AB62BD" w:rsidTr="00C232A3">
        <w:tc>
          <w:tcPr>
            <w:tcW w:w="3743"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Net result for the year</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601.5</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601.5</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Remeasurement</w:t>
            </w:r>
            <w:proofErr w:type="spellEnd"/>
            <w:r w:rsidRPr="00AB62BD">
              <w:rPr>
                <w:lang w:eastAsia="en-AU"/>
              </w:rPr>
              <w:t xml:space="preserve"> of superannuation defined benefit plans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Changes in physical asset revaluation surplus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2,468.7</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2,468.7</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contribution by Victorian State Government</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107.7</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107.7</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contributed from asset transfers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r>
      <w:tr w:rsidR="00C232A3" w:rsidRPr="00AB62BD" w:rsidTr="00C232A3">
        <w:tc>
          <w:tcPr>
            <w:tcW w:w="374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contributions to Health agencies</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(96.0)</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(96.0)</w:t>
            </w:r>
          </w:p>
        </w:tc>
      </w:tr>
      <w:tr w:rsidR="00C232A3" w:rsidRPr="00AB62BD" w:rsidTr="00C232A3">
        <w:tc>
          <w:tcPr>
            <w:tcW w:w="3743" w:type="dxa"/>
            <w:tcBorders>
              <w:bottom w:val="single" w:sz="4" w:space="0" w:color="auto"/>
            </w:tcBorders>
          </w:tcPr>
          <w:p w:rsidR="00C232A3" w:rsidRPr="00E84009" w:rsidRDefault="00C232A3" w:rsidP="00C232A3">
            <w:pPr>
              <w:pStyle w:val="ARfintablebodybold"/>
            </w:pPr>
            <w:r w:rsidRPr="00E84009">
              <w:t>Balance at 30 June 2016</w:t>
            </w:r>
          </w:p>
        </w:tc>
        <w:tc>
          <w:tcPr>
            <w:tcW w:w="680" w:type="dxa"/>
            <w:tcBorders>
              <w:bottom w:val="single" w:sz="4" w:space="0" w:color="auto"/>
            </w:tcBorders>
          </w:tcPr>
          <w:p w:rsidR="00C232A3" w:rsidRPr="00AB62BD" w:rsidRDefault="00C232A3" w:rsidP="00C232A3">
            <w:pPr>
              <w:pStyle w:val="ARfintablebodyright"/>
              <w:rPr>
                <w:lang w:eastAsia="en-AU"/>
              </w:rPr>
            </w:pP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2,545.1</w:t>
            </w: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1,697.2</w:t>
            </w: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22,378.5</w:t>
            </w:r>
          </w:p>
        </w:tc>
        <w:tc>
          <w:tcPr>
            <w:tcW w:w="1304" w:type="dxa"/>
            <w:tcBorders>
              <w:bottom w:val="single" w:sz="4" w:space="0" w:color="auto"/>
            </w:tcBorders>
          </w:tcPr>
          <w:p w:rsidR="00C232A3" w:rsidRPr="00AB62BD" w:rsidRDefault="00C232A3" w:rsidP="00C232A3">
            <w:pPr>
              <w:pStyle w:val="ARfintablebodyright"/>
              <w:rPr>
                <w:lang w:eastAsia="en-AU"/>
              </w:rPr>
            </w:pPr>
            <w:r w:rsidRPr="00AB62BD">
              <w:rPr>
                <w:rStyle w:val="Strong"/>
              </w:rPr>
              <w:t>26,620.9</w:t>
            </w:r>
          </w:p>
        </w:tc>
      </w:tr>
      <w:tr w:rsidR="00C232A3" w:rsidRPr="00AB62BD" w:rsidTr="00C232A3">
        <w:tc>
          <w:tcPr>
            <w:tcW w:w="3743"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Net result for the year</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(266.3)</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(266.3)</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Remeasurement</w:t>
            </w:r>
            <w:proofErr w:type="spellEnd"/>
            <w:r w:rsidRPr="00AB62BD">
              <w:rPr>
                <w:lang w:eastAsia="en-AU"/>
              </w:rPr>
              <w:t xml:space="preserve"> of superannuation defined benefit plans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3.1.1</w:t>
            </w:r>
            <w:r>
              <w:rPr>
                <w:lang w:eastAsia="en-AU"/>
              </w:rPr>
              <w:t xml:space="preserve"> </w:t>
            </w:r>
            <w:r w:rsidRPr="00AB62BD">
              <w:rPr>
                <w:lang w:eastAsia="en-AU"/>
              </w:rPr>
              <w:t>(b)</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Changes in physical asset revaluation surplus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1,997.0</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1,997.0</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Administrative restructure – net assets transferred</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(218.2)</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(218.2)</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contribution by Victorian State Government</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187.8</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187.8</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contributions to Health agencies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(109.7)</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(109.7)</w:t>
            </w:r>
          </w:p>
        </w:tc>
      </w:tr>
      <w:tr w:rsidR="00C232A3" w:rsidRPr="00AB62BD" w:rsidTr="00C232A3">
        <w:tc>
          <w:tcPr>
            <w:tcW w:w="37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Pr>
                <w:lang w:eastAsia="en-AU"/>
              </w:rPr>
              <w:t>Net capital contributed from asset transfers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(176.4)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(176.4)</w:t>
            </w:r>
          </w:p>
        </w:tc>
      </w:tr>
      <w:tr w:rsidR="00C232A3" w:rsidRPr="00AB62BD" w:rsidTr="00C232A3">
        <w:tc>
          <w:tcPr>
            <w:tcW w:w="3743" w:type="dxa"/>
          </w:tcPr>
          <w:p w:rsidR="00C232A3" w:rsidRPr="00E84009" w:rsidRDefault="00C232A3" w:rsidP="00C232A3">
            <w:pPr>
              <w:pStyle w:val="ARfintablebodybold"/>
            </w:pPr>
            <w:r w:rsidRPr="00E84009">
              <w:t>Balance at 30 June 2017</w:t>
            </w:r>
          </w:p>
        </w:tc>
        <w:tc>
          <w:tcPr>
            <w:tcW w:w="680" w:type="dxa"/>
          </w:tcPr>
          <w:p w:rsidR="00C232A3" w:rsidRPr="00AB62BD" w:rsidRDefault="00C232A3" w:rsidP="00C232A3">
            <w:pPr>
              <w:pStyle w:val="ARfintablebodyright"/>
              <w:rPr>
                <w:lang w:eastAsia="en-AU"/>
              </w:rPr>
            </w:pPr>
          </w:p>
        </w:tc>
        <w:tc>
          <w:tcPr>
            <w:tcW w:w="1304" w:type="dxa"/>
          </w:tcPr>
          <w:p w:rsidR="00C232A3" w:rsidRPr="00AB62BD" w:rsidRDefault="00C232A3" w:rsidP="00C232A3">
            <w:pPr>
              <w:pStyle w:val="ARfintablebodyright"/>
              <w:rPr>
                <w:lang w:eastAsia="en-AU"/>
              </w:rPr>
            </w:pPr>
            <w:r w:rsidRPr="00AB62BD">
              <w:rPr>
                <w:rStyle w:val="Strong"/>
              </w:rPr>
              <w:t>4,542.1</w:t>
            </w:r>
          </w:p>
        </w:tc>
        <w:tc>
          <w:tcPr>
            <w:tcW w:w="1304" w:type="dxa"/>
          </w:tcPr>
          <w:p w:rsidR="00C232A3" w:rsidRPr="00AB62BD" w:rsidRDefault="00C232A3" w:rsidP="00C232A3">
            <w:pPr>
              <w:pStyle w:val="ARfintablebodyright"/>
              <w:rPr>
                <w:lang w:eastAsia="en-AU"/>
              </w:rPr>
            </w:pPr>
            <w:r w:rsidRPr="00AB62BD">
              <w:rPr>
                <w:rStyle w:val="Strong"/>
              </w:rPr>
              <w:t>1,431.8</w:t>
            </w:r>
          </w:p>
        </w:tc>
        <w:tc>
          <w:tcPr>
            <w:tcW w:w="1304" w:type="dxa"/>
          </w:tcPr>
          <w:p w:rsidR="00C232A3" w:rsidRPr="00AB62BD" w:rsidRDefault="00C232A3" w:rsidP="00C232A3">
            <w:pPr>
              <w:pStyle w:val="ARfintablebodyright"/>
              <w:rPr>
                <w:lang w:eastAsia="en-AU"/>
              </w:rPr>
            </w:pPr>
            <w:r w:rsidRPr="00AB62BD">
              <w:rPr>
                <w:rStyle w:val="Strong"/>
              </w:rPr>
              <w:t>22,062.0</w:t>
            </w:r>
          </w:p>
        </w:tc>
        <w:tc>
          <w:tcPr>
            <w:tcW w:w="1304" w:type="dxa"/>
          </w:tcPr>
          <w:p w:rsidR="00C232A3" w:rsidRPr="00AB62BD" w:rsidRDefault="00C232A3" w:rsidP="00C232A3">
            <w:pPr>
              <w:pStyle w:val="ARfintablebodyright"/>
              <w:rPr>
                <w:rStyle w:val="Strong"/>
                <w:bCs w:val="0"/>
              </w:rPr>
            </w:pPr>
            <w:r w:rsidRPr="00AB62BD">
              <w:rPr>
                <w:rStyle w:val="Strong"/>
              </w:rPr>
              <w:t>28,036.0</w:t>
            </w:r>
          </w:p>
        </w:tc>
      </w:tr>
    </w:tbl>
    <w:p w:rsidR="00AB7E86" w:rsidRPr="00300E48" w:rsidRDefault="00C232A3" w:rsidP="00300E48">
      <w:pPr>
        <w:pStyle w:val="ARfintablefootnote"/>
        <w:rPr>
          <w:lang w:eastAsia="en-AU"/>
        </w:rPr>
      </w:pPr>
      <w:r w:rsidRPr="00AB62BD">
        <w:rPr>
          <w:lang w:eastAsia="en-AU"/>
        </w:rPr>
        <w:t>The statement of changes in equity should be read in conjunction with the not</w:t>
      </w:r>
      <w:r w:rsidR="00300E48">
        <w:rPr>
          <w:lang w:eastAsia="en-AU"/>
        </w:rPr>
        <w:t>es to the financial statements.</w:t>
      </w:r>
      <w:r w:rsidR="00AB7E86">
        <w:br w:type="page"/>
      </w:r>
    </w:p>
    <w:p w:rsidR="00C232A3" w:rsidRPr="00F94954" w:rsidRDefault="00C232A3" w:rsidP="00C232A3">
      <w:pPr>
        <w:pStyle w:val="Heading2"/>
      </w:pPr>
      <w:bookmarkStart w:id="84" w:name="_Toc493069488"/>
      <w:bookmarkStart w:id="85" w:name="_Ref493159161"/>
      <w:r w:rsidRPr="00F94954">
        <w:lastRenderedPageBreak/>
        <w:t>Cash flow statement for the financial year ended 30 June 2017</w:t>
      </w:r>
      <w:bookmarkEnd w:id="84"/>
      <w:bookmarkEnd w:id="85"/>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691"/>
        <w:gridCol w:w="680"/>
        <w:gridCol w:w="1134"/>
        <w:gridCol w:w="1134"/>
      </w:tblGrid>
      <w:tr w:rsidR="00C232A3" w:rsidRPr="00AB62BD" w:rsidTr="00C232A3">
        <w:trPr>
          <w:cantSplit/>
          <w:tblHeader/>
        </w:trPr>
        <w:tc>
          <w:tcPr>
            <w:tcW w:w="6691"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center"/>
              <w:rPr>
                <w:rFonts w:cs="Arial"/>
                <w:b/>
                <w:bCs/>
                <w:color w:val="000000"/>
                <w:sz w:val="16"/>
                <w:szCs w:val="16"/>
                <w:lang w:eastAsia="en-AU"/>
              </w:rPr>
            </w:pPr>
          </w:p>
        </w:tc>
        <w:tc>
          <w:tcPr>
            <w:tcW w:w="680" w:type="dxa"/>
            <w:tcBorders>
              <w:bottom w:val="single" w:sz="4" w:space="0" w:color="auto"/>
            </w:tcBorders>
            <w:vAlign w:val="bottom"/>
          </w:tcPr>
          <w:p w:rsidR="00C232A3" w:rsidRPr="00E46912" w:rsidRDefault="00C232A3" w:rsidP="00C232A3">
            <w:pPr>
              <w:pStyle w:val="ARfintablecolheadcentre"/>
            </w:pPr>
            <w:r w:rsidRPr="00E46912">
              <w:t>Note</w:t>
            </w:r>
          </w:p>
        </w:tc>
        <w:tc>
          <w:tcPr>
            <w:tcW w:w="1134" w:type="dxa"/>
            <w:tcBorders>
              <w:bottom w:val="single" w:sz="4" w:space="0" w:color="auto"/>
            </w:tcBorders>
            <w:shd w:val="clear" w:color="auto" w:fill="E7E6E6"/>
            <w:vAlign w:val="bottom"/>
          </w:tcPr>
          <w:p w:rsidR="00C232A3" w:rsidRPr="00E46912" w:rsidRDefault="00C232A3" w:rsidP="00C232A3">
            <w:pPr>
              <w:pStyle w:val="ARfintablecolheadright"/>
            </w:pPr>
            <w:r w:rsidRPr="00E46912">
              <w:t>2017</w:t>
            </w:r>
          </w:p>
          <w:p w:rsidR="00C232A3" w:rsidRPr="00E46912" w:rsidRDefault="00C232A3" w:rsidP="00C232A3">
            <w:pPr>
              <w:pStyle w:val="ARfintablecolheadright"/>
            </w:pPr>
            <w:r w:rsidRPr="00E46912">
              <w:t>$M</w:t>
            </w:r>
          </w:p>
        </w:tc>
        <w:tc>
          <w:tcPr>
            <w:tcW w:w="1134" w:type="dxa"/>
            <w:tcBorders>
              <w:bottom w:val="single" w:sz="4" w:space="0" w:color="auto"/>
            </w:tcBorders>
            <w:vAlign w:val="bottom"/>
          </w:tcPr>
          <w:p w:rsidR="00C232A3" w:rsidRPr="00E46912" w:rsidRDefault="00C232A3" w:rsidP="00C232A3">
            <w:pPr>
              <w:pStyle w:val="ARfintablecolheadright"/>
            </w:pPr>
            <w:r w:rsidRPr="00E46912">
              <w:t>2016</w:t>
            </w:r>
          </w:p>
          <w:p w:rsidR="00C232A3" w:rsidRPr="00E46912" w:rsidRDefault="00C232A3" w:rsidP="00C232A3">
            <w:pPr>
              <w:pStyle w:val="ARfintablecolheadright"/>
            </w:pPr>
            <w:r w:rsidRPr="00E46912">
              <w:t>$M</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076545" w:rsidRDefault="00C232A3" w:rsidP="00C232A3">
            <w:pPr>
              <w:pStyle w:val="ARfintablebodybold"/>
            </w:pPr>
            <w:r w:rsidRPr="00076545">
              <w:t>Cash flows from operating activities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bold"/>
              <w:rPr>
                <w:rStyle w:val="Strong"/>
                <w:rFonts w:cs="Arial"/>
                <w:bCs/>
              </w:rPr>
            </w:pPr>
            <w:r w:rsidRPr="00076545">
              <w:t>Receipts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Receipts of output appropriations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13,783.1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12,296.5</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Receipts of special appropriations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1,334.6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1,341.2</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Receipts of funds from other authorities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940.3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811.1</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 received</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465.1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470.3</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User charges received – rental properties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received</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9.2</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receipts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80.5</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GST recovered from Australian Taxation Office</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523.3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480.6</w:t>
            </w:r>
          </w:p>
        </w:tc>
      </w:tr>
      <w:tr w:rsidR="00C232A3" w:rsidRPr="00AB62BD" w:rsidTr="00C232A3">
        <w:trPr>
          <w:cantSplit/>
        </w:trPr>
        <w:tc>
          <w:tcPr>
            <w:tcW w:w="6691" w:type="dxa"/>
            <w:tcBorders>
              <w:top w:val="single" w:sz="4" w:space="0" w:color="A6A6A6" w:themeColor="background1" w:themeShade="A6"/>
              <w:bottom w:val="single" w:sz="4" w:space="0" w:color="auto"/>
            </w:tcBorders>
          </w:tcPr>
          <w:p w:rsidR="00C232A3" w:rsidRPr="00076545" w:rsidRDefault="00C232A3" w:rsidP="00C232A3">
            <w:pPr>
              <w:pStyle w:val="ARfintablebodybold"/>
            </w:pPr>
            <w:r w:rsidRPr="00076545">
              <w:t>Total receipts</w:t>
            </w:r>
          </w:p>
        </w:tc>
        <w:tc>
          <w:tcPr>
            <w:tcW w:w="680" w:type="dxa"/>
            <w:tcBorders>
              <w:top w:val="single" w:sz="4" w:space="0" w:color="A6A6A6" w:themeColor="background1" w:themeShade="A6"/>
              <w:bottom w:val="single" w:sz="4" w:space="0" w:color="auto"/>
            </w:tcBorders>
          </w:tcPr>
          <w:p w:rsidR="00C232A3" w:rsidRPr="00AB62BD" w:rsidRDefault="00C232A3" w:rsidP="00C232A3">
            <w:pPr>
              <w:pStyle w:val="ARfintablebodyright"/>
              <w:rPr>
                <w:b/>
                <w:bCs/>
                <w:lang w:eastAsia="en-AU"/>
              </w:rPr>
            </w:pP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17,080.2</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b/>
                <w:bCs/>
                <w:lang w:eastAsia="en-AU"/>
              </w:rPr>
            </w:pPr>
            <w:r w:rsidRPr="00AB62BD">
              <w:rPr>
                <w:rStyle w:val="Strong"/>
              </w:rPr>
              <w:t>15,494.2</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AB62BD" w:rsidRDefault="00C232A3" w:rsidP="00C232A3">
            <w:pPr>
              <w:pStyle w:val="ARfintablebodybold"/>
              <w:rPr>
                <w:rStyle w:val="Strong"/>
                <w:rFonts w:cs="Arial"/>
                <w:bCs/>
              </w:rPr>
            </w:pPr>
            <w:r w:rsidRPr="00076545">
              <w:t>Payments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Payments of grants and other expense transfers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(13,437.8)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(12,121.9)</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Payments for employee benefits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(1,250.1)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(1,185.1)</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Payments for supplies and services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(558.6)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(500.2)</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and other costs of finance paid</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asset charge payments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(1,116.7)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(1,016.8)</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Maintenance</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(197.1)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(200.9)</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Other </w:t>
            </w:r>
            <w:r>
              <w:rPr>
                <w:lang w:eastAsia="en-AU"/>
              </w:rPr>
              <w:t>p</w:t>
            </w:r>
            <w:r w:rsidRPr="00AB62BD">
              <w:rPr>
                <w:lang w:eastAsia="en-AU"/>
              </w:rPr>
              <w:t xml:space="preserve">roperty </w:t>
            </w:r>
            <w:r>
              <w:rPr>
                <w:lang w:eastAsia="en-AU"/>
              </w:rPr>
              <w:t>m</w:t>
            </w:r>
            <w:r w:rsidRPr="00AB62BD">
              <w:rPr>
                <w:lang w:eastAsia="en-AU"/>
              </w:rPr>
              <w:t>anagement expenses</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(200.2)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(211.5)</w:t>
            </w:r>
          </w:p>
        </w:tc>
      </w:tr>
      <w:tr w:rsidR="00C232A3" w:rsidRPr="00AB62BD" w:rsidTr="00C232A3">
        <w:trPr>
          <w:cantSplit/>
        </w:trPr>
        <w:tc>
          <w:tcPr>
            <w:tcW w:w="6691" w:type="dxa"/>
          </w:tcPr>
          <w:p w:rsidR="00C232A3" w:rsidRPr="00076545" w:rsidRDefault="00C232A3" w:rsidP="00C232A3">
            <w:pPr>
              <w:pStyle w:val="ARfintablebodybold"/>
            </w:pPr>
            <w:r w:rsidRPr="00076545">
              <w:t>Total payments</w:t>
            </w:r>
          </w:p>
        </w:tc>
        <w:tc>
          <w:tcPr>
            <w:tcW w:w="680" w:type="dxa"/>
          </w:tcPr>
          <w:p w:rsidR="00C232A3" w:rsidRPr="00AB62BD" w:rsidRDefault="00C232A3" w:rsidP="00C232A3">
            <w:pPr>
              <w:pStyle w:val="ARfintablebodyright"/>
              <w:rPr>
                <w:b/>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(16,765.</w:t>
            </w:r>
            <w:r>
              <w:rPr>
                <w:rStyle w:val="Strong"/>
              </w:rPr>
              <w:t>1</w:t>
            </w: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(15,238.9)</w:t>
            </w:r>
          </w:p>
        </w:tc>
      </w:tr>
      <w:tr w:rsidR="00C232A3" w:rsidRPr="00AB62BD" w:rsidTr="00C232A3">
        <w:trPr>
          <w:cantSplit/>
        </w:trPr>
        <w:tc>
          <w:tcPr>
            <w:tcW w:w="6691" w:type="dxa"/>
            <w:tcBorders>
              <w:bottom w:val="single" w:sz="4" w:space="0" w:color="auto"/>
            </w:tcBorders>
          </w:tcPr>
          <w:p w:rsidR="00C232A3" w:rsidRPr="00076545" w:rsidRDefault="00C232A3" w:rsidP="00C232A3">
            <w:pPr>
              <w:pStyle w:val="ARfintablebodybold"/>
            </w:pPr>
            <w:r w:rsidRPr="00076545">
              <w:t>Net cash flows from/(used in) operating activities</w:t>
            </w:r>
          </w:p>
        </w:tc>
        <w:tc>
          <w:tcPr>
            <w:tcW w:w="680" w:type="dxa"/>
            <w:tcBorders>
              <w:bottom w:val="single" w:sz="4" w:space="0" w:color="auto"/>
            </w:tcBorders>
          </w:tcPr>
          <w:p w:rsidR="00C232A3" w:rsidRPr="00AB62BD" w:rsidRDefault="00C232A3" w:rsidP="00C232A3">
            <w:pPr>
              <w:pStyle w:val="ARfintablebodyright"/>
              <w:rPr>
                <w:lang w:eastAsia="en-AU"/>
              </w:rPr>
            </w:pPr>
            <w:r w:rsidRPr="00AB62BD">
              <w:rPr>
                <w:lang w:eastAsia="en-AU"/>
              </w:rPr>
              <w:t>7.3.1</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315.1</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255.3</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076545" w:rsidRDefault="00C232A3" w:rsidP="00C232A3">
            <w:pPr>
              <w:pStyle w:val="ARfintablebodybold"/>
            </w:pPr>
            <w:r w:rsidRPr="00076545">
              <w:t>Cash flows from investing activities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Proceeds from the sale of non-financial assets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150.7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165.8</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Purchase of short term investments – term deposits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(225.1)</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Client loans repaid</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4.9</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 for non-financial assets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(321.6)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(334.2)</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Client loans granted</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(6.3)</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(7.3)</w:t>
            </w:r>
          </w:p>
        </w:tc>
      </w:tr>
      <w:tr w:rsidR="00C232A3" w:rsidRPr="00AB62BD" w:rsidTr="00C232A3">
        <w:trPr>
          <w:cantSplit/>
        </w:trPr>
        <w:tc>
          <w:tcPr>
            <w:tcW w:w="6691" w:type="dxa"/>
            <w:tcBorders>
              <w:bottom w:val="single" w:sz="4" w:space="0" w:color="auto"/>
            </w:tcBorders>
          </w:tcPr>
          <w:p w:rsidR="00C232A3" w:rsidRPr="00076545" w:rsidRDefault="00C232A3" w:rsidP="00C232A3">
            <w:pPr>
              <w:pStyle w:val="ARfintablebodybold"/>
            </w:pPr>
            <w:r w:rsidRPr="00076545">
              <w:t>Net cash flows from/(used in) investing activities</w:t>
            </w:r>
          </w:p>
        </w:tc>
        <w:tc>
          <w:tcPr>
            <w:tcW w:w="680" w:type="dxa"/>
            <w:tcBorders>
              <w:bottom w:val="single" w:sz="4" w:space="0" w:color="auto"/>
            </w:tcBorders>
          </w:tcPr>
          <w:p w:rsidR="00C232A3" w:rsidRPr="00AB62BD" w:rsidRDefault="00C232A3" w:rsidP="00C232A3">
            <w:pPr>
              <w:pStyle w:val="ARfintablebodyright"/>
              <w:rPr>
                <w:b/>
                <w:bCs/>
                <w:lang w:eastAsia="en-AU"/>
              </w:rPr>
            </w:pP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(240.5)</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(395.9)</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076545" w:rsidRDefault="00C232A3" w:rsidP="00C232A3">
            <w:pPr>
              <w:pStyle w:val="ARfintablebodybold"/>
            </w:pPr>
            <w:r w:rsidRPr="00076545">
              <w:t>Cash flows from financing activities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Advances received</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Owner contributions by Victorian Government – appropriation for capital expenditure purposes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187.8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107.7</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Payments of capital contributions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(112.2)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(106.2)</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Repayment of finance leases and borrowings</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(3.7)</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r>
      <w:tr w:rsidR="00C232A3" w:rsidRPr="00AB62BD" w:rsidTr="00C232A3">
        <w:trPr>
          <w:cantSplit/>
        </w:trPr>
        <w:tc>
          <w:tcPr>
            <w:tcW w:w="6691" w:type="dxa"/>
          </w:tcPr>
          <w:p w:rsidR="00C232A3" w:rsidRPr="00076545" w:rsidRDefault="00C232A3" w:rsidP="00C232A3">
            <w:pPr>
              <w:pStyle w:val="ARfintablebodybold"/>
            </w:pPr>
            <w:r w:rsidRPr="00076545">
              <w:t>Net cash flows from/(used in) financing activities</w:t>
            </w:r>
          </w:p>
        </w:tc>
        <w:tc>
          <w:tcPr>
            <w:tcW w:w="680" w:type="dxa"/>
          </w:tcPr>
          <w:p w:rsidR="00C232A3" w:rsidRPr="00AB62BD" w:rsidRDefault="00C232A3" w:rsidP="00C232A3">
            <w:pPr>
              <w:pStyle w:val="ARfintablebodyright"/>
              <w:rPr>
                <w:b/>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78.2</w:t>
            </w:r>
          </w:p>
        </w:tc>
        <w:tc>
          <w:tcPr>
            <w:tcW w:w="1134" w:type="dxa"/>
          </w:tcPr>
          <w:p w:rsidR="00C232A3" w:rsidRPr="00AB62BD" w:rsidRDefault="00C232A3" w:rsidP="00C232A3">
            <w:pPr>
              <w:pStyle w:val="ARfintablebodyright"/>
              <w:rPr>
                <w:b/>
                <w:bCs/>
                <w:lang w:eastAsia="en-AU"/>
              </w:rPr>
            </w:pPr>
            <w:r w:rsidRPr="00AB62BD">
              <w:rPr>
                <w:rStyle w:val="Strong"/>
              </w:rPr>
              <w:t>2.0</w:t>
            </w:r>
          </w:p>
        </w:tc>
      </w:tr>
      <w:tr w:rsidR="00C232A3" w:rsidRPr="00AB62BD" w:rsidTr="00C232A3">
        <w:trPr>
          <w:cantSplit/>
        </w:trPr>
        <w:tc>
          <w:tcPr>
            <w:tcW w:w="6691" w:type="dxa"/>
          </w:tcPr>
          <w:p w:rsidR="00C232A3" w:rsidRPr="00076545" w:rsidRDefault="00C232A3" w:rsidP="00C232A3">
            <w:pPr>
              <w:pStyle w:val="ARfintablebodybold"/>
            </w:pPr>
            <w:r w:rsidRPr="00076545">
              <w:t>Net increase/(decrease) in cash and deposits</w:t>
            </w:r>
          </w:p>
        </w:tc>
        <w:tc>
          <w:tcPr>
            <w:tcW w:w="680" w:type="dxa"/>
          </w:tcPr>
          <w:p w:rsidR="00C232A3" w:rsidRPr="00AB62BD" w:rsidRDefault="00C232A3" w:rsidP="00C232A3">
            <w:pPr>
              <w:pStyle w:val="ARfintablebodyright"/>
              <w:rPr>
                <w:b/>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152.8</w:t>
            </w:r>
          </w:p>
        </w:tc>
        <w:tc>
          <w:tcPr>
            <w:tcW w:w="1134" w:type="dxa"/>
          </w:tcPr>
          <w:p w:rsidR="00C232A3" w:rsidRPr="00AB62BD" w:rsidRDefault="00C232A3" w:rsidP="00C232A3">
            <w:pPr>
              <w:pStyle w:val="ARfintablebodyright"/>
              <w:rPr>
                <w:b/>
                <w:bCs/>
                <w:lang w:eastAsia="en-AU"/>
              </w:rPr>
            </w:pPr>
            <w:r w:rsidRPr="00AB62BD">
              <w:rPr>
                <w:rStyle w:val="Strong"/>
              </w:rPr>
              <w:t>(138.5)</w:t>
            </w:r>
          </w:p>
        </w:tc>
      </w:tr>
      <w:tr w:rsidR="00C232A3" w:rsidRPr="00AB62BD" w:rsidTr="00C232A3">
        <w:trPr>
          <w:cantSplit/>
        </w:trPr>
        <w:tc>
          <w:tcPr>
            <w:tcW w:w="6691" w:type="dxa"/>
          </w:tcPr>
          <w:p w:rsidR="00C232A3" w:rsidRPr="00AB62BD" w:rsidRDefault="00C232A3" w:rsidP="00C232A3">
            <w:pPr>
              <w:pStyle w:val="ARfintablebody"/>
              <w:rPr>
                <w:lang w:eastAsia="en-AU"/>
              </w:rPr>
            </w:pPr>
            <w:r w:rsidRPr="00AB62BD">
              <w:rPr>
                <w:lang w:eastAsia="en-AU"/>
              </w:rPr>
              <w:t>Cash and deposits at beginning of financial year</w:t>
            </w:r>
          </w:p>
        </w:tc>
        <w:tc>
          <w:tcPr>
            <w:tcW w:w="680" w:type="dxa"/>
          </w:tcPr>
          <w:p w:rsidR="00C232A3" w:rsidRPr="00AB62BD" w:rsidRDefault="00C232A3" w:rsidP="00C232A3">
            <w:pPr>
              <w:pStyle w:val="ARfintablebodyright"/>
              <w:rPr>
                <w:lang w:eastAsia="en-AU"/>
              </w:rPr>
            </w:pPr>
          </w:p>
        </w:tc>
        <w:tc>
          <w:tcPr>
            <w:tcW w:w="1134" w:type="dxa"/>
            <w:shd w:val="clear" w:color="auto" w:fill="E7E6E6"/>
          </w:tcPr>
          <w:p w:rsidR="00C232A3" w:rsidRPr="00AB62BD" w:rsidRDefault="00C232A3" w:rsidP="00C232A3">
            <w:pPr>
              <w:pStyle w:val="ARfintablebodyright"/>
              <w:rPr>
                <w:lang w:eastAsia="en-AU"/>
              </w:rPr>
            </w:pPr>
            <w:r w:rsidRPr="00AB62BD">
              <w:rPr>
                <w:lang w:eastAsia="en-AU"/>
              </w:rPr>
              <w:t>230.8</w:t>
            </w:r>
          </w:p>
        </w:tc>
        <w:tc>
          <w:tcPr>
            <w:tcW w:w="1134" w:type="dxa"/>
          </w:tcPr>
          <w:p w:rsidR="00C232A3" w:rsidRPr="00AB62BD" w:rsidRDefault="00C232A3" w:rsidP="00C232A3">
            <w:pPr>
              <w:pStyle w:val="ARfintablebodyright"/>
              <w:rPr>
                <w:lang w:eastAsia="en-AU"/>
              </w:rPr>
            </w:pPr>
            <w:r w:rsidRPr="00AB62BD">
              <w:rPr>
                <w:lang w:eastAsia="en-AU"/>
              </w:rPr>
              <w:t>369.4</w:t>
            </w:r>
          </w:p>
        </w:tc>
      </w:tr>
      <w:tr w:rsidR="00C232A3" w:rsidRPr="00AB62BD" w:rsidTr="00C232A3">
        <w:trPr>
          <w:cantSplit/>
        </w:trPr>
        <w:tc>
          <w:tcPr>
            <w:tcW w:w="6691" w:type="dxa"/>
          </w:tcPr>
          <w:p w:rsidR="00C232A3" w:rsidRPr="00076545" w:rsidRDefault="00C232A3" w:rsidP="00C232A3">
            <w:pPr>
              <w:pStyle w:val="ARfintablebodybold"/>
            </w:pPr>
            <w:r w:rsidRPr="00076545">
              <w:t>Cash and deposits at the end of the financial year</w:t>
            </w:r>
          </w:p>
        </w:tc>
        <w:tc>
          <w:tcPr>
            <w:tcW w:w="680" w:type="dxa"/>
          </w:tcPr>
          <w:p w:rsidR="00C232A3" w:rsidRPr="00AB62BD" w:rsidRDefault="00C232A3" w:rsidP="00C232A3">
            <w:pPr>
              <w:pStyle w:val="ARfintablebodyright"/>
              <w:rPr>
                <w:lang w:eastAsia="en-AU"/>
              </w:rPr>
            </w:pPr>
            <w:r w:rsidRPr="00AB62BD">
              <w:rPr>
                <w:lang w:eastAsia="en-AU"/>
              </w:rPr>
              <w:t>7.3</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383.7</w:t>
            </w:r>
          </w:p>
        </w:tc>
        <w:tc>
          <w:tcPr>
            <w:tcW w:w="1134" w:type="dxa"/>
          </w:tcPr>
          <w:p w:rsidR="00C232A3" w:rsidRPr="00AB62BD" w:rsidRDefault="00C232A3" w:rsidP="00C232A3">
            <w:pPr>
              <w:pStyle w:val="ARfintablebodyright"/>
              <w:rPr>
                <w:rStyle w:val="Strong"/>
                <w:bCs w:val="0"/>
              </w:rPr>
            </w:pPr>
            <w:r w:rsidRPr="00AB62BD">
              <w:rPr>
                <w:rStyle w:val="Strong"/>
              </w:rPr>
              <w:t>230.8</w:t>
            </w:r>
          </w:p>
        </w:tc>
      </w:tr>
    </w:tbl>
    <w:p w:rsidR="00C232A3" w:rsidRPr="00AB62BD" w:rsidRDefault="00C232A3" w:rsidP="00C232A3">
      <w:pPr>
        <w:pStyle w:val="ARfintablefootnote"/>
        <w:rPr>
          <w:lang w:eastAsia="en-AU"/>
        </w:rPr>
      </w:pPr>
      <w:r w:rsidRPr="00AB62BD">
        <w:rPr>
          <w:lang w:eastAsia="en-AU"/>
        </w:rPr>
        <w:t>The cash flow statement should be read in conjunction with the notes to the financial statements.</w:t>
      </w:r>
    </w:p>
    <w:p w:rsidR="00C232A3" w:rsidRPr="00AB62BD" w:rsidRDefault="00C232A3" w:rsidP="00C232A3">
      <w:pPr>
        <w:pStyle w:val="ARfintablefootnote"/>
        <w:rPr>
          <w:iCs/>
          <w:lang w:eastAsia="en-AU"/>
        </w:rPr>
      </w:pPr>
      <w:r w:rsidRPr="00AB62BD">
        <w:rPr>
          <w:iCs/>
          <w:lang w:eastAsia="en-AU"/>
        </w:rPr>
        <w:t>Note:</w:t>
      </w:r>
    </w:p>
    <w:p w:rsidR="00C232A3" w:rsidRPr="00AB62BD" w:rsidRDefault="00C232A3" w:rsidP="00C232A3">
      <w:pPr>
        <w:pStyle w:val="ARfintablefootnoteroman"/>
      </w:pPr>
      <w:r>
        <w:t>(</w:t>
      </w:r>
      <w:proofErr w:type="spellStart"/>
      <w:r>
        <w:t>i</w:t>
      </w:r>
      <w:proofErr w:type="spellEnd"/>
      <w:r>
        <w:t>)</w:t>
      </w:r>
      <w:r>
        <w:tab/>
      </w:r>
      <w:r w:rsidRPr="00AB62BD">
        <w:t>Goods and services tax (GST) recovered/paid from the Australian Taxation Office is presented on a net basis.</w:t>
      </w:r>
    </w:p>
    <w:p w:rsidR="007339B9" w:rsidRDefault="007339B9" w:rsidP="007339B9">
      <w:pPr>
        <w:pStyle w:val="ARbody"/>
        <w:rPr>
          <w:rFonts w:eastAsia="MS Gothic"/>
          <w:color w:val="404040"/>
          <w:sz w:val="30"/>
          <w:szCs w:val="30"/>
        </w:rPr>
      </w:pPr>
      <w:r>
        <w:br w:type="page"/>
      </w:r>
    </w:p>
    <w:p w:rsidR="00C232A3" w:rsidRPr="0030085A" w:rsidRDefault="00C232A3" w:rsidP="00C232A3">
      <w:pPr>
        <w:pStyle w:val="Heading2"/>
      </w:pPr>
      <w:bookmarkStart w:id="86" w:name="_Ref492907060"/>
      <w:bookmarkStart w:id="87" w:name="_Ref492909675"/>
      <w:bookmarkStart w:id="88" w:name="_Toc493069489"/>
      <w:r w:rsidRPr="0030085A">
        <w:lastRenderedPageBreak/>
        <w:t>Notes to and forming part of the financial statements for the financial year ended 30 June 2017</w:t>
      </w:r>
      <w:bookmarkEnd w:id="86"/>
      <w:bookmarkEnd w:id="87"/>
      <w:bookmarkEnd w:id="88"/>
    </w:p>
    <w:p w:rsidR="00C232A3" w:rsidRPr="0030085A" w:rsidRDefault="00C232A3" w:rsidP="00C232A3">
      <w:pPr>
        <w:pStyle w:val="Heading3"/>
      </w:pPr>
      <w:bookmarkStart w:id="89" w:name="_Toc493069490"/>
      <w:r w:rsidRPr="0030085A">
        <w:t>1. About this report</w:t>
      </w:r>
      <w:bookmarkEnd w:id="89"/>
    </w:p>
    <w:p w:rsidR="00C232A3" w:rsidRPr="00AB62BD" w:rsidRDefault="00C232A3" w:rsidP="00C232A3">
      <w:pPr>
        <w:pStyle w:val="ARbody"/>
        <w:rPr>
          <w:lang w:eastAsia="en-AU"/>
        </w:rPr>
      </w:pPr>
      <w:r w:rsidRPr="00AB62BD">
        <w:rPr>
          <w:lang w:eastAsia="en-AU"/>
        </w:rPr>
        <w:t xml:space="preserve">The Department of Health and Human Services (the department) is a government department of the State of Victoria, established pursuant to an order made by the Premier under the </w:t>
      </w:r>
      <w:r w:rsidRPr="0030085A">
        <w:rPr>
          <w:rStyle w:val="Emphasis"/>
        </w:rPr>
        <w:t xml:space="preserve">Administrative Arrangements Act (No. 202) 2009. </w:t>
      </w:r>
      <w:r w:rsidRPr="00AB62BD">
        <w:rPr>
          <w:lang w:eastAsia="en-AU"/>
        </w:rPr>
        <w:t>It is an administrative agency acting on behalf of the Crown.</w:t>
      </w:r>
    </w:p>
    <w:p w:rsidR="00AA035A" w:rsidRDefault="00C232A3" w:rsidP="00C232A3">
      <w:pPr>
        <w:pStyle w:val="ARbody"/>
        <w:rPr>
          <w:lang w:eastAsia="en-AU"/>
        </w:rPr>
      </w:pPr>
      <w:r>
        <w:rPr>
          <w:lang w:eastAsia="en-AU"/>
        </w:rPr>
        <w:t xml:space="preserve">The </w:t>
      </w:r>
      <w:r w:rsidRPr="00AB62BD">
        <w:rPr>
          <w:lang w:eastAsia="en-AU"/>
        </w:rPr>
        <w:t>Department of Health and Human Services</w:t>
      </w:r>
      <w:r>
        <w:rPr>
          <w:lang w:eastAsia="en-AU"/>
        </w:rPr>
        <w:t xml:space="preserve">’ </w:t>
      </w:r>
      <w:r w:rsidRPr="00AB62BD">
        <w:rPr>
          <w:lang w:eastAsia="en-AU"/>
        </w:rPr>
        <w:t>principal address is:</w:t>
      </w:r>
    </w:p>
    <w:p w:rsidR="00C232A3" w:rsidRPr="00AB62BD" w:rsidRDefault="00C232A3" w:rsidP="00C232A3">
      <w:pPr>
        <w:pStyle w:val="ARbody"/>
        <w:rPr>
          <w:lang w:eastAsia="en-AU"/>
        </w:rPr>
      </w:pPr>
      <w:r w:rsidRPr="00AB62BD">
        <w:rPr>
          <w:lang w:eastAsia="en-AU"/>
        </w:rPr>
        <w:t>50 Lonsdale Street</w:t>
      </w:r>
      <w:r>
        <w:rPr>
          <w:lang w:eastAsia="en-AU"/>
        </w:rPr>
        <w:br/>
      </w:r>
      <w:r w:rsidRPr="00AB62BD">
        <w:rPr>
          <w:lang w:eastAsia="en-AU"/>
        </w:rPr>
        <w:t>Melbourne VIC 3000</w:t>
      </w:r>
    </w:p>
    <w:p w:rsidR="00C232A3" w:rsidRPr="00AB62BD" w:rsidRDefault="00C232A3" w:rsidP="00C232A3">
      <w:pPr>
        <w:pStyle w:val="ARbody"/>
        <w:rPr>
          <w:lang w:eastAsia="en-AU"/>
        </w:rPr>
      </w:pPr>
      <w:r w:rsidRPr="00AB62BD">
        <w:rPr>
          <w:lang w:eastAsia="en-AU"/>
        </w:rPr>
        <w:t xml:space="preserve">A description of the nature of its operations and its principal activities is included in the </w:t>
      </w:r>
      <w:r w:rsidRPr="0030085A">
        <w:rPr>
          <w:rStyle w:val="Strong"/>
        </w:rPr>
        <w:t>Report of operations</w:t>
      </w:r>
      <w:r>
        <w:rPr>
          <w:rStyle w:val="Strong"/>
        </w:rPr>
        <w:t>,</w:t>
      </w:r>
      <w:r w:rsidRPr="00AB62BD">
        <w:rPr>
          <w:lang w:eastAsia="en-AU"/>
        </w:rPr>
        <w:t xml:space="preserve"> which does not form part of these financial statements.</w:t>
      </w:r>
    </w:p>
    <w:p w:rsidR="00C232A3" w:rsidRPr="0030085A" w:rsidRDefault="00C232A3" w:rsidP="00C232A3">
      <w:pPr>
        <w:pStyle w:val="Heading4"/>
      </w:pPr>
      <w:r w:rsidRPr="0030085A">
        <w:t>Basis of preparation</w:t>
      </w:r>
    </w:p>
    <w:p w:rsidR="00C232A3" w:rsidRPr="00AB62BD" w:rsidRDefault="00C232A3" w:rsidP="00C232A3">
      <w:pPr>
        <w:pStyle w:val="ARbody"/>
        <w:rPr>
          <w:lang w:eastAsia="en-AU"/>
        </w:rPr>
      </w:pPr>
      <w:r w:rsidRPr="00AB62BD">
        <w:rPr>
          <w:lang w:eastAsia="en-AU"/>
        </w:rPr>
        <w:t>These financial statements are presented in Australian dollars and the historical cost convention is used unless a different measurement basis is specifically disclosed in the note associated with the item measured on a different basis.</w:t>
      </w:r>
    </w:p>
    <w:p w:rsidR="00C232A3" w:rsidRPr="00AB62BD" w:rsidRDefault="00C232A3" w:rsidP="00C232A3">
      <w:pPr>
        <w:pStyle w:val="ARbody"/>
        <w:rPr>
          <w:lang w:eastAsia="en-AU"/>
        </w:rPr>
      </w:pPr>
      <w:r w:rsidRPr="00AB62BD">
        <w:rPr>
          <w:lang w:eastAsia="en-AU"/>
        </w:rPr>
        <w:t>The accrual basis of accounting has been applied in the preparation of these financial statements whereby assets, liabilities, equity, income and expenses are recognised in the reporting period to which they relate, regardless of when cash is received or paid.</w:t>
      </w:r>
    </w:p>
    <w:p w:rsidR="00C232A3" w:rsidRPr="00AB62BD" w:rsidRDefault="00C232A3" w:rsidP="00C232A3">
      <w:pPr>
        <w:pStyle w:val="ARbody"/>
        <w:rPr>
          <w:lang w:eastAsia="en-AU"/>
        </w:rPr>
      </w:pPr>
      <w:r w:rsidRPr="00AB62BD">
        <w:rPr>
          <w:lang w:eastAsia="en-AU"/>
        </w:rPr>
        <w:t>Consistent with the requirements of</w:t>
      </w:r>
      <w:r w:rsidRPr="00AB62BD">
        <w:rPr>
          <w:rStyle w:val="Emphasis"/>
        </w:rPr>
        <w:t xml:space="preserve"> </w:t>
      </w:r>
      <w:r w:rsidRPr="00F40572">
        <w:rPr>
          <w:rStyle w:val="Emphasis"/>
        </w:rPr>
        <w:t>AASB 1004 Contributions</w:t>
      </w:r>
      <w:r w:rsidRPr="00AB62BD">
        <w:rPr>
          <w:lang w:eastAsia="en-AU"/>
        </w:rPr>
        <w:t>, contributions by owners (that is, contributed capital and its repayment) are treated as equity transactions and, therefore, do not form part of the income and expenses of the department.</w:t>
      </w:r>
    </w:p>
    <w:p w:rsidR="00C232A3" w:rsidRPr="00AB62BD" w:rsidRDefault="00C232A3" w:rsidP="00C232A3">
      <w:pPr>
        <w:pStyle w:val="ARbody"/>
        <w:rPr>
          <w:lang w:eastAsia="en-AU"/>
        </w:rPr>
      </w:pPr>
      <w:r w:rsidRPr="00AB62BD">
        <w:rPr>
          <w:lang w:eastAsia="en-AU"/>
        </w:rPr>
        <w:t>Additions to net assets which have been designated as contributions by owners are recognised as contributed capital. Other transfers that are in the nature of contributions to or distributions by owners have also been designated as contributions by owners.</w:t>
      </w:r>
    </w:p>
    <w:p w:rsidR="00C232A3" w:rsidRPr="00AB62BD" w:rsidRDefault="00C232A3" w:rsidP="00C232A3">
      <w:pPr>
        <w:pStyle w:val="ARbody"/>
        <w:rPr>
          <w:lang w:eastAsia="en-AU"/>
        </w:rPr>
      </w:pPr>
      <w:r w:rsidRPr="00AB62BD">
        <w:rPr>
          <w:lang w:eastAsia="en-AU"/>
        </w:rPr>
        <w:t xml:space="preserve">Transfers of net assets arising from administrative restructurings are treated as distributions to or contribution by owners. Transfer of net liabilities arising from administrative restructurings are treated </w:t>
      </w:r>
      <w:r w:rsidR="00E410F3">
        <w:rPr>
          <w:lang w:eastAsia="en-AU"/>
        </w:rPr>
        <w:br/>
      </w:r>
      <w:r w:rsidRPr="00AB62BD">
        <w:rPr>
          <w:lang w:eastAsia="en-AU"/>
        </w:rPr>
        <w:t>as distribution to owners.</w:t>
      </w:r>
    </w:p>
    <w:p w:rsidR="00C232A3" w:rsidRPr="00AB62BD" w:rsidRDefault="00C232A3" w:rsidP="00C232A3">
      <w:pPr>
        <w:pStyle w:val="ARbody"/>
        <w:rPr>
          <w:lang w:eastAsia="en-AU"/>
        </w:rPr>
      </w:pPr>
      <w:r w:rsidRPr="00AB62BD">
        <w:rPr>
          <w:lang w:eastAsia="en-AU"/>
        </w:rPr>
        <w:t xml:space="preserve">Judgements, estimates and assumptions are required to be made about financial information being presented. The significant judgements made in the preparation of these financial statements are disclosed </w:t>
      </w:r>
      <w:r w:rsidR="00E410F3">
        <w:rPr>
          <w:lang w:eastAsia="en-AU"/>
        </w:rPr>
        <w:br/>
      </w:r>
      <w:r w:rsidRPr="00AB62BD">
        <w:rPr>
          <w:lang w:eastAsia="en-AU"/>
        </w:rPr>
        <w:t>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rsidR="00C232A3" w:rsidRPr="00AB62BD" w:rsidRDefault="00C232A3" w:rsidP="00C232A3">
      <w:pPr>
        <w:pStyle w:val="ARbody"/>
        <w:rPr>
          <w:lang w:eastAsia="en-AU"/>
        </w:rPr>
      </w:pPr>
      <w:r w:rsidRPr="00AB62BD">
        <w:rPr>
          <w:lang w:eastAsia="en-AU"/>
        </w:rPr>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 on the financial statements and estimates, relate to:</w:t>
      </w:r>
    </w:p>
    <w:p w:rsidR="00C232A3" w:rsidRPr="00AB62BD" w:rsidRDefault="00C232A3" w:rsidP="00C232A3">
      <w:pPr>
        <w:pStyle w:val="ARbullet1"/>
        <w:rPr>
          <w:lang w:eastAsia="en-AU"/>
        </w:rPr>
      </w:pPr>
      <w:r w:rsidRPr="00AB62BD">
        <w:rPr>
          <w:lang w:eastAsia="en-AU"/>
        </w:rPr>
        <w:t>the fair value of land, buildings, infrastructure, plant and equipment (refer to Note 8.3.2);</w:t>
      </w:r>
    </w:p>
    <w:p w:rsidR="00C232A3" w:rsidRPr="00AB62BD" w:rsidRDefault="00C232A3" w:rsidP="00C232A3">
      <w:pPr>
        <w:pStyle w:val="ARbullet1"/>
        <w:rPr>
          <w:lang w:eastAsia="en-AU"/>
        </w:rPr>
      </w:pPr>
      <w:r w:rsidRPr="00AB62BD">
        <w:rPr>
          <w:lang w:eastAsia="en-AU"/>
        </w:rPr>
        <w:t>superannuation expense (refer to Note 3.1.1(c));</w:t>
      </w:r>
    </w:p>
    <w:p w:rsidR="00C232A3" w:rsidRPr="00AB62BD" w:rsidRDefault="00C232A3" w:rsidP="00C232A3">
      <w:pPr>
        <w:pStyle w:val="ARbullet1"/>
        <w:rPr>
          <w:lang w:eastAsia="en-AU"/>
        </w:rPr>
      </w:pPr>
      <w:r w:rsidRPr="00AB62BD">
        <w:rPr>
          <w:lang w:eastAsia="en-AU"/>
        </w:rPr>
        <w:t>assumptions for employee benefit provisions based on the likely tenure of existing staff, patterns of leave claims, future salary movements and future discount rates (refer to Note 3.1.1(b)); and</w:t>
      </w:r>
    </w:p>
    <w:p w:rsidR="00C232A3" w:rsidRPr="00AB62BD" w:rsidRDefault="00C232A3" w:rsidP="00C232A3">
      <w:pPr>
        <w:pStyle w:val="ARbullet1"/>
        <w:rPr>
          <w:strike/>
          <w:lang w:eastAsia="en-AU"/>
        </w:rPr>
      </w:pPr>
      <w:r w:rsidRPr="00AB62BD">
        <w:rPr>
          <w:lang w:eastAsia="en-AU"/>
        </w:rPr>
        <w:t>liability for outstanding insurance claims (refer to Note 6.5).</w:t>
      </w:r>
    </w:p>
    <w:p w:rsidR="00C232A3" w:rsidRPr="00AB62BD" w:rsidRDefault="00C232A3" w:rsidP="00C232A3">
      <w:pPr>
        <w:pStyle w:val="ARbodyafterbullets"/>
        <w:rPr>
          <w:lang w:eastAsia="en-AU"/>
        </w:rPr>
      </w:pPr>
      <w:r w:rsidRPr="00AB62BD">
        <w:rPr>
          <w:lang w:eastAsia="en-AU"/>
        </w:rPr>
        <w:t>These financial statements cover the Department of Health and Human Services as an individual reporting entity and include all controlled activities of the department.</w:t>
      </w:r>
    </w:p>
    <w:p w:rsidR="00C232A3" w:rsidRPr="00AB62BD" w:rsidRDefault="00C232A3" w:rsidP="00C232A3">
      <w:pPr>
        <w:pStyle w:val="ARbody"/>
        <w:rPr>
          <w:lang w:eastAsia="en-AU"/>
        </w:rPr>
      </w:pPr>
      <w:r w:rsidRPr="00AB62BD">
        <w:rPr>
          <w:lang w:eastAsia="en-AU"/>
        </w:rPr>
        <w:lastRenderedPageBreak/>
        <w:t xml:space="preserve">The following entities have been consolidated into the department’s financial statements pursuant to a determination made by the Minister for Finance under section 53(1) (b) of the </w:t>
      </w:r>
      <w:r w:rsidRPr="0030085A">
        <w:rPr>
          <w:rStyle w:val="Emphasis"/>
        </w:rPr>
        <w:t>Financial Management Act 1994</w:t>
      </w:r>
      <w:r w:rsidRPr="00AB62BD">
        <w:rPr>
          <w:lang w:eastAsia="en-AU"/>
        </w:rPr>
        <w:t>. These entities are reported in aggregate and are not controlled by the department:</w:t>
      </w:r>
    </w:p>
    <w:p w:rsidR="00C232A3" w:rsidRPr="00AB62BD" w:rsidRDefault="00C232A3" w:rsidP="00C232A3">
      <w:pPr>
        <w:pStyle w:val="ARbullet1"/>
        <w:rPr>
          <w:lang w:eastAsia="en-AU"/>
        </w:rPr>
      </w:pPr>
      <w:r w:rsidRPr="00AB62BD">
        <w:rPr>
          <w:lang w:eastAsia="en-AU"/>
        </w:rPr>
        <w:t>Mental Health Complaints Commissioner;</w:t>
      </w:r>
    </w:p>
    <w:p w:rsidR="00C232A3" w:rsidRPr="00AB62BD" w:rsidRDefault="00C232A3" w:rsidP="00C232A3">
      <w:pPr>
        <w:pStyle w:val="ARbullet1"/>
        <w:rPr>
          <w:lang w:eastAsia="en-AU"/>
        </w:rPr>
      </w:pPr>
      <w:r w:rsidRPr="00AB62BD">
        <w:rPr>
          <w:lang w:eastAsia="en-AU"/>
        </w:rPr>
        <w:t>Mental Health Tribunal;</w:t>
      </w:r>
    </w:p>
    <w:p w:rsidR="00C232A3" w:rsidRPr="00AB62BD" w:rsidRDefault="00C232A3" w:rsidP="00C232A3">
      <w:pPr>
        <w:pStyle w:val="ARbullet1"/>
        <w:rPr>
          <w:lang w:eastAsia="en-AU"/>
        </w:rPr>
      </w:pPr>
      <w:r w:rsidRPr="00AB62BD">
        <w:rPr>
          <w:lang w:eastAsia="en-AU"/>
        </w:rPr>
        <w:t>Commission for Children and Young People; and</w:t>
      </w:r>
    </w:p>
    <w:p w:rsidR="00C232A3" w:rsidRPr="00AB62BD" w:rsidRDefault="00C232A3" w:rsidP="00C232A3">
      <w:pPr>
        <w:pStyle w:val="ARbullet1"/>
        <w:rPr>
          <w:lang w:eastAsia="en-AU"/>
        </w:rPr>
      </w:pPr>
      <w:r w:rsidRPr="00AB62BD">
        <w:rPr>
          <w:lang w:eastAsia="en-AU"/>
        </w:rPr>
        <w:t>the Director of Housing.</w:t>
      </w:r>
    </w:p>
    <w:p w:rsidR="00C232A3" w:rsidRPr="00AB62BD" w:rsidRDefault="00C232A3" w:rsidP="00C232A3">
      <w:pPr>
        <w:pStyle w:val="ARbodyafterbullets"/>
        <w:rPr>
          <w:lang w:eastAsia="en-AU"/>
        </w:rPr>
      </w:pPr>
      <w:r w:rsidRPr="00AB62BD">
        <w:rPr>
          <w:lang w:eastAsia="en-AU"/>
        </w:rPr>
        <w:t>Where control of an entity is obtained during the financial year, its results are included in the comprehensive operating statement from the date on which control commenced. Where control ceases during the financial year,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rsidR="00C232A3" w:rsidRPr="00AB62BD" w:rsidRDefault="00C232A3" w:rsidP="00C232A3">
      <w:pPr>
        <w:pStyle w:val="ARbody"/>
        <w:rPr>
          <w:lang w:eastAsia="en-AU"/>
        </w:rPr>
      </w:pPr>
      <w:r w:rsidRPr="00AB62BD">
        <w:rPr>
          <w:lang w:eastAsia="en-AU"/>
        </w:rPr>
        <w:t>In preparing consolidated financial statements for the department, all material transactions and balances between consolidated entities are eliminated.</w:t>
      </w:r>
    </w:p>
    <w:p w:rsidR="00C232A3" w:rsidRPr="00AB62BD" w:rsidRDefault="00C232A3" w:rsidP="00C232A3">
      <w:pPr>
        <w:pStyle w:val="ARbody"/>
        <w:rPr>
          <w:lang w:eastAsia="en-AU"/>
        </w:rPr>
      </w:pPr>
      <w:r w:rsidRPr="00AB62BD">
        <w:rPr>
          <w:lang w:eastAsia="en-AU"/>
        </w:rPr>
        <w:t>All amounts in the financial statements have been rounded to the nearest $100,000 unless otherwise stated.</w:t>
      </w:r>
    </w:p>
    <w:p w:rsidR="00C232A3" w:rsidRPr="0030085A" w:rsidRDefault="00C232A3" w:rsidP="00C232A3">
      <w:pPr>
        <w:pStyle w:val="Heading4"/>
      </w:pPr>
      <w:r w:rsidRPr="0030085A">
        <w:t>Compliance information</w:t>
      </w:r>
    </w:p>
    <w:p w:rsidR="00C232A3" w:rsidRPr="00AB62BD" w:rsidRDefault="00C232A3" w:rsidP="00C232A3">
      <w:pPr>
        <w:pStyle w:val="ARbody"/>
        <w:rPr>
          <w:lang w:eastAsia="en-AU"/>
        </w:rPr>
      </w:pPr>
      <w:r w:rsidRPr="00AB62BD">
        <w:rPr>
          <w:lang w:eastAsia="en-AU"/>
        </w:rPr>
        <w:t xml:space="preserve">These general purpose financial statements have been prepared in accordance with the </w:t>
      </w:r>
      <w:r w:rsidRPr="00FF61B5">
        <w:rPr>
          <w:rStyle w:val="Emphasis"/>
        </w:rPr>
        <w:t>Financial Management Act 1994</w:t>
      </w:r>
      <w:r w:rsidRPr="00AB62BD">
        <w:rPr>
          <w:rStyle w:val="Emphasis"/>
        </w:rPr>
        <w:t xml:space="preserve"> </w:t>
      </w:r>
      <w:r w:rsidRPr="00AB62BD">
        <w:rPr>
          <w:lang w:eastAsia="en-AU"/>
        </w:rPr>
        <w:t xml:space="preserve">and applicable AASs which include Interpretations issued by the Australian Accounting Standards Board (AASB). In particular, they are presented in a manner consistent with the requirements of </w:t>
      </w:r>
      <w:r w:rsidRPr="00FF61B5">
        <w:rPr>
          <w:rStyle w:val="Emphasis"/>
        </w:rPr>
        <w:t>AASB 1049 Whole of Government and General Government Sector Financial Reporting</w:t>
      </w:r>
      <w:r w:rsidRPr="00AB62BD">
        <w:rPr>
          <w:lang w:eastAsia="en-AU"/>
        </w:rPr>
        <w:t>.</w:t>
      </w:r>
    </w:p>
    <w:p w:rsidR="00C232A3" w:rsidRPr="00AB62BD" w:rsidRDefault="00C232A3" w:rsidP="00C232A3">
      <w:pPr>
        <w:pStyle w:val="ARbody"/>
        <w:rPr>
          <w:lang w:eastAsia="en-AU"/>
        </w:rPr>
      </w:pPr>
      <w:r w:rsidRPr="00AB62BD">
        <w:rPr>
          <w:lang w:eastAsia="en-AU"/>
        </w:rP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rsidR="00C232A3" w:rsidRPr="00AB62BD" w:rsidRDefault="00C232A3" w:rsidP="00C232A3">
      <w:pPr>
        <w:pStyle w:val="ARbody"/>
        <w:rPr>
          <w:lang w:eastAsia="en-AU"/>
        </w:rPr>
      </w:pPr>
      <w:r w:rsidRPr="00AB62BD">
        <w:rPr>
          <w:lang w:eastAsia="en-AU"/>
        </w:rPr>
        <w:t xml:space="preserve">These annual financial statements were authorised for issue by the Secretary of the Department of Health and Human Services on </w:t>
      </w:r>
      <w:r>
        <w:rPr>
          <w:rStyle w:val="Strong"/>
        </w:rPr>
        <w:t>31</w:t>
      </w:r>
      <w:r w:rsidRPr="00FF61B5">
        <w:rPr>
          <w:rStyle w:val="Strong"/>
        </w:rPr>
        <w:t xml:space="preserve"> </w:t>
      </w:r>
      <w:r>
        <w:rPr>
          <w:rStyle w:val="Strong"/>
        </w:rPr>
        <w:t>August</w:t>
      </w:r>
      <w:r w:rsidRPr="00FF61B5">
        <w:rPr>
          <w:rStyle w:val="Strong"/>
        </w:rPr>
        <w:t xml:space="preserve"> 2017</w:t>
      </w:r>
      <w:r w:rsidRPr="00AB62BD">
        <w:rPr>
          <w:lang w:eastAsia="en-AU"/>
        </w:rPr>
        <w:t>.</w:t>
      </w:r>
    </w:p>
    <w:p w:rsidR="00C232A3" w:rsidRDefault="00C232A3" w:rsidP="00300E48">
      <w:pPr>
        <w:pStyle w:val="ARbody"/>
        <w:rPr>
          <w:rFonts w:eastAsia="MS Gothic"/>
          <w:color w:val="004C97"/>
          <w:lang w:eastAsia="en-AU"/>
        </w:rPr>
      </w:pPr>
      <w:r>
        <w:br w:type="page"/>
      </w:r>
    </w:p>
    <w:p w:rsidR="00C232A3" w:rsidRPr="0030085A" w:rsidRDefault="00C232A3" w:rsidP="00C232A3">
      <w:pPr>
        <w:pStyle w:val="Heading3"/>
      </w:pPr>
      <w:bookmarkStart w:id="90" w:name="_Ref492906879"/>
      <w:bookmarkStart w:id="91" w:name="_Toc493069491"/>
      <w:r w:rsidRPr="0030085A">
        <w:lastRenderedPageBreak/>
        <w:t>2. Funding delivery of our services</w:t>
      </w:r>
      <w:bookmarkEnd w:id="90"/>
      <w:bookmarkEnd w:id="91"/>
    </w:p>
    <w:p w:rsidR="00C232A3" w:rsidRPr="00A76497" w:rsidRDefault="00C232A3" w:rsidP="00C232A3">
      <w:pPr>
        <w:pStyle w:val="Heading4"/>
      </w:pPr>
      <w:r w:rsidRPr="00A76497">
        <w:t>Introduction</w:t>
      </w:r>
    </w:p>
    <w:p w:rsidR="00C232A3" w:rsidRPr="00AB62BD" w:rsidRDefault="00C232A3" w:rsidP="00C232A3">
      <w:pPr>
        <w:pStyle w:val="ARfinbody"/>
        <w:rPr>
          <w:lang w:eastAsia="en-AU"/>
        </w:rPr>
      </w:pPr>
      <w:r w:rsidRPr="00AB62BD">
        <w:rPr>
          <w:lang w:eastAsia="en-AU"/>
        </w:rPr>
        <w:t>The department’s overall objective is to develop and deliver policies, programs and services that support and enhance the wellbeing of all Victorians.</w:t>
      </w:r>
    </w:p>
    <w:p w:rsidR="00C232A3" w:rsidRPr="00AB62BD" w:rsidRDefault="00C232A3" w:rsidP="00C232A3">
      <w:pPr>
        <w:pStyle w:val="ARfinbody"/>
        <w:rPr>
          <w:lang w:eastAsia="en-AU"/>
        </w:rPr>
      </w:pPr>
      <w:r w:rsidRPr="00AB62BD">
        <w:rPr>
          <w:lang w:eastAsia="en-AU"/>
        </w:rPr>
        <w:t>To enable the department to fulfil its objective and provide outputs as described in Section 4, it receives income (predominantly accrual based parliamentary appropriations). The department also receives income from the supply of services and tenancy agreements.</w:t>
      </w:r>
    </w:p>
    <w:p w:rsidR="00C232A3" w:rsidRPr="00A76497" w:rsidRDefault="00C232A3" w:rsidP="00C232A3">
      <w:pPr>
        <w:pStyle w:val="Heading4"/>
      </w:pPr>
      <w:r w:rsidRPr="00A76497">
        <w:t>Structure</w:t>
      </w:r>
    </w:p>
    <w:p w:rsidR="00C232A3" w:rsidRPr="00AB62BD" w:rsidRDefault="00C232A3" w:rsidP="00C232A3">
      <w:pPr>
        <w:pStyle w:val="ARfinstructure1"/>
      </w:pPr>
      <w:r>
        <w:t>2.1</w:t>
      </w:r>
      <w:r>
        <w:tab/>
      </w:r>
      <w:r w:rsidRPr="00AB62BD">
        <w:t>Summary of income that funds the delivery of our services</w:t>
      </w:r>
    </w:p>
    <w:p w:rsidR="00C232A3" w:rsidRPr="00AB62BD" w:rsidRDefault="00C232A3" w:rsidP="00C232A3">
      <w:pPr>
        <w:pStyle w:val="ARfinstructure1"/>
      </w:pPr>
      <w:r>
        <w:t>2.2</w:t>
      </w:r>
      <w:r>
        <w:tab/>
      </w:r>
      <w:r w:rsidRPr="00AB62BD">
        <w:t>Appropriations</w:t>
      </w:r>
    </w:p>
    <w:p w:rsidR="00C232A3" w:rsidRPr="00AB62BD" w:rsidRDefault="00C232A3" w:rsidP="00C232A3">
      <w:pPr>
        <w:pStyle w:val="ARfinstructure1"/>
      </w:pPr>
      <w:r>
        <w:t>2.3</w:t>
      </w:r>
      <w:r>
        <w:tab/>
      </w:r>
      <w:r w:rsidRPr="00AB62BD">
        <w:t xml:space="preserve">Summary of compliance with annual </w:t>
      </w:r>
      <w:r>
        <w:t>p</w:t>
      </w:r>
      <w:r w:rsidRPr="00AB62BD">
        <w:t>arliamentary and special appropriations</w:t>
      </w:r>
    </w:p>
    <w:p w:rsidR="00C232A3" w:rsidRPr="00AB62BD" w:rsidRDefault="00C232A3" w:rsidP="00C232A3">
      <w:pPr>
        <w:pStyle w:val="ARfinstructure1"/>
      </w:pPr>
      <w:r w:rsidRPr="00AB62BD">
        <w:t>2.4</w:t>
      </w:r>
      <w:r>
        <w:tab/>
      </w:r>
      <w:r w:rsidRPr="00AB62BD">
        <w:t>Income from transactions</w:t>
      </w:r>
    </w:p>
    <w:p w:rsidR="00C232A3" w:rsidRPr="00AB62BD" w:rsidRDefault="00C232A3" w:rsidP="00C232A3">
      <w:pPr>
        <w:pStyle w:val="ARfinstructure2"/>
      </w:pPr>
      <w:r>
        <w:t>2.4.1</w:t>
      </w:r>
      <w:r>
        <w:tab/>
      </w:r>
      <w:r w:rsidRPr="00AB62BD">
        <w:t>Interest</w:t>
      </w:r>
    </w:p>
    <w:p w:rsidR="00C232A3" w:rsidRPr="00AB62BD" w:rsidRDefault="00C232A3" w:rsidP="00C232A3">
      <w:pPr>
        <w:pStyle w:val="ARfinstructure2"/>
      </w:pPr>
      <w:r>
        <w:t>2.4.2</w:t>
      </w:r>
      <w:r>
        <w:tab/>
      </w:r>
      <w:r w:rsidRPr="00AB62BD">
        <w:t>Rental income and income from services</w:t>
      </w:r>
    </w:p>
    <w:p w:rsidR="00C232A3" w:rsidRPr="00AB62BD" w:rsidRDefault="00C232A3" w:rsidP="00C232A3">
      <w:pPr>
        <w:pStyle w:val="ARfinstructure2"/>
      </w:pPr>
      <w:r>
        <w:t>2.4.3</w:t>
      </w:r>
      <w:r>
        <w:tab/>
      </w:r>
      <w:r w:rsidRPr="00AB62BD">
        <w:t>Grants and other income transfers</w:t>
      </w:r>
    </w:p>
    <w:p w:rsidR="00C232A3" w:rsidRPr="00AB62BD" w:rsidRDefault="00C232A3" w:rsidP="00C232A3">
      <w:pPr>
        <w:pStyle w:val="ARfinstructure2"/>
      </w:pPr>
      <w:r>
        <w:t>2.4.4</w:t>
      </w:r>
      <w:r>
        <w:tab/>
      </w:r>
      <w:r w:rsidRPr="00AB62BD">
        <w:t>Fair value of assets and services received free of charge or for nominal consideration</w:t>
      </w:r>
    </w:p>
    <w:p w:rsidR="00C232A3" w:rsidRPr="00AB62BD" w:rsidRDefault="00C232A3" w:rsidP="00C232A3">
      <w:pPr>
        <w:pStyle w:val="ARfinstructure2"/>
      </w:pPr>
      <w:r>
        <w:t>2.4.5</w:t>
      </w:r>
      <w:r>
        <w:tab/>
      </w:r>
      <w:r w:rsidRPr="00AB62BD">
        <w:t>Other income</w:t>
      </w:r>
    </w:p>
    <w:p w:rsidR="00C232A3" w:rsidRPr="00AB62BD" w:rsidRDefault="00C232A3" w:rsidP="00C232A3">
      <w:pPr>
        <w:pStyle w:val="ARfinstructure1"/>
      </w:pPr>
      <w:r>
        <w:t>2.5</w:t>
      </w:r>
      <w:r>
        <w:tab/>
      </w:r>
      <w:r w:rsidRPr="00AB62BD">
        <w:t>Annotated income agreements</w:t>
      </w:r>
    </w:p>
    <w:p w:rsidR="00C232A3" w:rsidRPr="005D7089" w:rsidRDefault="00C232A3" w:rsidP="00C232A3">
      <w:pPr>
        <w:pStyle w:val="Heading4"/>
      </w:pPr>
      <w:r w:rsidRPr="005D7089">
        <w:t>2.1 Summary of income that funds the delivery of our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691"/>
        <w:gridCol w:w="680"/>
        <w:gridCol w:w="1134"/>
        <w:gridCol w:w="1134"/>
      </w:tblGrid>
      <w:tr w:rsidR="00C232A3" w:rsidRPr="00AB62BD" w:rsidTr="00C232A3">
        <w:trPr>
          <w:cantSplit/>
          <w:tblHeader/>
        </w:trPr>
        <w:tc>
          <w:tcPr>
            <w:tcW w:w="6691"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680" w:type="dxa"/>
            <w:tcBorders>
              <w:bottom w:val="single" w:sz="4" w:space="0" w:color="auto"/>
            </w:tcBorders>
            <w:vAlign w:val="bottom"/>
          </w:tcPr>
          <w:p w:rsidR="00C232A3" w:rsidRPr="00E46912" w:rsidRDefault="00C232A3" w:rsidP="00C232A3">
            <w:pPr>
              <w:pStyle w:val="ARfintablecolheadright"/>
            </w:pPr>
            <w:r w:rsidRPr="00E46912">
              <w:t>Note</w:t>
            </w:r>
          </w:p>
        </w:tc>
        <w:tc>
          <w:tcPr>
            <w:tcW w:w="1134" w:type="dxa"/>
            <w:tcBorders>
              <w:bottom w:val="single" w:sz="4" w:space="0" w:color="auto"/>
            </w:tcBorders>
            <w:shd w:val="clear" w:color="auto" w:fill="E7E6E6"/>
            <w:vAlign w:val="bottom"/>
          </w:tcPr>
          <w:p w:rsidR="00C232A3" w:rsidRPr="00E46912" w:rsidRDefault="00C232A3" w:rsidP="00C232A3">
            <w:pPr>
              <w:pStyle w:val="ARfintablecolheadright"/>
            </w:pPr>
            <w:r w:rsidRPr="00E46912">
              <w:t>2017</w:t>
            </w:r>
          </w:p>
          <w:p w:rsidR="00C232A3" w:rsidRPr="00E46912" w:rsidRDefault="00C232A3" w:rsidP="00C232A3">
            <w:pPr>
              <w:pStyle w:val="ARfintablecolheadright"/>
            </w:pPr>
            <w:r w:rsidRPr="00E46912">
              <w:t>$M</w:t>
            </w:r>
          </w:p>
        </w:tc>
        <w:tc>
          <w:tcPr>
            <w:tcW w:w="1134" w:type="dxa"/>
            <w:tcBorders>
              <w:bottom w:val="single" w:sz="4" w:space="0" w:color="auto"/>
            </w:tcBorders>
            <w:vAlign w:val="bottom"/>
          </w:tcPr>
          <w:p w:rsidR="00C232A3" w:rsidRPr="00E46912" w:rsidRDefault="00C232A3" w:rsidP="00C232A3">
            <w:pPr>
              <w:pStyle w:val="ARfintablecolheadright"/>
            </w:pPr>
            <w:r w:rsidRPr="00E46912">
              <w:t>2016</w:t>
            </w:r>
          </w:p>
          <w:p w:rsidR="00C232A3" w:rsidRPr="00E46912" w:rsidRDefault="00C232A3" w:rsidP="00C232A3">
            <w:pPr>
              <w:pStyle w:val="ARfintablecolheadright"/>
            </w:pPr>
            <w:r w:rsidRPr="00E46912">
              <w:t>$M</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Output appropriations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13,755.3</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12,901.7</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 appropriations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1,334.6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1,341.2</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income</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2.4.1</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9.4</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income and income from services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2.4.2</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480.9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476.6</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Grants and other income transfers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2.4.3</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871.5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832.0</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Fair value of assets and services received free of charge or for nominal consideration</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2.4.4</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136.6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11.6</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income</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2.4.5</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90.9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367.2</w:t>
            </w:r>
          </w:p>
        </w:tc>
      </w:tr>
      <w:tr w:rsidR="00C232A3" w:rsidRPr="00AB62BD" w:rsidTr="00C232A3">
        <w:trPr>
          <w:cantSplit/>
        </w:trPr>
        <w:tc>
          <w:tcPr>
            <w:tcW w:w="6691" w:type="dxa"/>
          </w:tcPr>
          <w:p w:rsidR="00C232A3" w:rsidRPr="00E46912" w:rsidRDefault="00C232A3" w:rsidP="00C232A3">
            <w:pPr>
              <w:pStyle w:val="ARfintablebodybold"/>
            </w:pPr>
            <w:r w:rsidRPr="00E46912">
              <w:t>Total income from transactions</w:t>
            </w:r>
          </w:p>
        </w:tc>
        <w:tc>
          <w:tcPr>
            <w:tcW w:w="680" w:type="dxa"/>
          </w:tcPr>
          <w:p w:rsidR="00C232A3" w:rsidRPr="00AB62BD" w:rsidRDefault="00C232A3" w:rsidP="00C232A3">
            <w:pPr>
              <w:pStyle w:val="ARfintablebodyright"/>
              <w:rPr>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16,678.6</w:t>
            </w:r>
          </w:p>
        </w:tc>
        <w:tc>
          <w:tcPr>
            <w:tcW w:w="1134" w:type="dxa"/>
          </w:tcPr>
          <w:p w:rsidR="00C232A3" w:rsidRPr="00AB62BD" w:rsidRDefault="00C232A3" w:rsidP="00C232A3">
            <w:pPr>
              <w:pStyle w:val="ARfintablebodyright"/>
              <w:rPr>
                <w:rStyle w:val="Strong"/>
                <w:bCs w:val="0"/>
              </w:rPr>
            </w:pPr>
            <w:r w:rsidRPr="00AB62BD">
              <w:rPr>
                <w:rStyle w:val="Strong"/>
              </w:rPr>
              <w:t>15,939.8</w:t>
            </w:r>
          </w:p>
        </w:tc>
      </w:tr>
    </w:tbl>
    <w:p w:rsidR="00C232A3" w:rsidRPr="00AB62BD" w:rsidRDefault="00C232A3" w:rsidP="00C232A3">
      <w:pPr>
        <w:pStyle w:val="ARfinbodyaftertable"/>
      </w:pPr>
      <w:r w:rsidRPr="00AB62BD">
        <w:t>Income is recognised to the extent it is probable the economic benefits will flow to the department and the income can be reliably measured at fair value. Where applicable, amounts disclosed as income are net of returns, allowances, duties and taxes. All amounts of income over which the department does not have control are disclosed as administered income (see Note 4.2).</w:t>
      </w:r>
    </w:p>
    <w:p w:rsidR="00C232A3" w:rsidRPr="0075496D" w:rsidRDefault="00C232A3" w:rsidP="00C232A3">
      <w:pPr>
        <w:pStyle w:val="Heading4"/>
      </w:pPr>
      <w:r w:rsidRPr="0075496D">
        <w:t>2.2 Appropriations</w:t>
      </w:r>
    </w:p>
    <w:p w:rsidR="00C232A3" w:rsidRPr="00AB62BD" w:rsidRDefault="00C232A3" w:rsidP="00C232A3">
      <w:pPr>
        <w:pStyle w:val="ARfinbody"/>
        <w:rPr>
          <w:lang w:eastAsia="en-AU"/>
        </w:rPr>
      </w:pPr>
      <w:r w:rsidRPr="00AB62BD">
        <w:rPr>
          <w:lang w:eastAsia="en-AU"/>
        </w:rPr>
        <w:t xml:space="preserve">Once annual </w:t>
      </w:r>
      <w:r>
        <w:rPr>
          <w:lang w:eastAsia="en-AU"/>
        </w:rPr>
        <w:t>p</w:t>
      </w:r>
      <w:r w:rsidRPr="00AB62BD">
        <w:rPr>
          <w:lang w:eastAsia="en-AU"/>
        </w:rPr>
        <w:t>arliamentary appropriations are applied by the Treasurer, they become controlled by the department and are recognised as income when applied to the purposes defined under the relevant Appropriations Act.</w:t>
      </w:r>
    </w:p>
    <w:p w:rsidR="00C232A3" w:rsidRPr="00AB62BD" w:rsidRDefault="00C232A3" w:rsidP="00C232A3">
      <w:pPr>
        <w:pStyle w:val="ARfinbody"/>
        <w:rPr>
          <w:lang w:eastAsia="en-AU"/>
        </w:rPr>
      </w:pPr>
      <w:r w:rsidRPr="005D7089">
        <w:rPr>
          <w:rStyle w:val="Strong"/>
        </w:rPr>
        <w:t>Output appropriations:</w:t>
      </w:r>
      <w:r w:rsidRPr="00AB62BD">
        <w:rPr>
          <w:lang w:eastAsia="en-AU"/>
        </w:rPr>
        <w:t xml:space="preserve"> Income from the outputs the department provides to the Government is recognised when those outputs have been delivered and the relevant Minister has certified delivery of those outputs in accordance with specified performance criteria.</w:t>
      </w:r>
    </w:p>
    <w:p w:rsidR="00C232A3" w:rsidRPr="00AB62BD" w:rsidRDefault="00C232A3" w:rsidP="00C232A3">
      <w:pPr>
        <w:pStyle w:val="ARfinbody"/>
        <w:rPr>
          <w:lang w:eastAsia="en-AU"/>
        </w:rPr>
      </w:pPr>
      <w:r w:rsidRPr="005D7089">
        <w:rPr>
          <w:rStyle w:val="Strong"/>
        </w:rPr>
        <w:t>Special appropriations:</w:t>
      </w:r>
      <w:r w:rsidRPr="00AB62BD">
        <w:rPr>
          <w:lang w:eastAsia="en-AU"/>
        </w:rPr>
        <w:t xml:space="preserve"> Under Sections 3.6.11, 4.4.11, 4.6.8, 5.4.6, and 6A.4.4(1) of the </w:t>
      </w:r>
      <w:r w:rsidRPr="005D7089">
        <w:rPr>
          <w:rStyle w:val="Emphasis"/>
        </w:rPr>
        <w:t>Gambling Regulation Act No. 114</w:t>
      </w:r>
      <w:r w:rsidRPr="00AB62BD">
        <w:rPr>
          <w:lang w:eastAsia="en-AU"/>
        </w:rPr>
        <w:t xml:space="preserve"> of 2003, and Section 114 of the </w:t>
      </w:r>
      <w:r w:rsidRPr="005D7089">
        <w:rPr>
          <w:rStyle w:val="Emphasis"/>
        </w:rPr>
        <w:t>Casino Control Act No. 47</w:t>
      </w:r>
      <w:r w:rsidRPr="00AB62BD">
        <w:rPr>
          <w:lang w:eastAsia="en-AU"/>
        </w:rPr>
        <w:t xml:space="preserve"> of 1991, income related to the Hospital and Charities Fund and Mental </w:t>
      </w:r>
      <w:r>
        <w:rPr>
          <w:lang w:eastAsia="en-AU"/>
        </w:rPr>
        <w:t>Health</w:t>
      </w:r>
      <w:r w:rsidRPr="00AB62BD">
        <w:rPr>
          <w:lang w:eastAsia="en-AU"/>
        </w:rPr>
        <w:t xml:space="preserve"> Fund is recognised when the amounts appropriated for that purpose are due and payable by the department. The department also receives special appropriations for various purposes approved under Section 10 of the </w:t>
      </w:r>
      <w:r w:rsidRPr="005D7089">
        <w:rPr>
          <w:rStyle w:val="Emphasis"/>
        </w:rPr>
        <w:t>Financial Management Act 1994</w:t>
      </w:r>
      <w:r w:rsidRPr="00AB62BD">
        <w:rPr>
          <w:lang w:eastAsia="en-AU"/>
        </w:rPr>
        <w:t>.</w:t>
      </w:r>
    </w:p>
    <w:p w:rsidR="00C232A3" w:rsidRDefault="00C232A3" w:rsidP="00C232A3">
      <w:pPr>
        <w:pStyle w:val="ARfinbody"/>
        <w:rPr>
          <w:rStyle w:val="Strong"/>
          <w:rFonts w:cs="Arial"/>
          <w:bCs w:val="0"/>
        </w:rPr>
        <w:sectPr w:rsidR="00C232A3" w:rsidSect="00C232A3">
          <w:headerReference w:type="even" r:id="rId96"/>
          <w:headerReference w:type="default" r:id="rId97"/>
          <w:endnotePr>
            <w:numFmt w:val="decimal"/>
          </w:endnotePr>
          <w:pgSz w:w="11900" w:h="16840" w:code="9"/>
          <w:pgMar w:top="1531" w:right="851" w:bottom="680" w:left="1418" w:header="510" w:footer="340" w:gutter="0"/>
          <w:cols w:space="454"/>
        </w:sectPr>
      </w:pPr>
    </w:p>
    <w:p w:rsidR="00C232A3" w:rsidRPr="008D790D" w:rsidRDefault="00C232A3" w:rsidP="00C232A3">
      <w:pPr>
        <w:pStyle w:val="Heading4"/>
        <w:spacing w:before="0"/>
      </w:pPr>
      <w:bookmarkStart w:id="92" w:name="_Ref492907518"/>
      <w:r w:rsidRPr="008D790D">
        <w:lastRenderedPageBreak/>
        <w:t>2.3 Summary of compliance with annual parliamentary and special appropriations</w:t>
      </w:r>
      <w:bookmarkEnd w:id="92"/>
    </w:p>
    <w:p w:rsidR="00C232A3" w:rsidRPr="00AB62BD" w:rsidRDefault="00C232A3" w:rsidP="00C232A3">
      <w:pPr>
        <w:pStyle w:val="ARfinbody"/>
        <w:rPr>
          <w:lang w:eastAsia="en-AU"/>
        </w:rPr>
      </w:pPr>
      <w:r w:rsidRPr="00AB62BD">
        <w:rPr>
          <w:lang w:eastAsia="en-AU"/>
        </w:rPr>
        <w:t>The following table discloses the details of the various annual parliamentary appropriations received by the department for the year.</w:t>
      </w:r>
    </w:p>
    <w:p w:rsidR="00C232A3" w:rsidRPr="00AB62BD" w:rsidRDefault="00C232A3" w:rsidP="00C232A3">
      <w:pPr>
        <w:pStyle w:val="ARfinbody"/>
        <w:rPr>
          <w:lang w:eastAsia="en-AU"/>
        </w:rPr>
      </w:pPr>
      <w:r w:rsidRPr="00AB62BD">
        <w:rPr>
          <w:lang w:eastAsia="en-AU"/>
        </w:rP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 (refer to Note 4.2).</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316"/>
        <w:gridCol w:w="983"/>
        <w:gridCol w:w="657"/>
        <w:gridCol w:w="983"/>
        <w:gridCol w:w="984"/>
        <w:gridCol w:w="984"/>
        <w:gridCol w:w="984"/>
        <w:gridCol w:w="984"/>
        <w:gridCol w:w="984"/>
        <w:gridCol w:w="984"/>
        <w:gridCol w:w="984"/>
        <w:gridCol w:w="984"/>
        <w:gridCol w:w="648"/>
      </w:tblGrid>
      <w:tr w:rsidR="00C232A3" w:rsidRPr="00AB62BD" w:rsidTr="008957E2">
        <w:trPr>
          <w:cantSplit/>
          <w:tblHeader/>
        </w:trPr>
        <w:tc>
          <w:tcPr>
            <w:tcW w:w="2889" w:type="dxa"/>
            <w:vMerge w:val="restart"/>
            <w:vAlign w:val="bottom"/>
          </w:tcPr>
          <w:p w:rsidR="00C232A3" w:rsidRPr="00AB62BD" w:rsidRDefault="00C232A3" w:rsidP="00C232A3">
            <w:pPr>
              <w:pStyle w:val="ARfintablecolhead"/>
              <w:rPr>
                <w:rStyle w:val="Strong"/>
                <w:rFonts w:cs="Arial"/>
                <w:bCs w:val="0"/>
              </w:rPr>
            </w:pPr>
          </w:p>
        </w:tc>
        <w:tc>
          <w:tcPr>
            <w:tcW w:w="3745" w:type="dxa"/>
            <w:gridSpan w:val="4"/>
            <w:vAlign w:val="bottom"/>
          </w:tcPr>
          <w:p w:rsidR="00C232A3" w:rsidRPr="00AB62BD" w:rsidRDefault="00C232A3" w:rsidP="00C232A3">
            <w:pPr>
              <w:pStyle w:val="ARfintablecolheadcentre"/>
            </w:pPr>
            <w:r w:rsidRPr="007B3083">
              <w:t>Appropriation Act</w:t>
            </w:r>
          </w:p>
        </w:tc>
        <w:tc>
          <w:tcPr>
            <w:tcW w:w="4088" w:type="dxa"/>
            <w:gridSpan w:val="4"/>
            <w:tcBorders>
              <w:bottom w:val="single" w:sz="4" w:space="0" w:color="auto"/>
            </w:tcBorders>
            <w:shd w:val="clear" w:color="auto" w:fill="E7E6E6"/>
            <w:vAlign w:val="bottom"/>
          </w:tcPr>
          <w:p w:rsidR="00C232A3" w:rsidRPr="00243E61" w:rsidRDefault="00C232A3" w:rsidP="00C232A3">
            <w:pPr>
              <w:pStyle w:val="ARfintablecolheadcentre"/>
              <w:rPr>
                <w:b w:val="0"/>
              </w:rPr>
            </w:pPr>
            <w:r w:rsidRPr="007B3083">
              <w:t>Financial Management Act 1994</w:t>
            </w:r>
          </w:p>
        </w:tc>
        <w:tc>
          <w:tcPr>
            <w:tcW w:w="1022" w:type="dxa"/>
            <w:vMerge w:val="restart"/>
            <w:tcBorders>
              <w:top w:val="nil"/>
            </w:tcBorders>
            <w:vAlign w:val="bottom"/>
          </w:tcPr>
          <w:p w:rsidR="00C232A3" w:rsidRDefault="00C232A3" w:rsidP="00C232A3">
            <w:pPr>
              <w:pStyle w:val="ARfintablecolheadright"/>
            </w:pPr>
            <w:r w:rsidRPr="00AB62BD">
              <w:t xml:space="preserve">Total </w:t>
            </w:r>
            <w:proofErr w:type="spellStart"/>
            <w:r>
              <w:t>parlia-mentary</w:t>
            </w:r>
            <w:proofErr w:type="spellEnd"/>
          </w:p>
          <w:p w:rsidR="00C232A3" w:rsidRPr="00AB62BD" w:rsidRDefault="00C232A3" w:rsidP="00C232A3">
            <w:pPr>
              <w:pStyle w:val="ARfintablecolheadright"/>
            </w:pPr>
            <w:r w:rsidRPr="00AB62BD">
              <w:t>authority</w:t>
            </w:r>
          </w:p>
          <w:p w:rsidR="00C232A3" w:rsidRPr="00AB62BD" w:rsidRDefault="00C232A3" w:rsidP="00C232A3">
            <w:pPr>
              <w:pStyle w:val="ARfintablecolheadright"/>
            </w:pPr>
            <w:r w:rsidRPr="00AB62BD">
              <w:t>$M</w:t>
            </w:r>
          </w:p>
        </w:tc>
        <w:tc>
          <w:tcPr>
            <w:tcW w:w="1022" w:type="dxa"/>
            <w:vMerge w:val="restart"/>
            <w:tcBorders>
              <w:top w:val="nil"/>
            </w:tcBorders>
            <w:vAlign w:val="bottom"/>
          </w:tcPr>
          <w:p w:rsidR="00C232A3" w:rsidRPr="00AB62BD" w:rsidRDefault="00C232A3" w:rsidP="00C232A3">
            <w:pPr>
              <w:pStyle w:val="ARfintablecolheadright"/>
            </w:pPr>
            <w:r w:rsidRPr="00AB62BD">
              <w:t>Appro</w:t>
            </w:r>
            <w:r>
              <w:t>-</w:t>
            </w:r>
            <w:proofErr w:type="spellStart"/>
            <w:r w:rsidRPr="00AB62BD">
              <w:t>priation</w:t>
            </w:r>
            <w:proofErr w:type="spellEnd"/>
            <w:r w:rsidRPr="00AB62BD">
              <w:t xml:space="preserve"> applied</w:t>
            </w:r>
          </w:p>
          <w:p w:rsidR="00C232A3" w:rsidRPr="00AB62BD" w:rsidRDefault="00C232A3" w:rsidP="00C232A3">
            <w:pPr>
              <w:pStyle w:val="ARfintablecolheadright"/>
            </w:pPr>
            <w:r w:rsidRPr="00AB62BD">
              <w:t>$M</w:t>
            </w:r>
          </w:p>
        </w:tc>
        <w:tc>
          <w:tcPr>
            <w:tcW w:w="1022" w:type="dxa"/>
            <w:vMerge w:val="restart"/>
            <w:tcBorders>
              <w:top w:val="nil"/>
            </w:tcBorders>
            <w:vAlign w:val="bottom"/>
          </w:tcPr>
          <w:p w:rsidR="00C232A3" w:rsidRPr="00AB62BD" w:rsidRDefault="00C232A3" w:rsidP="00C232A3">
            <w:pPr>
              <w:pStyle w:val="ARfintablecolheadright"/>
            </w:pPr>
            <w:r w:rsidRPr="00AB62BD">
              <w:t>Variance</w:t>
            </w:r>
          </w:p>
          <w:p w:rsidR="00C232A3" w:rsidRPr="00AB62BD" w:rsidRDefault="00C232A3" w:rsidP="00C232A3">
            <w:pPr>
              <w:pStyle w:val="ARfintablecolheadright"/>
            </w:pPr>
            <w:r w:rsidRPr="00AB62BD">
              <w:t>$M</w:t>
            </w:r>
          </w:p>
        </w:tc>
        <w:tc>
          <w:tcPr>
            <w:tcW w:w="671" w:type="dxa"/>
            <w:vMerge w:val="restart"/>
            <w:tcBorders>
              <w:top w:val="nil"/>
            </w:tcBorders>
            <w:vAlign w:val="bottom"/>
          </w:tcPr>
          <w:p w:rsidR="00C232A3" w:rsidRPr="00AB62BD" w:rsidRDefault="00C232A3" w:rsidP="00C232A3">
            <w:pPr>
              <w:pStyle w:val="ARfintablecolhead"/>
            </w:pPr>
          </w:p>
        </w:tc>
      </w:tr>
      <w:tr w:rsidR="00C232A3" w:rsidRPr="00AB62BD" w:rsidTr="008957E2">
        <w:trPr>
          <w:cantSplit/>
          <w:tblHeader/>
        </w:trPr>
        <w:tc>
          <w:tcPr>
            <w:tcW w:w="2889" w:type="dxa"/>
            <w:vMerge/>
            <w:vAlign w:val="bottom"/>
          </w:tcPr>
          <w:p w:rsidR="00C232A3" w:rsidRPr="00AB62BD" w:rsidRDefault="00C232A3" w:rsidP="00C232A3">
            <w:pPr>
              <w:autoSpaceDE w:val="0"/>
              <w:autoSpaceDN w:val="0"/>
              <w:adjustRightInd w:val="0"/>
              <w:spacing w:beforeLines="40" w:before="96" w:afterLines="20" w:after="48"/>
              <w:jc w:val="center"/>
              <w:rPr>
                <w:rStyle w:val="Strong"/>
                <w:rFonts w:cs="Arial"/>
                <w:bCs w:val="0"/>
                <w:sz w:val="16"/>
                <w:szCs w:val="16"/>
              </w:rPr>
            </w:pPr>
          </w:p>
        </w:tc>
        <w:tc>
          <w:tcPr>
            <w:tcW w:w="1021" w:type="dxa"/>
            <w:vAlign w:val="bottom"/>
          </w:tcPr>
          <w:p w:rsidR="00C232A3" w:rsidRPr="00AB62BD" w:rsidRDefault="00C232A3" w:rsidP="00C232A3">
            <w:pPr>
              <w:pStyle w:val="ARfintablecolheadright"/>
            </w:pPr>
            <w:r w:rsidRPr="00AB62BD">
              <w:t>Annual appro</w:t>
            </w:r>
            <w:r>
              <w:t>-</w:t>
            </w:r>
            <w:proofErr w:type="spellStart"/>
            <w:r w:rsidRPr="00AB62BD">
              <w:t>priation</w:t>
            </w:r>
            <w:proofErr w:type="spellEnd"/>
          </w:p>
          <w:p w:rsidR="00C232A3" w:rsidRPr="00AB62BD" w:rsidRDefault="00C232A3" w:rsidP="00C232A3">
            <w:pPr>
              <w:pStyle w:val="ARfintablecolheadright"/>
            </w:pPr>
            <w:r w:rsidRPr="00AB62BD">
              <w:t>$M</w:t>
            </w:r>
          </w:p>
        </w:tc>
        <w:tc>
          <w:tcPr>
            <w:tcW w:w="681" w:type="dxa"/>
            <w:vAlign w:val="bottom"/>
          </w:tcPr>
          <w:p w:rsidR="00C232A3" w:rsidRPr="00AB62BD" w:rsidRDefault="00C232A3" w:rsidP="00C232A3">
            <w:pPr>
              <w:pStyle w:val="ARfintablecolhead"/>
            </w:pPr>
          </w:p>
        </w:tc>
        <w:tc>
          <w:tcPr>
            <w:tcW w:w="1021" w:type="dxa"/>
            <w:vAlign w:val="bottom"/>
          </w:tcPr>
          <w:p w:rsidR="00C232A3" w:rsidRPr="00AB62BD" w:rsidRDefault="00C232A3" w:rsidP="00C232A3">
            <w:pPr>
              <w:pStyle w:val="ARfintablecolheadright"/>
            </w:pPr>
            <w:r w:rsidRPr="00AB62BD">
              <w:t>Advance from Treasurer</w:t>
            </w:r>
          </w:p>
          <w:p w:rsidR="00C232A3" w:rsidRPr="00AB62BD" w:rsidRDefault="00C232A3" w:rsidP="00C232A3">
            <w:pPr>
              <w:pStyle w:val="ARfintablecolheadright"/>
            </w:pPr>
            <w:r w:rsidRPr="00AB62BD">
              <w:t>$M</w:t>
            </w:r>
          </w:p>
        </w:tc>
        <w:tc>
          <w:tcPr>
            <w:tcW w:w="1022" w:type="dxa"/>
            <w:vAlign w:val="bottom"/>
          </w:tcPr>
          <w:p w:rsidR="00C232A3" w:rsidRPr="00AB62BD" w:rsidRDefault="00C232A3" w:rsidP="00C232A3">
            <w:pPr>
              <w:pStyle w:val="ARfintablecolheadright"/>
            </w:pPr>
            <w:r w:rsidRPr="00AB62BD">
              <w:t>Section 3(2)</w:t>
            </w:r>
          </w:p>
          <w:p w:rsidR="00C232A3" w:rsidRPr="00AB62BD" w:rsidRDefault="00C232A3" w:rsidP="00C232A3">
            <w:pPr>
              <w:pStyle w:val="ARfintablecolheadright"/>
            </w:pPr>
            <w:r w:rsidRPr="00AB62BD">
              <w:t>$M</w:t>
            </w:r>
          </w:p>
        </w:tc>
        <w:tc>
          <w:tcPr>
            <w:tcW w:w="1022" w:type="dxa"/>
            <w:tcBorders>
              <w:top w:val="single" w:sz="4" w:space="0" w:color="auto"/>
              <w:right w:val="nil"/>
            </w:tcBorders>
            <w:shd w:val="clear" w:color="auto" w:fill="E7E6E6"/>
            <w:vAlign w:val="bottom"/>
          </w:tcPr>
          <w:p w:rsidR="00C232A3" w:rsidRPr="00AB62BD" w:rsidRDefault="00C232A3" w:rsidP="00C232A3">
            <w:pPr>
              <w:pStyle w:val="ARfintablecolheadright"/>
              <w:rPr>
                <w:vertAlign w:val="superscript"/>
              </w:rPr>
            </w:pPr>
            <w:r w:rsidRPr="00AB62BD">
              <w:t>Section 29</w:t>
            </w:r>
            <w:r>
              <w:t xml:space="preserve"> </w:t>
            </w:r>
            <w:r w:rsidRPr="00AB62BD">
              <w:rPr>
                <w:vertAlign w:val="superscript"/>
              </w:rPr>
              <w:t>(</w:t>
            </w:r>
            <w:proofErr w:type="spellStart"/>
            <w:r w:rsidRPr="00AB62BD">
              <w:rPr>
                <w:vertAlign w:val="superscript"/>
              </w:rPr>
              <w:t>i</w:t>
            </w:r>
            <w:proofErr w:type="spellEnd"/>
            <w:r w:rsidRPr="00AB62BD">
              <w:rPr>
                <w:vertAlign w:val="superscript"/>
              </w:rPr>
              <w:t>)</w:t>
            </w:r>
          </w:p>
          <w:p w:rsidR="00C232A3" w:rsidRPr="00AB62BD" w:rsidRDefault="00C232A3" w:rsidP="00C232A3">
            <w:pPr>
              <w:pStyle w:val="ARfintablecolheadright"/>
              <w:rPr>
                <w:vertAlign w:val="superscript"/>
              </w:rPr>
            </w:pPr>
            <w:r w:rsidRPr="00AB62BD">
              <w:t>$M</w:t>
            </w:r>
          </w:p>
        </w:tc>
        <w:tc>
          <w:tcPr>
            <w:tcW w:w="1022" w:type="dxa"/>
            <w:tcBorders>
              <w:top w:val="single" w:sz="4" w:space="0" w:color="auto"/>
              <w:left w:val="nil"/>
              <w:right w:val="nil"/>
            </w:tcBorders>
            <w:shd w:val="clear" w:color="auto" w:fill="E7E6E6"/>
            <w:vAlign w:val="bottom"/>
          </w:tcPr>
          <w:p w:rsidR="00C232A3" w:rsidRPr="00AB62BD" w:rsidRDefault="00C232A3" w:rsidP="00C232A3">
            <w:pPr>
              <w:pStyle w:val="ARfintablecolheadright"/>
              <w:rPr>
                <w:vertAlign w:val="superscript"/>
              </w:rPr>
            </w:pPr>
            <w:r w:rsidRPr="00AB62BD">
              <w:t>Section 30</w:t>
            </w:r>
            <w:r>
              <w:t xml:space="preserve"> </w:t>
            </w:r>
            <w:r w:rsidRPr="00AB62BD">
              <w:rPr>
                <w:vertAlign w:val="superscript"/>
              </w:rPr>
              <w:t>(ii)</w:t>
            </w:r>
          </w:p>
          <w:p w:rsidR="00C232A3" w:rsidRPr="00AB62BD" w:rsidRDefault="00C232A3" w:rsidP="00C232A3">
            <w:pPr>
              <w:pStyle w:val="ARfintablecolheadright"/>
              <w:rPr>
                <w:vertAlign w:val="superscript"/>
              </w:rPr>
            </w:pPr>
            <w:r w:rsidRPr="00AB62BD">
              <w:t>$M</w:t>
            </w:r>
          </w:p>
        </w:tc>
        <w:tc>
          <w:tcPr>
            <w:tcW w:w="1022" w:type="dxa"/>
            <w:tcBorders>
              <w:top w:val="single" w:sz="4" w:space="0" w:color="auto"/>
              <w:left w:val="nil"/>
              <w:right w:val="nil"/>
            </w:tcBorders>
            <w:shd w:val="clear" w:color="auto" w:fill="E7E6E6"/>
            <w:vAlign w:val="bottom"/>
          </w:tcPr>
          <w:p w:rsidR="00C232A3" w:rsidRPr="00AB62BD" w:rsidRDefault="00C232A3" w:rsidP="00C232A3">
            <w:pPr>
              <w:pStyle w:val="ARfintablecolheadright"/>
            </w:pPr>
            <w:r w:rsidRPr="00AB62BD">
              <w:t>Section 32</w:t>
            </w:r>
          </w:p>
          <w:p w:rsidR="00C232A3" w:rsidRPr="00AB62BD" w:rsidRDefault="00C232A3" w:rsidP="00C232A3">
            <w:pPr>
              <w:pStyle w:val="ARfintablecolheadright"/>
            </w:pPr>
            <w:r w:rsidRPr="00AB62BD">
              <w:t>$M</w:t>
            </w:r>
          </w:p>
        </w:tc>
        <w:tc>
          <w:tcPr>
            <w:tcW w:w="1022" w:type="dxa"/>
            <w:tcBorders>
              <w:top w:val="single" w:sz="4" w:space="0" w:color="auto"/>
              <w:left w:val="nil"/>
            </w:tcBorders>
            <w:shd w:val="clear" w:color="auto" w:fill="E7E6E6"/>
            <w:vAlign w:val="bottom"/>
          </w:tcPr>
          <w:p w:rsidR="00C232A3" w:rsidRPr="00AB62BD" w:rsidRDefault="00C232A3" w:rsidP="00C232A3">
            <w:pPr>
              <w:pStyle w:val="ARfintablecolheadright"/>
            </w:pPr>
            <w:r w:rsidRPr="00AB62BD">
              <w:t>Section 35 advances</w:t>
            </w:r>
          </w:p>
          <w:p w:rsidR="00C232A3" w:rsidRPr="00AB62BD" w:rsidRDefault="00C232A3" w:rsidP="00C232A3">
            <w:pPr>
              <w:pStyle w:val="ARfintablecolheadright"/>
            </w:pPr>
            <w:r w:rsidRPr="00AB62BD">
              <w:t>$M</w:t>
            </w:r>
          </w:p>
        </w:tc>
        <w:tc>
          <w:tcPr>
            <w:tcW w:w="1022" w:type="dxa"/>
            <w:vMerge/>
            <w:tcBorders>
              <w:top w:val="single" w:sz="4" w:space="0" w:color="FFFFFF"/>
              <w:bottom w:val="single" w:sz="4" w:space="0" w:color="auto"/>
            </w:tcBorders>
            <w:vAlign w:val="bottom"/>
          </w:tcPr>
          <w:p w:rsidR="00C232A3" w:rsidRPr="00AB62BD" w:rsidRDefault="00C232A3" w:rsidP="00C232A3">
            <w:pPr>
              <w:pStyle w:val="ARfintablecolheadright"/>
            </w:pPr>
          </w:p>
        </w:tc>
        <w:tc>
          <w:tcPr>
            <w:tcW w:w="1022" w:type="dxa"/>
            <w:vMerge/>
            <w:tcBorders>
              <w:top w:val="single" w:sz="4" w:space="0" w:color="FFFFFF"/>
              <w:bottom w:val="single" w:sz="4" w:space="0" w:color="auto"/>
            </w:tcBorders>
            <w:vAlign w:val="bottom"/>
          </w:tcPr>
          <w:p w:rsidR="00C232A3" w:rsidRPr="00AB62BD" w:rsidRDefault="00C232A3" w:rsidP="00C232A3">
            <w:pPr>
              <w:pStyle w:val="ARfintablecolheadright"/>
            </w:pPr>
          </w:p>
        </w:tc>
        <w:tc>
          <w:tcPr>
            <w:tcW w:w="1022" w:type="dxa"/>
            <w:vMerge/>
            <w:tcBorders>
              <w:top w:val="single" w:sz="4" w:space="0" w:color="FFFFFF"/>
              <w:bottom w:val="single" w:sz="4" w:space="0" w:color="auto"/>
            </w:tcBorders>
            <w:vAlign w:val="bottom"/>
          </w:tcPr>
          <w:p w:rsidR="00C232A3" w:rsidRPr="00AB62BD" w:rsidRDefault="00C232A3" w:rsidP="00C232A3">
            <w:pPr>
              <w:pStyle w:val="ARfintablecolheadright"/>
            </w:pPr>
          </w:p>
        </w:tc>
        <w:tc>
          <w:tcPr>
            <w:tcW w:w="671" w:type="dxa"/>
            <w:vMerge/>
            <w:tcBorders>
              <w:top w:val="single" w:sz="4" w:space="0" w:color="FFFFFF"/>
              <w:bottom w:val="single" w:sz="4" w:space="0" w:color="auto"/>
            </w:tcBorders>
            <w:vAlign w:val="bottom"/>
          </w:tcPr>
          <w:p w:rsidR="00C232A3" w:rsidRPr="00AB62BD" w:rsidRDefault="00C232A3" w:rsidP="00C232A3">
            <w:pPr>
              <w:pStyle w:val="ARfintablecolheadright"/>
            </w:pPr>
          </w:p>
        </w:tc>
      </w:tr>
      <w:tr w:rsidR="00C232A3" w:rsidRPr="00AB62BD" w:rsidTr="008957E2">
        <w:trPr>
          <w:cantSplit/>
        </w:trPr>
        <w:tc>
          <w:tcPr>
            <w:tcW w:w="2889" w:type="dxa"/>
            <w:tcBorders>
              <w:bottom w:val="single" w:sz="4" w:space="0" w:color="auto"/>
            </w:tcBorders>
          </w:tcPr>
          <w:p w:rsidR="00C232A3" w:rsidRPr="00E90523" w:rsidRDefault="00C232A3" w:rsidP="00C232A3">
            <w:pPr>
              <w:pStyle w:val="ARfintablebodybold"/>
            </w:pPr>
            <w:r w:rsidRPr="00E90523">
              <w:t>2017</w:t>
            </w:r>
          </w:p>
        </w:tc>
        <w:tc>
          <w:tcPr>
            <w:tcW w:w="1021" w:type="dxa"/>
            <w:tcBorders>
              <w:bottom w:val="single" w:sz="4" w:space="0" w:color="auto"/>
            </w:tcBorders>
          </w:tcPr>
          <w:p w:rsidR="00C232A3" w:rsidRPr="00AB62BD" w:rsidRDefault="00C232A3" w:rsidP="00C232A3">
            <w:pPr>
              <w:pStyle w:val="ARfintablebodyright"/>
              <w:rPr>
                <w:lang w:eastAsia="en-AU"/>
              </w:rPr>
            </w:pPr>
          </w:p>
        </w:tc>
        <w:tc>
          <w:tcPr>
            <w:tcW w:w="681" w:type="dxa"/>
            <w:tcBorders>
              <w:bottom w:val="single" w:sz="4" w:space="0" w:color="auto"/>
            </w:tcBorders>
          </w:tcPr>
          <w:p w:rsidR="00C232A3" w:rsidRPr="00AB62BD" w:rsidRDefault="00C232A3" w:rsidP="00C232A3">
            <w:pPr>
              <w:pStyle w:val="ARfintablebody"/>
              <w:rPr>
                <w:lang w:eastAsia="en-AU"/>
              </w:rPr>
            </w:pPr>
          </w:p>
        </w:tc>
        <w:tc>
          <w:tcPr>
            <w:tcW w:w="1021" w:type="dxa"/>
            <w:tcBorders>
              <w:bottom w:val="single" w:sz="4" w:space="0" w:color="auto"/>
            </w:tcBorders>
          </w:tcPr>
          <w:p w:rsidR="00C232A3" w:rsidRPr="00AB62BD" w:rsidRDefault="00C232A3" w:rsidP="00C232A3">
            <w:pPr>
              <w:pStyle w:val="ARfintablebodyright"/>
              <w:rPr>
                <w:lang w:eastAsia="en-AU"/>
              </w:rPr>
            </w:pPr>
          </w:p>
        </w:tc>
        <w:tc>
          <w:tcPr>
            <w:tcW w:w="1022" w:type="dxa"/>
            <w:tcBorders>
              <w:bottom w:val="single" w:sz="4" w:space="0" w:color="auto"/>
            </w:tcBorders>
          </w:tcPr>
          <w:p w:rsidR="00C232A3" w:rsidRPr="00AB62BD" w:rsidRDefault="00C232A3" w:rsidP="00C232A3">
            <w:pPr>
              <w:pStyle w:val="ARfintablebodyright"/>
              <w:rPr>
                <w:lang w:eastAsia="en-AU"/>
              </w:rPr>
            </w:pPr>
          </w:p>
        </w:tc>
        <w:tc>
          <w:tcPr>
            <w:tcW w:w="1022" w:type="dxa"/>
            <w:tcBorders>
              <w:bottom w:val="single" w:sz="4" w:space="0" w:color="auto"/>
              <w:right w:val="nil"/>
            </w:tcBorders>
            <w:shd w:val="clear" w:color="auto" w:fill="E7E6E6"/>
          </w:tcPr>
          <w:p w:rsidR="00C232A3" w:rsidRPr="00AB62BD" w:rsidRDefault="00C232A3" w:rsidP="00C232A3">
            <w:pPr>
              <w:pStyle w:val="ARfintablebodyright"/>
              <w:rPr>
                <w:lang w:eastAsia="en-AU"/>
              </w:rPr>
            </w:pPr>
          </w:p>
        </w:tc>
        <w:tc>
          <w:tcPr>
            <w:tcW w:w="1022" w:type="dxa"/>
            <w:tcBorders>
              <w:left w:val="nil"/>
              <w:bottom w:val="single" w:sz="4" w:space="0" w:color="auto"/>
              <w:right w:val="nil"/>
            </w:tcBorders>
            <w:shd w:val="clear" w:color="auto" w:fill="E7E6E6"/>
          </w:tcPr>
          <w:p w:rsidR="00C232A3" w:rsidRPr="00AB62BD" w:rsidRDefault="00C232A3" w:rsidP="00C232A3">
            <w:pPr>
              <w:pStyle w:val="ARfintablebodyright"/>
              <w:rPr>
                <w:lang w:eastAsia="en-AU"/>
              </w:rPr>
            </w:pPr>
          </w:p>
        </w:tc>
        <w:tc>
          <w:tcPr>
            <w:tcW w:w="1022" w:type="dxa"/>
            <w:tcBorders>
              <w:left w:val="nil"/>
              <w:bottom w:val="single" w:sz="4" w:space="0" w:color="auto"/>
              <w:right w:val="nil"/>
            </w:tcBorders>
            <w:shd w:val="clear" w:color="auto" w:fill="E7E6E6"/>
          </w:tcPr>
          <w:p w:rsidR="00C232A3" w:rsidRPr="00AB62BD" w:rsidRDefault="00C232A3" w:rsidP="00C232A3">
            <w:pPr>
              <w:pStyle w:val="ARfintablebodyright"/>
              <w:rPr>
                <w:lang w:eastAsia="en-AU"/>
              </w:rPr>
            </w:pPr>
          </w:p>
        </w:tc>
        <w:tc>
          <w:tcPr>
            <w:tcW w:w="1022" w:type="dxa"/>
            <w:tcBorders>
              <w:left w:val="nil"/>
              <w:bottom w:val="single" w:sz="4" w:space="0" w:color="auto"/>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bottom w:val="single" w:sz="4" w:space="0" w:color="auto"/>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uto"/>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uto"/>
            </w:tcBorders>
          </w:tcPr>
          <w:p w:rsidR="00C232A3" w:rsidRPr="00AB62BD" w:rsidRDefault="00C232A3" w:rsidP="00C232A3">
            <w:pPr>
              <w:pStyle w:val="ARfintablebodyright"/>
              <w:rPr>
                <w:lang w:eastAsia="en-AU"/>
              </w:rPr>
            </w:pPr>
          </w:p>
        </w:tc>
        <w:tc>
          <w:tcPr>
            <w:tcW w:w="671" w:type="dxa"/>
            <w:tcBorders>
              <w:top w:val="single" w:sz="4" w:space="0" w:color="auto"/>
              <w:bottom w:val="single" w:sz="4" w:space="0" w:color="auto"/>
            </w:tcBorders>
          </w:tcPr>
          <w:p w:rsidR="00C232A3" w:rsidRPr="00AB62BD" w:rsidRDefault="00C232A3" w:rsidP="00C232A3">
            <w:pPr>
              <w:pStyle w:val="ARfintablebody"/>
              <w:rPr>
                <w:lang w:eastAsia="en-AU"/>
              </w:rPr>
            </w:pPr>
          </w:p>
        </w:tc>
      </w:tr>
      <w:tr w:rsidR="00C232A3" w:rsidRPr="00AB62BD" w:rsidTr="008957E2">
        <w:trPr>
          <w:cantSplit/>
        </w:trPr>
        <w:tc>
          <w:tcPr>
            <w:tcW w:w="2889" w:type="dxa"/>
            <w:tcBorders>
              <w:top w:val="single" w:sz="4" w:space="0" w:color="auto"/>
              <w:bottom w:val="single" w:sz="4" w:space="0" w:color="A6A6A6" w:themeColor="background1" w:themeShade="A6"/>
            </w:tcBorders>
          </w:tcPr>
          <w:p w:rsidR="00C232A3" w:rsidRPr="00AB62BD" w:rsidRDefault="00C232A3" w:rsidP="00C232A3">
            <w:pPr>
              <w:pStyle w:val="ARfintablebodybold"/>
              <w:rPr>
                <w:lang w:eastAsia="en-AU"/>
              </w:rPr>
            </w:pPr>
            <w:r w:rsidRPr="00E90523">
              <w:t>Controlled</w:t>
            </w: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68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left w:val="nil"/>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6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r>
      <w:tr w:rsidR="00C232A3" w:rsidRPr="00AB62BD" w:rsidTr="008957E2">
        <w:trPr>
          <w:cantSplit/>
        </w:trPr>
        <w:tc>
          <w:tcPr>
            <w:tcW w:w="288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Provision of outputs</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12,810.7</w:t>
            </w:r>
          </w:p>
        </w:tc>
        <w:tc>
          <w:tcPr>
            <w:tcW w:w="3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vertAlign w:val="superscript"/>
                <w:lang w:eastAsia="en-AU"/>
              </w:rPr>
              <w:t>(iii)</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452.5</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576.5</w:t>
            </w: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15.6</w:t>
            </w: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198.5</w:t>
            </w:r>
          </w:p>
        </w:tc>
        <w:tc>
          <w:tcPr>
            <w:tcW w:w="1022" w:type="dxa"/>
            <w:tcBorders>
              <w:top w:val="single" w:sz="4" w:space="0" w:color="A6A6A6" w:themeColor="background1" w:themeShade="A6"/>
              <w:left w:val="nil"/>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14,053.8</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13,755.3</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298.5</w:t>
            </w:r>
          </w:p>
        </w:tc>
        <w:tc>
          <w:tcPr>
            <w:tcW w:w="6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vertAlign w:val="superscript"/>
                <w:lang w:eastAsia="en-AU"/>
              </w:rPr>
              <w:t>(v)</w:t>
            </w:r>
          </w:p>
        </w:tc>
      </w:tr>
      <w:tr w:rsidR="00C232A3" w:rsidRPr="00AB62BD" w:rsidTr="008957E2">
        <w:trPr>
          <w:cantSplit/>
        </w:trPr>
        <w:tc>
          <w:tcPr>
            <w:tcW w:w="34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Additions to net assets</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247.3</w:t>
            </w:r>
          </w:p>
        </w:tc>
        <w:tc>
          <w:tcPr>
            <w:tcW w:w="3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vertAlign w:val="superscript"/>
                <w:lang w:eastAsia="en-AU"/>
              </w:rPr>
              <w:t>(iv)</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69.3</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17.2</w:t>
            </w: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(15.6)</w:t>
            </w: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left w:val="nil"/>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318.2</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175.8</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142.4</w:t>
            </w:r>
          </w:p>
        </w:tc>
        <w:tc>
          <w:tcPr>
            <w:tcW w:w="6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vertAlign w:val="superscript"/>
                <w:lang w:eastAsia="en-AU"/>
              </w:rPr>
              <w:t>(vi)</w:t>
            </w:r>
          </w:p>
        </w:tc>
      </w:tr>
      <w:tr w:rsidR="00C232A3" w:rsidRPr="00AB62BD" w:rsidTr="008957E2">
        <w:trPr>
          <w:cantSplit/>
        </w:trPr>
        <w:tc>
          <w:tcPr>
            <w:tcW w:w="34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bold"/>
              <w:rPr>
                <w:rStyle w:val="Strong"/>
                <w:rFonts w:cs="Arial"/>
                <w:bCs/>
              </w:rPr>
            </w:pPr>
            <w:r w:rsidRPr="00E90523">
              <w:t>Administered</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3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left w:val="nil"/>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3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p>
        </w:tc>
      </w:tr>
      <w:tr w:rsidR="00C232A3" w:rsidRPr="00AB62BD" w:rsidTr="008957E2">
        <w:trPr>
          <w:cantSplit/>
        </w:trPr>
        <w:tc>
          <w:tcPr>
            <w:tcW w:w="3459"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Payments made on behalf of the State</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c>
          <w:tcPr>
            <w:tcW w:w="397" w:type="dxa"/>
            <w:tcBorders>
              <w:top w:val="single" w:sz="4" w:space="0" w:color="A6A6A6" w:themeColor="background1" w:themeShade="A6"/>
            </w:tcBorders>
          </w:tcPr>
          <w:p w:rsidR="00C232A3" w:rsidRPr="00AB62BD" w:rsidRDefault="00C232A3" w:rsidP="00C232A3">
            <w:pPr>
              <w:pStyle w:val="ARfintablebody"/>
              <w:rPr>
                <w:lang w:eastAsia="en-AU"/>
              </w:rPr>
            </w:pP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left w:val="nil"/>
              <w:right w:val="nil"/>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left w:val="nil"/>
              <w:right w:val="nil"/>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left w:val="nil"/>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c>
          <w:tcPr>
            <w:tcW w:w="397"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vertAlign w:val="superscript"/>
                <w:lang w:eastAsia="en-AU"/>
              </w:rPr>
              <w:t>(vii)</w:t>
            </w:r>
          </w:p>
        </w:tc>
      </w:tr>
      <w:tr w:rsidR="00C232A3" w:rsidRPr="00AB62BD" w:rsidTr="008957E2">
        <w:trPr>
          <w:cantSplit/>
        </w:trPr>
        <w:tc>
          <w:tcPr>
            <w:tcW w:w="3459" w:type="dxa"/>
          </w:tcPr>
          <w:p w:rsidR="00C232A3" w:rsidRPr="00AB62BD" w:rsidRDefault="00C232A3" w:rsidP="00C232A3">
            <w:pPr>
              <w:pStyle w:val="ARfintablebodybold"/>
              <w:rPr>
                <w:lang w:eastAsia="en-AU"/>
              </w:rPr>
            </w:pPr>
            <w:r w:rsidRPr="00E90523">
              <w:t>Total</w:t>
            </w:r>
          </w:p>
        </w:tc>
        <w:tc>
          <w:tcPr>
            <w:tcW w:w="1021" w:type="dxa"/>
          </w:tcPr>
          <w:p w:rsidR="00C232A3" w:rsidRPr="00AB62BD" w:rsidRDefault="00C232A3" w:rsidP="00C232A3">
            <w:pPr>
              <w:pStyle w:val="ARfintablebodyright"/>
              <w:rPr>
                <w:b/>
                <w:bCs/>
                <w:lang w:eastAsia="en-AU"/>
              </w:rPr>
            </w:pPr>
            <w:r w:rsidRPr="00AB62BD">
              <w:rPr>
                <w:rStyle w:val="Strong"/>
              </w:rPr>
              <w:t>13,058.8</w:t>
            </w:r>
          </w:p>
        </w:tc>
        <w:tc>
          <w:tcPr>
            <w:tcW w:w="397" w:type="dxa"/>
          </w:tcPr>
          <w:p w:rsidR="00C232A3" w:rsidRPr="00AB62BD" w:rsidRDefault="00C232A3" w:rsidP="00C232A3">
            <w:pPr>
              <w:pStyle w:val="ARfintablebody"/>
              <w:rPr>
                <w:b/>
                <w:bCs/>
                <w:lang w:eastAsia="en-AU"/>
              </w:rPr>
            </w:pPr>
          </w:p>
        </w:tc>
        <w:tc>
          <w:tcPr>
            <w:tcW w:w="1021" w:type="dxa"/>
          </w:tcPr>
          <w:p w:rsidR="00C232A3" w:rsidRPr="00AB62BD" w:rsidRDefault="00C232A3" w:rsidP="00C232A3">
            <w:pPr>
              <w:pStyle w:val="ARfintablebodyright"/>
              <w:rPr>
                <w:b/>
                <w:bCs/>
                <w:lang w:eastAsia="en-AU"/>
              </w:rPr>
            </w:pPr>
            <w:r w:rsidRPr="00AB62BD">
              <w:rPr>
                <w:rStyle w:val="Strong"/>
              </w:rPr>
              <w:t>521.9</w:t>
            </w:r>
          </w:p>
        </w:tc>
        <w:tc>
          <w:tcPr>
            <w:tcW w:w="1022" w:type="dxa"/>
          </w:tcPr>
          <w:p w:rsidR="00C232A3" w:rsidRPr="00AB62BD" w:rsidRDefault="00C232A3" w:rsidP="00C232A3">
            <w:pPr>
              <w:pStyle w:val="ARfintablebodyright"/>
              <w:rPr>
                <w:b/>
                <w:bCs/>
                <w:lang w:eastAsia="en-AU"/>
              </w:rPr>
            </w:pPr>
            <w:r w:rsidRPr="00AB62BD">
              <w:rPr>
                <w:rStyle w:val="Strong"/>
              </w:rPr>
              <w:t>–</w:t>
            </w:r>
          </w:p>
        </w:tc>
        <w:tc>
          <w:tcPr>
            <w:tcW w:w="1022" w:type="dxa"/>
            <w:tcBorders>
              <w:right w:val="nil"/>
            </w:tcBorders>
            <w:shd w:val="clear" w:color="auto" w:fill="E7E6E6"/>
          </w:tcPr>
          <w:p w:rsidR="00C232A3" w:rsidRPr="00AB62BD" w:rsidRDefault="00C232A3" w:rsidP="00C232A3">
            <w:pPr>
              <w:pStyle w:val="ARfintablebodyright"/>
              <w:rPr>
                <w:b/>
                <w:bCs/>
                <w:lang w:eastAsia="en-AU"/>
              </w:rPr>
            </w:pPr>
            <w:r w:rsidRPr="00AB62BD">
              <w:rPr>
                <w:rStyle w:val="Strong"/>
              </w:rPr>
              <w:t>593.7</w:t>
            </w:r>
          </w:p>
        </w:tc>
        <w:tc>
          <w:tcPr>
            <w:tcW w:w="1022" w:type="dxa"/>
            <w:tcBorders>
              <w:left w:val="nil"/>
              <w:right w:val="nil"/>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2" w:type="dxa"/>
            <w:tcBorders>
              <w:left w:val="nil"/>
              <w:right w:val="nil"/>
            </w:tcBorders>
            <w:shd w:val="clear" w:color="auto" w:fill="E7E6E6"/>
          </w:tcPr>
          <w:p w:rsidR="00C232A3" w:rsidRPr="00AB62BD" w:rsidRDefault="00C232A3" w:rsidP="00C232A3">
            <w:pPr>
              <w:pStyle w:val="ARfintablebodyright"/>
              <w:rPr>
                <w:b/>
                <w:bCs/>
                <w:lang w:eastAsia="en-AU"/>
              </w:rPr>
            </w:pPr>
            <w:r w:rsidRPr="00AB62BD">
              <w:rPr>
                <w:rStyle w:val="Strong"/>
              </w:rPr>
              <w:t>198.5</w:t>
            </w:r>
          </w:p>
        </w:tc>
        <w:tc>
          <w:tcPr>
            <w:tcW w:w="1022" w:type="dxa"/>
            <w:tcBorders>
              <w:left w:val="nil"/>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2" w:type="dxa"/>
          </w:tcPr>
          <w:p w:rsidR="00C232A3" w:rsidRPr="00AB62BD" w:rsidRDefault="00C232A3" w:rsidP="00C232A3">
            <w:pPr>
              <w:pStyle w:val="ARfintablebodyright"/>
              <w:rPr>
                <w:b/>
                <w:bCs/>
                <w:lang w:eastAsia="en-AU"/>
              </w:rPr>
            </w:pPr>
            <w:r w:rsidRPr="00AB62BD">
              <w:rPr>
                <w:rStyle w:val="Strong"/>
              </w:rPr>
              <w:t>14,372.9</w:t>
            </w:r>
          </w:p>
        </w:tc>
        <w:tc>
          <w:tcPr>
            <w:tcW w:w="1022" w:type="dxa"/>
          </w:tcPr>
          <w:p w:rsidR="00C232A3" w:rsidRPr="00AB62BD" w:rsidRDefault="00C232A3" w:rsidP="00C232A3">
            <w:pPr>
              <w:pStyle w:val="ARfintablebodyright"/>
              <w:rPr>
                <w:b/>
                <w:bCs/>
                <w:lang w:eastAsia="en-AU"/>
              </w:rPr>
            </w:pPr>
            <w:r w:rsidRPr="00AB62BD">
              <w:rPr>
                <w:rStyle w:val="Strong"/>
              </w:rPr>
              <w:t>13,931.2</w:t>
            </w:r>
          </w:p>
        </w:tc>
        <w:tc>
          <w:tcPr>
            <w:tcW w:w="1022" w:type="dxa"/>
          </w:tcPr>
          <w:p w:rsidR="00C232A3" w:rsidRPr="00AB62BD" w:rsidRDefault="00C232A3" w:rsidP="00C232A3">
            <w:pPr>
              <w:pStyle w:val="ARfintablebodyright"/>
              <w:rPr>
                <w:b/>
                <w:bCs/>
                <w:lang w:eastAsia="en-AU"/>
              </w:rPr>
            </w:pPr>
            <w:r w:rsidRPr="00AB62BD">
              <w:rPr>
                <w:rStyle w:val="Strong"/>
              </w:rPr>
              <w:t>441.6</w:t>
            </w:r>
          </w:p>
        </w:tc>
        <w:tc>
          <w:tcPr>
            <w:tcW w:w="397" w:type="dxa"/>
          </w:tcPr>
          <w:p w:rsidR="00C232A3" w:rsidRPr="00AB62BD" w:rsidRDefault="00C232A3" w:rsidP="00C232A3">
            <w:pPr>
              <w:pStyle w:val="ARfintablebody"/>
              <w:rPr>
                <w:b/>
                <w:bCs/>
                <w:lang w:eastAsia="en-AU"/>
              </w:rPr>
            </w:pPr>
          </w:p>
        </w:tc>
      </w:tr>
      <w:tr w:rsidR="00C232A3" w:rsidRPr="00AB62BD" w:rsidTr="008957E2">
        <w:trPr>
          <w:cantSplit/>
        </w:trPr>
        <w:tc>
          <w:tcPr>
            <w:tcW w:w="3459" w:type="dxa"/>
            <w:tcBorders>
              <w:bottom w:val="single" w:sz="4" w:space="0" w:color="auto"/>
            </w:tcBorders>
          </w:tcPr>
          <w:p w:rsidR="00C232A3" w:rsidRPr="00E90523" w:rsidRDefault="00C232A3" w:rsidP="00C232A3">
            <w:pPr>
              <w:pStyle w:val="ARfintablebodybold"/>
            </w:pPr>
            <w:r w:rsidRPr="00E90523">
              <w:t>2016</w:t>
            </w:r>
          </w:p>
        </w:tc>
        <w:tc>
          <w:tcPr>
            <w:tcW w:w="1021" w:type="dxa"/>
            <w:tcBorders>
              <w:bottom w:val="single" w:sz="4" w:space="0" w:color="auto"/>
            </w:tcBorders>
          </w:tcPr>
          <w:p w:rsidR="00C232A3" w:rsidRPr="00AB62BD" w:rsidRDefault="00C232A3" w:rsidP="00C232A3">
            <w:pPr>
              <w:pStyle w:val="ARfintablebodyright"/>
              <w:rPr>
                <w:lang w:eastAsia="en-AU"/>
              </w:rPr>
            </w:pPr>
          </w:p>
        </w:tc>
        <w:tc>
          <w:tcPr>
            <w:tcW w:w="397" w:type="dxa"/>
            <w:tcBorders>
              <w:bottom w:val="single" w:sz="4" w:space="0" w:color="auto"/>
            </w:tcBorders>
          </w:tcPr>
          <w:p w:rsidR="00C232A3" w:rsidRPr="00AB62BD" w:rsidRDefault="00C232A3" w:rsidP="00C232A3">
            <w:pPr>
              <w:pStyle w:val="ARfintablebody"/>
              <w:rPr>
                <w:lang w:eastAsia="en-AU"/>
              </w:rPr>
            </w:pPr>
          </w:p>
        </w:tc>
        <w:tc>
          <w:tcPr>
            <w:tcW w:w="1021" w:type="dxa"/>
            <w:tcBorders>
              <w:bottom w:val="single" w:sz="4" w:space="0" w:color="auto"/>
            </w:tcBorders>
          </w:tcPr>
          <w:p w:rsidR="00C232A3" w:rsidRPr="00AB62BD" w:rsidRDefault="00C232A3" w:rsidP="00C232A3">
            <w:pPr>
              <w:pStyle w:val="ARfintablebodyright"/>
              <w:rPr>
                <w:lang w:eastAsia="en-AU"/>
              </w:rPr>
            </w:pPr>
          </w:p>
        </w:tc>
        <w:tc>
          <w:tcPr>
            <w:tcW w:w="1022" w:type="dxa"/>
            <w:tcBorders>
              <w:bottom w:val="single" w:sz="4" w:space="0" w:color="auto"/>
            </w:tcBorders>
          </w:tcPr>
          <w:p w:rsidR="00C232A3" w:rsidRPr="00AB62BD" w:rsidRDefault="00C232A3" w:rsidP="00C232A3">
            <w:pPr>
              <w:pStyle w:val="ARfintablebodyright"/>
              <w:rPr>
                <w:lang w:eastAsia="en-AU"/>
              </w:rPr>
            </w:pPr>
          </w:p>
        </w:tc>
        <w:tc>
          <w:tcPr>
            <w:tcW w:w="1022" w:type="dxa"/>
            <w:tcBorders>
              <w:bottom w:val="single" w:sz="4" w:space="0" w:color="auto"/>
              <w:right w:val="nil"/>
            </w:tcBorders>
            <w:shd w:val="clear" w:color="auto" w:fill="E7E6E6"/>
          </w:tcPr>
          <w:p w:rsidR="00C232A3" w:rsidRPr="00AB62BD" w:rsidRDefault="00C232A3" w:rsidP="00C232A3">
            <w:pPr>
              <w:pStyle w:val="ARfintablebodyright"/>
              <w:rPr>
                <w:lang w:eastAsia="en-AU"/>
              </w:rPr>
            </w:pPr>
          </w:p>
        </w:tc>
        <w:tc>
          <w:tcPr>
            <w:tcW w:w="1022" w:type="dxa"/>
            <w:tcBorders>
              <w:left w:val="nil"/>
              <w:bottom w:val="single" w:sz="4" w:space="0" w:color="auto"/>
              <w:right w:val="nil"/>
            </w:tcBorders>
            <w:shd w:val="clear" w:color="auto" w:fill="E7E6E6"/>
          </w:tcPr>
          <w:p w:rsidR="00C232A3" w:rsidRPr="00AB62BD" w:rsidRDefault="00C232A3" w:rsidP="00C232A3">
            <w:pPr>
              <w:pStyle w:val="ARfintablebodyright"/>
              <w:rPr>
                <w:lang w:eastAsia="en-AU"/>
              </w:rPr>
            </w:pPr>
          </w:p>
        </w:tc>
        <w:tc>
          <w:tcPr>
            <w:tcW w:w="1022" w:type="dxa"/>
            <w:tcBorders>
              <w:left w:val="nil"/>
              <w:bottom w:val="single" w:sz="4" w:space="0" w:color="auto"/>
              <w:right w:val="nil"/>
            </w:tcBorders>
            <w:shd w:val="clear" w:color="auto" w:fill="E7E6E6"/>
          </w:tcPr>
          <w:p w:rsidR="00C232A3" w:rsidRPr="00AB62BD" w:rsidRDefault="00C232A3" w:rsidP="00C232A3">
            <w:pPr>
              <w:pStyle w:val="ARfintablebodyright"/>
              <w:rPr>
                <w:lang w:eastAsia="en-AU"/>
              </w:rPr>
            </w:pPr>
          </w:p>
        </w:tc>
        <w:tc>
          <w:tcPr>
            <w:tcW w:w="1022" w:type="dxa"/>
            <w:tcBorders>
              <w:left w:val="nil"/>
              <w:bottom w:val="single" w:sz="4" w:space="0" w:color="auto"/>
            </w:tcBorders>
            <w:shd w:val="clear" w:color="auto" w:fill="E7E6E6"/>
          </w:tcPr>
          <w:p w:rsidR="00C232A3" w:rsidRPr="00AB62BD" w:rsidRDefault="00C232A3" w:rsidP="00C232A3">
            <w:pPr>
              <w:pStyle w:val="ARfintablebodyright"/>
              <w:rPr>
                <w:lang w:eastAsia="en-AU"/>
              </w:rPr>
            </w:pPr>
          </w:p>
        </w:tc>
        <w:tc>
          <w:tcPr>
            <w:tcW w:w="1022" w:type="dxa"/>
            <w:tcBorders>
              <w:bottom w:val="single" w:sz="4" w:space="0" w:color="auto"/>
            </w:tcBorders>
          </w:tcPr>
          <w:p w:rsidR="00C232A3" w:rsidRPr="00AB62BD" w:rsidRDefault="00C232A3" w:rsidP="00C232A3">
            <w:pPr>
              <w:pStyle w:val="ARfintablebodyright"/>
              <w:rPr>
                <w:lang w:eastAsia="en-AU"/>
              </w:rPr>
            </w:pPr>
          </w:p>
        </w:tc>
        <w:tc>
          <w:tcPr>
            <w:tcW w:w="1022" w:type="dxa"/>
            <w:tcBorders>
              <w:bottom w:val="single" w:sz="4" w:space="0" w:color="auto"/>
            </w:tcBorders>
          </w:tcPr>
          <w:p w:rsidR="00C232A3" w:rsidRPr="00AB62BD" w:rsidRDefault="00C232A3" w:rsidP="00C232A3">
            <w:pPr>
              <w:pStyle w:val="ARfintablebodyright"/>
              <w:rPr>
                <w:lang w:eastAsia="en-AU"/>
              </w:rPr>
            </w:pPr>
          </w:p>
        </w:tc>
        <w:tc>
          <w:tcPr>
            <w:tcW w:w="1022" w:type="dxa"/>
            <w:tcBorders>
              <w:bottom w:val="single" w:sz="4" w:space="0" w:color="auto"/>
            </w:tcBorders>
          </w:tcPr>
          <w:p w:rsidR="00C232A3" w:rsidRPr="00AB62BD" w:rsidRDefault="00C232A3" w:rsidP="00C232A3">
            <w:pPr>
              <w:pStyle w:val="ARfintablebodyright"/>
              <w:rPr>
                <w:lang w:eastAsia="en-AU"/>
              </w:rPr>
            </w:pPr>
          </w:p>
        </w:tc>
        <w:tc>
          <w:tcPr>
            <w:tcW w:w="397" w:type="dxa"/>
            <w:tcBorders>
              <w:bottom w:val="single" w:sz="4" w:space="0" w:color="auto"/>
            </w:tcBorders>
          </w:tcPr>
          <w:p w:rsidR="00C232A3" w:rsidRPr="00AB62BD" w:rsidRDefault="00C232A3" w:rsidP="00C232A3">
            <w:pPr>
              <w:pStyle w:val="ARfintablebody"/>
              <w:rPr>
                <w:lang w:eastAsia="en-AU"/>
              </w:rPr>
            </w:pPr>
          </w:p>
        </w:tc>
      </w:tr>
      <w:tr w:rsidR="00C232A3" w:rsidRPr="00AB62BD" w:rsidTr="008957E2">
        <w:trPr>
          <w:cantSplit/>
        </w:trPr>
        <w:tc>
          <w:tcPr>
            <w:tcW w:w="3459" w:type="dxa"/>
            <w:tcBorders>
              <w:top w:val="single" w:sz="4" w:space="0" w:color="auto"/>
              <w:bottom w:val="single" w:sz="4" w:space="0" w:color="A6A6A6" w:themeColor="background1" w:themeShade="A6"/>
            </w:tcBorders>
          </w:tcPr>
          <w:p w:rsidR="00C232A3" w:rsidRPr="00E90523" w:rsidRDefault="00C232A3" w:rsidP="00C232A3">
            <w:pPr>
              <w:pStyle w:val="ARfintablebodybold"/>
            </w:pPr>
            <w:r w:rsidRPr="00E90523">
              <w:t>Controlled</w:t>
            </w: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397"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left w:val="nil"/>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397"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r>
      <w:tr w:rsidR="00C232A3" w:rsidRPr="00AB62BD" w:rsidTr="008957E2">
        <w:trPr>
          <w:cantSplit/>
        </w:trPr>
        <w:tc>
          <w:tcPr>
            <w:tcW w:w="34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Provision of outputs</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11,865.5</w:t>
            </w:r>
          </w:p>
        </w:tc>
        <w:tc>
          <w:tcPr>
            <w:tcW w:w="3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65.8</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948.5</w:t>
            </w: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105.3</w:t>
            </w:r>
          </w:p>
        </w:tc>
        <w:tc>
          <w:tcPr>
            <w:tcW w:w="1022"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158.9</w:t>
            </w:r>
          </w:p>
        </w:tc>
        <w:tc>
          <w:tcPr>
            <w:tcW w:w="1022" w:type="dxa"/>
            <w:tcBorders>
              <w:top w:val="single" w:sz="4" w:space="0" w:color="A6A6A6" w:themeColor="background1" w:themeShade="A6"/>
              <w:left w:val="nil"/>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13,144.0</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12,901.7</w:t>
            </w:r>
          </w:p>
        </w:tc>
        <w:tc>
          <w:tcPr>
            <w:tcW w:w="102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242.3</w:t>
            </w:r>
          </w:p>
        </w:tc>
        <w:tc>
          <w:tcPr>
            <w:tcW w:w="3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vertAlign w:val="superscript"/>
                <w:lang w:eastAsia="en-AU"/>
              </w:rPr>
              <w:t>(viii)</w:t>
            </w:r>
          </w:p>
        </w:tc>
      </w:tr>
      <w:tr w:rsidR="00C232A3" w:rsidRPr="00AB62BD" w:rsidTr="008957E2">
        <w:trPr>
          <w:cantSplit/>
        </w:trPr>
        <w:tc>
          <w:tcPr>
            <w:tcW w:w="3459"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Additions to net assets</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147.1</w:t>
            </w:r>
          </w:p>
        </w:tc>
        <w:tc>
          <w:tcPr>
            <w:tcW w:w="397" w:type="dxa"/>
            <w:tcBorders>
              <w:top w:val="single" w:sz="4" w:space="0" w:color="A6A6A6" w:themeColor="background1" w:themeShade="A6"/>
            </w:tcBorders>
          </w:tcPr>
          <w:p w:rsidR="00C232A3" w:rsidRPr="00AB62BD" w:rsidRDefault="00C232A3" w:rsidP="00C232A3">
            <w:pPr>
              <w:pStyle w:val="ARfintablebody"/>
              <w:rPr>
                <w:lang w:eastAsia="en-AU"/>
              </w:rPr>
            </w:pP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right w:val="nil"/>
            </w:tcBorders>
            <w:shd w:val="clear" w:color="auto" w:fill="E7E6E6"/>
          </w:tcPr>
          <w:p w:rsidR="00C232A3" w:rsidRPr="00AB62BD" w:rsidRDefault="00C232A3" w:rsidP="00C232A3">
            <w:pPr>
              <w:pStyle w:val="ARfintablebodyright"/>
              <w:rPr>
                <w:lang w:eastAsia="en-AU"/>
              </w:rPr>
            </w:pPr>
            <w:r w:rsidRPr="00AB62BD">
              <w:rPr>
                <w:lang w:eastAsia="en-AU"/>
              </w:rPr>
              <w:t>88.5</w:t>
            </w:r>
          </w:p>
        </w:tc>
        <w:tc>
          <w:tcPr>
            <w:tcW w:w="1022" w:type="dxa"/>
            <w:tcBorders>
              <w:top w:val="single" w:sz="4" w:space="0" w:color="A6A6A6" w:themeColor="background1" w:themeShade="A6"/>
              <w:left w:val="nil"/>
              <w:right w:val="nil"/>
            </w:tcBorders>
            <w:shd w:val="clear" w:color="auto" w:fill="E7E6E6"/>
          </w:tcPr>
          <w:p w:rsidR="00C232A3" w:rsidRPr="00AB62BD" w:rsidRDefault="00C232A3" w:rsidP="00C232A3">
            <w:pPr>
              <w:pStyle w:val="ARfintablebodyright"/>
              <w:rPr>
                <w:lang w:eastAsia="en-AU"/>
              </w:rPr>
            </w:pPr>
            <w:r w:rsidRPr="00AB62BD">
              <w:rPr>
                <w:lang w:eastAsia="en-AU"/>
              </w:rPr>
              <w:t>(105.3)</w:t>
            </w:r>
          </w:p>
        </w:tc>
        <w:tc>
          <w:tcPr>
            <w:tcW w:w="1022" w:type="dxa"/>
            <w:tcBorders>
              <w:top w:val="single" w:sz="4" w:space="0" w:color="A6A6A6" w:themeColor="background1" w:themeShade="A6"/>
              <w:left w:val="nil"/>
              <w:right w:val="nil"/>
            </w:tcBorders>
            <w:shd w:val="clear" w:color="auto" w:fill="E7E6E6"/>
          </w:tcPr>
          <w:p w:rsidR="00C232A3" w:rsidRPr="00AB62BD" w:rsidRDefault="00C232A3" w:rsidP="00C232A3">
            <w:pPr>
              <w:pStyle w:val="ARfintablebodyright"/>
              <w:rPr>
                <w:lang w:eastAsia="en-AU"/>
              </w:rPr>
            </w:pPr>
            <w:r w:rsidRPr="00AB62BD">
              <w:rPr>
                <w:lang w:eastAsia="en-AU"/>
              </w:rPr>
              <w:t>3.0</w:t>
            </w:r>
          </w:p>
        </w:tc>
        <w:tc>
          <w:tcPr>
            <w:tcW w:w="1022" w:type="dxa"/>
            <w:tcBorders>
              <w:top w:val="single" w:sz="4" w:space="0" w:color="A6A6A6" w:themeColor="background1" w:themeShade="A6"/>
              <w:left w:val="nil"/>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133.4</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89.8</w:t>
            </w:r>
          </w:p>
        </w:tc>
        <w:tc>
          <w:tcPr>
            <w:tcW w:w="102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43.6</w:t>
            </w:r>
          </w:p>
        </w:tc>
        <w:tc>
          <w:tcPr>
            <w:tcW w:w="397"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vertAlign w:val="superscript"/>
                <w:lang w:eastAsia="en-AU"/>
              </w:rPr>
              <w:t>(ix)</w:t>
            </w:r>
          </w:p>
        </w:tc>
      </w:tr>
      <w:tr w:rsidR="00C232A3" w:rsidRPr="00AB62BD" w:rsidTr="008957E2">
        <w:trPr>
          <w:cantSplit/>
        </w:trPr>
        <w:tc>
          <w:tcPr>
            <w:tcW w:w="3459" w:type="dxa"/>
          </w:tcPr>
          <w:p w:rsidR="00C232A3" w:rsidRPr="00AB62BD" w:rsidRDefault="00C232A3" w:rsidP="00C232A3">
            <w:pPr>
              <w:pStyle w:val="ARfintablebodybold"/>
              <w:rPr>
                <w:lang w:eastAsia="en-AU"/>
              </w:rPr>
            </w:pPr>
            <w:r w:rsidRPr="00E90523">
              <w:t>Total</w:t>
            </w:r>
          </w:p>
        </w:tc>
        <w:tc>
          <w:tcPr>
            <w:tcW w:w="1021" w:type="dxa"/>
          </w:tcPr>
          <w:p w:rsidR="00C232A3" w:rsidRPr="00AB62BD" w:rsidRDefault="00C232A3" w:rsidP="00C232A3">
            <w:pPr>
              <w:pStyle w:val="ARfintablebodyright"/>
              <w:rPr>
                <w:b/>
                <w:bCs/>
                <w:lang w:eastAsia="en-AU"/>
              </w:rPr>
            </w:pPr>
            <w:r w:rsidRPr="00AB62BD">
              <w:rPr>
                <w:rStyle w:val="Strong"/>
              </w:rPr>
              <w:t>12,012.6</w:t>
            </w:r>
          </w:p>
        </w:tc>
        <w:tc>
          <w:tcPr>
            <w:tcW w:w="397" w:type="dxa"/>
          </w:tcPr>
          <w:p w:rsidR="00C232A3" w:rsidRPr="00AB62BD" w:rsidRDefault="00C232A3" w:rsidP="00C232A3">
            <w:pPr>
              <w:pStyle w:val="ARfintablebody"/>
              <w:rPr>
                <w:b/>
                <w:bCs/>
                <w:lang w:eastAsia="en-AU"/>
              </w:rPr>
            </w:pPr>
          </w:p>
        </w:tc>
        <w:tc>
          <w:tcPr>
            <w:tcW w:w="1021" w:type="dxa"/>
          </w:tcPr>
          <w:p w:rsidR="00C232A3" w:rsidRPr="00AB62BD" w:rsidRDefault="00C232A3" w:rsidP="00C232A3">
            <w:pPr>
              <w:pStyle w:val="ARfintablebodyright"/>
              <w:rPr>
                <w:b/>
                <w:bCs/>
                <w:lang w:eastAsia="en-AU"/>
              </w:rPr>
            </w:pPr>
            <w:r w:rsidRPr="00AB62BD">
              <w:rPr>
                <w:rStyle w:val="Strong"/>
              </w:rPr>
              <w:t>65.8</w:t>
            </w:r>
          </w:p>
        </w:tc>
        <w:tc>
          <w:tcPr>
            <w:tcW w:w="1022" w:type="dxa"/>
          </w:tcPr>
          <w:p w:rsidR="00C232A3" w:rsidRPr="00AB62BD" w:rsidRDefault="00C232A3" w:rsidP="00C232A3">
            <w:pPr>
              <w:pStyle w:val="ARfintablebodyright"/>
              <w:rPr>
                <w:b/>
                <w:bCs/>
                <w:lang w:eastAsia="en-AU"/>
              </w:rPr>
            </w:pPr>
            <w:r w:rsidRPr="00AB62BD">
              <w:rPr>
                <w:rStyle w:val="Strong"/>
              </w:rPr>
              <w:t>–</w:t>
            </w:r>
          </w:p>
        </w:tc>
        <w:tc>
          <w:tcPr>
            <w:tcW w:w="1022" w:type="dxa"/>
            <w:tcBorders>
              <w:right w:val="nil"/>
            </w:tcBorders>
            <w:shd w:val="clear" w:color="auto" w:fill="E7E6E6"/>
          </w:tcPr>
          <w:p w:rsidR="00C232A3" w:rsidRPr="00AB62BD" w:rsidRDefault="00C232A3" w:rsidP="00C232A3">
            <w:pPr>
              <w:pStyle w:val="ARfintablebodyright"/>
              <w:rPr>
                <w:b/>
                <w:bCs/>
                <w:lang w:eastAsia="en-AU"/>
              </w:rPr>
            </w:pPr>
            <w:r w:rsidRPr="00AB62BD">
              <w:rPr>
                <w:rStyle w:val="Strong"/>
              </w:rPr>
              <w:t>1,037.1</w:t>
            </w:r>
          </w:p>
        </w:tc>
        <w:tc>
          <w:tcPr>
            <w:tcW w:w="1022" w:type="dxa"/>
            <w:tcBorders>
              <w:left w:val="nil"/>
              <w:right w:val="nil"/>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2" w:type="dxa"/>
            <w:tcBorders>
              <w:left w:val="nil"/>
              <w:right w:val="nil"/>
            </w:tcBorders>
            <w:shd w:val="clear" w:color="auto" w:fill="E7E6E6"/>
          </w:tcPr>
          <w:p w:rsidR="00C232A3" w:rsidRPr="00AB62BD" w:rsidRDefault="00C232A3" w:rsidP="00C232A3">
            <w:pPr>
              <w:pStyle w:val="ARfintablebodyright"/>
              <w:rPr>
                <w:b/>
                <w:bCs/>
                <w:lang w:eastAsia="en-AU"/>
              </w:rPr>
            </w:pPr>
            <w:r w:rsidRPr="00AB62BD">
              <w:rPr>
                <w:rStyle w:val="Strong"/>
              </w:rPr>
              <w:t>161.9</w:t>
            </w:r>
          </w:p>
        </w:tc>
        <w:tc>
          <w:tcPr>
            <w:tcW w:w="1022" w:type="dxa"/>
            <w:tcBorders>
              <w:left w:val="nil"/>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2" w:type="dxa"/>
          </w:tcPr>
          <w:p w:rsidR="00C232A3" w:rsidRPr="00AB62BD" w:rsidRDefault="00C232A3" w:rsidP="00C232A3">
            <w:pPr>
              <w:pStyle w:val="ARfintablebodyright"/>
              <w:rPr>
                <w:b/>
                <w:bCs/>
                <w:lang w:eastAsia="en-AU"/>
              </w:rPr>
            </w:pPr>
            <w:r w:rsidRPr="00AB62BD">
              <w:rPr>
                <w:rStyle w:val="Strong"/>
              </w:rPr>
              <w:t>13,277.4</w:t>
            </w:r>
          </w:p>
        </w:tc>
        <w:tc>
          <w:tcPr>
            <w:tcW w:w="1022" w:type="dxa"/>
          </w:tcPr>
          <w:p w:rsidR="00C232A3" w:rsidRPr="00AB62BD" w:rsidRDefault="00C232A3" w:rsidP="00C232A3">
            <w:pPr>
              <w:pStyle w:val="ARfintablebodyright"/>
              <w:rPr>
                <w:b/>
                <w:bCs/>
                <w:lang w:eastAsia="en-AU"/>
              </w:rPr>
            </w:pPr>
            <w:r w:rsidRPr="00AB62BD">
              <w:rPr>
                <w:rStyle w:val="Strong"/>
              </w:rPr>
              <w:t>12,991.5</w:t>
            </w:r>
          </w:p>
        </w:tc>
        <w:tc>
          <w:tcPr>
            <w:tcW w:w="1022" w:type="dxa"/>
          </w:tcPr>
          <w:p w:rsidR="00C232A3" w:rsidRPr="00AB62BD" w:rsidRDefault="00C232A3" w:rsidP="00C232A3">
            <w:pPr>
              <w:pStyle w:val="ARfintablebodyright"/>
              <w:rPr>
                <w:b/>
                <w:bCs/>
                <w:lang w:eastAsia="en-AU"/>
              </w:rPr>
            </w:pPr>
            <w:r w:rsidRPr="00AB62BD">
              <w:rPr>
                <w:rStyle w:val="Strong"/>
              </w:rPr>
              <w:t>285.9</w:t>
            </w:r>
          </w:p>
        </w:tc>
        <w:tc>
          <w:tcPr>
            <w:tcW w:w="397" w:type="dxa"/>
          </w:tcPr>
          <w:p w:rsidR="00C232A3" w:rsidRPr="00AB62BD" w:rsidRDefault="00C232A3" w:rsidP="00C232A3">
            <w:pPr>
              <w:pStyle w:val="ARfintablebody"/>
              <w:rPr>
                <w:rStyle w:val="Strong"/>
                <w:bCs w:val="0"/>
              </w:rPr>
            </w:pP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rsidRPr="00AB62BD">
        <w:t>(</w:t>
      </w:r>
      <w:proofErr w:type="spellStart"/>
      <w:r w:rsidRPr="00AB62BD">
        <w:t>i</w:t>
      </w:r>
      <w:proofErr w:type="spellEnd"/>
      <w:r w:rsidRPr="00AB62BD">
        <w:t>)</w:t>
      </w:r>
      <w:r w:rsidRPr="00AB62BD">
        <w:tab/>
        <w:t xml:space="preserve">Refer to </w:t>
      </w:r>
      <w:r>
        <w:t>Note</w:t>
      </w:r>
      <w:r w:rsidRPr="00AB62BD">
        <w:t xml:space="preserve"> 2.5 for further detail.</w:t>
      </w:r>
    </w:p>
    <w:p w:rsidR="00C232A3" w:rsidRPr="00AB62BD" w:rsidRDefault="00C232A3" w:rsidP="00C232A3">
      <w:pPr>
        <w:pStyle w:val="ARfintablefootnoteroman"/>
      </w:pPr>
      <w:r w:rsidRPr="00AB62BD">
        <w:t>(ii)</w:t>
      </w:r>
      <w:r w:rsidRPr="00AB62BD">
        <w:tab/>
        <w:t>Transfer from the additions to net assets authority to appropriation for provision of outputs mainly relates to capital projects that are delivered via non portfolio agencies and result in output appropriation costs to the Department of Health and Human Services.</w:t>
      </w:r>
    </w:p>
    <w:p w:rsidR="00C232A3" w:rsidRPr="00AB62BD" w:rsidRDefault="00C232A3" w:rsidP="00C232A3">
      <w:pPr>
        <w:pStyle w:val="ARfintablefootnoteroman"/>
      </w:pPr>
      <w:r w:rsidRPr="00AB62BD">
        <w:t>(iii)</w:t>
      </w:r>
      <w:r w:rsidRPr="00AB62BD">
        <w:tab/>
        <w:t xml:space="preserve">Significant annual appropriation was transferred from the Department of Health and Human Services to the Department of Justice and Regulation related to </w:t>
      </w:r>
      <w:r>
        <w:t>Youth Services and Youth Justice output</w:t>
      </w:r>
      <w:r w:rsidRPr="00AB62BD">
        <w:t xml:space="preserve"> as a result of machinery of government changes effective 1 April 2017.</w:t>
      </w:r>
    </w:p>
    <w:p w:rsidR="00C232A3" w:rsidRPr="00AB62BD" w:rsidRDefault="00C232A3" w:rsidP="00C232A3">
      <w:pPr>
        <w:pStyle w:val="ARfintablefootnoteroman"/>
      </w:pPr>
      <w:r w:rsidRPr="00AB62BD">
        <w:t>(iv)</w:t>
      </w:r>
      <w:r w:rsidRPr="00AB62BD">
        <w:tab/>
        <w:t>Significant annual appropriation was transferred to the Department of Health and Human Services from the Department of Economic Development, Jobs, Transport and Resources in relation to Melbourne Park Stage 2 capital works, as a result of machinery of government changes effective 1 October 2016.</w:t>
      </w:r>
    </w:p>
    <w:p w:rsidR="00C232A3" w:rsidRPr="00AB62BD" w:rsidRDefault="00C232A3" w:rsidP="00C232A3">
      <w:pPr>
        <w:pStyle w:val="ARfintablefootnoteroman"/>
      </w:pPr>
      <w:r w:rsidRPr="00AB62BD">
        <w:t>(v)</w:t>
      </w:r>
      <w:r w:rsidRPr="00AB62BD">
        <w:tab/>
        <w:t xml:space="preserve">The provision of outputs variance of </w:t>
      </w:r>
      <w:r>
        <w:t>$298.5 million</w:t>
      </w:r>
      <w:r w:rsidRPr="00AB62BD">
        <w:t xml:space="preserve"> comprises </w:t>
      </w:r>
      <w:r>
        <w:t>$186.7 million</w:t>
      </w:r>
      <w:r w:rsidRPr="00AB62BD">
        <w:t xml:space="preserve"> relating to funding for services and projects that will be sought in </w:t>
      </w:r>
      <w:r>
        <w:t>2017–18</w:t>
      </w:r>
      <w:r w:rsidRPr="00AB62BD">
        <w:t xml:space="preserve">, and </w:t>
      </w:r>
      <w:r>
        <w:t>$111.8 million</w:t>
      </w:r>
      <w:r w:rsidRPr="00AB62BD">
        <w:t xml:space="preserve"> relating to output appropriation authority not applied in </w:t>
      </w:r>
      <w:r>
        <w:t>2016–17</w:t>
      </w:r>
      <w:r w:rsidRPr="00AB62BD">
        <w:t>.</w:t>
      </w:r>
    </w:p>
    <w:p w:rsidR="00C232A3" w:rsidRPr="00AB62BD" w:rsidRDefault="00C232A3" w:rsidP="00C232A3">
      <w:pPr>
        <w:pStyle w:val="ARfintablefootnoteroman"/>
      </w:pPr>
      <w:r w:rsidRPr="00AB62BD">
        <w:t>(vi)</w:t>
      </w:r>
      <w:r w:rsidRPr="00AB62BD">
        <w:tab/>
        <w:t xml:space="preserve">The additions to net assets variance of </w:t>
      </w:r>
      <w:r>
        <w:t>$142.4 million</w:t>
      </w:r>
      <w:r w:rsidRPr="00AB62BD">
        <w:t xml:space="preserve"> comprises </w:t>
      </w:r>
      <w:r>
        <w:t>$9.4 million</w:t>
      </w:r>
      <w:r w:rsidRPr="00AB62BD">
        <w:t xml:space="preserve"> relating to funding for capital projects that will be delivered in </w:t>
      </w:r>
      <w:r>
        <w:t>2017–18</w:t>
      </w:r>
      <w:r w:rsidRPr="00AB62BD">
        <w:t xml:space="preserve"> and </w:t>
      </w:r>
      <w:proofErr w:type="spellStart"/>
      <w:r w:rsidRPr="00AB62BD">
        <w:t>outyears</w:t>
      </w:r>
      <w:proofErr w:type="spellEnd"/>
      <w:r w:rsidRPr="00AB62BD">
        <w:t xml:space="preserve"> and </w:t>
      </w:r>
      <w:r>
        <w:t>$133.1 million</w:t>
      </w:r>
      <w:r w:rsidRPr="00AB62BD">
        <w:t xml:space="preserve"> relating to appropriation authority not applied in </w:t>
      </w:r>
      <w:r>
        <w:t>2016–17</w:t>
      </w:r>
      <w:r w:rsidRPr="00AB62BD">
        <w:t>.</w:t>
      </w:r>
    </w:p>
    <w:p w:rsidR="00C232A3" w:rsidRPr="00AB62BD" w:rsidRDefault="00C232A3" w:rsidP="00C232A3">
      <w:pPr>
        <w:pStyle w:val="ARfintablefootnoteroman"/>
      </w:pPr>
      <w:r w:rsidRPr="00AB62BD">
        <w:t>(vii)</w:t>
      </w:r>
      <w:r w:rsidRPr="00AB62BD">
        <w:tab/>
        <w:t xml:space="preserve">The payments made on behalf of the State variance of </w:t>
      </w:r>
      <w:r>
        <w:t>$0.7 million</w:t>
      </w:r>
      <w:r w:rsidRPr="00AB62BD">
        <w:t xml:space="preserve"> relates to Anzac Day and Trust fund proceeds.</w:t>
      </w:r>
    </w:p>
    <w:p w:rsidR="00C232A3" w:rsidRPr="00AB62BD" w:rsidRDefault="00C232A3" w:rsidP="00C232A3">
      <w:pPr>
        <w:pStyle w:val="ARfintablefootnoteroman"/>
      </w:pPr>
      <w:r w:rsidRPr="00AB62BD">
        <w:t>(viii)</w:t>
      </w:r>
      <w:r w:rsidRPr="00AB62BD">
        <w:tab/>
        <w:t xml:space="preserve">The provision of outputs variance of </w:t>
      </w:r>
      <w:r>
        <w:t>$242.3 million</w:t>
      </w:r>
      <w:r w:rsidRPr="00AB62BD">
        <w:t xml:space="preserve"> comprises </w:t>
      </w:r>
      <w:r>
        <w:t>$198.5 million</w:t>
      </w:r>
      <w:r w:rsidRPr="00AB62BD">
        <w:t xml:space="preserve"> relating to funding for services and projects that were to be sought in </w:t>
      </w:r>
      <w:r>
        <w:t>2016–17</w:t>
      </w:r>
      <w:r w:rsidRPr="00AB62BD">
        <w:t xml:space="preserve">, and </w:t>
      </w:r>
      <w:r>
        <w:t>$43.8 million</w:t>
      </w:r>
      <w:r w:rsidRPr="00AB62BD">
        <w:t xml:space="preserve"> relating to output appropriation authority not applied in </w:t>
      </w:r>
      <w:r>
        <w:t>2015–16</w:t>
      </w:r>
      <w:r w:rsidRPr="00AB62BD">
        <w:t>.</w:t>
      </w:r>
    </w:p>
    <w:p w:rsidR="00C232A3" w:rsidRPr="00AB62BD" w:rsidRDefault="00C232A3" w:rsidP="00C232A3">
      <w:pPr>
        <w:pStyle w:val="ARfintablefootnoteroman"/>
      </w:pPr>
      <w:r w:rsidRPr="00AB62BD">
        <w:t>(ix)</w:t>
      </w:r>
      <w:r w:rsidRPr="00AB62BD">
        <w:tab/>
        <w:t xml:space="preserve">The additions to net assets variance of </w:t>
      </w:r>
      <w:r>
        <w:t>$43.6 million</w:t>
      </w:r>
      <w:r w:rsidRPr="00AB62BD">
        <w:t xml:space="preserve"> comprises </w:t>
      </w:r>
      <w:r>
        <w:t>$17.8 million</w:t>
      </w:r>
      <w:r w:rsidRPr="00AB62BD">
        <w:t xml:space="preserve"> relating to funding for capital projects that were be delivered in </w:t>
      </w:r>
      <w:r>
        <w:t>2016–17</w:t>
      </w:r>
      <w:r w:rsidRPr="00AB62BD">
        <w:t xml:space="preserve"> and </w:t>
      </w:r>
      <w:proofErr w:type="spellStart"/>
      <w:r w:rsidRPr="00AB62BD">
        <w:t>outyears</w:t>
      </w:r>
      <w:proofErr w:type="spellEnd"/>
      <w:r w:rsidRPr="00AB62BD">
        <w:t xml:space="preserve"> and </w:t>
      </w:r>
      <w:r>
        <w:t>$25.7 million</w:t>
      </w:r>
      <w:r w:rsidRPr="00AB62BD">
        <w:t xml:space="preserve"> relating to appropriation authority not applied in </w:t>
      </w:r>
      <w:r>
        <w:t>2015–16</w:t>
      </w:r>
      <w:r w:rsidRPr="00AB62BD">
        <w:t>.</w:t>
      </w:r>
    </w:p>
    <w:p w:rsidR="00C232A3" w:rsidRDefault="00C232A3" w:rsidP="00C232A3">
      <w:pPr>
        <w:pStyle w:val="ARfinbody"/>
        <w:rPr>
          <w:lang w:eastAsia="en-AU"/>
        </w:rPr>
        <w:sectPr w:rsidR="00C232A3" w:rsidSect="00C232A3">
          <w:headerReference w:type="even" r:id="rId98"/>
          <w:headerReference w:type="default" r:id="rId99"/>
          <w:endnotePr>
            <w:numFmt w:val="decimal"/>
          </w:endnotePr>
          <w:pgSz w:w="16840" w:h="11900" w:orient="landscape" w:code="9"/>
          <w:pgMar w:top="1418" w:right="1531" w:bottom="851" w:left="851" w:header="794" w:footer="340" w:gutter="0"/>
          <w:cols w:space="454"/>
          <w:docGrid w:linePitch="272"/>
        </w:sectPr>
      </w:pPr>
    </w:p>
    <w:p w:rsidR="00C232A3" w:rsidRPr="00AB62BD" w:rsidRDefault="00C232A3" w:rsidP="00C232A3">
      <w:pPr>
        <w:pStyle w:val="ARfinbody"/>
        <w:rPr>
          <w:lang w:eastAsia="en-AU"/>
        </w:rPr>
      </w:pPr>
      <w:r w:rsidRPr="00AB62BD">
        <w:rPr>
          <w:lang w:eastAsia="en-AU"/>
        </w:rPr>
        <w:lastRenderedPageBreak/>
        <w:t>The following table discloses the details of compliance with special appropriations: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972"/>
        <w:gridCol w:w="3405"/>
        <w:gridCol w:w="1127"/>
        <w:gridCol w:w="1135"/>
      </w:tblGrid>
      <w:tr w:rsidR="00C232A3" w:rsidRPr="00AB62BD" w:rsidTr="00C232A3">
        <w:trPr>
          <w:cantSplit/>
          <w:tblHeader/>
        </w:trPr>
        <w:tc>
          <w:tcPr>
            <w:tcW w:w="3969" w:type="dxa"/>
            <w:vMerge w:val="restart"/>
            <w:vAlign w:val="bottom"/>
          </w:tcPr>
          <w:p w:rsidR="00C232A3" w:rsidRPr="00415E55" w:rsidRDefault="00C232A3" w:rsidP="00C232A3">
            <w:pPr>
              <w:pStyle w:val="ARfintablecolhead"/>
            </w:pPr>
            <w:r w:rsidRPr="00415E55">
              <w:t>Authority</w:t>
            </w:r>
          </w:p>
        </w:tc>
        <w:tc>
          <w:tcPr>
            <w:tcW w:w="3402" w:type="dxa"/>
            <w:vMerge w:val="restart"/>
            <w:vAlign w:val="bottom"/>
          </w:tcPr>
          <w:p w:rsidR="00C232A3" w:rsidRPr="00415E55" w:rsidRDefault="00C232A3" w:rsidP="00C232A3">
            <w:pPr>
              <w:pStyle w:val="ARfintablecolhead"/>
            </w:pPr>
            <w:r w:rsidRPr="00415E55">
              <w:t>Purpose</w:t>
            </w:r>
          </w:p>
        </w:tc>
        <w:tc>
          <w:tcPr>
            <w:tcW w:w="2049" w:type="dxa"/>
            <w:gridSpan w:val="2"/>
            <w:vAlign w:val="bottom"/>
          </w:tcPr>
          <w:p w:rsidR="00C232A3" w:rsidRPr="00AB62BD" w:rsidRDefault="00C232A3" w:rsidP="00C232A3">
            <w:pPr>
              <w:pStyle w:val="ARfintablecolheadcentre"/>
              <w:rPr>
                <w:rStyle w:val="Strong"/>
                <w:rFonts w:cs="Arial"/>
                <w:bCs w:val="0"/>
              </w:rPr>
            </w:pPr>
            <w:r w:rsidRPr="00415E55">
              <w:t>Appropriation</w:t>
            </w:r>
            <w:r w:rsidRPr="00AB62BD">
              <w:rPr>
                <w:rStyle w:val="Strong"/>
                <w:rFonts w:cs="Arial"/>
              </w:rPr>
              <w:t xml:space="preserve"> </w:t>
            </w:r>
            <w:r w:rsidRPr="00415E55">
              <w:t>applied</w:t>
            </w:r>
          </w:p>
        </w:tc>
      </w:tr>
      <w:tr w:rsidR="00C232A3" w:rsidRPr="00AB62BD" w:rsidTr="00C232A3">
        <w:trPr>
          <w:cantSplit/>
          <w:tblHeader/>
        </w:trPr>
        <w:tc>
          <w:tcPr>
            <w:tcW w:w="3969"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color w:val="000000"/>
                <w:sz w:val="16"/>
                <w:szCs w:val="16"/>
                <w:lang w:eastAsia="en-AU"/>
              </w:rPr>
            </w:pPr>
          </w:p>
        </w:tc>
        <w:tc>
          <w:tcPr>
            <w:tcW w:w="3402"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color w:val="000000"/>
                <w:sz w:val="16"/>
                <w:szCs w:val="16"/>
                <w:lang w:eastAsia="en-AU"/>
              </w:rPr>
            </w:pPr>
          </w:p>
        </w:tc>
        <w:tc>
          <w:tcPr>
            <w:tcW w:w="1126" w:type="dxa"/>
            <w:tcBorders>
              <w:bottom w:val="single" w:sz="4" w:space="0" w:color="auto"/>
            </w:tcBorders>
            <w:shd w:val="clear" w:color="auto" w:fill="E7E6E6"/>
            <w:vAlign w:val="bottom"/>
          </w:tcPr>
          <w:p w:rsidR="00C232A3" w:rsidRPr="00415E55" w:rsidRDefault="00C232A3" w:rsidP="00C232A3">
            <w:pPr>
              <w:pStyle w:val="ARfintablecolheadright"/>
            </w:pPr>
            <w:r w:rsidRPr="00415E55">
              <w:t>2017</w:t>
            </w:r>
          </w:p>
          <w:p w:rsidR="00C232A3" w:rsidRPr="00415E55" w:rsidRDefault="00C232A3" w:rsidP="00C232A3">
            <w:pPr>
              <w:pStyle w:val="ARfintablecolheadright"/>
            </w:pPr>
            <w:r w:rsidRPr="00415E55">
              <w:t>$M</w:t>
            </w:r>
          </w:p>
        </w:tc>
        <w:tc>
          <w:tcPr>
            <w:tcW w:w="1134" w:type="dxa"/>
            <w:tcBorders>
              <w:bottom w:val="single" w:sz="4" w:space="0" w:color="auto"/>
            </w:tcBorders>
            <w:vAlign w:val="bottom"/>
          </w:tcPr>
          <w:p w:rsidR="00C232A3" w:rsidRPr="00415E55" w:rsidRDefault="00C232A3" w:rsidP="00C232A3">
            <w:pPr>
              <w:pStyle w:val="ARfintablecolheadright"/>
            </w:pPr>
            <w:r w:rsidRPr="00415E55">
              <w:t>2016</w:t>
            </w:r>
          </w:p>
          <w:p w:rsidR="00C232A3" w:rsidRPr="00415E55" w:rsidRDefault="00C232A3" w:rsidP="00C232A3">
            <w:pPr>
              <w:pStyle w:val="ARfintablecolheadright"/>
            </w:pPr>
            <w:r w:rsidRPr="00415E55">
              <w:t>$M</w:t>
            </w:r>
          </w:p>
        </w:tc>
      </w:tr>
      <w:tr w:rsidR="00C232A3" w:rsidRPr="00AB62BD" w:rsidTr="00C232A3">
        <w:trPr>
          <w:cantSplit/>
        </w:trPr>
        <w:tc>
          <w:tcPr>
            <w:tcW w:w="3969" w:type="dxa"/>
            <w:tcBorders>
              <w:top w:val="single" w:sz="4" w:space="0" w:color="auto"/>
              <w:bottom w:val="single" w:sz="4" w:space="0" w:color="A6A6A6" w:themeColor="background1" w:themeShade="A6"/>
            </w:tcBorders>
          </w:tcPr>
          <w:p w:rsidR="00C232A3" w:rsidRPr="00AB62BD" w:rsidRDefault="00C232A3" w:rsidP="00C232A3">
            <w:pPr>
              <w:pStyle w:val="ARfintablebody"/>
              <w:rPr>
                <w:iCs/>
                <w:lang w:eastAsia="en-AU"/>
              </w:rPr>
            </w:pPr>
            <w:r w:rsidRPr="00AB62BD">
              <w:rPr>
                <w:lang w:eastAsia="en-AU"/>
              </w:rPr>
              <w:t xml:space="preserve">Section 4.4.11 and 4.6.8 of the </w:t>
            </w:r>
            <w:r w:rsidRPr="00AB62BD">
              <w:rPr>
                <w:rStyle w:val="Emphasis"/>
              </w:rPr>
              <w:t>Gambling Regulation Act No. 114 of 2003</w:t>
            </w:r>
          </w:p>
        </w:tc>
        <w:tc>
          <w:tcPr>
            <w:tcW w:w="3402"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Contribution to the Hospitals and Charities fund</w:t>
            </w:r>
          </w:p>
        </w:tc>
        <w:tc>
          <w:tcPr>
            <w:tcW w:w="1126"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55.7</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54.8</w:t>
            </w:r>
          </w:p>
        </w:tc>
      </w:tr>
      <w:tr w:rsidR="00C232A3" w:rsidRPr="00AB62BD" w:rsidTr="00C232A3">
        <w:trPr>
          <w:cantSplit/>
          <w:trHeight w:val="498"/>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Section 5.4.6 of </w:t>
            </w:r>
            <w:r w:rsidRPr="00AB62BD">
              <w:rPr>
                <w:rStyle w:val="Emphasis"/>
              </w:rPr>
              <w:t>Gambling Regulation Act No.114 of 2003</w:t>
            </w:r>
          </w:p>
        </w:tc>
        <w:tc>
          <w:tcPr>
            <w:tcW w:w="340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Contribution to the Hospitals and Charities fund and Mental </w:t>
            </w:r>
            <w:r>
              <w:rPr>
                <w:lang w:eastAsia="en-AU"/>
              </w:rPr>
              <w:t>Health</w:t>
            </w:r>
            <w:r w:rsidRPr="00AB62BD">
              <w:rPr>
                <w:lang w:eastAsia="en-AU"/>
              </w:rPr>
              <w:t xml:space="preserve"> Fund</w:t>
            </w:r>
          </w:p>
        </w:tc>
        <w:tc>
          <w:tcPr>
            <w:tcW w:w="1126"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422.7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422.6</w:t>
            </w:r>
          </w:p>
        </w:tc>
      </w:tr>
      <w:tr w:rsidR="00C232A3" w:rsidRPr="00AB62BD" w:rsidTr="00C232A3">
        <w:trPr>
          <w:cantSplit/>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Section 114 of the </w:t>
            </w:r>
            <w:r w:rsidRPr="00AB62BD">
              <w:rPr>
                <w:rStyle w:val="Emphasis"/>
              </w:rPr>
              <w:t>Casino Control Act No.47 1991</w:t>
            </w:r>
          </w:p>
        </w:tc>
        <w:tc>
          <w:tcPr>
            <w:tcW w:w="340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Contribution to the Hospitals and Charities fund</w:t>
            </w:r>
          </w:p>
        </w:tc>
        <w:tc>
          <w:tcPr>
            <w:tcW w:w="1126"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18.3</w:t>
            </w:r>
          </w:p>
        </w:tc>
      </w:tr>
      <w:tr w:rsidR="00C232A3" w:rsidRPr="00AB62BD" w:rsidTr="00C232A3">
        <w:trPr>
          <w:cantSplit/>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Section 3.6.11 of </w:t>
            </w:r>
            <w:r w:rsidRPr="00AB62BD">
              <w:rPr>
                <w:rStyle w:val="Emphasis"/>
              </w:rPr>
              <w:t>Gambling Regulation Act No. 114 of 2003</w:t>
            </w:r>
          </w:p>
        </w:tc>
        <w:tc>
          <w:tcPr>
            <w:tcW w:w="340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Contribution to the Hospitals and Charities fund</w:t>
            </w:r>
          </w:p>
        </w:tc>
        <w:tc>
          <w:tcPr>
            <w:tcW w:w="1126"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832.9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840.0</w:t>
            </w:r>
          </w:p>
        </w:tc>
      </w:tr>
      <w:tr w:rsidR="00C232A3" w:rsidRPr="00AB62BD" w:rsidTr="00C232A3">
        <w:trPr>
          <w:cantSplit/>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Section 6A.4.4(1) of </w:t>
            </w:r>
            <w:r w:rsidRPr="00AB62BD">
              <w:rPr>
                <w:rStyle w:val="Emphasis"/>
              </w:rPr>
              <w:t>Gambling Regulation Act No 114 of 2003</w:t>
            </w:r>
          </w:p>
        </w:tc>
        <w:tc>
          <w:tcPr>
            <w:tcW w:w="340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Contribution to the Hospitals and Charities fund</w:t>
            </w:r>
          </w:p>
        </w:tc>
        <w:tc>
          <w:tcPr>
            <w:tcW w:w="1126"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w:t>
            </w:r>
          </w:p>
        </w:tc>
      </w:tr>
      <w:tr w:rsidR="00C232A3" w:rsidRPr="00AB62BD" w:rsidTr="00C232A3">
        <w:trPr>
          <w:cantSplit/>
        </w:trPr>
        <w:tc>
          <w:tcPr>
            <w:tcW w:w="3969"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Section 10 of the </w:t>
            </w:r>
            <w:r w:rsidRPr="00AB62BD">
              <w:rPr>
                <w:rStyle w:val="Emphasis"/>
              </w:rPr>
              <w:t>Financial Management Act 1994</w:t>
            </w:r>
          </w:p>
        </w:tc>
        <w:tc>
          <w:tcPr>
            <w:tcW w:w="3402"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Access to various Commonwealth grants</w:t>
            </w:r>
            <w:r>
              <w:rPr>
                <w:lang w:eastAsia="en-AU"/>
              </w:rPr>
              <w:t xml:space="preserve"> –</w:t>
            </w:r>
            <w:r w:rsidRPr="00AB62BD">
              <w:rPr>
                <w:lang w:eastAsia="en-AU"/>
              </w:rPr>
              <w:t>provision of outputs</w:t>
            </w:r>
          </w:p>
        </w:tc>
        <w:tc>
          <w:tcPr>
            <w:tcW w:w="1126"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r>
      <w:tr w:rsidR="00C232A3" w:rsidRPr="00AB62BD" w:rsidTr="00C232A3">
        <w:trPr>
          <w:cantSplit/>
        </w:trPr>
        <w:tc>
          <w:tcPr>
            <w:tcW w:w="3969" w:type="dxa"/>
          </w:tcPr>
          <w:p w:rsidR="00C232A3" w:rsidRPr="00415E55" w:rsidRDefault="00C232A3" w:rsidP="00C232A3">
            <w:pPr>
              <w:pStyle w:val="ARfintablebodybold"/>
            </w:pPr>
            <w:r w:rsidRPr="00415E55">
              <w:t xml:space="preserve">Total </w:t>
            </w:r>
            <w:r>
              <w:t>s</w:t>
            </w:r>
            <w:r w:rsidRPr="00415E55">
              <w:t xml:space="preserve">pecial </w:t>
            </w:r>
            <w:r>
              <w:t>a</w:t>
            </w:r>
            <w:r w:rsidRPr="00415E55">
              <w:t>ppropriations – Provision of outputs</w:t>
            </w:r>
          </w:p>
        </w:tc>
        <w:tc>
          <w:tcPr>
            <w:tcW w:w="3402" w:type="dxa"/>
          </w:tcPr>
          <w:p w:rsidR="00C232A3" w:rsidRPr="00AB62BD" w:rsidRDefault="00C232A3" w:rsidP="00C232A3">
            <w:pPr>
              <w:pStyle w:val="ARfintablebody"/>
              <w:rPr>
                <w:lang w:eastAsia="en-AU"/>
              </w:rPr>
            </w:pPr>
          </w:p>
        </w:tc>
        <w:tc>
          <w:tcPr>
            <w:tcW w:w="1126" w:type="dxa"/>
            <w:shd w:val="clear" w:color="auto" w:fill="E7E6E6"/>
          </w:tcPr>
          <w:p w:rsidR="00C232A3" w:rsidRPr="00AB62BD" w:rsidRDefault="00C232A3" w:rsidP="00C232A3">
            <w:pPr>
              <w:pStyle w:val="ARfintablebodyright"/>
              <w:rPr>
                <w:b/>
                <w:bCs/>
                <w:lang w:eastAsia="en-AU"/>
              </w:rPr>
            </w:pPr>
            <w:r w:rsidRPr="00AB62BD">
              <w:rPr>
                <w:rStyle w:val="Strong"/>
              </w:rPr>
              <w:t>1,334.6</w:t>
            </w:r>
          </w:p>
        </w:tc>
        <w:tc>
          <w:tcPr>
            <w:tcW w:w="1134" w:type="dxa"/>
          </w:tcPr>
          <w:p w:rsidR="00C232A3" w:rsidRPr="00AB62BD" w:rsidRDefault="00C232A3" w:rsidP="00C232A3">
            <w:pPr>
              <w:pStyle w:val="ARfintablebodyright"/>
              <w:rPr>
                <w:rStyle w:val="Strong"/>
                <w:bCs w:val="0"/>
              </w:rPr>
            </w:pPr>
            <w:r w:rsidRPr="00AB62BD">
              <w:rPr>
                <w:rStyle w:val="Strong"/>
              </w:rPr>
              <w:t>1,341.2</w:t>
            </w:r>
          </w:p>
        </w:tc>
      </w:tr>
      <w:tr w:rsidR="00C232A3" w:rsidRPr="00AB62BD" w:rsidTr="00C232A3">
        <w:trPr>
          <w:cantSplit/>
        </w:trPr>
        <w:tc>
          <w:tcPr>
            <w:tcW w:w="3969" w:type="dxa"/>
          </w:tcPr>
          <w:p w:rsidR="00C232A3" w:rsidRPr="00AB62BD" w:rsidRDefault="00C232A3" w:rsidP="00C232A3">
            <w:pPr>
              <w:pStyle w:val="ARfintablebody"/>
              <w:rPr>
                <w:lang w:eastAsia="en-AU"/>
              </w:rPr>
            </w:pPr>
            <w:r w:rsidRPr="00AB62BD">
              <w:rPr>
                <w:lang w:eastAsia="en-AU"/>
              </w:rPr>
              <w:t xml:space="preserve">Section 10 of the </w:t>
            </w:r>
            <w:r w:rsidRPr="00AB62BD">
              <w:rPr>
                <w:rStyle w:val="Emphasis"/>
              </w:rPr>
              <w:t>Financial Management Act 1994</w:t>
            </w:r>
          </w:p>
        </w:tc>
        <w:tc>
          <w:tcPr>
            <w:tcW w:w="3402" w:type="dxa"/>
          </w:tcPr>
          <w:p w:rsidR="00C232A3" w:rsidRPr="00AB62BD" w:rsidRDefault="00C232A3" w:rsidP="00C232A3">
            <w:pPr>
              <w:pStyle w:val="ARfintablebody"/>
              <w:rPr>
                <w:lang w:eastAsia="en-AU"/>
              </w:rPr>
            </w:pPr>
            <w:r w:rsidRPr="00AB62BD">
              <w:rPr>
                <w:lang w:eastAsia="en-AU"/>
              </w:rPr>
              <w:t>Access to</w:t>
            </w:r>
            <w:r>
              <w:rPr>
                <w:lang w:eastAsia="en-AU"/>
              </w:rPr>
              <w:t xml:space="preserve"> </w:t>
            </w:r>
            <w:r w:rsidRPr="00AB62BD">
              <w:rPr>
                <w:lang w:eastAsia="en-AU"/>
              </w:rPr>
              <w:t>various Commonwealth grants</w:t>
            </w:r>
            <w:r>
              <w:rPr>
                <w:lang w:eastAsia="en-AU"/>
              </w:rPr>
              <w:t xml:space="preserve"> – ATNAB</w:t>
            </w:r>
          </w:p>
        </w:tc>
        <w:tc>
          <w:tcPr>
            <w:tcW w:w="1126" w:type="dxa"/>
            <w:shd w:val="clear" w:color="auto" w:fill="E7E6E6"/>
          </w:tcPr>
          <w:p w:rsidR="00C232A3" w:rsidRPr="00AB62BD" w:rsidRDefault="00C232A3" w:rsidP="00C232A3">
            <w:pPr>
              <w:pStyle w:val="ARfintablebodyright"/>
              <w:rPr>
                <w:lang w:eastAsia="en-AU"/>
              </w:rPr>
            </w:pPr>
            <w:r w:rsidRPr="00AB62BD">
              <w:rPr>
                <w:lang w:eastAsia="en-AU"/>
              </w:rPr>
              <w:t>12.0</w:t>
            </w:r>
          </w:p>
        </w:tc>
        <w:tc>
          <w:tcPr>
            <w:tcW w:w="1134" w:type="dxa"/>
          </w:tcPr>
          <w:p w:rsidR="00C232A3" w:rsidRPr="00AB62BD" w:rsidRDefault="00C232A3" w:rsidP="00C232A3">
            <w:pPr>
              <w:pStyle w:val="ARfintablebodyright"/>
              <w:rPr>
                <w:lang w:eastAsia="en-AU"/>
              </w:rPr>
            </w:pPr>
            <w:r w:rsidRPr="00AB62BD">
              <w:rPr>
                <w:lang w:eastAsia="en-AU"/>
              </w:rPr>
              <w:t>17.8</w:t>
            </w:r>
          </w:p>
        </w:tc>
      </w:tr>
      <w:tr w:rsidR="00C232A3" w:rsidRPr="00AB62BD" w:rsidTr="00C232A3">
        <w:trPr>
          <w:cantSplit/>
        </w:trPr>
        <w:tc>
          <w:tcPr>
            <w:tcW w:w="3969" w:type="dxa"/>
          </w:tcPr>
          <w:p w:rsidR="00C232A3" w:rsidRPr="00415E55" w:rsidRDefault="00C232A3" w:rsidP="00C232A3">
            <w:pPr>
              <w:pStyle w:val="ARfintablebodybold"/>
            </w:pPr>
            <w:r w:rsidRPr="00415E55">
              <w:t xml:space="preserve">Total </w:t>
            </w:r>
            <w:r>
              <w:t>s</w:t>
            </w:r>
            <w:r w:rsidRPr="00415E55">
              <w:t xml:space="preserve">pecial </w:t>
            </w:r>
            <w:r>
              <w:t>a</w:t>
            </w:r>
            <w:r w:rsidRPr="00415E55">
              <w:t>ppropriations – Additions to net assets</w:t>
            </w:r>
          </w:p>
        </w:tc>
        <w:tc>
          <w:tcPr>
            <w:tcW w:w="3402" w:type="dxa"/>
          </w:tcPr>
          <w:p w:rsidR="00C232A3" w:rsidRPr="00AB62BD" w:rsidRDefault="00C232A3" w:rsidP="00C232A3">
            <w:pPr>
              <w:pStyle w:val="ARfintablebody"/>
              <w:rPr>
                <w:b/>
                <w:bCs/>
                <w:lang w:eastAsia="en-AU"/>
              </w:rPr>
            </w:pPr>
          </w:p>
        </w:tc>
        <w:tc>
          <w:tcPr>
            <w:tcW w:w="1126" w:type="dxa"/>
            <w:shd w:val="clear" w:color="auto" w:fill="E7E6E6"/>
          </w:tcPr>
          <w:p w:rsidR="00C232A3" w:rsidRPr="00AB62BD" w:rsidRDefault="00C232A3" w:rsidP="00C232A3">
            <w:pPr>
              <w:pStyle w:val="ARfintablebodyright"/>
              <w:rPr>
                <w:b/>
                <w:bCs/>
                <w:lang w:eastAsia="en-AU"/>
              </w:rPr>
            </w:pPr>
            <w:r w:rsidRPr="00AB62BD">
              <w:rPr>
                <w:rStyle w:val="Strong"/>
              </w:rPr>
              <w:t>12.0</w:t>
            </w:r>
          </w:p>
        </w:tc>
        <w:tc>
          <w:tcPr>
            <w:tcW w:w="1134" w:type="dxa"/>
          </w:tcPr>
          <w:p w:rsidR="00C232A3" w:rsidRPr="00AB62BD" w:rsidRDefault="00C232A3" w:rsidP="00C232A3">
            <w:pPr>
              <w:pStyle w:val="ARfintablebodyright"/>
              <w:rPr>
                <w:rStyle w:val="Strong"/>
                <w:bCs w:val="0"/>
              </w:rPr>
            </w:pPr>
            <w:r w:rsidRPr="00AB62BD">
              <w:rPr>
                <w:rStyle w:val="Strong"/>
              </w:rPr>
              <w:t>17.8</w:t>
            </w:r>
          </w:p>
        </w:tc>
      </w:tr>
      <w:tr w:rsidR="00C232A3" w:rsidRPr="00AB62BD" w:rsidTr="00C232A3">
        <w:trPr>
          <w:cantSplit/>
        </w:trPr>
        <w:tc>
          <w:tcPr>
            <w:tcW w:w="3969" w:type="dxa"/>
          </w:tcPr>
          <w:p w:rsidR="00C232A3" w:rsidRPr="00415E55" w:rsidRDefault="00C232A3" w:rsidP="00C232A3">
            <w:pPr>
              <w:pStyle w:val="ARfintablebodybold"/>
            </w:pPr>
            <w:r w:rsidRPr="00415E55">
              <w:t xml:space="preserve">Total </w:t>
            </w:r>
            <w:r>
              <w:t>s</w:t>
            </w:r>
            <w:r w:rsidRPr="00415E55">
              <w:t xml:space="preserve">pecial </w:t>
            </w:r>
            <w:r>
              <w:t>a</w:t>
            </w:r>
            <w:r w:rsidRPr="00415E55">
              <w:t>ppropriations</w:t>
            </w:r>
          </w:p>
        </w:tc>
        <w:tc>
          <w:tcPr>
            <w:tcW w:w="3402" w:type="dxa"/>
          </w:tcPr>
          <w:p w:rsidR="00C232A3" w:rsidRPr="00AB62BD" w:rsidRDefault="00C232A3" w:rsidP="00C232A3">
            <w:pPr>
              <w:pStyle w:val="ARfintablebody"/>
              <w:rPr>
                <w:b/>
                <w:bCs/>
                <w:lang w:eastAsia="en-AU"/>
              </w:rPr>
            </w:pPr>
          </w:p>
        </w:tc>
        <w:tc>
          <w:tcPr>
            <w:tcW w:w="1126" w:type="dxa"/>
            <w:shd w:val="clear" w:color="auto" w:fill="E7E6E6"/>
          </w:tcPr>
          <w:p w:rsidR="00C232A3" w:rsidRPr="00AB62BD" w:rsidRDefault="00C232A3" w:rsidP="00C232A3">
            <w:pPr>
              <w:pStyle w:val="ARfintablebodyright"/>
              <w:rPr>
                <w:b/>
                <w:bCs/>
                <w:lang w:eastAsia="en-AU"/>
              </w:rPr>
            </w:pPr>
            <w:r w:rsidRPr="00AB62BD">
              <w:rPr>
                <w:rStyle w:val="Strong"/>
              </w:rPr>
              <w:t>1,346.6</w:t>
            </w:r>
          </w:p>
        </w:tc>
        <w:tc>
          <w:tcPr>
            <w:tcW w:w="1134" w:type="dxa"/>
          </w:tcPr>
          <w:p w:rsidR="00C232A3" w:rsidRPr="00AB62BD" w:rsidRDefault="00C232A3" w:rsidP="00C232A3">
            <w:pPr>
              <w:pStyle w:val="ARfintablebodyright"/>
              <w:rPr>
                <w:rStyle w:val="Strong"/>
                <w:bCs w:val="0"/>
              </w:rPr>
            </w:pPr>
            <w:r w:rsidRPr="00AB62BD">
              <w:rPr>
                <w:rStyle w:val="Strong"/>
              </w:rPr>
              <w:t>1,359.0</w:t>
            </w:r>
          </w:p>
        </w:tc>
      </w:tr>
    </w:tbl>
    <w:p w:rsidR="00C232A3" w:rsidRPr="005D7089" w:rsidRDefault="00C232A3" w:rsidP="00C232A3">
      <w:pPr>
        <w:pStyle w:val="Heading4"/>
      </w:pPr>
      <w:r w:rsidRPr="005D7089">
        <w:t>2.4 Income from transactions</w:t>
      </w:r>
    </w:p>
    <w:p w:rsidR="00C232A3" w:rsidRPr="00D11896" w:rsidRDefault="00C232A3" w:rsidP="00C232A3">
      <w:pPr>
        <w:pStyle w:val="Heading5"/>
        <w:rPr>
          <w:rStyle w:val="Strong"/>
        </w:rPr>
      </w:pPr>
      <w:r w:rsidRPr="00D11896">
        <w:rPr>
          <w:rStyle w:val="Strong"/>
        </w:rPr>
        <w:t>2.4.1 Interest income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AB62BD" w:rsidRDefault="00C232A3" w:rsidP="00C232A3">
            <w:pPr>
              <w:autoSpaceDE w:val="0"/>
              <w:autoSpaceDN w:val="0"/>
              <w:adjustRightInd w:val="0"/>
              <w:spacing w:beforeLines="40" w:before="96" w:afterLines="20" w:after="48"/>
              <w:rPr>
                <w:rFonts w:cs="Arial"/>
                <w:color w:val="000000"/>
                <w:sz w:val="16"/>
                <w:szCs w:val="16"/>
                <w:lang w:eastAsia="en-AU"/>
              </w:rPr>
            </w:pPr>
          </w:p>
        </w:tc>
        <w:tc>
          <w:tcPr>
            <w:tcW w:w="1134" w:type="dxa"/>
            <w:shd w:val="clear" w:color="auto" w:fill="E7E6E6"/>
            <w:vAlign w:val="bottom"/>
          </w:tcPr>
          <w:p w:rsidR="00C232A3" w:rsidRPr="004670EF" w:rsidRDefault="00C232A3" w:rsidP="00C232A3">
            <w:pPr>
              <w:pStyle w:val="ARfintablecolheadright"/>
            </w:pPr>
            <w:r w:rsidRPr="004670EF">
              <w:t>2017</w:t>
            </w:r>
          </w:p>
          <w:p w:rsidR="00C232A3" w:rsidRPr="004670EF" w:rsidRDefault="00C232A3" w:rsidP="00C232A3">
            <w:pPr>
              <w:pStyle w:val="ARfintablecolheadright"/>
            </w:pPr>
            <w:r w:rsidRPr="004670EF">
              <w:t>$M</w:t>
            </w:r>
          </w:p>
        </w:tc>
        <w:tc>
          <w:tcPr>
            <w:tcW w:w="1134" w:type="dxa"/>
            <w:vAlign w:val="bottom"/>
          </w:tcPr>
          <w:p w:rsidR="00C232A3" w:rsidRPr="004670EF" w:rsidRDefault="00C232A3" w:rsidP="00C232A3">
            <w:pPr>
              <w:pStyle w:val="ARfintablecolheadright"/>
            </w:pPr>
            <w:r w:rsidRPr="004670EF">
              <w:t>2016</w:t>
            </w:r>
          </w:p>
          <w:p w:rsidR="00C232A3" w:rsidRPr="004670EF" w:rsidRDefault="00C232A3" w:rsidP="00C232A3">
            <w:pPr>
              <w:pStyle w:val="ARfintablecolheadright"/>
            </w:pPr>
            <w:r w:rsidRPr="004670EF">
              <w:t>$M</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bold"/>
              <w:rPr>
                <w:rStyle w:val="Strong"/>
                <w:rFonts w:cs="Arial"/>
                <w:bCs/>
              </w:rPr>
            </w:pPr>
            <w:r w:rsidRPr="004670EF">
              <w:t>Interest from financial assets</w:t>
            </w:r>
            <w:r w:rsidRPr="00AB62BD">
              <w:rPr>
                <w:rStyle w:val="Strong"/>
                <w:rFonts w:cs="Arial"/>
              </w:rPr>
              <w:t>:</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p>
        </w:tc>
        <w:tc>
          <w:tcPr>
            <w:tcW w:w="1134"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 – Interest on short term deposits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 – Interest from loans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0.8</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r>
      <w:tr w:rsidR="00C232A3" w:rsidRPr="00AB62BD" w:rsidTr="00C232A3">
        <w:trPr>
          <w:cantSplit/>
        </w:trPr>
        <w:tc>
          <w:tcPr>
            <w:tcW w:w="7371" w:type="dxa"/>
          </w:tcPr>
          <w:p w:rsidR="00C232A3" w:rsidRPr="004670EF" w:rsidRDefault="00C232A3" w:rsidP="00C232A3">
            <w:pPr>
              <w:pStyle w:val="ARfintablebodybold"/>
            </w:pPr>
            <w:r w:rsidRPr="004670EF">
              <w:t>Total interest</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8.9</w:t>
            </w:r>
          </w:p>
        </w:tc>
        <w:tc>
          <w:tcPr>
            <w:tcW w:w="1134" w:type="dxa"/>
          </w:tcPr>
          <w:p w:rsidR="00C232A3" w:rsidRPr="00AB62BD" w:rsidRDefault="00C232A3" w:rsidP="00C232A3">
            <w:pPr>
              <w:pStyle w:val="ARfintablebodyright"/>
              <w:rPr>
                <w:rStyle w:val="Strong"/>
                <w:bCs w:val="0"/>
              </w:rPr>
            </w:pPr>
            <w:r w:rsidRPr="00AB62BD">
              <w:rPr>
                <w:rStyle w:val="Strong"/>
              </w:rPr>
              <w:t>9.4</w:t>
            </w:r>
          </w:p>
        </w:tc>
      </w:tr>
    </w:tbl>
    <w:p w:rsidR="00C232A3" w:rsidRPr="00AB62BD" w:rsidRDefault="00C232A3" w:rsidP="00C232A3">
      <w:pPr>
        <w:pStyle w:val="ARfinbodyaftertable"/>
      </w:pPr>
      <w:r w:rsidRPr="00AB62BD">
        <w:t>Interest income includes interest received on bank term deposits and other investments. Interest income is recognised using the accruals method which allocates the interest over the relevant period.</w:t>
      </w:r>
    </w:p>
    <w:p w:rsidR="00C232A3" w:rsidRPr="00AB62BD" w:rsidRDefault="00C232A3" w:rsidP="00C232A3">
      <w:pPr>
        <w:pStyle w:val="ARfinbody"/>
        <w:rPr>
          <w:lang w:eastAsia="en-AU"/>
        </w:rPr>
      </w:pPr>
      <w:r w:rsidRPr="00AB62BD">
        <w:rPr>
          <w:lang w:eastAsia="en-AU"/>
        </w:rP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rsidR="00C232A3" w:rsidRPr="00D11896" w:rsidRDefault="00C232A3" w:rsidP="00C232A3">
      <w:pPr>
        <w:pStyle w:val="Heading5"/>
        <w:rPr>
          <w:rStyle w:val="Strong"/>
        </w:rPr>
      </w:pPr>
      <w:r w:rsidRPr="00D11896">
        <w:rPr>
          <w:rStyle w:val="Strong"/>
        </w:rPr>
        <w:t>2.4.2 Rental income and income from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rsidR="00C232A3" w:rsidRPr="004670EF" w:rsidRDefault="00C232A3" w:rsidP="00C232A3">
            <w:pPr>
              <w:pStyle w:val="ARfintablecolheadright"/>
            </w:pPr>
            <w:r w:rsidRPr="004670EF">
              <w:t>2017</w:t>
            </w:r>
          </w:p>
          <w:p w:rsidR="00C232A3" w:rsidRPr="004670EF" w:rsidRDefault="00C232A3" w:rsidP="00C232A3">
            <w:pPr>
              <w:pStyle w:val="ARfintablecolheadright"/>
            </w:pPr>
            <w:r w:rsidRPr="004670EF">
              <w:t>$M</w:t>
            </w:r>
          </w:p>
        </w:tc>
        <w:tc>
          <w:tcPr>
            <w:tcW w:w="1134" w:type="dxa"/>
            <w:tcBorders>
              <w:bottom w:val="single" w:sz="4" w:space="0" w:color="auto"/>
            </w:tcBorders>
            <w:vAlign w:val="bottom"/>
          </w:tcPr>
          <w:p w:rsidR="00C232A3" w:rsidRPr="004670EF" w:rsidRDefault="00C232A3" w:rsidP="00C232A3">
            <w:pPr>
              <w:pStyle w:val="ARfintablecolheadright"/>
            </w:pPr>
            <w:r w:rsidRPr="004670EF">
              <w:t>2016</w:t>
            </w:r>
          </w:p>
          <w:p w:rsidR="00C232A3" w:rsidRPr="004670EF" w:rsidRDefault="00C232A3" w:rsidP="00C232A3">
            <w:pPr>
              <w:pStyle w:val="ARfintablecolheadright"/>
            </w:pPr>
            <w:r w:rsidRPr="004670EF">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income raised</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952.8</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Pr>
                <w:lang w:eastAsia="en-AU"/>
              </w:rPr>
              <w:t>930.4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rebates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(470.1)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(452.1)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subsidies – welfare organisations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Shared Home Ownership Scheme – rent raised</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w:t>
            </w:r>
          </w:p>
        </w:tc>
      </w:tr>
      <w:tr w:rsidR="00C232A3" w:rsidRPr="00AB62BD" w:rsidTr="00C232A3">
        <w:trPr>
          <w:cantSplit/>
        </w:trPr>
        <w:tc>
          <w:tcPr>
            <w:tcW w:w="7371" w:type="dxa"/>
            <w:tcBorders>
              <w:bottom w:val="single" w:sz="4" w:space="0" w:color="auto"/>
            </w:tcBorders>
          </w:tcPr>
          <w:p w:rsidR="00C232A3" w:rsidRPr="004670EF" w:rsidRDefault="00C232A3" w:rsidP="00C232A3">
            <w:pPr>
              <w:pStyle w:val="ARfintablebodybold"/>
            </w:pPr>
            <w:r w:rsidRPr="004670EF">
              <w:t>Total net rent receivable</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475.7</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471.2</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Total user charges – rental properties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Rendering of services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0.3</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r>
      <w:tr w:rsidR="00C232A3" w:rsidRPr="00AB62BD" w:rsidTr="00C232A3">
        <w:trPr>
          <w:cantSplit/>
        </w:trPr>
        <w:tc>
          <w:tcPr>
            <w:tcW w:w="7371" w:type="dxa"/>
          </w:tcPr>
          <w:p w:rsidR="00C232A3" w:rsidRPr="004670EF" w:rsidRDefault="00C232A3" w:rsidP="00C232A3">
            <w:pPr>
              <w:pStyle w:val="ARfintablebodybold"/>
            </w:pPr>
            <w:r w:rsidRPr="004670EF">
              <w:t>Total rental income and income from services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480.9</w:t>
            </w:r>
          </w:p>
        </w:tc>
        <w:tc>
          <w:tcPr>
            <w:tcW w:w="1134" w:type="dxa"/>
          </w:tcPr>
          <w:p w:rsidR="00C232A3" w:rsidRPr="00AB62BD" w:rsidRDefault="00C232A3" w:rsidP="00C232A3">
            <w:pPr>
              <w:pStyle w:val="ARfintablebodyright"/>
              <w:rPr>
                <w:rStyle w:val="Strong"/>
                <w:bCs w:val="0"/>
              </w:rPr>
            </w:pPr>
            <w:r w:rsidRPr="00AB62BD">
              <w:rPr>
                <w:rStyle w:val="Strong"/>
              </w:rPr>
              <w:t>476.6</w:t>
            </w:r>
          </w:p>
        </w:tc>
      </w:tr>
    </w:tbl>
    <w:p w:rsidR="00C232A3" w:rsidRPr="00AB62BD" w:rsidRDefault="00C232A3" w:rsidP="00C232A3">
      <w:pPr>
        <w:pStyle w:val="ARfinbodyaftertable"/>
      </w:pPr>
      <w:r w:rsidRPr="009459E4">
        <w:rPr>
          <w:rStyle w:val="Strong"/>
        </w:rPr>
        <w:t>Rental income</w:t>
      </w:r>
      <w:r w:rsidRPr="00AB62BD">
        <w:t xml:space="preserve"> arising from tenancy operating agreements is recognised on a straight-line basis over the terms of the ongoing agreements. This is subject to annual review. Rental rebates or subsidies provided to tenants are recognised on a straight-line basis over the term of the agreements. These are subject to bi-annual review.</w:t>
      </w:r>
    </w:p>
    <w:p w:rsidR="00C232A3" w:rsidRPr="00FB460C" w:rsidRDefault="00C232A3" w:rsidP="00FB460C">
      <w:pPr>
        <w:pStyle w:val="Heading6"/>
      </w:pPr>
      <w:r w:rsidRPr="00FB460C">
        <w:t>Operating leases – lessors</w:t>
      </w:r>
    </w:p>
    <w:p w:rsidR="00C232A3" w:rsidRPr="00AB62BD" w:rsidRDefault="00C232A3" w:rsidP="00C232A3">
      <w:pPr>
        <w:pStyle w:val="ARfinbody"/>
      </w:pPr>
      <w:r w:rsidRPr="00AB62BD">
        <w:t>The Department of Health and Human Services provides rental accommodation for a range of clients. There are approximately 74,000 public rental units that are owned and operated by the Director of Housing which have week to week tenancy agreements.</w:t>
      </w:r>
    </w:p>
    <w:p w:rsidR="00C232A3" w:rsidRPr="00AB62BD" w:rsidRDefault="00C232A3" w:rsidP="00C232A3">
      <w:pPr>
        <w:pStyle w:val="ARfinbody"/>
      </w:pPr>
      <w:r w:rsidRPr="00AB62BD">
        <w:t>These agreements are subject to the Residential Tenancy Act provisions which allow termination of a lease under certain circumstances, accordingly the future revenue streams from the lease agreements are not required to be reported under AASB 117.</w:t>
      </w:r>
    </w:p>
    <w:p w:rsidR="00C232A3" w:rsidRPr="00AB62BD" w:rsidRDefault="00C232A3" w:rsidP="00C232A3">
      <w:pPr>
        <w:pStyle w:val="ARfinbody"/>
        <w:rPr>
          <w:lang w:eastAsia="en-AU"/>
        </w:rPr>
      </w:pPr>
      <w:r w:rsidRPr="00AB62BD">
        <w:rPr>
          <w:lang w:eastAsia="en-AU"/>
        </w:rPr>
        <w:t xml:space="preserve">Income from the </w:t>
      </w:r>
      <w:r w:rsidRPr="009459E4">
        <w:rPr>
          <w:rStyle w:val="Strong"/>
        </w:rPr>
        <w:t>supply of services</w:t>
      </w:r>
      <w:r w:rsidRPr="00AB62BD">
        <w:rPr>
          <w:lang w:eastAsia="en-AU"/>
        </w:rPr>
        <w:t xml:space="preserve"> is recognised by reference to the stage of completion basis. The income is recognised when:</w:t>
      </w:r>
    </w:p>
    <w:p w:rsidR="00C232A3" w:rsidRPr="00AB62BD" w:rsidRDefault="00C232A3" w:rsidP="00C232A3">
      <w:pPr>
        <w:pStyle w:val="ARfinbullet1"/>
        <w:rPr>
          <w:lang w:eastAsia="en-AU"/>
        </w:rPr>
      </w:pPr>
      <w:r w:rsidRPr="00AB62BD">
        <w:rPr>
          <w:lang w:eastAsia="en-AU"/>
        </w:rPr>
        <w:t>the amount of the income, stage of completion and transaction costs incurred can be reliably measured; and</w:t>
      </w:r>
    </w:p>
    <w:p w:rsidR="00C232A3" w:rsidRPr="00AB62BD" w:rsidRDefault="00C232A3" w:rsidP="00C232A3">
      <w:pPr>
        <w:pStyle w:val="ARfinbullet1"/>
        <w:rPr>
          <w:lang w:eastAsia="en-AU"/>
        </w:rPr>
      </w:pPr>
      <w:r w:rsidRPr="00AB62BD">
        <w:rPr>
          <w:lang w:eastAsia="en-AU"/>
        </w:rPr>
        <w:lastRenderedPageBreak/>
        <w:t>it is probable that the economic benefits associated with the transaction will flow to the department.</w:t>
      </w:r>
    </w:p>
    <w:p w:rsidR="00C232A3" w:rsidRPr="00AB62BD" w:rsidRDefault="00C232A3" w:rsidP="00C232A3">
      <w:pPr>
        <w:pStyle w:val="ARfinbody"/>
        <w:rPr>
          <w:lang w:eastAsia="en-AU"/>
        </w:rPr>
      </w:pPr>
      <w:r w:rsidRPr="00AB62BD">
        <w:rPr>
          <w:lang w:eastAsia="en-AU"/>
        </w:rPr>
        <w:t>Under the stage of completion method, income is recognised by reference to labour hours supplied or to labour hours supplied as a percentage of total services to be performed in each annual reporting period.</w:t>
      </w:r>
    </w:p>
    <w:p w:rsidR="00C232A3" w:rsidRPr="00D11896" w:rsidRDefault="00C232A3" w:rsidP="00C232A3">
      <w:pPr>
        <w:pStyle w:val="Heading5"/>
        <w:rPr>
          <w:rStyle w:val="Strong"/>
        </w:rPr>
      </w:pPr>
      <w:r w:rsidRPr="00D11896">
        <w:rPr>
          <w:rStyle w:val="Strong"/>
        </w:rPr>
        <w:t>2.4.3 Grants and other income transfers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rsidR="00C232A3" w:rsidRPr="004670EF" w:rsidRDefault="00C232A3" w:rsidP="00C232A3">
            <w:pPr>
              <w:pStyle w:val="ARfintablecolheadright"/>
            </w:pPr>
            <w:r w:rsidRPr="004670EF">
              <w:t>2017</w:t>
            </w:r>
          </w:p>
          <w:p w:rsidR="00C232A3" w:rsidRPr="004670EF" w:rsidRDefault="00C232A3" w:rsidP="00C232A3">
            <w:pPr>
              <w:pStyle w:val="ARfintablecolheadright"/>
            </w:pPr>
            <w:r w:rsidRPr="004670EF">
              <w:t>$M</w:t>
            </w:r>
          </w:p>
        </w:tc>
        <w:tc>
          <w:tcPr>
            <w:tcW w:w="1134" w:type="dxa"/>
            <w:tcBorders>
              <w:bottom w:val="single" w:sz="4" w:space="0" w:color="auto"/>
            </w:tcBorders>
            <w:vAlign w:val="bottom"/>
          </w:tcPr>
          <w:p w:rsidR="00C232A3" w:rsidRPr="004670EF" w:rsidRDefault="00C232A3" w:rsidP="00C232A3">
            <w:pPr>
              <w:pStyle w:val="ARfintablecolheadright"/>
            </w:pPr>
            <w:r w:rsidRPr="004670EF">
              <w:t>2016</w:t>
            </w:r>
          </w:p>
          <w:p w:rsidR="00C232A3" w:rsidRPr="004670EF" w:rsidRDefault="00C232A3" w:rsidP="00C232A3">
            <w:pPr>
              <w:pStyle w:val="ARfintablecolheadright"/>
            </w:pPr>
            <w:r w:rsidRPr="004670EF">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Department of Treasury and Finance</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51.0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65.9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Department of Education and Training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Department of Economic Development, Jobs, Transport and Resources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27.0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Department of Environment, Land, Water and Planning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7.3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Department of Justice and Regulation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28.4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Department of Premier and Cabinet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state departments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Commonwealth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710.8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698.7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Melbourne and Olympic Parks Trust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public bodies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6.1</w:t>
            </w:r>
          </w:p>
        </w:tc>
      </w:tr>
      <w:tr w:rsidR="00C232A3" w:rsidRPr="00AB62BD" w:rsidTr="00C232A3">
        <w:trPr>
          <w:cantSplit/>
        </w:trPr>
        <w:tc>
          <w:tcPr>
            <w:tcW w:w="7371" w:type="dxa"/>
          </w:tcPr>
          <w:p w:rsidR="00C232A3" w:rsidRPr="004670EF" w:rsidRDefault="00C232A3" w:rsidP="00C232A3">
            <w:pPr>
              <w:pStyle w:val="ARfintablebodybold"/>
            </w:pPr>
            <w:r w:rsidRPr="004670EF">
              <w:t>Total grants and other income transfers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871.5</w:t>
            </w:r>
          </w:p>
        </w:tc>
        <w:tc>
          <w:tcPr>
            <w:tcW w:w="1134" w:type="dxa"/>
          </w:tcPr>
          <w:p w:rsidR="00C232A3" w:rsidRPr="00AB62BD" w:rsidRDefault="00C232A3" w:rsidP="00C232A3">
            <w:pPr>
              <w:pStyle w:val="ARfintablebodyright"/>
              <w:rPr>
                <w:rStyle w:val="Strong"/>
                <w:bCs w:val="0"/>
              </w:rPr>
            </w:pPr>
            <w:r w:rsidRPr="00AB62BD">
              <w:rPr>
                <w:rStyle w:val="Strong"/>
              </w:rPr>
              <w:t>832.0</w:t>
            </w:r>
          </w:p>
        </w:tc>
      </w:tr>
    </w:tbl>
    <w:p w:rsidR="00C232A3" w:rsidRPr="00AB62BD" w:rsidRDefault="00C232A3" w:rsidP="00C232A3">
      <w:pPr>
        <w:pStyle w:val="ARfinbodyaftertable"/>
      </w:pPr>
      <w:r w:rsidRPr="009459E4">
        <w:rPr>
          <w:rStyle w:val="Strong"/>
        </w:rPr>
        <w:t>Grant income</w:t>
      </w:r>
      <w:r w:rsidRPr="00AB62BD">
        <w:t xml:space="preserv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For non-reciprocal grants, the department recognises revenue when the grant is receivable or received.</w:t>
      </w:r>
    </w:p>
    <w:p w:rsidR="00C232A3" w:rsidRPr="00AB62BD" w:rsidRDefault="00C232A3" w:rsidP="00C232A3">
      <w:pPr>
        <w:pStyle w:val="ARfinbody"/>
        <w:rPr>
          <w:strike/>
          <w:lang w:eastAsia="en-AU"/>
        </w:rPr>
      </w:pPr>
      <w:r w:rsidRPr="00AB62BD">
        <w:rPr>
          <w:lang w:eastAsia="en-AU"/>
        </w:rPr>
        <w:t>Some grants are reciprocal in nature (goods or services of an equal value provided by the recipient of the grant to the provider). The department recognises income when it has satisfied its performance obligations under the terms of the grant.</w:t>
      </w:r>
    </w:p>
    <w:p w:rsidR="00C232A3" w:rsidRPr="00D11896" w:rsidRDefault="00C232A3" w:rsidP="00C232A3">
      <w:pPr>
        <w:pStyle w:val="Heading5"/>
        <w:rPr>
          <w:rStyle w:val="Strong"/>
        </w:rPr>
      </w:pPr>
      <w:r w:rsidRPr="00D11896">
        <w:rPr>
          <w:rStyle w:val="Strong"/>
        </w:rPr>
        <w:t>2.4.4 Fair value of assets and services received free of charge or for nominal consideration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rsidR="00C232A3" w:rsidRPr="004670EF" w:rsidRDefault="00C232A3" w:rsidP="00C232A3">
            <w:pPr>
              <w:pStyle w:val="ARfintablecolheadright"/>
            </w:pPr>
            <w:r w:rsidRPr="004670EF">
              <w:t>2017</w:t>
            </w:r>
          </w:p>
          <w:p w:rsidR="00C232A3" w:rsidRPr="004670EF" w:rsidRDefault="00C232A3" w:rsidP="00C232A3">
            <w:pPr>
              <w:pStyle w:val="ARfintablecolheadright"/>
            </w:pPr>
            <w:r w:rsidRPr="004670EF">
              <w:t>$M</w:t>
            </w:r>
          </w:p>
        </w:tc>
        <w:tc>
          <w:tcPr>
            <w:tcW w:w="1134" w:type="dxa"/>
            <w:tcBorders>
              <w:bottom w:val="single" w:sz="4" w:space="0" w:color="auto"/>
            </w:tcBorders>
            <w:vAlign w:val="bottom"/>
          </w:tcPr>
          <w:p w:rsidR="00C232A3" w:rsidRPr="004670EF" w:rsidRDefault="00C232A3" w:rsidP="00C232A3">
            <w:pPr>
              <w:pStyle w:val="ARfintablecolheadright"/>
            </w:pPr>
            <w:r w:rsidRPr="004670EF">
              <w:t>2016</w:t>
            </w:r>
          </w:p>
          <w:p w:rsidR="00C232A3" w:rsidRPr="004670EF" w:rsidRDefault="00C232A3" w:rsidP="00C232A3">
            <w:pPr>
              <w:pStyle w:val="ARfintablecolheadright"/>
            </w:pPr>
            <w:r w:rsidRPr="004670EF">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4670EF" w:rsidRDefault="00C232A3" w:rsidP="00C232A3">
            <w:pPr>
              <w:pStyle w:val="ARfintablebody"/>
            </w:pPr>
            <w:r w:rsidRPr="004670EF">
              <w:t>Land received at fair value</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6.5</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4670EF" w:rsidRDefault="00C232A3" w:rsidP="00C232A3">
            <w:pPr>
              <w:pStyle w:val="ARfintablebody"/>
            </w:pPr>
            <w:r w:rsidRPr="004670EF">
              <w:t>Buildings received at fair value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127.1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4670EF" w:rsidRDefault="00C232A3" w:rsidP="00C232A3">
            <w:pPr>
              <w:pStyle w:val="ARfintablebody"/>
            </w:pPr>
            <w:r>
              <w:t>Plant and equipment received at fair value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4670EF" w:rsidRDefault="00C232A3" w:rsidP="00C232A3">
            <w:pPr>
              <w:pStyle w:val="ARfintablebody"/>
            </w:pPr>
            <w:r w:rsidRPr="004670EF">
              <w:t>Resources received free of charge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5.5</w:t>
            </w:r>
          </w:p>
        </w:tc>
      </w:tr>
      <w:tr w:rsidR="00C232A3" w:rsidRPr="00AB62BD" w:rsidTr="00C232A3">
        <w:trPr>
          <w:cantSplit/>
        </w:trPr>
        <w:tc>
          <w:tcPr>
            <w:tcW w:w="7371" w:type="dxa"/>
          </w:tcPr>
          <w:p w:rsidR="00C232A3" w:rsidRPr="004670EF" w:rsidRDefault="00C232A3" w:rsidP="00C232A3">
            <w:pPr>
              <w:pStyle w:val="ARfintablebodybold"/>
            </w:pPr>
            <w:r w:rsidRPr="004670EF">
              <w:t>Total fair value of assets and services received free of charge or for nominal consideration</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136.6</w:t>
            </w:r>
          </w:p>
        </w:tc>
        <w:tc>
          <w:tcPr>
            <w:tcW w:w="1134" w:type="dxa"/>
          </w:tcPr>
          <w:p w:rsidR="00C232A3" w:rsidRPr="00AB62BD" w:rsidRDefault="00C232A3" w:rsidP="00C232A3">
            <w:pPr>
              <w:pStyle w:val="ARfintablebodyright"/>
              <w:rPr>
                <w:rStyle w:val="Strong"/>
                <w:bCs w:val="0"/>
              </w:rPr>
            </w:pPr>
            <w:r w:rsidRPr="00AB62BD">
              <w:rPr>
                <w:rStyle w:val="Strong"/>
              </w:rPr>
              <w:t>11.6</w:t>
            </w:r>
          </w:p>
        </w:tc>
      </w:tr>
    </w:tbl>
    <w:p w:rsidR="00C232A3" w:rsidRPr="00AB62BD" w:rsidRDefault="00C232A3" w:rsidP="00C232A3">
      <w:pPr>
        <w:pStyle w:val="ARfinbodyaftertable"/>
      </w:pPr>
      <w:r w:rsidRPr="009459E4">
        <w:rPr>
          <w:rStyle w:val="Strong"/>
        </w:rPr>
        <w:t>Contributions of resources received free of charge or for nominal consideration</w:t>
      </w:r>
      <w:r w:rsidRPr="00AB62BD">
        <w:t xml:space="preserve"> are recognised at their fair value when control is obtained over them,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w:t>
      </w:r>
    </w:p>
    <w:p w:rsidR="00C232A3" w:rsidRPr="00AB62BD" w:rsidRDefault="00C232A3" w:rsidP="00C232A3">
      <w:pPr>
        <w:pStyle w:val="ARfinbody"/>
        <w:rPr>
          <w:lang w:eastAsia="en-AU"/>
        </w:rPr>
      </w:pPr>
      <w:r w:rsidRPr="00AB62BD">
        <w:rPr>
          <w:lang w:eastAsia="en-AU"/>
        </w:rPr>
        <w:t>Contributions in the form of services are only recognised when a fair value can be reliably determined and the services would have been purchased if not received as a donation.</w:t>
      </w:r>
    </w:p>
    <w:p w:rsidR="00C232A3" w:rsidRPr="00D11896" w:rsidRDefault="00C232A3" w:rsidP="00C232A3">
      <w:pPr>
        <w:pStyle w:val="Heading5"/>
        <w:rPr>
          <w:rStyle w:val="Strong"/>
        </w:rPr>
      </w:pPr>
      <w:r w:rsidRPr="00D11896">
        <w:rPr>
          <w:rStyle w:val="Strong"/>
        </w:rPr>
        <w:t>2.4.5 Other income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rsidR="00C232A3" w:rsidRPr="004670EF" w:rsidRDefault="00C232A3" w:rsidP="00C232A3">
            <w:pPr>
              <w:pStyle w:val="ARfintablecolheadright"/>
            </w:pPr>
            <w:r w:rsidRPr="004670EF">
              <w:t>2017</w:t>
            </w:r>
          </w:p>
          <w:p w:rsidR="00C232A3" w:rsidRPr="004670EF" w:rsidRDefault="00C232A3" w:rsidP="00C232A3">
            <w:pPr>
              <w:pStyle w:val="ARfintablecolheadright"/>
            </w:pPr>
            <w:r w:rsidRPr="004670EF">
              <w:t>$M</w:t>
            </w:r>
          </w:p>
        </w:tc>
        <w:tc>
          <w:tcPr>
            <w:tcW w:w="1134" w:type="dxa"/>
            <w:tcBorders>
              <w:bottom w:val="single" w:sz="4" w:space="0" w:color="auto"/>
            </w:tcBorders>
            <w:vAlign w:val="bottom"/>
          </w:tcPr>
          <w:p w:rsidR="00C232A3" w:rsidRPr="004670EF" w:rsidRDefault="00C232A3" w:rsidP="00C232A3">
            <w:pPr>
              <w:pStyle w:val="ARfintablecolheadright"/>
            </w:pPr>
            <w:r w:rsidRPr="004670EF">
              <w:t>2016</w:t>
            </w:r>
          </w:p>
          <w:p w:rsidR="00C232A3" w:rsidRPr="004670EF" w:rsidRDefault="00C232A3" w:rsidP="00C232A3">
            <w:pPr>
              <w:pStyle w:val="ARfintablecolheadright"/>
            </w:pPr>
            <w:r w:rsidRPr="004670EF">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State trust accounts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40.8</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Interstate patients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44.9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Other</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326.5</w:t>
            </w:r>
          </w:p>
        </w:tc>
      </w:tr>
      <w:tr w:rsidR="00C232A3" w:rsidRPr="00AB62BD" w:rsidTr="00C232A3">
        <w:trPr>
          <w:cantSplit/>
        </w:trPr>
        <w:tc>
          <w:tcPr>
            <w:tcW w:w="7371" w:type="dxa"/>
          </w:tcPr>
          <w:p w:rsidR="00C232A3" w:rsidRPr="004670EF" w:rsidRDefault="00C232A3" w:rsidP="00C232A3">
            <w:pPr>
              <w:pStyle w:val="ARfintablebodybold"/>
            </w:pPr>
            <w:r w:rsidRPr="004670EF">
              <w:t>Total other income</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90.9</w:t>
            </w:r>
          </w:p>
        </w:tc>
        <w:tc>
          <w:tcPr>
            <w:tcW w:w="1134" w:type="dxa"/>
          </w:tcPr>
          <w:p w:rsidR="00C232A3" w:rsidRPr="00AB62BD" w:rsidRDefault="00C232A3" w:rsidP="00C232A3">
            <w:pPr>
              <w:pStyle w:val="ARfintablebodyright"/>
              <w:rPr>
                <w:rStyle w:val="Strong"/>
                <w:bCs w:val="0"/>
              </w:rPr>
            </w:pPr>
            <w:r w:rsidRPr="00AB62BD">
              <w:rPr>
                <w:rStyle w:val="Strong"/>
              </w:rPr>
              <w:t>367.2</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 xml:space="preserve">Other income of </w:t>
      </w:r>
      <w:r>
        <w:t>$314.8 million</w:t>
      </w:r>
      <w:r w:rsidRPr="00AB62BD">
        <w:t xml:space="preserve"> in 2016 relates to the forgiveness of a loan provided by the Victorian Government to the Director of Housing entity. For administrative simplicity, the Victorian Government forgave the outstanding balance of the loan on 14 April 2016 and the Director of Housing was no longer required to make repayments.</w:t>
      </w:r>
    </w:p>
    <w:p w:rsidR="00C232A3" w:rsidRPr="00AB62BD" w:rsidRDefault="00C232A3" w:rsidP="00C232A3">
      <w:pPr>
        <w:pStyle w:val="ARfinbodyaftertable"/>
      </w:pPr>
      <w:r w:rsidRPr="009459E4">
        <w:rPr>
          <w:rStyle w:val="Strong"/>
        </w:rPr>
        <w:t>Other income</w:t>
      </w:r>
      <w:r w:rsidRPr="00AB62BD">
        <w:t xml:space="preserve"> includes income received from departmental controlled trust funds and is recognised when the department gains control over the funds.</w:t>
      </w:r>
    </w:p>
    <w:p w:rsidR="00C232A3" w:rsidRPr="00AB62BD" w:rsidRDefault="00C232A3" w:rsidP="00C232A3">
      <w:pPr>
        <w:pStyle w:val="ARfinbody"/>
        <w:rPr>
          <w:lang w:eastAsia="en-AU"/>
        </w:rPr>
      </w:pPr>
      <w:r w:rsidRPr="00AB62BD">
        <w:rPr>
          <w:lang w:eastAsia="en-AU"/>
        </w:rPr>
        <w:t>It also includes income received from treasury trusts and from services provided to interstate patients. Other income from services provided to interstate patients is recognised as per agreements for cost reimbursements established between the states on a state</w:t>
      </w:r>
      <w:r>
        <w:rPr>
          <w:lang w:eastAsia="en-AU"/>
        </w:rPr>
        <w:t>-</w:t>
      </w:r>
      <w:r w:rsidRPr="00AB62BD">
        <w:rPr>
          <w:lang w:eastAsia="en-AU"/>
        </w:rPr>
        <w:t>by</w:t>
      </w:r>
      <w:r>
        <w:rPr>
          <w:lang w:eastAsia="en-AU"/>
        </w:rPr>
        <w:t>-</w:t>
      </w:r>
      <w:r w:rsidRPr="00AB62BD">
        <w:rPr>
          <w:lang w:eastAsia="en-AU"/>
        </w:rPr>
        <w:t>state basis.</w:t>
      </w:r>
    </w:p>
    <w:p w:rsidR="00C232A3" w:rsidRPr="00AB62BD" w:rsidRDefault="00C232A3" w:rsidP="00C232A3">
      <w:pPr>
        <w:pStyle w:val="ARfinbody"/>
        <w:rPr>
          <w:lang w:eastAsia="en-AU"/>
        </w:rPr>
      </w:pPr>
      <w:r w:rsidRPr="00AB62BD">
        <w:rPr>
          <w:lang w:eastAsia="en-AU"/>
        </w:rPr>
        <w:t>Where payment is received before services are provided, it is recorded as income in advance in the balance sheet and then recognised as revenue when the service is provided.</w:t>
      </w:r>
    </w:p>
    <w:p w:rsidR="00C232A3" w:rsidRPr="009459E4" w:rsidRDefault="00C232A3" w:rsidP="00C232A3">
      <w:pPr>
        <w:pStyle w:val="Heading4"/>
      </w:pPr>
      <w:r w:rsidRPr="009459E4">
        <w:lastRenderedPageBreak/>
        <w:t>2.5 Annotated income agreements</w:t>
      </w:r>
    </w:p>
    <w:p w:rsidR="00C232A3" w:rsidRPr="00AB62BD" w:rsidRDefault="00C232A3" w:rsidP="00C232A3">
      <w:pPr>
        <w:pStyle w:val="ARfinbody"/>
        <w:rPr>
          <w:lang w:eastAsia="en-AU"/>
        </w:rPr>
      </w:pPr>
      <w:r w:rsidRPr="00AB62BD">
        <w:rPr>
          <w:lang w:eastAsia="en-AU"/>
        </w:rPr>
        <w:t>The department is permitted under section 29 of the Financial Management Act 1994 to have certain income annotated to the annual appropriation. The income which forms part of a section 29 agreement is recognised by the department and the receipts paid into the consolidated fund as an administered item. At the point of income recognition, section 29 provides for an equivalent amount to be added to the annual appropriation.</w:t>
      </w:r>
    </w:p>
    <w:p w:rsidR="00C232A3" w:rsidRPr="00AB62BD" w:rsidRDefault="00C232A3" w:rsidP="00C232A3">
      <w:pPr>
        <w:pStyle w:val="ARfinbody"/>
        <w:rPr>
          <w:lang w:eastAsia="en-AU"/>
        </w:rPr>
      </w:pPr>
      <w:r w:rsidRPr="00AB62BD">
        <w:rPr>
          <w:lang w:eastAsia="en-AU"/>
        </w:rPr>
        <w:t xml:space="preserve">The following is a listing of annotated income agreements under section 29 of the </w:t>
      </w:r>
      <w:r w:rsidRPr="00A770AC">
        <w:rPr>
          <w:rStyle w:val="Emphasis"/>
        </w:rPr>
        <w:t>Financial Management Act 1994</w:t>
      </w:r>
      <w:r w:rsidRPr="00AB62BD">
        <w:rPr>
          <w:lang w:eastAsia="en-AU"/>
        </w:rPr>
        <w:t xml:space="preserve"> approved by the Treasurer:</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C232A3" w:rsidRPr="00AB62BD" w:rsidTr="005C1ACD">
        <w:trPr>
          <w:cantSplit/>
          <w:tblHeader/>
        </w:trPr>
        <w:tc>
          <w:tcPr>
            <w:tcW w:w="7371" w:type="dxa"/>
            <w:tcBorders>
              <w:bottom w:val="single" w:sz="4" w:space="0" w:color="auto"/>
            </w:tcBorders>
            <w:vAlign w:val="bottom"/>
          </w:tcPr>
          <w:p w:rsidR="00C232A3" w:rsidRPr="00FD1C47" w:rsidRDefault="00C232A3" w:rsidP="00C232A3">
            <w:pPr>
              <w:pStyle w:val="ARfintablecolheadright"/>
            </w:pPr>
          </w:p>
        </w:tc>
        <w:tc>
          <w:tcPr>
            <w:tcW w:w="1134" w:type="dxa"/>
            <w:tcBorders>
              <w:bottom w:val="single" w:sz="4" w:space="0" w:color="auto"/>
            </w:tcBorders>
            <w:shd w:val="clear" w:color="auto" w:fill="E7E6E6"/>
            <w:vAlign w:val="bottom"/>
          </w:tcPr>
          <w:p w:rsidR="00C232A3" w:rsidRPr="00FD1C47" w:rsidRDefault="00C232A3" w:rsidP="00C232A3">
            <w:pPr>
              <w:pStyle w:val="ARfintablecolheadright"/>
            </w:pPr>
            <w:r w:rsidRPr="00FD1C47">
              <w:t>2017</w:t>
            </w:r>
          </w:p>
          <w:p w:rsidR="00C232A3" w:rsidRPr="00FD1C47" w:rsidRDefault="00C232A3" w:rsidP="00C232A3">
            <w:pPr>
              <w:pStyle w:val="ARfintablecolheadright"/>
            </w:pPr>
            <w:r w:rsidRPr="00FD1C47">
              <w:t>$M</w:t>
            </w:r>
          </w:p>
        </w:tc>
        <w:tc>
          <w:tcPr>
            <w:tcW w:w="1134" w:type="dxa"/>
            <w:tcBorders>
              <w:bottom w:val="single" w:sz="4" w:space="0" w:color="auto"/>
            </w:tcBorders>
            <w:vAlign w:val="bottom"/>
          </w:tcPr>
          <w:p w:rsidR="00C232A3" w:rsidRPr="00FD1C47" w:rsidRDefault="00C232A3" w:rsidP="00C232A3">
            <w:pPr>
              <w:pStyle w:val="ARfintablecolheadright"/>
            </w:pPr>
            <w:r w:rsidRPr="00FD1C47">
              <w:t>2016</w:t>
            </w:r>
          </w:p>
          <w:p w:rsidR="00C232A3" w:rsidRPr="00FD1C47" w:rsidRDefault="00C232A3" w:rsidP="00C232A3">
            <w:pPr>
              <w:pStyle w:val="ARfintablecolheadright"/>
            </w:pPr>
            <w:r w:rsidRPr="00FD1C47">
              <w:t>$M</w:t>
            </w:r>
          </w:p>
        </w:tc>
      </w:tr>
      <w:tr w:rsidR="00C232A3" w:rsidRPr="00AB62BD" w:rsidTr="005C1ACD">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User charges, or sales of goods and services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Albury Wodonga Health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Albury Wodonga Health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102.3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98.3</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Community Residential Units Accommodation charges includes full Board and Lodging Model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27.3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Department of Veteran Affairs Hospital Services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115.8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124.5</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Health Technology Services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6.5</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Revenue for Services Provided for the National Disability Insurance Agency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Seniors Card Directory Advertising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Seniors Festival Advertising and Sponsorship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viCPlace</w:t>
            </w:r>
            <w:proofErr w:type="spellEnd"/>
            <w:r w:rsidRPr="00AB62BD">
              <w:rPr>
                <w:lang w:eastAsia="en-AU"/>
              </w:rPr>
              <w:t xml:space="preserve">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Transport Accident Commission Agreement (Output) </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75.1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76.7</w:t>
            </w:r>
          </w:p>
        </w:tc>
      </w:tr>
      <w:tr w:rsidR="00C232A3" w:rsidRPr="00AB62BD" w:rsidTr="005C1ACD">
        <w:trPr>
          <w:cantSplit/>
        </w:trPr>
        <w:tc>
          <w:tcPr>
            <w:tcW w:w="7371" w:type="dxa"/>
            <w:tcBorders>
              <w:bottom w:val="single" w:sz="4" w:space="0" w:color="auto"/>
            </w:tcBorders>
          </w:tcPr>
          <w:p w:rsidR="00C232A3" w:rsidRPr="00AB62BD" w:rsidRDefault="00C232A3" w:rsidP="00C232A3">
            <w:pPr>
              <w:pStyle w:val="ARfintablebody"/>
              <w:rPr>
                <w:lang w:eastAsia="en-AU"/>
              </w:rPr>
            </w:pP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339.2</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334.1</w:t>
            </w:r>
          </w:p>
        </w:tc>
      </w:tr>
      <w:tr w:rsidR="00C232A3" w:rsidRPr="00AB62BD" w:rsidTr="005C1ACD">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Asset sales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Proceeds from sale of land and buildings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3.1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2.0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Commonwealth Specific Purpose Payments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National Partnership Agreements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Adult Public Dental Services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38.5</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Albury-Wodonga Cardiac Catheterisation Laboratory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Bright Hospital Feasibility Study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Essential Vaccines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33.7</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Expansion of the </w:t>
            </w:r>
            <w:proofErr w:type="spellStart"/>
            <w:r w:rsidRPr="00AB62BD">
              <w:rPr>
                <w:lang w:eastAsia="en-AU"/>
              </w:rPr>
              <w:t>BreastScreen</w:t>
            </w:r>
            <w:proofErr w:type="spellEnd"/>
            <w:r w:rsidRPr="00AB62BD">
              <w:rPr>
                <w:lang w:eastAsia="en-AU"/>
              </w:rPr>
              <w:t xml:space="preserve"> Australia Program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3.9</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Albury-Wodonga Regional Cancer Centre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Bairnsdale Regional Health Service – Jacaranda House Redevelopment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Barwon Integrated Regional Cancer Service, Geelong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Echuca Regional Health Redevelopment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Heathcote GP Primary Care Clinic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Kerang District Hospital Redevelopment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3.7</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Kilmore District Hospital Redevelopment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Kyabram and District Health Service – Health and Wellbeing Centre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Kyneton Ambulatory Care Centre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Leongatha Integrated Primary Care Centre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Mansfield District Hospital – Co-location of Primary Health Care Services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Rural North West Health, Warracknabeal Campus Redevelopment Stage 2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w:t>
            </w:r>
            <w:proofErr w:type="spellStart"/>
            <w:r w:rsidRPr="00AB62BD">
              <w:rPr>
                <w:lang w:eastAsia="en-AU"/>
              </w:rPr>
              <w:t>Statewide</w:t>
            </w:r>
            <w:proofErr w:type="spellEnd"/>
            <w:r w:rsidRPr="00AB62BD">
              <w:rPr>
                <w:lang w:eastAsia="en-AU"/>
              </w:rPr>
              <w:t xml:space="preserve"> Enhancements to Regional Cancer Services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and Hospitals Fund – Victorian Comprehensive Cancer Centre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Services – National Bowel Cancer Screening Program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Services – </w:t>
            </w:r>
            <w:proofErr w:type="spellStart"/>
            <w:r w:rsidRPr="00AB62BD">
              <w:rPr>
                <w:lang w:eastAsia="en-AU"/>
              </w:rPr>
              <w:t>OzFoodNet</w:t>
            </w:r>
            <w:proofErr w:type="spellEnd"/>
            <w:r w:rsidRPr="00AB62BD">
              <w:rPr>
                <w:lang w:eastAsia="en-AU"/>
              </w:rPr>
              <w:t xml:space="preserve">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Services – Vaccine-Preventable Diseases Surveillance Program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Health Services – Victorian Cytology Service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Home and Community Care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430.6</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Homes for the Homeless – Homelessness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22.8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22.8</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Improving Local Access to Health Care on Phillip Island (Capital)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Pay Equity for the Social and Community Services Sector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28.0</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Specialist Disability Services for over 65s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lastRenderedPageBreak/>
              <w:t xml:space="preserve">Supporting National Mental Health Reform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7.6</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Other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Aged Care Assessment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27.9</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Home Support Program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Regional Assessment Services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34.0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Human Quarantine Services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Integrated Regional Clinical Training Networks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National Reform Agenda for Organ and Tissue Donation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9.1</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National Youth Week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Simulated Learning Environments Program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Unattached Refugee Children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Women’s Safety Measures – Keeping Women Safe in Their Homes (Output)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r>
      <w:tr w:rsidR="00C232A3" w:rsidRPr="00AB62BD" w:rsidTr="005C1ACD">
        <w:trPr>
          <w:cantSplit/>
        </w:trPr>
        <w:tc>
          <w:tcPr>
            <w:tcW w:w="7371" w:type="dxa"/>
            <w:tcBorders>
              <w:top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 xml:space="preserve">Women’s Safety Measures – Local Support Coordinator (Output) </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5C1ACD">
        <w:trPr>
          <w:cantSplit/>
        </w:trPr>
        <w:tc>
          <w:tcPr>
            <w:tcW w:w="7371" w:type="dxa"/>
          </w:tcPr>
          <w:p w:rsidR="00C232A3" w:rsidRPr="00AB62BD" w:rsidRDefault="00C232A3" w:rsidP="00C232A3">
            <w:pPr>
              <w:pStyle w:val="ARfintablebody"/>
              <w:rPr>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251.4</w:t>
            </w:r>
          </w:p>
        </w:tc>
        <w:tc>
          <w:tcPr>
            <w:tcW w:w="1134" w:type="dxa"/>
          </w:tcPr>
          <w:p w:rsidR="00C232A3" w:rsidRPr="00AB62BD" w:rsidRDefault="00C232A3" w:rsidP="00C232A3">
            <w:pPr>
              <w:pStyle w:val="ARfintablebodyright"/>
              <w:rPr>
                <w:b/>
                <w:bCs/>
                <w:lang w:eastAsia="en-AU"/>
              </w:rPr>
            </w:pPr>
            <w:r w:rsidRPr="00AB62BD">
              <w:rPr>
                <w:rStyle w:val="Strong"/>
              </w:rPr>
              <w:t>701.0</w:t>
            </w:r>
          </w:p>
        </w:tc>
      </w:tr>
      <w:tr w:rsidR="00C232A3" w:rsidRPr="00AB62BD" w:rsidTr="005C1ACD">
        <w:trPr>
          <w:cantSplit/>
        </w:trPr>
        <w:tc>
          <w:tcPr>
            <w:tcW w:w="7371" w:type="dxa"/>
          </w:tcPr>
          <w:p w:rsidR="00C232A3" w:rsidRPr="00AB62BD" w:rsidRDefault="00C232A3" w:rsidP="00C232A3">
            <w:pPr>
              <w:pStyle w:val="ARfintablebody"/>
              <w:rPr>
                <w:bCs/>
                <w:lang w:eastAsia="en-AU"/>
              </w:rPr>
            </w:pPr>
            <w:r w:rsidRPr="00AB62BD">
              <w:rPr>
                <w:rStyle w:val="Strong"/>
              </w:rPr>
              <w:t xml:space="preserve">Total annotated income agreements </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593.7</w:t>
            </w:r>
          </w:p>
        </w:tc>
        <w:tc>
          <w:tcPr>
            <w:tcW w:w="1134" w:type="dxa"/>
          </w:tcPr>
          <w:p w:rsidR="00C232A3" w:rsidRPr="00AB62BD" w:rsidRDefault="00C232A3" w:rsidP="00C232A3">
            <w:pPr>
              <w:pStyle w:val="ARfintablebodyright"/>
              <w:rPr>
                <w:rStyle w:val="Strong"/>
                <w:bCs w:val="0"/>
              </w:rPr>
            </w:pPr>
            <w:r w:rsidRPr="00AB62BD">
              <w:rPr>
                <w:rStyle w:val="Strong"/>
              </w:rPr>
              <w:t>1,037.1</w:t>
            </w:r>
          </w:p>
        </w:tc>
      </w:tr>
    </w:tbl>
    <w:p w:rsidR="00C232A3" w:rsidRPr="00734E37" w:rsidRDefault="00C232A3" w:rsidP="00C232A3">
      <w:pPr>
        <w:pStyle w:val="ARbody"/>
      </w:pPr>
      <w:r w:rsidRPr="00734E37">
        <w:br w:type="page"/>
      </w:r>
    </w:p>
    <w:p w:rsidR="00C232A3" w:rsidRPr="009459E4" w:rsidRDefault="00C232A3" w:rsidP="00C232A3">
      <w:pPr>
        <w:pStyle w:val="Heading3"/>
      </w:pPr>
      <w:bookmarkStart w:id="93" w:name="_Toc493069492"/>
      <w:r w:rsidRPr="009459E4">
        <w:lastRenderedPageBreak/>
        <w:t>3. The cost of delivering services</w:t>
      </w:r>
      <w:bookmarkEnd w:id="93"/>
    </w:p>
    <w:p w:rsidR="00C232A3" w:rsidRPr="009459E4" w:rsidRDefault="00C232A3" w:rsidP="00C232A3">
      <w:pPr>
        <w:pStyle w:val="Heading4"/>
      </w:pPr>
      <w:r w:rsidRPr="009459E4">
        <w:t>Introduction</w:t>
      </w:r>
    </w:p>
    <w:p w:rsidR="00C232A3" w:rsidRPr="00AB62BD" w:rsidRDefault="00C232A3" w:rsidP="00C232A3">
      <w:pPr>
        <w:pStyle w:val="ARfinbody"/>
        <w:rPr>
          <w:lang w:eastAsia="en-AU"/>
        </w:rPr>
      </w:pPr>
      <w:r w:rsidRPr="00AB62BD">
        <w:rPr>
          <w:lang w:eastAsia="en-AU"/>
        </w:rPr>
        <w:t xml:space="preserve">This section provides an account of the expenses incurred by the department in delivering services and outputs. In Section 2, the funds that enable the </w:t>
      </w:r>
      <w:r w:rsidRPr="009459E4">
        <w:t>provision</w:t>
      </w:r>
      <w:r w:rsidRPr="00AB62BD">
        <w:rPr>
          <w:lang w:eastAsia="en-AU"/>
        </w:rPr>
        <w:t xml:space="preserve"> of services were disclosed and in this note the cost associated with provision of services are recorded. Section 4 discloses aggregated information in relation to the income and expenses by output.</w:t>
      </w:r>
    </w:p>
    <w:p w:rsidR="00C232A3" w:rsidRPr="009459E4" w:rsidRDefault="00C232A3" w:rsidP="00C232A3">
      <w:pPr>
        <w:pStyle w:val="Heading4"/>
      </w:pPr>
      <w:r w:rsidRPr="009459E4">
        <w:t>Structure</w:t>
      </w:r>
    </w:p>
    <w:p w:rsidR="00C232A3" w:rsidRPr="009459E4" w:rsidRDefault="00C232A3" w:rsidP="00C232A3">
      <w:pPr>
        <w:pStyle w:val="ARfinstructure1"/>
      </w:pPr>
      <w:r>
        <w:t>3.1</w:t>
      </w:r>
      <w:r>
        <w:tab/>
      </w:r>
      <w:r w:rsidRPr="009459E4">
        <w:t>Expenses incurred in delivery of services</w:t>
      </w:r>
    </w:p>
    <w:p w:rsidR="00C232A3" w:rsidRPr="009459E4" w:rsidRDefault="00C232A3" w:rsidP="00C232A3">
      <w:pPr>
        <w:pStyle w:val="ARfinstructure2"/>
      </w:pPr>
      <w:r>
        <w:t>3.1.1</w:t>
      </w:r>
      <w:r>
        <w:tab/>
      </w:r>
      <w:r w:rsidRPr="009459E4">
        <w:t>Employee benefits</w:t>
      </w:r>
    </w:p>
    <w:p w:rsidR="00C232A3" w:rsidRPr="009459E4" w:rsidRDefault="00C232A3" w:rsidP="00C232A3">
      <w:pPr>
        <w:pStyle w:val="ARfinstructure2"/>
      </w:pPr>
      <w:r>
        <w:t>3.1.2</w:t>
      </w:r>
      <w:r>
        <w:tab/>
      </w:r>
      <w:r w:rsidRPr="009459E4">
        <w:t>Grants and other expense transfers</w:t>
      </w:r>
    </w:p>
    <w:p w:rsidR="00C232A3" w:rsidRPr="009459E4" w:rsidRDefault="00C232A3" w:rsidP="00C232A3">
      <w:pPr>
        <w:pStyle w:val="ARfinstructure2"/>
      </w:pPr>
      <w:r>
        <w:t>3.1.3</w:t>
      </w:r>
      <w:r>
        <w:tab/>
      </w:r>
      <w:r w:rsidRPr="009459E4">
        <w:t>Capital asset charge</w:t>
      </w:r>
    </w:p>
    <w:p w:rsidR="00C232A3" w:rsidRPr="009459E4" w:rsidRDefault="00C232A3" w:rsidP="00C232A3">
      <w:pPr>
        <w:pStyle w:val="ARfinstructure2"/>
      </w:pPr>
      <w:r>
        <w:t>3.1.4</w:t>
      </w:r>
      <w:r>
        <w:tab/>
      </w:r>
      <w:r w:rsidRPr="009459E4">
        <w:t>Fair value of assets and services provided free of charge or for nominal consideration</w:t>
      </w:r>
    </w:p>
    <w:p w:rsidR="00C232A3" w:rsidRPr="009459E4" w:rsidRDefault="00C232A3" w:rsidP="00C232A3">
      <w:pPr>
        <w:pStyle w:val="ARfinstructure2"/>
      </w:pPr>
      <w:r>
        <w:t>3.1.5</w:t>
      </w:r>
      <w:r>
        <w:tab/>
      </w:r>
      <w:r w:rsidRPr="009459E4">
        <w:t>Other operating expenses</w:t>
      </w:r>
    </w:p>
    <w:p w:rsidR="00C232A3" w:rsidRPr="009459E4" w:rsidRDefault="00C232A3" w:rsidP="00C232A3">
      <w:pPr>
        <w:pStyle w:val="ARfinstructure2"/>
      </w:pPr>
      <w:r w:rsidRPr="009459E4">
        <w:t>3.1.6</w:t>
      </w:r>
      <w:r>
        <w:tab/>
      </w:r>
      <w:r w:rsidRPr="009459E4">
        <w:t>Other property management expenses</w:t>
      </w:r>
    </w:p>
    <w:p w:rsidR="00C232A3" w:rsidRPr="009459E4" w:rsidRDefault="00C232A3" w:rsidP="00C232A3">
      <w:pPr>
        <w:pStyle w:val="Heading4"/>
      </w:pPr>
      <w:r w:rsidRPr="009459E4">
        <w:t>3.1 Expenses incurred in delivery of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691"/>
        <w:gridCol w:w="680"/>
        <w:gridCol w:w="1134"/>
        <w:gridCol w:w="1134"/>
      </w:tblGrid>
      <w:tr w:rsidR="00C232A3" w:rsidRPr="00AB62BD" w:rsidTr="00C232A3">
        <w:trPr>
          <w:cantSplit/>
          <w:tblHeader/>
        </w:trPr>
        <w:tc>
          <w:tcPr>
            <w:tcW w:w="6691" w:type="dxa"/>
            <w:tcBorders>
              <w:bottom w:val="single" w:sz="4" w:space="0" w:color="auto"/>
            </w:tcBorders>
            <w:vAlign w:val="bottom"/>
          </w:tcPr>
          <w:p w:rsidR="00C232A3" w:rsidRPr="00C34969" w:rsidRDefault="00C232A3" w:rsidP="00C232A3">
            <w:pPr>
              <w:pStyle w:val="ARfintablecolhead"/>
            </w:pPr>
          </w:p>
        </w:tc>
        <w:tc>
          <w:tcPr>
            <w:tcW w:w="680" w:type="dxa"/>
            <w:tcBorders>
              <w:bottom w:val="single" w:sz="4" w:space="0" w:color="auto"/>
            </w:tcBorders>
            <w:vAlign w:val="bottom"/>
          </w:tcPr>
          <w:p w:rsidR="00C232A3" w:rsidRPr="00C34969" w:rsidRDefault="00C232A3" w:rsidP="00C232A3">
            <w:pPr>
              <w:pStyle w:val="ARfintablecolheadright"/>
            </w:pPr>
            <w:r w:rsidRPr="00C34969">
              <w:t>Note</w:t>
            </w:r>
          </w:p>
        </w:tc>
        <w:tc>
          <w:tcPr>
            <w:tcW w:w="1134" w:type="dxa"/>
            <w:tcBorders>
              <w:bottom w:val="single" w:sz="4" w:space="0" w:color="auto"/>
            </w:tcBorders>
            <w:shd w:val="clear" w:color="auto" w:fill="E7E6E6"/>
            <w:vAlign w:val="bottom"/>
          </w:tcPr>
          <w:p w:rsidR="00C232A3" w:rsidRPr="00C34969" w:rsidRDefault="00C232A3" w:rsidP="00C232A3">
            <w:pPr>
              <w:pStyle w:val="ARfintablecolheadright"/>
            </w:pPr>
            <w:r w:rsidRPr="00C34969">
              <w:t>2017</w:t>
            </w:r>
          </w:p>
          <w:p w:rsidR="00C232A3" w:rsidRPr="00C34969" w:rsidRDefault="00C232A3" w:rsidP="00C232A3">
            <w:pPr>
              <w:pStyle w:val="ARfintablecolheadright"/>
            </w:pPr>
            <w:r w:rsidRPr="00C34969">
              <w:t>$M</w:t>
            </w:r>
          </w:p>
        </w:tc>
        <w:tc>
          <w:tcPr>
            <w:tcW w:w="1134" w:type="dxa"/>
            <w:tcBorders>
              <w:bottom w:val="single" w:sz="4" w:space="0" w:color="auto"/>
            </w:tcBorders>
            <w:vAlign w:val="bottom"/>
          </w:tcPr>
          <w:p w:rsidR="00C232A3" w:rsidRPr="00C34969" w:rsidRDefault="00C232A3" w:rsidP="00C232A3">
            <w:pPr>
              <w:pStyle w:val="ARfintablecolheadright"/>
            </w:pPr>
            <w:r w:rsidRPr="00C34969">
              <w:t>2016</w:t>
            </w:r>
          </w:p>
          <w:p w:rsidR="00C232A3" w:rsidRPr="00C34969" w:rsidRDefault="00C232A3" w:rsidP="00C232A3">
            <w:pPr>
              <w:pStyle w:val="ARfintablecolheadright"/>
            </w:pPr>
            <w:r w:rsidRPr="00C34969">
              <w:t>$M</w:t>
            </w:r>
          </w:p>
        </w:tc>
      </w:tr>
      <w:tr w:rsidR="00C232A3" w:rsidRPr="00AB62BD" w:rsidTr="00C232A3">
        <w:trPr>
          <w:cantSplit/>
        </w:trPr>
        <w:tc>
          <w:tcPr>
            <w:tcW w:w="669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Employee expenses</w:t>
            </w: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3.1.1</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1,260.3</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1,191.2</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Grants and other expense transfers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3.1.2</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13,163.2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11,916.6</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asset charge</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3.1.3</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1,116.7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1,016.8</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Maintenance</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192.2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200.1</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Fair value of assets and services provided free of charge or for nominal consideration</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3.1.4</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209.6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11.9</w:t>
            </w:r>
          </w:p>
        </w:tc>
      </w:tr>
      <w:tr w:rsidR="00C232A3" w:rsidRPr="00AB62BD" w:rsidTr="00C232A3">
        <w:trPr>
          <w:cantSplit/>
        </w:trPr>
        <w:tc>
          <w:tcPr>
            <w:tcW w:w="66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operating expenses</w:t>
            </w:r>
          </w:p>
        </w:tc>
        <w:tc>
          <w:tcPr>
            <w:tcW w:w="6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3.1.5</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528.4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490.2</w:t>
            </w:r>
          </w:p>
        </w:tc>
      </w:tr>
      <w:tr w:rsidR="00C232A3" w:rsidRPr="00AB62BD" w:rsidTr="00C232A3">
        <w:trPr>
          <w:cantSplit/>
        </w:trPr>
        <w:tc>
          <w:tcPr>
            <w:tcW w:w="669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property management expenses</w:t>
            </w:r>
          </w:p>
        </w:tc>
        <w:tc>
          <w:tcPr>
            <w:tcW w:w="680"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3.1.6</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198.4</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210.1</w:t>
            </w:r>
          </w:p>
        </w:tc>
      </w:tr>
      <w:tr w:rsidR="00C232A3" w:rsidRPr="00AB62BD" w:rsidTr="00C232A3">
        <w:trPr>
          <w:cantSplit/>
        </w:trPr>
        <w:tc>
          <w:tcPr>
            <w:tcW w:w="6691" w:type="dxa"/>
          </w:tcPr>
          <w:p w:rsidR="00C232A3" w:rsidRPr="00AB62BD" w:rsidRDefault="00C232A3" w:rsidP="00C232A3">
            <w:pPr>
              <w:pStyle w:val="ARfintablebody"/>
              <w:rPr>
                <w:b/>
                <w:bCs/>
                <w:lang w:eastAsia="en-AU"/>
              </w:rPr>
            </w:pPr>
            <w:r w:rsidRPr="00AB62BD">
              <w:rPr>
                <w:rStyle w:val="Strong"/>
              </w:rPr>
              <w:t>Total expenses incurred in delivery of services</w:t>
            </w:r>
          </w:p>
        </w:tc>
        <w:tc>
          <w:tcPr>
            <w:tcW w:w="680" w:type="dxa"/>
          </w:tcPr>
          <w:p w:rsidR="00C232A3" w:rsidRPr="00AB62BD" w:rsidRDefault="00C232A3" w:rsidP="00C232A3">
            <w:pPr>
              <w:pStyle w:val="ARfintablebodyright"/>
              <w:rPr>
                <w:b/>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16,668.8</w:t>
            </w:r>
          </w:p>
        </w:tc>
        <w:tc>
          <w:tcPr>
            <w:tcW w:w="1134" w:type="dxa"/>
          </w:tcPr>
          <w:p w:rsidR="00C232A3" w:rsidRPr="00AB62BD" w:rsidRDefault="00C232A3" w:rsidP="00C232A3">
            <w:pPr>
              <w:pStyle w:val="ARfintablebodyright"/>
              <w:rPr>
                <w:rStyle w:val="Strong"/>
                <w:bCs w:val="0"/>
              </w:rPr>
            </w:pPr>
            <w:r w:rsidRPr="00AB62BD">
              <w:rPr>
                <w:rStyle w:val="Strong"/>
              </w:rPr>
              <w:t>15,036.9</w:t>
            </w:r>
          </w:p>
        </w:tc>
      </w:tr>
    </w:tbl>
    <w:p w:rsidR="00C232A3" w:rsidRPr="00D11896" w:rsidRDefault="00C232A3" w:rsidP="00C232A3">
      <w:pPr>
        <w:pStyle w:val="Heading5"/>
        <w:rPr>
          <w:rStyle w:val="Strong"/>
        </w:rPr>
      </w:pPr>
      <w:r w:rsidRPr="00D11896">
        <w:rPr>
          <w:rStyle w:val="Strong"/>
        </w:rPr>
        <w:t>3.1.1 (a) Employee benefits – comprehensive operating statement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tblHeader/>
        </w:trPr>
        <w:tc>
          <w:tcPr>
            <w:tcW w:w="7371" w:type="dxa"/>
            <w:tcBorders>
              <w:bottom w:val="single" w:sz="4" w:space="0" w:color="auto"/>
            </w:tcBorders>
            <w:vAlign w:val="bottom"/>
          </w:tcPr>
          <w:p w:rsidR="00C232A3" w:rsidRPr="009D12F3" w:rsidRDefault="00C232A3" w:rsidP="00C232A3">
            <w:pPr>
              <w:pStyle w:val="ARfintablecolheadright"/>
            </w:pPr>
          </w:p>
        </w:tc>
        <w:tc>
          <w:tcPr>
            <w:tcW w:w="1134" w:type="dxa"/>
            <w:tcBorders>
              <w:bottom w:val="single" w:sz="4" w:space="0" w:color="auto"/>
            </w:tcBorders>
            <w:shd w:val="clear" w:color="auto" w:fill="E7E6E6"/>
            <w:vAlign w:val="bottom"/>
          </w:tcPr>
          <w:p w:rsidR="00C232A3" w:rsidRPr="009D12F3" w:rsidRDefault="00C232A3" w:rsidP="00C232A3">
            <w:pPr>
              <w:pStyle w:val="ARfintablecolheadright"/>
            </w:pPr>
            <w:r w:rsidRPr="009D12F3">
              <w:t>2017</w:t>
            </w:r>
          </w:p>
          <w:p w:rsidR="00C232A3" w:rsidRPr="009D12F3" w:rsidRDefault="00C232A3" w:rsidP="00C232A3">
            <w:pPr>
              <w:pStyle w:val="ARfintablecolheadright"/>
            </w:pPr>
            <w:r w:rsidRPr="009D12F3">
              <w:t>$M</w:t>
            </w:r>
          </w:p>
        </w:tc>
        <w:tc>
          <w:tcPr>
            <w:tcW w:w="1134" w:type="dxa"/>
            <w:tcBorders>
              <w:bottom w:val="single" w:sz="4" w:space="0" w:color="auto"/>
            </w:tcBorders>
            <w:vAlign w:val="bottom"/>
          </w:tcPr>
          <w:p w:rsidR="00C232A3" w:rsidRPr="009D12F3" w:rsidRDefault="00C232A3" w:rsidP="00C232A3">
            <w:pPr>
              <w:pStyle w:val="ARfintablecolheadright"/>
            </w:pPr>
            <w:r w:rsidRPr="009D12F3">
              <w:t>2016</w:t>
            </w:r>
          </w:p>
          <w:p w:rsidR="00C232A3" w:rsidRPr="009D12F3" w:rsidRDefault="00C232A3" w:rsidP="00C232A3">
            <w:pPr>
              <w:pStyle w:val="ARfintablecolheadright"/>
            </w:pPr>
            <w:r w:rsidRPr="009D12F3">
              <w:t>$M</w:t>
            </w:r>
          </w:p>
        </w:tc>
      </w:tr>
      <w:tr w:rsidR="00C232A3" w:rsidRPr="00AB62BD" w:rsidTr="00C232A3">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Defined contribution superannuation expense</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81.0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75.3</w:t>
            </w:r>
          </w:p>
        </w:tc>
      </w:tr>
      <w:tr w:rsidR="00C232A3" w:rsidRPr="00AB62BD" w:rsidTr="00C232A3">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Defined benefit superannuation expense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13.3</w:t>
            </w:r>
          </w:p>
        </w:tc>
      </w:tr>
      <w:tr w:rsidR="00C232A3" w:rsidRPr="00AB62BD" w:rsidTr="00C232A3">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Termination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w:t>
            </w:r>
          </w:p>
        </w:tc>
      </w:tr>
      <w:tr w:rsidR="00C232A3" w:rsidRPr="00AB62BD" w:rsidTr="00C232A3">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Salaries and wages, annual leave and long service leave</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1,164.5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1,100.3</w:t>
            </w:r>
          </w:p>
        </w:tc>
      </w:tr>
      <w:tr w:rsidR="00C232A3" w:rsidRPr="00AB62BD" w:rsidTr="00C232A3">
        <w:tc>
          <w:tcPr>
            <w:tcW w:w="7371" w:type="dxa"/>
          </w:tcPr>
          <w:p w:rsidR="00C232A3" w:rsidRPr="00AB62BD" w:rsidRDefault="00C232A3" w:rsidP="00C232A3">
            <w:pPr>
              <w:pStyle w:val="ARfintablebody"/>
              <w:rPr>
                <w:b/>
                <w:bCs/>
                <w:lang w:eastAsia="en-AU"/>
              </w:rPr>
            </w:pPr>
            <w:r w:rsidRPr="00AB62BD">
              <w:rPr>
                <w:rStyle w:val="Strong"/>
              </w:rPr>
              <w:t>Total employee expenses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1,260.3</w:t>
            </w:r>
          </w:p>
        </w:tc>
        <w:tc>
          <w:tcPr>
            <w:tcW w:w="1134" w:type="dxa"/>
          </w:tcPr>
          <w:p w:rsidR="00C232A3" w:rsidRPr="00AB62BD" w:rsidRDefault="00C232A3" w:rsidP="00C232A3">
            <w:pPr>
              <w:pStyle w:val="ARfintablebodyright"/>
              <w:rPr>
                <w:rStyle w:val="Strong"/>
                <w:bCs w:val="0"/>
              </w:rPr>
            </w:pPr>
            <w:r w:rsidRPr="00AB62BD">
              <w:rPr>
                <w:rStyle w:val="Strong"/>
              </w:rPr>
              <w:t>1,191.2</w:t>
            </w:r>
          </w:p>
        </w:tc>
      </w:tr>
    </w:tbl>
    <w:p w:rsidR="00C232A3" w:rsidRPr="00AB62BD" w:rsidRDefault="00C232A3" w:rsidP="00C232A3">
      <w:pPr>
        <w:pStyle w:val="ARfinbodyaftertable"/>
        <w:rPr>
          <w:strike/>
        </w:rPr>
      </w:pPr>
      <w:r w:rsidRPr="00AB62BD">
        <w:t>Employee expenses include all costs related to employment including salaries and wages, leave entitlements, fringe benefits tax, redundancy payments and WorkCover premiums.</w:t>
      </w:r>
    </w:p>
    <w:p w:rsidR="00C232A3" w:rsidRPr="00AB62BD" w:rsidRDefault="00C232A3" w:rsidP="00C232A3">
      <w:pPr>
        <w:pStyle w:val="ARfinbody"/>
        <w:rPr>
          <w:lang w:eastAsia="en-AU"/>
        </w:rPr>
      </w:pPr>
      <w:r w:rsidRPr="00AB62BD">
        <w:rPr>
          <w:lang w:eastAsia="en-AU"/>
        </w:rPr>
        <w:t xml:space="preserve">The amount recognised in the comprehensive operating statement in relation to superannuation is employer contributions for members of both defined benefit and defined contribution superannuation plans that are paid or payable during the reporting period. Excluding former employees of the Director of Housing, the department does not recognise any defined benefit liabilities because it has no legal or constructive obligation to pay future benefits relating to its employees. Instead, </w:t>
      </w:r>
      <w:r>
        <w:rPr>
          <w:lang w:eastAsia="en-AU"/>
        </w:rPr>
        <w:t>the Department of Treasury and Finance</w:t>
      </w:r>
      <w:r w:rsidRPr="00AB62BD">
        <w:rPr>
          <w:lang w:eastAsia="en-AU"/>
        </w:rPr>
        <w:t xml:space="preserve"> discloses in its annual financial statements the net defined benefit cost related to the members of these plans as an administered liability (on behalf of the State as the sponsoring employer).</w:t>
      </w:r>
    </w:p>
    <w:p w:rsidR="00C232A3" w:rsidRPr="00AB62BD" w:rsidRDefault="00C232A3" w:rsidP="00C232A3">
      <w:pPr>
        <w:pStyle w:val="ARfinbody"/>
        <w:rPr>
          <w:lang w:eastAsia="en-AU"/>
        </w:rPr>
      </w:pPr>
      <w:r w:rsidRPr="00AB62BD">
        <w:rPr>
          <w:lang w:eastAsia="en-AU"/>
        </w:rPr>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C232A3" w:rsidRDefault="00C232A3" w:rsidP="00300E48">
      <w:pPr>
        <w:pStyle w:val="ARbody"/>
        <w:rPr>
          <w:sz w:val="19"/>
        </w:rPr>
      </w:pPr>
      <w:r>
        <w:br w:type="page"/>
      </w:r>
    </w:p>
    <w:p w:rsidR="00C232A3" w:rsidRPr="00D11896" w:rsidRDefault="00C232A3" w:rsidP="00C232A3">
      <w:pPr>
        <w:pStyle w:val="Heading5"/>
        <w:rPr>
          <w:rStyle w:val="Strong"/>
        </w:rPr>
      </w:pPr>
      <w:r w:rsidRPr="00D11896">
        <w:rPr>
          <w:rStyle w:val="Strong"/>
        </w:rPr>
        <w:lastRenderedPageBreak/>
        <w:t>3.1.1 (b) Employee benefits in the balance sheet</w:t>
      </w:r>
    </w:p>
    <w:p w:rsidR="00C232A3" w:rsidRPr="00AB62BD" w:rsidRDefault="00C232A3" w:rsidP="00C232A3">
      <w:pPr>
        <w:pStyle w:val="ARfinbody"/>
        <w:rPr>
          <w:lang w:eastAsia="en-AU"/>
        </w:rPr>
      </w:pPr>
      <w:r w:rsidRPr="00AB62BD">
        <w:rPr>
          <w:lang w:eastAsia="en-AU"/>
        </w:rPr>
        <w:t>Provision is made for benefits accruing to employees in respect of wages and salaries, annual leave and long service leave (LSL) for services rendered to the reporting date and recorded as an expense during the period the services are delivered.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9D12F3" w:rsidRDefault="00C232A3" w:rsidP="00C232A3">
            <w:pPr>
              <w:pStyle w:val="ARfintablecolhead"/>
            </w:pPr>
          </w:p>
        </w:tc>
        <w:tc>
          <w:tcPr>
            <w:tcW w:w="1134" w:type="dxa"/>
            <w:tcBorders>
              <w:bottom w:val="single" w:sz="4" w:space="0" w:color="auto"/>
            </w:tcBorders>
            <w:shd w:val="clear" w:color="auto" w:fill="E7E6E6"/>
            <w:vAlign w:val="bottom"/>
          </w:tcPr>
          <w:p w:rsidR="00C232A3" w:rsidRPr="009D12F3" w:rsidRDefault="00C232A3" w:rsidP="00C232A3">
            <w:pPr>
              <w:pStyle w:val="ARfintablecolheadright"/>
            </w:pPr>
            <w:r w:rsidRPr="009D12F3">
              <w:t>2017</w:t>
            </w:r>
          </w:p>
          <w:p w:rsidR="00C232A3" w:rsidRPr="009D12F3" w:rsidRDefault="00C232A3" w:rsidP="00C232A3">
            <w:pPr>
              <w:pStyle w:val="ARfintablecolheadright"/>
            </w:pPr>
            <w:r w:rsidRPr="009D12F3">
              <w:t>$M</w:t>
            </w:r>
          </w:p>
        </w:tc>
        <w:tc>
          <w:tcPr>
            <w:tcW w:w="1134" w:type="dxa"/>
            <w:tcBorders>
              <w:bottom w:val="single" w:sz="4" w:space="0" w:color="auto"/>
            </w:tcBorders>
            <w:vAlign w:val="bottom"/>
          </w:tcPr>
          <w:p w:rsidR="00C232A3" w:rsidRPr="009D12F3" w:rsidRDefault="00C232A3" w:rsidP="00C232A3">
            <w:pPr>
              <w:pStyle w:val="ARfintablecolheadright"/>
            </w:pPr>
            <w:r w:rsidRPr="009D12F3">
              <w:t>2016</w:t>
            </w:r>
          </w:p>
          <w:p w:rsidR="00C232A3" w:rsidRPr="009D12F3" w:rsidRDefault="00C232A3" w:rsidP="00C232A3">
            <w:pPr>
              <w:pStyle w:val="ARfintablecolheadright"/>
            </w:pPr>
            <w:r w:rsidRPr="009D12F3">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Current provisions: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Salaries and wages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Annual leave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color w:val="FFFFFF"/>
                <w:lang w:eastAsia="en-AU"/>
              </w:rPr>
            </w:pPr>
            <w:r w:rsidRPr="00AB62BD">
              <w:rPr>
                <w:color w:val="FFFFFF"/>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67.0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67.4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after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Maternity leave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 service leave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after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146.7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150.8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Superannuation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Provisions for on-costs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16.3</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Unconditional and expected to be settled after 12 months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32.3</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33.4</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current provisions for employee benefits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339.3</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339.2</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Non-current provisions: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Conditional long service leave entitlements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Superannuation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Provisions for on-costs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non-current provisions for employee benefits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56.0</w:t>
            </w:r>
          </w:p>
        </w:tc>
        <w:tc>
          <w:tcPr>
            <w:tcW w:w="1134" w:type="dxa"/>
          </w:tcPr>
          <w:p w:rsidR="00C232A3" w:rsidRPr="00AB62BD" w:rsidRDefault="00C232A3" w:rsidP="00C232A3">
            <w:pPr>
              <w:pStyle w:val="ARfintablebodyright"/>
              <w:rPr>
                <w:b/>
                <w:bCs/>
                <w:lang w:eastAsia="en-AU"/>
              </w:rPr>
            </w:pPr>
            <w:r>
              <w:rPr>
                <w:rStyle w:val="Strong"/>
              </w:rPr>
              <w:t>61.6</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provisions for employee benefits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395.4</w:t>
            </w:r>
          </w:p>
        </w:tc>
        <w:tc>
          <w:tcPr>
            <w:tcW w:w="1134" w:type="dxa"/>
          </w:tcPr>
          <w:p w:rsidR="00C232A3" w:rsidRPr="00AB62BD" w:rsidRDefault="00C232A3" w:rsidP="00C232A3">
            <w:pPr>
              <w:pStyle w:val="ARfintablebodyright"/>
              <w:rPr>
                <w:rStyle w:val="Strong"/>
                <w:bCs w:val="0"/>
              </w:rPr>
            </w:pPr>
            <w:r w:rsidRPr="00AB62BD">
              <w:rPr>
                <w:rStyle w:val="Strong"/>
              </w:rPr>
              <w:t>400.9</w:t>
            </w:r>
          </w:p>
        </w:tc>
      </w:tr>
    </w:tbl>
    <w:p w:rsidR="00C232A3" w:rsidRPr="004F73D6" w:rsidRDefault="00C232A3" w:rsidP="00FB460C">
      <w:pPr>
        <w:pStyle w:val="Heading6"/>
      </w:pPr>
      <w:r w:rsidRPr="004F73D6">
        <w:t>Reconciliation of movement in on-cost provision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8505"/>
        <w:gridCol w:w="1134"/>
      </w:tblGrid>
      <w:tr w:rsidR="00C232A3" w:rsidRPr="00AB62BD" w:rsidTr="00C232A3">
        <w:trPr>
          <w:cantSplit/>
          <w:tblHeader/>
        </w:trPr>
        <w:tc>
          <w:tcPr>
            <w:tcW w:w="8505" w:type="dxa"/>
            <w:tcBorders>
              <w:bottom w:val="single" w:sz="4" w:space="0" w:color="auto"/>
            </w:tcBorders>
            <w:vAlign w:val="bottom"/>
          </w:tcPr>
          <w:p w:rsidR="00C232A3" w:rsidRPr="009D12F3" w:rsidRDefault="00C232A3" w:rsidP="00C232A3">
            <w:pPr>
              <w:pStyle w:val="ARfintablecolheadright"/>
            </w:pPr>
          </w:p>
        </w:tc>
        <w:tc>
          <w:tcPr>
            <w:tcW w:w="1134" w:type="dxa"/>
            <w:tcBorders>
              <w:bottom w:val="single" w:sz="4" w:space="0" w:color="auto"/>
            </w:tcBorders>
            <w:vAlign w:val="bottom"/>
          </w:tcPr>
          <w:p w:rsidR="00C232A3" w:rsidRPr="009D12F3" w:rsidRDefault="00C232A3" w:rsidP="00C232A3">
            <w:pPr>
              <w:pStyle w:val="ARfintablecolheadright"/>
            </w:pPr>
            <w:r w:rsidRPr="009D12F3">
              <w:t>2017</w:t>
            </w:r>
          </w:p>
          <w:p w:rsidR="00C232A3" w:rsidRPr="009D12F3" w:rsidRDefault="00C232A3" w:rsidP="00C232A3">
            <w:pPr>
              <w:pStyle w:val="ARfintablecolheadright"/>
            </w:pPr>
            <w:r w:rsidRPr="009D12F3">
              <w:t>$M</w:t>
            </w:r>
          </w:p>
        </w:tc>
      </w:tr>
      <w:tr w:rsidR="00C232A3" w:rsidRPr="00AB62BD" w:rsidTr="00C232A3">
        <w:trPr>
          <w:cantSplit/>
        </w:trPr>
        <w:tc>
          <w:tcPr>
            <w:tcW w:w="8505"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Opening balance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52.8</w:t>
            </w:r>
          </w:p>
        </w:tc>
      </w:tr>
      <w:tr w:rsidR="00C232A3" w:rsidRPr="00AB62BD" w:rsidTr="00C232A3">
        <w:trPr>
          <w:cantSplit/>
        </w:trPr>
        <w:tc>
          <w:tcPr>
            <w:tcW w:w="850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Additional provisions recognised</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w:t>
            </w:r>
          </w:p>
        </w:tc>
      </w:tr>
      <w:tr w:rsidR="00C232A3" w:rsidRPr="00AB62BD" w:rsidTr="00C232A3">
        <w:trPr>
          <w:cantSplit/>
        </w:trPr>
        <w:tc>
          <w:tcPr>
            <w:tcW w:w="850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Unwind of discount and effect of changes in the discount rate</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w:t>
            </w:r>
          </w:p>
        </w:tc>
      </w:tr>
      <w:tr w:rsidR="00C232A3" w:rsidRPr="00AB62BD" w:rsidTr="00C232A3">
        <w:trPr>
          <w:cantSplit/>
        </w:trPr>
        <w:tc>
          <w:tcPr>
            <w:tcW w:w="8505"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Reduction due to transfer out</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(2.1)</w:t>
            </w:r>
          </w:p>
        </w:tc>
      </w:tr>
      <w:tr w:rsidR="00C232A3" w:rsidRPr="00AB62BD" w:rsidTr="00C232A3">
        <w:trPr>
          <w:cantSplit/>
        </w:trPr>
        <w:tc>
          <w:tcPr>
            <w:tcW w:w="8505"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Closing balance</w:t>
            </w:r>
          </w:p>
        </w:tc>
        <w:tc>
          <w:tcPr>
            <w:tcW w:w="1134" w:type="dxa"/>
            <w:tcBorders>
              <w:top w:val="single" w:sz="4" w:space="0" w:color="auto"/>
              <w:bottom w:val="single" w:sz="4" w:space="0" w:color="A6A6A6" w:themeColor="background1" w:themeShade="A6"/>
            </w:tcBorders>
          </w:tcPr>
          <w:p w:rsidR="00C232A3" w:rsidRPr="00C51D97" w:rsidRDefault="00C232A3" w:rsidP="00C232A3">
            <w:pPr>
              <w:pStyle w:val="ARfintablebodyright"/>
              <w:rPr>
                <w:rStyle w:val="Strong"/>
              </w:rPr>
            </w:pPr>
            <w:r w:rsidRPr="00C51D97">
              <w:rPr>
                <w:rStyle w:val="Strong"/>
              </w:rPr>
              <w:t>50.9</w:t>
            </w:r>
          </w:p>
        </w:tc>
      </w:tr>
      <w:tr w:rsidR="00C232A3" w:rsidRPr="00AB62BD" w:rsidTr="00C232A3">
        <w:trPr>
          <w:cantSplit/>
        </w:trPr>
        <w:tc>
          <w:tcPr>
            <w:tcW w:w="850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Current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47.4</w:t>
            </w:r>
          </w:p>
        </w:tc>
      </w:tr>
      <w:tr w:rsidR="00C232A3" w:rsidRPr="00AB62BD" w:rsidTr="00C232A3">
        <w:trPr>
          <w:cantSplit/>
        </w:trPr>
        <w:tc>
          <w:tcPr>
            <w:tcW w:w="8505"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Non-current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w:t>
            </w:r>
          </w:p>
        </w:tc>
      </w:tr>
    </w:tbl>
    <w:p w:rsidR="00C232A3" w:rsidRPr="00AB62BD" w:rsidRDefault="00C232A3" w:rsidP="00C232A3">
      <w:pPr>
        <w:pStyle w:val="ARfinbodyaftertable"/>
      </w:pPr>
      <w:r w:rsidRPr="009459E4">
        <w:rPr>
          <w:rStyle w:val="Strong"/>
        </w:rPr>
        <w:t>Wages and salaries, annual leave and sick leave:</w:t>
      </w:r>
      <w:r w:rsidRPr="00AB62BD">
        <w:t xml:space="preserve"> Liabilities for wages</w:t>
      </w:r>
      <w:r>
        <w:t xml:space="preserve"> and salaries (including non-</w:t>
      </w:r>
      <w:r w:rsidRPr="00AB62BD">
        <w:t>monetary benefits, annual leave and on-costs) are recognised as part of the provisions for employee benefits as ‘current liabilities’, because the State does not have an unconditional right to defer settlement of these liabilities.</w:t>
      </w:r>
    </w:p>
    <w:p w:rsidR="00C232A3" w:rsidRPr="00AB62BD" w:rsidRDefault="00C232A3" w:rsidP="00C232A3">
      <w:pPr>
        <w:pStyle w:val="ARfinbody"/>
        <w:rPr>
          <w:lang w:eastAsia="en-AU"/>
        </w:rPr>
      </w:pPr>
      <w:r w:rsidRPr="00AB62BD">
        <w:rPr>
          <w:lang w:eastAsia="en-AU"/>
        </w:rPr>
        <w:t>The liability for salaries and wages is recognised in the balance sheet at remuneration rates which are current at the reporting date. As the department expects the liabilities to be wholly settled within 12 months of reporting date, they are measured at undiscounted amounts.</w:t>
      </w:r>
    </w:p>
    <w:p w:rsidR="00C232A3" w:rsidRPr="00AB62BD" w:rsidRDefault="00C232A3" w:rsidP="00C232A3">
      <w:pPr>
        <w:pStyle w:val="ARfinbody"/>
        <w:rPr>
          <w:lang w:eastAsia="en-AU"/>
        </w:rPr>
      </w:pPr>
      <w:r w:rsidRPr="00AB62BD">
        <w:rPr>
          <w:lang w:eastAsia="en-AU"/>
        </w:rPr>
        <w:t xml:space="preserve">The annual leave liability is classified as a current liability and measured at the undiscounted amount expected to be paid, as the </w:t>
      </w:r>
      <w:r>
        <w:rPr>
          <w:lang w:eastAsia="en-AU"/>
        </w:rPr>
        <w:t>d</w:t>
      </w:r>
      <w:r w:rsidRPr="00AB62BD">
        <w:rPr>
          <w:lang w:eastAsia="en-AU"/>
        </w:rPr>
        <w:t>epartment does not have an unconditional right to defer settlement of the liability for at least 12 months after the end of the reporting period.</w:t>
      </w:r>
    </w:p>
    <w:p w:rsidR="00C232A3" w:rsidRPr="00AB62BD" w:rsidRDefault="00C232A3" w:rsidP="00C232A3">
      <w:pPr>
        <w:pStyle w:val="ARfinbody"/>
        <w:rPr>
          <w:lang w:eastAsia="en-AU"/>
        </w:rPr>
      </w:pPr>
      <w:r w:rsidRPr="00AB62BD">
        <w:rPr>
          <w:lang w:eastAsia="en-AU"/>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rsidR="00C232A3" w:rsidRPr="00AB62BD" w:rsidRDefault="00C232A3" w:rsidP="00C232A3">
      <w:pPr>
        <w:pStyle w:val="ARfinbody"/>
        <w:rPr>
          <w:lang w:eastAsia="en-AU"/>
        </w:rPr>
      </w:pPr>
      <w:r w:rsidRPr="00AB62BD">
        <w:rPr>
          <w:lang w:eastAsia="en-AU"/>
        </w:rPr>
        <w:t>Employment on-costs such as payroll tax, workers compensation and superannuation are not employee benefits. They are disclosed separately as a component of the provision for employee benefits when the employment to which they relate has occurred.</w:t>
      </w:r>
    </w:p>
    <w:p w:rsidR="00C232A3" w:rsidRPr="00AB62BD" w:rsidRDefault="00C232A3" w:rsidP="00C232A3">
      <w:pPr>
        <w:pStyle w:val="ARfinbody"/>
        <w:rPr>
          <w:lang w:eastAsia="en-AU"/>
        </w:rPr>
      </w:pPr>
      <w:r w:rsidRPr="009459E4">
        <w:rPr>
          <w:rStyle w:val="Strong"/>
        </w:rPr>
        <w:t>Unconditional LSL</w:t>
      </w:r>
      <w:r w:rsidRPr="00AB62BD">
        <w:rPr>
          <w:lang w:eastAsia="en-AU"/>
        </w:rPr>
        <w:t xml:space="preserve"> is disclosed as a current liability; even where the department does not expect to settle the liability within 12 months because it will not have the unconditional right to defer the settlement of the entitlement should an employee take leave within 12 months.</w:t>
      </w:r>
    </w:p>
    <w:p w:rsidR="00C232A3" w:rsidRPr="00AB62BD" w:rsidRDefault="00C232A3" w:rsidP="00C232A3">
      <w:pPr>
        <w:pStyle w:val="ARfinbody"/>
        <w:rPr>
          <w:lang w:eastAsia="en-AU"/>
        </w:rPr>
      </w:pPr>
      <w:r w:rsidRPr="00AB62BD">
        <w:rPr>
          <w:lang w:eastAsia="en-AU"/>
        </w:rPr>
        <w:t>The components of this current LSL liability are measured at present value because the department does not expect to wholly settle within 12 months.</w:t>
      </w:r>
    </w:p>
    <w:p w:rsidR="00C232A3" w:rsidRPr="00AB62BD" w:rsidRDefault="00C232A3" w:rsidP="00C232A3">
      <w:pPr>
        <w:pStyle w:val="ARfinbody"/>
        <w:rPr>
          <w:lang w:eastAsia="en-AU"/>
        </w:rPr>
      </w:pPr>
      <w:r w:rsidRPr="009459E4">
        <w:rPr>
          <w:rStyle w:val="Strong"/>
        </w:rPr>
        <w:t>Conditional LSL</w:t>
      </w:r>
      <w:r w:rsidRPr="00AB62BD">
        <w:rPr>
          <w:lang w:eastAsia="en-AU"/>
        </w:rPr>
        <w:t xml:space="preserve"> is disclosed as a non-current liability. There is an unconditional right to defer the settlement of the entitlement until the employee has completed the requisite years of service. This non-current LSL liability is measured at present value.</w:t>
      </w:r>
    </w:p>
    <w:p w:rsidR="00C232A3" w:rsidRPr="00AB62BD" w:rsidRDefault="00C232A3" w:rsidP="00C232A3">
      <w:pPr>
        <w:pStyle w:val="ARfinbody"/>
        <w:rPr>
          <w:lang w:eastAsia="en-AU"/>
        </w:rPr>
      </w:pPr>
      <w:r w:rsidRPr="00AB62BD">
        <w:rPr>
          <w:lang w:eastAsia="en-AU"/>
        </w:rPr>
        <w:lastRenderedPageBreak/>
        <w:t>Any gain or loss following the revaluation of the present value of non-current LSL liability is recognised as a transaction, except to the extent that a gain or loss arises due to changes in bond interest rates for which it is then recognised as an ‘other economic flow’ in the net result.</w:t>
      </w:r>
    </w:p>
    <w:p w:rsidR="00C232A3" w:rsidRPr="004F73D6" w:rsidRDefault="00C232A3" w:rsidP="00FB460C">
      <w:pPr>
        <w:pStyle w:val="Heading6"/>
      </w:pPr>
      <w:bookmarkStart w:id="94" w:name="_Ref492912308"/>
      <w:r w:rsidRPr="004F73D6">
        <w:t>Superannuation</w:t>
      </w:r>
      <w:bookmarkEnd w:id="94"/>
    </w:p>
    <w:p w:rsidR="00C232A3" w:rsidRPr="00AB62BD" w:rsidRDefault="00C232A3" w:rsidP="00C232A3">
      <w:pPr>
        <w:pStyle w:val="ARfinbody"/>
        <w:rPr>
          <w:lang w:eastAsia="en-AU"/>
        </w:rPr>
      </w:pPr>
      <w:r w:rsidRPr="00AB62BD">
        <w:rPr>
          <w:lang w:eastAsia="en-AU"/>
        </w:rPr>
        <w:t>The department reports a liability for unfunded superannuation in respect of former employees of the Director of Housing for the shortfall of superannuation benefits paid to former housing staff who retired or resigned on or before 14 December 1987 or were employed by the Director of Housing as at 14 December 1987 and retired or resigned prior to or on 30 June 1994.</w:t>
      </w:r>
    </w:p>
    <w:p w:rsidR="00C232A3" w:rsidRPr="00AB62BD" w:rsidRDefault="00C232A3" w:rsidP="00C232A3">
      <w:pPr>
        <w:pStyle w:val="ARfinbody"/>
        <w:rPr>
          <w:lang w:eastAsia="en-AU"/>
        </w:rPr>
      </w:pPr>
      <w:r w:rsidRPr="00AB62BD">
        <w:rPr>
          <w:lang w:eastAsia="en-AU"/>
        </w:rPr>
        <w:t>This liability represents the shortfall between the total net assets of the superannuation fund at 30 June 2017 and the total benefits that members have accrued up to that date, determined by an actuarial assessment. Information relating to the fund based on the latest actuarial assessment for 30 June 2017 is set out below. The amount expensed in respect of unfunded superannuation represents the contributions made by the department to the superannuation fund, adjusted by the movement in the liability or asset.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203524" w:rsidRDefault="00C232A3" w:rsidP="00C232A3">
            <w:pPr>
              <w:pStyle w:val="ARfintablecolhead"/>
            </w:pPr>
          </w:p>
        </w:tc>
        <w:tc>
          <w:tcPr>
            <w:tcW w:w="1134" w:type="dxa"/>
            <w:shd w:val="clear" w:color="auto" w:fill="E7E6E6"/>
            <w:vAlign w:val="bottom"/>
          </w:tcPr>
          <w:p w:rsidR="00C232A3" w:rsidRPr="00203524" w:rsidRDefault="00C232A3" w:rsidP="00C232A3">
            <w:pPr>
              <w:pStyle w:val="ARfintablecolheadright"/>
            </w:pPr>
            <w:r w:rsidRPr="00203524">
              <w:t>2017</w:t>
            </w:r>
          </w:p>
          <w:p w:rsidR="00C232A3" w:rsidRPr="00203524" w:rsidRDefault="00C232A3" w:rsidP="00C232A3">
            <w:pPr>
              <w:pStyle w:val="ARfintablecolheadright"/>
            </w:pPr>
            <w:r w:rsidRPr="00203524">
              <w:t>$M</w:t>
            </w:r>
          </w:p>
        </w:tc>
        <w:tc>
          <w:tcPr>
            <w:tcW w:w="1134" w:type="dxa"/>
            <w:vAlign w:val="bottom"/>
          </w:tcPr>
          <w:p w:rsidR="00C232A3" w:rsidRPr="00203524" w:rsidRDefault="00C232A3" w:rsidP="00C232A3">
            <w:pPr>
              <w:pStyle w:val="ARfintablecolheadright"/>
            </w:pPr>
            <w:r w:rsidRPr="00203524">
              <w:t>2016</w:t>
            </w:r>
          </w:p>
          <w:p w:rsidR="00C232A3" w:rsidRPr="00203524" w:rsidRDefault="00C232A3" w:rsidP="00C232A3">
            <w:pPr>
              <w:pStyle w:val="ARfintablecolheadright"/>
            </w:pPr>
            <w:r w:rsidRPr="00203524">
              <w:t>$M</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Reconciliation of the superannuation liability in the balance sheet</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p>
        </w:tc>
        <w:tc>
          <w:tcPr>
            <w:tcW w:w="1134" w:type="dxa"/>
            <w:tcBorders>
              <w:bottom w:val="single" w:sz="4" w:space="0" w:color="auto"/>
            </w:tcBorders>
          </w:tcPr>
          <w:p w:rsidR="00C232A3" w:rsidRPr="00AB62BD" w:rsidRDefault="00C232A3" w:rsidP="00C232A3">
            <w:pPr>
              <w:pStyle w:val="ARfintablebodyright"/>
              <w:rPr>
                <w:rStyle w:val="Strong"/>
                <w:bCs w:val="0"/>
              </w:rPr>
            </w:pP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Defined benefit obligation</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35.6</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38.5</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Net liability/(asset)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rStyle w:val="Strong"/>
              </w:rPr>
              <w:t>35.6</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rStyle w:val="Strong"/>
                <w:bCs w:val="0"/>
              </w:rPr>
            </w:pPr>
            <w:r w:rsidRPr="00AB62BD">
              <w:rPr>
                <w:rStyle w:val="Strong"/>
              </w:rPr>
              <w:t>38.5</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obligation and liability in the balance sheet</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r w:rsidRPr="00AB62BD">
              <w:rPr>
                <w:rStyle w:val="Strong"/>
              </w:rPr>
              <w:t>35.6</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38.5</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Represented by:</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Current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Non-current liability</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32.7</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35.5</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liability</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r w:rsidRPr="00AB62BD">
              <w:rPr>
                <w:rStyle w:val="Strong"/>
              </w:rPr>
              <w:t>35.6</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38.5</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Principal actuarial assumptions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Discount rate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2.8</w:t>
            </w: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Expected return on plan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Expected rate of salary increase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3.4</w:t>
            </w: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Inflation</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1.9</w:t>
            </w: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w:t>
            </w:r>
          </w:p>
        </w:tc>
      </w:tr>
    </w:tbl>
    <w:p w:rsidR="00C232A3" w:rsidRPr="00AB62BD" w:rsidRDefault="00C232A3" w:rsidP="00C232A3">
      <w:pPr>
        <w:pStyle w:val="ARfinbodyaftertable"/>
      </w:pPr>
      <w:r w:rsidRPr="00AB62BD">
        <w:t>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rsidR="00C232A3" w:rsidRPr="004F73D6" w:rsidRDefault="00C232A3" w:rsidP="00FB460C">
      <w:pPr>
        <w:pStyle w:val="Heading6"/>
      </w:pPr>
      <w:r w:rsidRPr="004F73D6">
        <w:t>Reconciliation of opening and closing balances of the present value of the defined benefit obligation</w:t>
      </w:r>
    </w:p>
    <w:p w:rsidR="00C232A3" w:rsidRPr="00AB62BD" w:rsidRDefault="00C232A3" w:rsidP="00C232A3">
      <w:pPr>
        <w:pStyle w:val="ARfinbody"/>
        <w:rPr>
          <w:lang w:eastAsia="en-AU"/>
        </w:rPr>
      </w:pPr>
      <w:r w:rsidRPr="00AB62BD">
        <w:rPr>
          <w:lang w:eastAsia="en-AU"/>
        </w:rPr>
        <w:t>Movements in the present value of the defined benefit obligations in the current period were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AB62BD" w:rsidRDefault="00C232A3" w:rsidP="00C232A3">
            <w:pPr>
              <w:pStyle w:val="ARfintablebody"/>
              <w:rPr>
                <w:rStyle w:val="Strong"/>
                <w:bCs w:val="0"/>
              </w:rPr>
            </w:pPr>
          </w:p>
        </w:tc>
        <w:tc>
          <w:tcPr>
            <w:tcW w:w="1134" w:type="dxa"/>
            <w:tcBorders>
              <w:bottom w:val="single" w:sz="4" w:space="0" w:color="auto"/>
            </w:tcBorders>
            <w:shd w:val="clear" w:color="auto" w:fill="E7E6E6"/>
            <w:vAlign w:val="bottom"/>
          </w:tcPr>
          <w:p w:rsidR="00C232A3" w:rsidRPr="00203524" w:rsidRDefault="00C232A3" w:rsidP="00C232A3">
            <w:pPr>
              <w:pStyle w:val="ARfintablecolheadright"/>
            </w:pPr>
            <w:r w:rsidRPr="00203524">
              <w:t>2017</w:t>
            </w:r>
          </w:p>
          <w:p w:rsidR="00C232A3" w:rsidRPr="00AB62BD" w:rsidRDefault="00C232A3" w:rsidP="00C232A3">
            <w:pPr>
              <w:pStyle w:val="ARfintablecolheadright"/>
              <w:rPr>
                <w:rStyle w:val="Strong"/>
                <w:bCs w:val="0"/>
              </w:rPr>
            </w:pPr>
            <w:r w:rsidRPr="00203524">
              <w:t>$M</w:t>
            </w:r>
          </w:p>
        </w:tc>
        <w:tc>
          <w:tcPr>
            <w:tcW w:w="1134" w:type="dxa"/>
            <w:tcBorders>
              <w:bottom w:val="single" w:sz="4" w:space="0" w:color="auto"/>
            </w:tcBorders>
            <w:vAlign w:val="bottom"/>
          </w:tcPr>
          <w:p w:rsidR="00C232A3" w:rsidRPr="00203524" w:rsidRDefault="00C232A3" w:rsidP="00C232A3">
            <w:pPr>
              <w:pStyle w:val="ARfintablecolheadright"/>
            </w:pPr>
            <w:r w:rsidRPr="00203524">
              <w:t>2016</w:t>
            </w:r>
          </w:p>
          <w:p w:rsidR="00C232A3" w:rsidRPr="00AB62BD" w:rsidRDefault="00C232A3" w:rsidP="00C232A3">
            <w:pPr>
              <w:pStyle w:val="ARfintablecolheadright"/>
              <w:rPr>
                <w:rStyle w:val="Strong"/>
                <w:bCs w:val="0"/>
              </w:rPr>
            </w:pPr>
            <w:r w:rsidRPr="00203524">
              <w:t>$M</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Opening balance of defined benefit obligation</w:t>
            </w:r>
          </w:p>
        </w:tc>
        <w:tc>
          <w:tcPr>
            <w:tcW w:w="1134" w:type="dxa"/>
            <w:tcBorders>
              <w:bottom w:val="single" w:sz="4" w:space="0" w:color="auto"/>
            </w:tcBorders>
            <w:shd w:val="clear" w:color="auto" w:fill="E7E6E6"/>
          </w:tcPr>
          <w:p w:rsidR="00C232A3" w:rsidRPr="00AB62BD" w:rsidRDefault="00C232A3" w:rsidP="00C232A3">
            <w:pPr>
              <w:pStyle w:val="ARfintablebodyright"/>
              <w:rPr>
                <w:bCs/>
                <w:lang w:eastAsia="en-AU"/>
              </w:rPr>
            </w:pPr>
            <w:r w:rsidRPr="00AB62BD">
              <w:rPr>
                <w:rStyle w:val="Strong"/>
              </w:rPr>
              <w:t>38.4</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41.3</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cost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Actuarial losses/(gains)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Benefits paid</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Closing balance of defined benefit obligation</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35.6</w:t>
            </w:r>
          </w:p>
        </w:tc>
        <w:tc>
          <w:tcPr>
            <w:tcW w:w="1134" w:type="dxa"/>
          </w:tcPr>
          <w:p w:rsidR="00C232A3" w:rsidRPr="00AB62BD" w:rsidRDefault="00C232A3" w:rsidP="00C232A3">
            <w:pPr>
              <w:pStyle w:val="ARfintablebodyright"/>
              <w:rPr>
                <w:rStyle w:val="Strong"/>
                <w:bCs w:val="0"/>
              </w:rPr>
            </w:pPr>
            <w:r w:rsidRPr="00AB62BD">
              <w:rPr>
                <w:rStyle w:val="Strong"/>
              </w:rPr>
              <w:t>38.4</w:t>
            </w:r>
          </w:p>
        </w:tc>
      </w:tr>
    </w:tbl>
    <w:p w:rsidR="00C232A3" w:rsidRPr="004F73D6" w:rsidRDefault="00C232A3" w:rsidP="00FB460C">
      <w:pPr>
        <w:pStyle w:val="Heading6"/>
      </w:pPr>
      <w:r w:rsidRPr="004F73D6">
        <w:t>Reconciliation of opening and closing balances of the fair value of plan assets</w:t>
      </w:r>
    </w:p>
    <w:p w:rsidR="00C232A3" w:rsidRPr="00AB62BD" w:rsidRDefault="00C232A3" w:rsidP="00C232A3">
      <w:pPr>
        <w:pStyle w:val="ARfinbody"/>
        <w:rPr>
          <w:lang w:eastAsia="en-AU"/>
        </w:rPr>
      </w:pPr>
      <w:r w:rsidRPr="00AB62BD">
        <w:rPr>
          <w:lang w:eastAsia="en-AU"/>
        </w:rPr>
        <w:t>Movements in the present value of the plan assets in the current period were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C232A3" w:rsidRPr="00AB62BD" w:rsidTr="00C232A3">
        <w:trPr>
          <w:cantSplit/>
          <w:tblHeader/>
        </w:trPr>
        <w:tc>
          <w:tcPr>
            <w:tcW w:w="7371" w:type="dxa"/>
            <w:tcBorders>
              <w:top w:val="nil"/>
              <w:bottom w:val="single" w:sz="4" w:space="0" w:color="auto"/>
            </w:tcBorders>
            <w:vAlign w:val="bottom"/>
          </w:tcPr>
          <w:p w:rsidR="00C232A3" w:rsidRPr="00AB62BD" w:rsidRDefault="00C232A3" w:rsidP="00C232A3">
            <w:pPr>
              <w:pStyle w:val="ARfintablebody"/>
              <w:rPr>
                <w:lang w:eastAsia="en-AU"/>
              </w:rPr>
            </w:pPr>
          </w:p>
        </w:tc>
        <w:tc>
          <w:tcPr>
            <w:tcW w:w="1134" w:type="dxa"/>
            <w:tcBorders>
              <w:top w:val="nil"/>
              <w:bottom w:val="single" w:sz="4" w:space="0" w:color="auto"/>
            </w:tcBorders>
            <w:shd w:val="clear" w:color="auto" w:fill="E7E6E6"/>
            <w:vAlign w:val="bottom"/>
          </w:tcPr>
          <w:p w:rsidR="00C232A3" w:rsidRPr="00203524" w:rsidRDefault="00C232A3" w:rsidP="00C232A3">
            <w:pPr>
              <w:pStyle w:val="ARfintablecolheadright"/>
            </w:pPr>
            <w:r w:rsidRPr="00203524">
              <w:t>2017</w:t>
            </w:r>
          </w:p>
          <w:p w:rsidR="00C232A3" w:rsidRPr="00AB62BD" w:rsidRDefault="00C232A3" w:rsidP="00C232A3">
            <w:pPr>
              <w:pStyle w:val="ARfintablecolheadright"/>
              <w:rPr>
                <w:lang w:eastAsia="en-AU"/>
              </w:rPr>
            </w:pPr>
            <w:r w:rsidRPr="00203524">
              <w:t>$M</w:t>
            </w:r>
          </w:p>
        </w:tc>
        <w:tc>
          <w:tcPr>
            <w:tcW w:w="1134" w:type="dxa"/>
            <w:tcBorders>
              <w:top w:val="nil"/>
              <w:bottom w:val="single" w:sz="4" w:space="0" w:color="auto"/>
            </w:tcBorders>
            <w:vAlign w:val="bottom"/>
          </w:tcPr>
          <w:p w:rsidR="00C232A3" w:rsidRPr="00203524" w:rsidRDefault="00C232A3" w:rsidP="00C232A3">
            <w:pPr>
              <w:pStyle w:val="ARfintablecolheadright"/>
            </w:pPr>
            <w:r w:rsidRPr="00203524">
              <w:t>2016</w:t>
            </w:r>
          </w:p>
          <w:p w:rsidR="00C232A3" w:rsidRPr="00AB62BD" w:rsidRDefault="00C232A3" w:rsidP="00C232A3">
            <w:pPr>
              <w:pStyle w:val="ARfintablecolheadright"/>
              <w:rPr>
                <w:lang w:eastAsia="en-AU"/>
              </w:rPr>
            </w:pPr>
            <w:r w:rsidRPr="00203524">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Contributions from the employer</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Benefits paid</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Closing balance of plan assets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w:t>
            </w:r>
          </w:p>
        </w:tc>
      </w:tr>
      <w:tr w:rsidR="00C232A3" w:rsidRPr="00AB62BD" w:rsidTr="00C232A3">
        <w:trPr>
          <w:cantSplit/>
        </w:trPr>
        <w:tc>
          <w:tcPr>
            <w:tcW w:w="7371" w:type="dxa"/>
            <w:tcBorders>
              <w:top w:val="single" w:sz="4" w:space="0" w:color="auto"/>
              <w:bottom w:val="single" w:sz="4" w:space="0" w:color="auto"/>
            </w:tcBorders>
          </w:tcPr>
          <w:p w:rsidR="00C232A3" w:rsidRPr="00AB62BD" w:rsidRDefault="00C232A3" w:rsidP="00C232A3">
            <w:pPr>
              <w:pStyle w:val="ARfintablebody"/>
              <w:rPr>
                <w:b/>
                <w:bCs/>
                <w:lang w:eastAsia="en-AU"/>
              </w:rPr>
            </w:pPr>
            <w:r w:rsidRPr="00AB62BD">
              <w:rPr>
                <w:rStyle w:val="Strong"/>
              </w:rPr>
              <w:t>Superannuation expense recognised in the comprehensive operating statement</w:t>
            </w:r>
          </w:p>
        </w:tc>
        <w:tc>
          <w:tcPr>
            <w:tcW w:w="1134" w:type="dxa"/>
            <w:tcBorders>
              <w:top w:val="single" w:sz="4" w:space="0" w:color="auto"/>
              <w:bottom w:val="single" w:sz="4" w:space="0" w:color="auto"/>
            </w:tcBorders>
            <w:shd w:val="clear" w:color="auto" w:fill="E7E6E6"/>
          </w:tcPr>
          <w:p w:rsidR="00C232A3" w:rsidRPr="00AB62BD" w:rsidRDefault="00C232A3" w:rsidP="00C232A3">
            <w:pPr>
              <w:pStyle w:val="ARfintablebodyright"/>
              <w:rPr>
                <w:b/>
                <w:bCs/>
                <w:lang w:eastAsia="en-AU"/>
              </w:rPr>
            </w:pPr>
          </w:p>
        </w:tc>
        <w:tc>
          <w:tcPr>
            <w:tcW w:w="1134" w:type="dxa"/>
            <w:tcBorders>
              <w:top w:val="single" w:sz="4" w:space="0" w:color="auto"/>
              <w:bottom w:val="single" w:sz="4" w:space="0" w:color="auto"/>
            </w:tcBorders>
          </w:tcPr>
          <w:p w:rsidR="00C232A3" w:rsidRPr="00AB62BD" w:rsidRDefault="00C232A3" w:rsidP="00C232A3">
            <w:pPr>
              <w:pStyle w:val="ARfintablebodyright"/>
              <w:rPr>
                <w:rStyle w:val="Strong"/>
                <w:bCs w:val="0"/>
              </w:rPr>
            </w:pP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cost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Actuarial losses/(gains)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Total expense recognised in respect of defined benefit plans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0.1</w:t>
            </w:r>
          </w:p>
        </w:tc>
        <w:tc>
          <w:tcPr>
            <w:tcW w:w="1134" w:type="dxa"/>
          </w:tcPr>
          <w:p w:rsidR="00C232A3" w:rsidRPr="00AB62BD" w:rsidRDefault="00C232A3" w:rsidP="00C232A3">
            <w:pPr>
              <w:pStyle w:val="ARfintablebodyright"/>
              <w:rPr>
                <w:rStyle w:val="Strong"/>
                <w:bCs w:val="0"/>
              </w:rPr>
            </w:pPr>
            <w:r w:rsidRPr="00AB62BD">
              <w:rPr>
                <w:rStyle w:val="Strong"/>
              </w:rPr>
              <w:t>0.4</w:t>
            </w:r>
          </w:p>
        </w:tc>
      </w:tr>
    </w:tbl>
    <w:p w:rsidR="00C232A3" w:rsidRPr="00AB62BD" w:rsidRDefault="00C232A3" w:rsidP="00C232A3">
      <w:pPr>
        <w:pStyle w:val="ARfinbodyaftertable"/>
      </w:pPr>
      <w:r w:rsidRPr="00AB62BD">
        <w:t xml:space="preserve">Net actuarial gains or losses reflect the change in superannuation liability that arises due to differences between the assumptions used to calculate the superannuation expense from transactions and actual outcomes. The effect of any change in actuarial assumptions during the period is also included. Net actuarial gains or losses are recognised in </w:t>
      </w:r>
      <w:r>
        <w:t>the period in which they occur.</w:t>
      </w:r>
    </w:p>
    <w:p w:rsidR="00CA72ED" w:rsidRPr="00CA72ED" w:rsidRDefault="00CA72ED" w:rsidP="00CA72ED">
      <w:pPr>
        <w:pStyle w:val="ARbody"/>
      </w:pPr>
      <w:r w:rsidRPr="00CA72ED">
        <w:br w:type="page"/>
      </w:r>
    </w:p>
    <w:p w:rsidR="00C232A3" w:rsidRPr="00D11896" w:rsidRDefault="00C232A3" w:rsidP="00C232A3">
      <w:pPr>
        <w:pStyle w:val="Heading5"/>
        <w:rPr>
          <w:rStyle w:val="Strong"/>
        </w:rPr>
      </w:pPr>
      <w:r w:rsidRPr="00D11896">
        <w:rPr>
          <w:rStyle w:val="Strong"/>
        </w:rPr>
        <w:lastRenderedPageBreak/>
        <w:t>3.1.1 (c) Superannuation contributions</w:t>
      </w:r>
    </w:p>
    <w:p w:rsidR="00C232A3" w:rsidRPr="00AB62BD" w:rsidRDefault="00C232A3" w:rsidP="00C232A3">
      <w:pPr>
        <w:pStyle w:val="ARfinbody"/>
        <w:rPr>
          <w:lang w:eastAsia="en-AU"/>
        </w:rPr>
      </w:pPr>
      <w:r w:rsidRPr="00AB62BD">
        <w:rPr>
          <w:lang w:eastAsia="en-AU"/>
        </w:rPr>
        <w:t>Employees of the department are entitled to receive superannuation benefits and the department contributes to both defined benefit and defined contribution plans. The defined benefit plan(s) provide benefits based on years of service and final average salary.</w:t>
      </w:r>
    </w:p>
    <w:p w:rsidR="00C232A3" w:rsidRDefault="00C232A3" w:rsidP="00B059F2">
      <w:pPr>
        <w:pStyle w:val="ARfinbody"/>
        <w:spacing w:after="160"/>
        <w:rPr>
          <w:lang w:eastAsia="en-AU"/>
        </w:rPr>
      </w:pPr>
      <w:r w:rsidRPr="00AB62BD">
        <w:rPr>
          <w:lang w:eastAsia="en-AU"/>
        </w:rPr>
        <w:t xml:space="preserve">As noted before, other than former employees of the Director of Housing, the defined benefit liability is recognised in </w:t>
      </w:r>
      <w:r>
        <w:rPr>
          <w:lang w:eastAsia="en-AU"/>
        </w:rPr>
        <w:t>the Department of Treasury and Finance</w:t>
      </w:r>
      <w:r w:rsidRPr="00AB62BD">
        <w:rPr>
          <w:lang w:eastAsia="en-AU"/>
        </w:rPr>
        <w:t xml:space="preserve"> as an administered liability. However, superannuation contributions paid or payable for the reporting period are included as part of employee benefits in the comprehensive operating statement of the department.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C232A3" w:rsidRPr="00AB62BD" w:rsidTr="00C232A3">
        <w:trPr>
          <w:cantSplit/>
          <w:tblHeader/>
        </w:trPr>
        <w:tc>
          <w:tcPr>
            <w:tcW w:w="5103" w:type="dxa"/>
            <w:vMerge w:val="restart"/>
            <w:vAlign w:val="bottom"/>
          </w:tcPr>
          <w:p w:rsidR="00C232A3" w:rsidRPr="00CE1D33" w:rsidRDefault="00C232A3" w:rsidP="00C232A3">
            <w:pPr>
              <w:pStyle w:val="ARfintablecolhead"/>
            </w:pPr>
          </w:p>
        </w:tc>
        <w:tc>
          <w:tcPr>
            <w:tcW w:w="2268" w:type="dxa"/>
            <w:gridSpan w:val="2"/>
            <w:tcBorders>
              <w:bottom w:val="single" w:sz="4" w:space="0" w:color="auto"/>
            </w:tcBorders>
            <w:shd w:val="clear" w:color="auto" w:fill="auto"/>
            <w:vAlign w:val="bottom"/>
          </w:tcPr>
          <w:p w:rsidR="00C232A3" w:rsidRPr="00CE1D33" w:rsidRDefault="00C232A3" w:rsidP="00C232A3">
            <w:pPr>
              <w:pStyle w:val="ARfintablecolheadcentre"/>
            </w:pPr>
            <w:r>
              <w:t>Paid contribution for the year</w:t>
            </w:r>
          </w:p>
        </w:tc>
        <w:tc>
          <w:tcPr>
            <w:tcW w:w="2268" w:type="dxa"/>
            <w:gridSpan w:val="2"/>
            <w:tcBorders>
              <w:bottom w:val="single" w:sz="4" w:space="0" w:color="auto"/>
            </w:tcBorders>
            <w:shd w:val="clear" w:color="auto" w:fill="auto"/>
            <w:vAlign w:val="bottom"/>
          </w:tcPr>
          <w:p w:rsidR="00C232A3" w:rsidRPr="00CE1D33" w:rsidRDefault="00C232A3" w:rsidP="00C232A3">
            <w:pPr>
              <w:pStyle w:val="ARfintablecolheadcentre"/>
            </w:pPr>
            <w:r>
              <w:t>Contribution outstanding at year end</w:t>
            </w:r>
          </w:p>
        </w:tc>
      </w:tr>
      <w:tr w:rsidR="00C232A3" w:rsidRPr="00AB62BD" w:rsidTr="00C232A3">
        <w:trPr>
          <w:cantSplit/>
          <w:tblHeader/>
        </w:trPr>
        <w:tc>
          <w:tcPr>
            <w:tcW w:w="5103" w:type="dxa"/>
            <w:vMerge/>
            <w:tcBorders>
              <w:bottom w:val="single" w:sz="4" w:space="0" w:color="auto"/>
            </w:tcBorders>
            <w:vAlign w:val="bottom"/>
          </w:tcPr>
          <w:p w:rsidR="00C232A3" w:rsidRPr="00CE1D33" w:rsidRDefault="00C232A3" w:rsidP="00C232A3">
            <w:pPr>
              <w:pStyle w:val="ARfintablecolheadright"/>
            </w:pPr>
          </w:p>
        </w:tc>
        <w:tc>
          <w:tcPr>
            <w:tcW w:w="1134" w:type="dxa"/>
            <w:tcBorders>
              <w:bottom w:val="single" w:sz="4" w:space="0" w:color="auto"/>
            </w:tcBorders>
            <w:shd w:val="clear" w:color="auto" w:fill="E7E6E6"/>
            <w:vAlign w:val="bottom"/>
          </w:tcPr>
          <w:p w:rsidR="00C232A3" w:rsidRPr="00CE1D33" w:rsidRDefault="00C232A3" w:rsidP="00C232A3">
            <w:pPr>
              <w:pStyle w:val="ARfintablecolheadright"/>
            </w:pPr>
            <w:r w:rsidRPr="00CE1D33">
              <w:t>2017</w:t>
            </w:r>
          </w:p>
          <w:p w:rsidR="00C232A3" w:rsidRPr="00CE1D33" w:rsidRDefault="00C232A3" w:rsidP="00C232A3">
            <w:pPr>
              <w:pStyle w:val="ARfintablecolheadright"/>
            </w:pPr>
            <w:r w:rsidRPr="00CE1D33">
              <w:t>$M</w:t>
            </w:r>
          </w:p>
        </w:tc>
        <w:tc>
          <w:tcPr>
            <w:tcW w:w="1134" w:type="dxa"/>
            <w:tcBorders>
              <w:bottom w:val="single" w:sz="4" w:space="0" w:color="auto"/>
            </w:tcBorders>
            <w:vAlign w:val="bottom"/>
          </w:tcPr>
          <w:p w:rsidR="00C232A3" w:rsidRPr="00CE1D33" w:rsidRDefault="00C232A3" w:rsidP="00C232A3">
            <w:pPr>
              <w:pStyle w:val="ARfintablecolheadright"/>
            </w:pPr>
            <w:r w:rsidRPr="00CE1D33">
              <w:t>2016</w:t>
            </w:r>
          </w:p>
          <w:p w:rsidR="00C232A3" w:rsidRPr="00CE1D33" w:rsidRDefault="00C232A3" w:rsidP="00C232A3">
            <w:pPr>
              <w:pStyle w:val="ARfintablecolheadright"/>
            </w:pPr>
            <w:r w:rsidRPr="00CE1D33">
              <w:t>$M</w:t>
            </w:r>
          </w:p>
        </w:tc>
        <w:tc>
          <w:tcPr>
            <w:tcW w:w="1134" w:type="dxa"/>
            <w:tcBorders>
              <w:bottom w:val="single" w:sz="4" w:space="0" w:color="auto"/>
            </w:tcBorders>
            <w:shd w:val="clear" w:color="auto" w:fill="E7E6E6"/>
            <w:vAlign w:val="bottom"/>
          </w:tcPr>
          <w:p w:rsidR="00C232A3" w:rsidRPr="00CE1D33" w:rsidRDefault="00C232A3" w:rsidP="00C232A3">
            <w:pPr>
              <w:pStyle w:val="ARfintablecolheadright"/>
            </w:pPr>
            <w:r w:rsidRPr="00CE1D33">
              <w:t>2017</w:t>
            </w:r>
          </w:p>
          <w:p w:rsidR="00C232A3" w:rsidRPr="00CE1D33" w:rsidRDefault="00C232A3" w:rsidP="00C232A3">
            <w:pPr>
              <w:pStyle w:val="ARfintablecolheadright"/>
            </w:pPr>
            <w:r w:rsidRPr="00CE1D33">
              <w:t>$M</w:t>
            </w:r>
          </w:p>
        </w:tc>
        <w:tc>
          <w:tcPr>
            <w:tcW w:w="1134" w:type="dxa"/>
            <w:tcBorders>
              <w:bottom w:val="single" w:sz="4" w:space="0" w:color="auto"/>
            </w:tcBorders>
            <w:vAlign w:val="bottom"/>
          </w:tcPr>
          <w:p w:rsidR="00C232A3" w:rsidRPr="00CE1D33" w:rsidRDefault="00C232A3" w:rsidP="00C232A3">
            <w:pPr>
              <w:pStyle w:val="ARfintablecolheadright"/>
            </w:pPr>
            <w:r w:rsidRPr="00CE1D33">
              <w:t>2016</w:t>
            </w:r>
          </w:p>
          <w:p w:rsidR="00C232A3" w:rsidRPr="00CE1D33" w:rsidRDefault="00C232A3" w:rsidP="00C232A3">
            <w:pPr>
              <w:pStyle w:val="ARfintablecolheadright"/>
            </w:pPr>
            <w:r w:rsidRPr="00CE1D33">
              <w:t>$M</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Defined benefit plans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State superannuation fund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12.6</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Defined contribution plans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VicSuper</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58.9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57.4</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22.1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17.9</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Pr>
          <w:p w:rsidR="00C232A3" w:rsidRPr="00AB62BD" w:rsidRDefault="00C232A3" w:rsidP="00C232A3">
            <w:pPr>
              <w:pStyle w:val="ARfintablebody"/>
              <w:rPr>
                <w:bCs/>
                <w:lang w:eastAsia="en-AU"/>
              </w:rPr>
            </w:pPr>
            <w:r w:rsidRPr="00AB62BD">
              <w:rPr>
                <w:rStyle w:val="Strong"/>
              </w:rPr>
              <w:t>Total</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90.6</w:t>
            </w:r>
          </w:p>
        </w:tc>
        <w:tc>
          <w:tcPr>
            <w:tcW w:w="1134" w:type="dxa"/>
          </w:tcPr>
          <w:p w:rsidR="00C232A3" w:rsidRPr="00AB62BD" w:rsidRDefault="00C232A3" w:rsidP="00C232A3">
            <w:pPr>
              <w:pStyle w:val="ARfintablebodyright"/>
              <w:rPr>
                <w:b/>
                <w:bCs/>
                <w:lang w:eastAsia="en-AU"/>
              </w:rPr>
            </w:pPr>
            <w:r w:rsidRPr="00AB62BD">
              <w:rPr>
                <w:rStyle w:val="Strong"/>
              </w:rPr>
              <w:t>88.7</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4.4</w:t>
            </w:r>
          </w:p>
        </w:tc>
        <w:tc>
          <w:tcPr>
            <w:tcW w:w="1134" w:type="dxa"/>
          </w:tcPr>
          <w:p w:rsidR="00C232A3" w:rsidRPr="00AB62BD" w:rsidRDefault="00C232A3" w:rsidP="00C232A3">
            <w:pPr>
              <w:pStyle w:val="ARfintablebodyright"/>
              <w:rPr>
                <w:rStyle w:val="Strong"/>
                <w:bCs w:val="0"/>
              </w:rPr>
            </w:pPr>
            <w:r w:rsidRPr="00AB62BD">
              <w:rPr>
                <w:rStyle w:val="Strong"/>
              </w:rPr>
              <w:t>–</w:t>
            </w:r>
          </w:p>
        </w:tc>
      </w:tr>
    </w:tbl>
    <w:p w:rsidR="00C232A3" w:rsidRPr="00D11896" w:rsidRDefault="00C232A3" w:rsidP="00C232A3">
      <w:pPr>
        <w:pStyle w:val="Heading5"/>
        <w:rPr>
          <w:rStyle w:val="Strong"/>
        </w:rPr>
      </w:pPr>
      <w:r w:rsidRPr="00D11896">
        <w:rPr>
          <w:rStyle w:val="Strong"/>
        </w:rPr>
        <w:t>3.1.2 Grants and other expense transfers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AB62BD" w:rsidRDefault="00C232A3" w:rsidP="00C232A3">
            <w:pPr>
              <w:pStyle w:val="ARfintablecolhead"/>
            </w:pPr>
          </w:p>
        </w:tc>
        <w:tc>
          <w:tcPr>
            <w:tcW w:w="1134" w:type="dxa"/>
            <w:shd w:val="clear" w:color="auto" w:fill="E7E6E6"/>
            <w:vAlign w:val="bottom"/>
          </w:tcPr>
          <w:p w:rsidR="00C232A3" w:rsidRPr="00F73D7A" w:rsidRDefault="00C232A3" w:rsidP="00C232A3">
            <w:pPr>
              <w:pStyle w:val="ARfintablecolheadright"/>
            </w:pPr>
            <w:r w:rsidRPr="00F73D7A">
              <w:t>2017</w:t>
            </w:r>
          </w:p>
          <w:p w:rsidR="00C232A3" w:rsidRPr="00F73D7A" w:rsidRDefault="00C232A3" w:rsidP="00C232A3">
            <w:pPr>
              <w:pStyle w:val="ARfintablecolheadright"/>
            </w:pPr>
            <w:r w:rsidRPr="00F73D7A">
              <w:t>$M</w:t>
            </w:r>
          </w:p>
        </w:tc>
        <w:tc>
          <w:tcPr>
            <w:tcW w:w="1134" w:type="dxa"/>
            <w:vAlign w:val="bottom"/>
          </w:tcPr>
          <w:p w:rsidR="00C232A3" w:rsidRPr="00F73D7A" w:rsidRDefault="00C232A3" w:rsidP="00C232A3">
            <w:pPr>
              <w:pStyle w:val="ARfintablecolheadright"/>
            </w:pPr>
            <w:r w:rsidRPr="00F73D7A">
              <w:t>2016</w:t>
            </w:r>
          </w:p>
          <w:p w:rsidR="00C232A3" w:rsidRPr="00F73D7A" w:rsidRDefault="00C232A3" w:rsidP="00C232A3">
            <w:pPr>
              <w:pStyle w:val="ARfintablecolheadright"/>
            </w:pPr>
            <w:r w:rsidRPr="00F73D7A">
              <w:t>$M</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lang w:eastAsia="en-AU"/>
              </w:rPr>
            </w:pPr>
            <w:r w:rsidRPr="00AB62BD">
              <w:rPr>
                <w:lang w:eastAsia="en-AU"/>
              </w:rPr>
              <w:t>State contributions to the Administrator of the Victoria Health Funding Pool</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4,272.4</w:t>
            </w:r>
          </w:p>
        </w:tc>
        <w:tc>
          <w:tcPr>
            <w:tcW w:w="1134" w:type="dxa"/>
            <w:tcBorders>
              <w:bottom w:val="single" w:sz="4" w:space="0" w:color="auto"/>
            </w:tcBorders>
          </w:tcPr>
          <w:p w:rsidR="00C232A3" w:rsidRPr="00AB62BD" w:rsidRDefault="00C232A3" w:rsidP="00C232A3">
            <w:pPr>
              <w:pStyle w:val="ARfintablebodyright"/>
              <w:rPr>
                <w:lang w:eastAsia="en-AU"/>
              </w:rPr>
            </w:pPr>
            <w:r w:rsidRPr="00AB62BD">
              <w:rPr>
                <w:lang w:eastAsia="en-AU"/>
              </w:rPr>
              <w:t>4,090.9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 xml:space="preserve">Public hospitals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Monash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349.3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351.3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Melbourne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224.8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214.6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Eastern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178.0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172.3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Dental Health Services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176.9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165.2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Alfred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149.3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Albury Wodonga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124.2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Austin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113.5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Barwon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111.1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111.3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Ballarat Health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109.3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110.5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Peninsula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92.1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97.3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Bendigo Health Care Group</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678.3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85.2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Peter </w:t>
            </w:r>
            <w:proofErr w:type="spellStart"/>
            <w:r w:rsidRPr="00AB62BD">
              <w:rPr>
                <w:lang w:eastAsia="en-AU"/>
              </w:rPr>
              <w:t>MacCallum</w:t>
            </w:r>
            <w:proofErr w:type="spellEnd"/>
            <w:r w:rsidRPr="00AB62BD">
              <w:rPr>
                <w:lang w:eastAsia="en-AU"/>
              </w:rPr>
              <w:t xml:space="preserve"> Cancer Centre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179.0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Western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75.9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66.6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Latrobe Regional Hospital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92.1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58.4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The Royal Children’s Hospital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54.7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57.9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Northern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58.1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55.1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The Royal Women’s Hospital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49.2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Goulburn Valley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47.6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39.3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South West Healthcare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32.5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The Royal Victorian Eye and Ear Hospital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27.2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West Wimmera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East Wimmera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Djerriwarrh</w:t>
            </w:r>
            <w:proofErr w:type="spellEnd"/>
            <w:r w:rsidRPr="00AB62BD">
              <w:rPr>
                <w:lang w:eastAsia="en-AU"/>
              </w:rPr>
              <w:t xml:space="preserve"> Health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Western District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Alpine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Seymour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Hepburn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Bass Coast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Kilmore and District Hospital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Wimmera Health Care Group</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Northeast Health Wangaratta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Yarrawonga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West Gippsland Healthcare Group</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Rural Northwest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lastRenderedPageBreak/>
              <w:t>Central Gippsland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The Queen Elizabeth Centre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Numurkah District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9.9</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Other public hospitals with payments totalling less than $10 million</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255.3</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286.9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Pr>
                <w:rStyle w:val="Strong"/>
              </w:rPr>
              <w:t>7,696.1</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6,744.3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 xml:space="preserve">Denominational hospitals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 Vincent’s Hospital Melbourne Limited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109.4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104.2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Mercy Hospitals Victoria Limited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42.3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35.2</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Other denominational hospitals with payments totalling less than $10 million</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8.2</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6.4</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159.8</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145.7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Ambulance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Ambulance Victoria</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710.8</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492.8</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710.8</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492.8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Other state government agencies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Victorian Institute of Forensic Mental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52.4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Victorian Health Promotion Foundation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38.4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37.7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Health Purchasing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13.0</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Other state government agencies with payments totalling less than $10 million</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Pr>
                <w:lang w:eastAsia="en-AU"/>
              </w:rPr>
              <w:t>55.3</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Pr>
                <w:lang w:eastAsia="en-AU"/>
              </w:rPr>
              <w:t>25.6</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Pr>
                <w:rStyle w:val="Strong"/>
              </w:rPr>
              <w:t>161.2</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r>
              <w:rPr>
                <w:rStyle w:val="Strong"/>
              </w:rPr>
              <w:t>122.2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Local councils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City of Greater Bendigo</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City of Greater Geelong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City of Kingston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Casey City Council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City of Greater Dandenong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11.0</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Other local councils with payments totalling less than $10 million</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129.9</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273.3</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156.2</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349.8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Commonwealth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lang w:eastAsia="en-AU"/>
              </w:rPr>
              <w:t>National Disability Insurance Agency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lang w:eastAsia="en-AU"/>
              </w:rPr>
              <w:t>59.6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lang w:eastAsia="en-AU"/>
              </w:rPr>
              <w:t>73.8</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Pr>
                <w:lang w:eastAsia="en-AU"/>
              </w:rPr>
              <w:t>Department of Health</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Pr>
                <w:lang w:eastAsia="en-AU"/>
              </w:rPr>
              <w:t>111.8</w:t>
            </w:r>
          </w:p>
        </w:tc>
        <w:tc>
          <w:tcPr>
            <w:tcW w:w="1134" w:type="dxa"/>
            <w:tcBorders>
              <w:top w:val="single" w:sz="4" w:space="0" w:color="A6A6A6" w:themeColor="background1" w:themeShade="A6"/>
              <w:bottom w:val="single" w:sz="4" w:space="0" w:color="auto"/>
            </w:tcBorders>
          </w:tcPr>
          <w:p w:rsidR="00C232A3" w:rsidRPr="00563CA0" w:rsidRDefault="00C232A3" w:rsidP="00C232A3">
            <w:pPr>
              <w:pStyle w:val="ARfintablebodyright"/>
              <w:rPr>
                <w:rStyle w:val="Strong"/>
                <w:b w:val="0"/>
                <w:bCs w:val="0"/>
              </w:rPr>
            </w:pPr>
            <w:r w:rsidRPr="00563CA0">
              <w:rPr>
                <w:rStyle w:val="Strong"/>
              </w:rPr>
              <w:t>–</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Pr>
                <w:rStyle w:val="Strong"/>
              </w:rPr>
              <w:t>171.4</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73.8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Non-government agencies and individuals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National Blood Authority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94.9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Anglicare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88.9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78.3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Uniting Church in Australia Property Trust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86.9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Salvation Army Property Trust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84.7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73.9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Berry Street Victoria Incorporated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79.2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72.0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Yooralla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77.6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77.3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Moira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69.7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65.8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Scope Vic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66.7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64.6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MacKillop</w:t>
            </w:r>
            <w:proofErr w:type="spellEnd"/>
            <w:r w:rsidRPr="00AB62BD">
              <w:rPr>
                <w:lang w:eastAsia="en-AU"/>
              </w:rPr>
              <w:t xml:space="preserve"> Family Services Limited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52.8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Launch 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49.7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Breastscreen</w:t>
            </w:r>
            <w:proofErr w:type="spellEnd"/>
            <w:r w:rsidRPr="00AB62BD">
              <w:rPr>
                <w:lang w:eastAsia="en-AU"/>
              </w:rPr>
              <w:t xml:space="preserve"> Victoria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Wesley Mission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42.4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CoHealth</w:t>
            </w:r>
            <w:proofErr w:type="spellEnd"/>
            <w:r w:rsidRPr="00AB62BD">
              <w:rPr>
                <w:lang w:eastAsia="en-AU"/>
              </w:rPr>
              <w:t xml:space="preserve">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39.9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Eastern Access Community Health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38.3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37.8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Melbourne City Mission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37.7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Australian Community Support Organisation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31.4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Oncall</w:t>
            </w:r>
            <w:proofErr w:type="spellEnd"/>
            <w:r w:rsidRPr="00AB62BD">
              <w:rPr>
                <w:lang w:eastAsia="en-AU"/>
              </w:rPr>
              <w:t xml:space="preserve"> Personnel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Victorian Aboriginal Child Care Agency Co-Operative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YSAS Pty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Royal District Nursing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25.5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98.2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Neami</w:t>
            </w:r>
            <w:proofErr w:type="spellEnd"/>
            <w:r w:rsidRPr="00AB62BD">
              <w:rPr>
                <w:lang w:eastAsia="en-AU"/>
              </w:rPr>
              <w:t xml:space="preserve"> Limited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24.6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Villa Maria Society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Latrobe Community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22.9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lastRenderedPageBreak/>
              <w:t>MIND Australia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Inner South Community Health Service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Supported Housing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EW Tipping Foundation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18.4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 Vincent de Paul Society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18.0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OzChild</w:t>
            </w:r>
            <w:proofErr w:type="spellEnd"/>
            <w:r w:rsidRPr="00AB62BD">
              <w:rPr>
                <w:lang w:eastAsia="en-AU"/>
              </w:rPr>
              <w:t xml:space="preserve"> (Children Australia </w:t>
            </w:r>
            <w:proofErr w:type="spellStart"/>
            <w:r w:rsidRPr="00AB62BD">
              <w:rPr>
                <w:lang w:eastAsia="en-AU"/>
              </w:rPr>
              <w:t>Inc</w:t>
            </w:r>
            <w:proofErr w:type="spellEnd"/>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Women’s Health Victoria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Isis Primary Care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Loddon Mallee Housing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Victorian Cytology Service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 John of God Health Care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Victorian Person Centred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The University of Melbourne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Wayss</w:t>
            </w:r>
            <w:proofErr w:type="spellEnd"/>
            <w:r w:rsidRPr="00AB62BD">
              <w:rPr>
                <w:lang w:eastAsia="en-AU"/>
              </w:rPr>
              <w:t xml:space="preserve">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Child and Family Services Ballarat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Kindilan</w:t>
            </w:r>
            <w:proofErr w:type="spellEnd"/>
            <w:r w:rsidRPr="00AB62BD">
              <w:rPr>
                <w:lang w:eastAsia="en-AU"/>
              </w:rPr>
              <w:t xml:space="preserve"> Society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Merri Community Health Services Limited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The Walter and Eliza Hall Institute of Medical Research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Barwon Child Youth and Family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Mildura Aboriginal Corporation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Melba Support Services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Odyssey House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Gippsland Lakes Community Health</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Cancer Council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Quantum Support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Karingal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Wallara</w:t>
            </w:r>
            <w:proofErr w:type="spellEnd"/>
            <w:r w:rsidRPr="00AB62BD">
              <w:rPr>
                <w:lang w:eastAsia="en-AU"/>
              </w:rPr>
              <w:t xml:space="preserve"> Australia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Mental Illness Fellowship Victoria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Care Connect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Community Housing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Eastern Regions Mental Health Association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Annecto</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Independence Australia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Autism Plus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Oakleigh Centre for Intellectually Disabled Citizens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Australian Red Cross Blood Service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Port Phillip Housing Association Ltd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Junction Support Services </w:t>
            </w:r>
            <w:proofErr w:type="spellStart"/>
            <w:r w:rsidRPr="00AB62BD">
              <w:rPr>
                <w:lang w:eastAsia="en-AU"/>
              </w:rPr>
              <w:t>Inc</w:t>
            </w:r>
            <w:proofErr w:type="spellEnd"/>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Client/assistance payments to individuals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677.4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667.5</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Other non-government agencies with payments totalling less than $10 million</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Pr>
                <w:lang w:eastAsia="en-AU"/>
              </w:rPr>
              <w:t>1,735.8</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Pr>
                <w:lang w:eastAsia="en-AU"/>
              </w:rPr>
              <w:t>1,692.9</w:t>
            </w:r>
          </w:p>
        </w:tc>
      </w:tr>
      <w:tr w:rsidR="00C232A3" w:rsidRPr="00AB62BD" w:rsidTr="00C232A3">
        <w:trPr>
          <w:cantSplit/>
        </w:trPr>
        <w:tc>
          <w:tcPr>
            <w:tcW w:w="7371" w:type="dxa"/>
            <w:tcBorders>
              <w:top w:val="single" w:sz="4" w:space="0" w:color="auto"/>
            </w:tcBorders>
          </w:tcPr>
          <w:p w:rsidR="00C232A3" w:rsidRPr="00AB62BD" w:rsidRDefault="00C232A3" w:rsidP="00C232A3">
            <w:pPr>
              <w:pStyle w:val="ARfintablebody"/>
              <w:rPr>
                <w:lang w:eastAsia="en-AU"/>
              </w:rPr>
            </w:pPr>
          </w:p>
        </w:tc>
        <w:tc>
          <w:tcPr>
            <w:tcW w:w="1134" w:type="dxa"/>
            <w:tcBorders>
              <w:top w:val="single" w:sz="4" w:space="0" w:color="auto"/>
            </w:tcBorders>
            <w:shd w:val="clear" w:color="auto" w:fill="E7E6E6"/>
          </w:tcPr>
          <w:p w:rsidR="00C232A3" w:rsidRPr="00AB62BD" w:rsidRDefault="00C232A3" w:rsidP="00C232A3">
            <w:pPr>
              <w:pStyle w:val="ARfintablebodyright"/>
              <w:rPr>
                <w:b/>
                <w:bCs/>
                <w:lang w:eastAsia="en-AU"/>
              </w:rPr>
            </w:pPr>
            <w:r>
              <w:rPr>
                <w:rStyle w:val="Strong"/>
              </w:rPr>
              <w:t>4,107.8</w:t>
            </w:r>
          </w:p>
        </w:tc>
        <w:tc>
          <w:tcPr>
            <w:tcW w:w="1134" w:type="dxa"/>
            <w:tcBorders>
              <w:top w:val="single" w:sz="4" w:space="0" w:color="auto"/>
            </w:tcBorders>
          </w:tcPr>
          <w:p w:rsidR="00C232A3" w:rsidRPr="00AB62BD" w:rsidRDefault="00C232A3" w:rsidP="00C232A3">
            <w:pPr>
              <w:pStyle w:val="ARfintablebodyright"/>
              <w:rPr>
                <w:b/>
                <w:bCs/>
                <w:lang w:eastAsia="en-AU"/>
              </w:rPr>
            </w:pPr>
            <w:r>
              <w:rPr>
                <w:rStyle w:val="Strong"/>
              </w:rPr>
              <w:t>3,988.0</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 xml:space="preserve">Total grants and other expense transfers </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13,163.2</w:t>
            </w:r>
          </w:p>
        </w:tc>
        <w:tc>
          <w:tcPr>
            <w:tcW w:w="1134" w:type="dxa"/>
          </w:tcPr>
          <w:p w:rsidR="00C232A3" w:rsidRPr="00AB62BD" w:rsidRDefault="00C232A3" w:rsidP="00C232A3">
            <w:pPr>
              <w:pStyle w:val="ARfintablebodyright"/>
              <w:rPr>
                <w:rStyle w:val="Strong"/>
                <w:bCs w:val="0"/>
              </w:rPr>
            </w:pPr>
            <w:r w:rsidRPr="00AB62BD">
              <w:rPr>
                <w:rStyle w:val="Strong"/>
              </w:rPr>
              <w:t>11,916.6</w:t>
            </w:r>
          </w:p>
        </w:tc>
      </w:tr>
    </w:tbl>
    <w:p w:rsidR="00C232A3" w:rsidRPr="00AB62BD" w:rsidRDefault="00C232A3" w:rsidP="00C232A3">
      <w:pPr>
        <w:pStyle w:val="ARfinbodyaftertable"/>
      </w:pPr>
      <w:r w:rsidRPr="00AB62BD">
        <w:t>Transactions in which the department provides goods, services, assets (or extinguishes a liability) or labour to another party without receiving approximately equal value in return are categorised as ‘Grant and other expense transfers’. Grants can either be operating or capital in nature.</w:t>
      </w:r>
    </w:p>
    <w:p w:rsidR="00C232A3" w:rsidRPr="00AB62BD" w:rsidRDefault="00C232A3" w:rsidP="00C232A3">
      <w:pPr>
        <w:pStyle w:val="ARfinbody"/>
        <w:rPr>
          <w:lang w:eastAsia="en-AU"/>
        </w:rPr>
      </w:pPr>
      <w:r w:rsidRPr="00AB62BD">
        <w:rPr>
          <w:lang w:eastAsia="en-AU"/>
        </w:rPr>
        <w:t>Grants and other transfers to third parties (other than contribution to owners) are recognised as an expense in the reporting period in which they are paid or payable. They include transactions such as grants, subsidies and other transfer payments to public and denominational hospitals, other state government agencies, local councils and non-government agencies and individuals and the State contribution to the National Health Funding Pool.</w:t>
      </w:r>
    </w:p>
    <w:p w:rsidR="00C232A3" w:rsidRPr="00AB62BD" w:rsidRDefault="00C232A3" w:rsidP="00C232A3">
      <w:pPr>
        <w:pStyle w:val="ARfinbody"/>
        <w:rPr>
          <w:lang w:eastAsia="en-AU"/>
        </w:rPr>
      </w:pPr>
      <w:r w:rsidRPr="00AB62BD">
        <w:rPr>
          <w:lang w:eastAsia="en-AU"/>
        </w:rPr>
        <w:t>State funds in the National Health Funding Pool are paid to health agencies for Activity Based Funding initiatives. There are, however, a range of grant payments that remain out of scope for National Health Reform, such as aged care subsidies, home and community care payments and community based drug and alcohol services that continue to be paid directly to health agencies.</w:t>
      </w:r>
    </w:p>
    <w:p w:rsidR="00C232A3" w:rsidRDefault="00C232A3" w:rsidP="00300E48">
      <w:pPr>
        <w:pStyle w:val="ARbody"/>
        <w:rPr>
          <w:sz w:val="19"/>
        </w:rPr>
      </w:pPr>
      <w:r>
        <w:br w:type="page"/>
      </w:r>
    </w:p>
    <w:p w:rsidR="00C232A3" w:rsidRPr="00D11896" w:rsidRDefault="00C232A3" w:rsidP="00C232A3">
      <w:pPr>
        <w:pStyle w:val="Heading5"/>
        <w:rPr>
          <w:rStyle w:val="Strong"/>
        </w:rPr>
      </w:pPr>
      <w:r w:rsidRPr="00D11896">
        <w:rPr>
          <w:rStyle w:val="Strong"/>
        </w:rPr>
        <w:lastRenderedPageBreak/>
        <w:t>3.1.3 Capital asset charge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687E66" w:rsidRDefault="00C232A3" w:rsidP="00C232A3">
            <w:pPr>
              <w:pStyle w:val="ARfintablecolhead"/>
            </w:pPr>
          </w:p>
        </w:tc>
        <w:tc>
          <w:tcPr>
            <w:tcW w:w="1134" w:type="dxa"/>
            <w:shd w:val="clear" w:color="auto" w:fill="E7E6E6"/>
            <w:vAlign w:val="bottom"/>
          </w:tcPr>
          <w:p w:rsidR="00C232A3" w:rsidRPr="00F73D7A" w:rsidRDefault="00C232A3" w:rsidP="00C232A3">
            <w:pPr>
              <w:pStyle w:val="ARfintablecolheadright"/>
            </w:pPr>
            <w:r w:rsidRPr="00F73D7A">
              <w:t>2017</w:t>
            </w:r>
          </w:p>
          <w:p w:rsidR="00C232A3" w:rsidRPr="00F73D7A" w:rsidRDefault="00C232A3" w:rsidP="00C232A3">
            <w:pPr>
              <w:pStyle w:val="ARfintablecolheadright"/>
            </w:pPr>
            <w:r w:rsidRPr="00F73D7A">
              <w:t>$M</w:t>
            </w:r>
          </w:p>
        </w:tc>
        <w:tc>
          <w:tcPr>
            <w:tcW w:w="1134" w:type="dxa"/>
            <w:vAlign w:val="bottom"/>
          </w:tcPr>
          <w:p w:rsidR="00C232A3" w:rsidRPr="00F73D7A" w:rsidRDefault="00C232A3" w:rsidP="00C232A3">
            <w:pPr>
              <w:pStyle w:val="ARfintablecolheadright"/>
            </w:pPr>
            <w:r w:rsidRPr="00F73D7A">
              <w:t>2016</w:t>
            </w:r>
          </w:p>
          <w:p w:rsidR="00C232A3" w:rsidRPr="00F73D7A" w:rsidRDefault="00C232A3" w:rsidP="00C232A3">
            <w:pPr>
              <w:pStyle w:val="ARfintablecolheadright"/>
            </w:pPr>
            <w:r w:rsidRPr="00F73D7A">
              <w:t>$M</w:t>
            </w:r>
          </w:p>
        </w:tc>
      </w:tr>
      <w:tr w:rsidR="00C232A3" w:rsidRPr="00AB62BD" w:rsidTr="00C232A3">
        <w:trPr>
          <w:cantSplit/>
        </w:trPr>
        <w:tc>
          <w:tcPr>
            <w:tcW w:w="7371" w:type="dxa"/>
          </w:tcPr>
          <w:p w:rsidR="00C232A3" w:rsidRPr="00AB62BD" w:rsidRDefault="00C232A3" w:rsidP="00C232A3">
            <w:pPr>
              <w:pStyle w:val="ARfintablebody"/>
              <w:rPr>
                <w:lang w:eastAsia="en-AU"/>
              </w:rPr>
            </w:pPr>
            <w:r w:rsidRPr="00AB62BD">
              <w:rPr>
                <w:lang w:eastAsia="en-AU"/>
              </w:rPr>
              <w:t>Capital asset charge</w:t>
            </w:r>
          </w:p>
        </w:tc>
        <w:tc>
          <w:tcPr>
            <w:tcW w:w="1134" w:type="dxa"/>
            <w:shd w:val="clear" w:color="auto" w:fill="E7E6E6"/>
          </w:tcPr>
          <w:p w:rsidR="00C232A3" w:rsidRPr="00AB62BD" w:rsidRDefault="00C232A3" w:rsidP="00C232A3">
            <w:pPr>
              <w:pStyle w:val="ARfintablebodyright"/>
              <w:rPr>
                <w:lang w:eastAsia="en-AU"/>
              </w:rPr>
            </w:pPr>
            <w:r w:rsidRPr="00AB62BD">
              <w:rPr>
                <w:lang w:eastAsia="en-AU"/>
              </w:rPr>
              <w:t>1,116.7</w:t>
            </w:r>
          </w:p>
        </w:tc>
        <w:tc>
          <w:tcPr>
            <w:tcW w:w="1134" w:type="dxa"/>
          </w:tcPr>
          <w:p w:rsidR="00C232A3" w:rsidRPr="00AB62BD" w:rsidRDefault="00C232A3" w:rsidP="00C232A3">
            <w:pPr>
              <w:pStyle w:val="ARfintablebodyright"/>
              <w:rPr>
                <w:lang w:eastAsia="en-AU"/>
              </w:rPr>
            </w:pPr>
            <w:r w:rsidRPr="00AB62BD">
              <w:rPr>
                <w:lang w:eastAsia="en-AU"/>
              </w:rPr>
              <w:t>1,016.8</w:t>
            </w:r>
          </w:p>
        </w:tc>
      </w:tr>
    </w:tbl>
    <w:p w:rsidR="00C232A3" w:rsidRPr="00AB62BD" w:rsidRDefault="00C232A3" w:rsidP="00C232A3">
      <w:pPr>
        <w:pStyle w:val="ARfinbodyaftertable"/>
      </w:pPr>
      <w:r w:rsidRPr="00AB62BD">
        <w:t xml:space="preserve">A </w:t>
      </w:r>
      <w:r w:rsidRPr="00F40572">
        <w:rPr>
          <w:rStyle w:val="Strong"/>
        </w:rPr>
        <w:t>capital asset charge</w:t>
      </w:r>
      <w:r w:rsidRPr="00AB62BD">
        <w:rPr>
          <w:rStyle w:val="Strong"/>
        </w:rPr>
        <w:t xml:space="preserve"> </w:t>
      </w:r>
      <w:r w:rsidRPr="00AB62BD">
        <w:t>is a charge levied on the written down value of controlled non-current physical assets in a department’s balance sheet. It aims to attribute to the department outputs, a cost of capital used in service delivery. Imposing this charge provides incentives for the department to identify and dispose of underutilised or surplus non-current physical assets.</w:t>
      </w:r>
    </w:p>
    <w:p w:rsidR="00C232A3" w:rsidRPr="00AB62BD" w:rsidRDefault="00C232A3" w:rsidP="00C232A3">
      <w:pPr>
        <w:pStyle w:val="ARfinbody"/>
        <w:rPr>
          <w:lang w:eastAsia="en-AU"/>
        </w:rPr>
      </w:pPr>
      <w:r w:rsidRPr="00AB62BD">
        <w:rPr>
          <w:lang w:eastAsia="en-AU"/>
        </w:rPr>
        <w:t>The capital asset charge is calculated on the budgeted carrying amount of applicable non-financial physical assets.</w:t>
      </w:r>
    </w:p>
    <w:p w:rsidR="00C232A3" w:rsidRPr="00D11896" w:rsidRDefault="00C232A3" w:rsidP="00C232A3">
      <w:pPr>
        <w:pStyle w:val="Heading5"/>
        <w:rPr>
          <w:rStyle w:val="Strong"/>
        </w:rPr>
      </w:pPr>
      <w:r w:rsidRPr="00D11896">
        <w:rPr>
          <w:rStyle w:val="Strong"/>
        </w:rPr>
        <w:t>3.1.4 Fair value of assets and services provided free of charge or for nominal consideration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F73D7A" w:rsidRDefault="00C232A3" w:rsidP="00C232A3">
            <w:pPr>
              <w:pStyle w:val="ARfintablecolhead"/>
            </w:pPr>
          </w:p>
        </w:tc>
        <w:tc>
          <w:tcPr>
            <w:tcW w:w="1134" w:type="dxa"/>
            <w:tcBorders>
              <w:bottom w:val="single" w:sz="4" w:space="0" w:color="auto"/>
            </w:tcBorders>
            <w:shd w:val="clear" w:color="auto" w:fill="E7E6E6"/>
            <w:vAlign w:val="bottom"/>
          </w:tcPr>
          <w:p w:rsidR="00C232A3" w:rsidRPr="00F73D7A" w:rsidRDefault="00C232A3" w:rsidP="00C232A3">
            <w:pPr>
              <w:pStyle w:val="ARfintablecolheadright"/>
            </w:pPr>
            <w:r w:rsidRPr="00F73D7A">
              <w:t>2017</w:t>
            </w:r>
          </w:p>
          <w:p w:rsidR="00C232A3" w:rsidRPr="00F73D7A" w:rsidRDefault="00C232A3" w:rsidP="00C232A3">
            <w:pPr>
              <w:pStyle w:val="ARfintablecolheadright"/>
            </w:pPr>
            <w:r w:rsidRPr="00F73D7A">
              <w:t>$M</w:t>
            </w:r>
          </w:p>
        </w:tc>
        <w:tc>
          <w:tcPr>
            <w:tcW w:w="1134" w:type="dxa"/>
            <w:tcBorders>
              <w:bottom w:val="single" w:sz="4" w:space="0" w:color="auto"/>
            </w:tcBorders>
            <w:vAlign w:val="bottom"/>
          </w:tcPr>
          <w:p w:rsidR="00C232A3" w:rsidRPr="00F73D7A" w:rsidRDefault="00C232A3" w:rsidP="00C232A3">
            <w:pPr>
              <w:pStyle w:val="ARfintablecolheadright"/>
            </w:pPr>
            <w:r w:rsidRPr="00F73D7A">
              <w:t>2016</w:t>
            </w:r>
          </w:p>
          <w:p w:rsidR="00C232A3" w:rsidRPr="00F73D7A" w:rsidRDefault="00C232A3" w:rsidP="00C232A3">
            <w:pPr>
              <w:pStyle w:val="ARfintablecolheadright"/>
            </w:pPr>
            <w:r w:rsidRPr="00F73D7A">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Land at fair value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146.0</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Buildings at fair value </w:t>
            </w:r>
            <w:r w:rsidRPr="00AB62BD">
              <w:rPr>
                <w:vertAlign w:val="superscript"/>
                <w:lang w:eastAsia="en-AU"/>
              </w:rPr>
              <w:t>(ii)</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Resources given free of charge</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5.5</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Total fair value of assets and services provided free of charge or for nominal consideration</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209.6</w:t>
            </w:r>
          </w:p>
        </w:tc>
        <w:tc>
          <w:tcPr>
            <w:tcW w:w="1134" w:type="dxa"/>
          </w:tcPr>
          <w:p w:rsidR="00C232A3" w:rsidRPr="00AB62BD" w:rsidRDefault="00C232A3" w:rsidP="00C232A3">
            <w:pPr>
              <w:pStyle w:val="ARfintablebodyright"/>
              <w:rPr>
                <w:rStyle w:val="Strong"/>
                <w:bCs w:val="0"/>
              </w:rPr>
            </w:pPr>
            <w:r w:rsidRPr="00AB62BD">
              <w:rPr>
                <w:rStyle w:val="Strong"/>
              </w:rPr>
              <w:t>11.9</w:t>
            </w:r>
          </w:p>
        </w:tc>
      </w:tr>
    </w:tbl>
    <w:p w:rsidR="00C232A3" w:rsidRPr="00AB62BD" w:rsidRDefault="00C232A3" w:rsidP="00C232A3">
      <w:pPr>
        <w:pStyle w:val="ARfintablefootnote"/>
        <w:rPr>
          <w:lang w:eastAsia="en-AU"/>
        </w:rPr>
      </w:pPr>
      <w:r w:rsidRPr="00AB62BD">
        <w:rPr>
          <w:lang w:eastAsia="en-AU"/>
        </w:rPr>
        <w:t>Note</w:t>
      </w:r>
      <w:r>
        <w:rPr>
          <w:lang w:eastAsia="en-AU"/>
        </w:rPr>
        <w:t>s</w:t>
      </w:r>
      <w:r w:rsidRPr="00AB62BD">
        <w:rPr>
          <w:lang w:eastAsia="en-AU"/>
        </w:rPr>
        <w:t>:</w:t>
      </w:r>
    </w:p>
    <w:p w:rsidR="00C232A3" w:rsidRPr="004A3EEC" w:rsidRDefault="00C232A3" w:rsidP="00C232A3">
      <w:pPr>
        <w:pStyle w:val="ARfintablefootnoteroman"/>
      </w:pPr>
      <w:r>
        <w:t>(</w:t>
      </w:r>
      <w:proofErr w:type="spellStart"/>
      <w:r>
        <w:t>i</w:t>
      </w:r>
      <w:proofErr w:type="spellEnd"/>
      <w:r>
        <w:t>)</w:t>
      </w:r>
      <w:r>
        <w:tab/>
      </w:r>
      <w:r w:rsidRPr="00AB62BD">
        <w:t xml:space="preserve">2017 </w:t>
      </w:r>
      <w:r w:rsidRPr="004A3EEC">
        <w:t>figure includes the transfer of Director of Housing owned land of $145 million to Aboriginal Housing Victoria.</w:t>
      </w:r>
    </w:p>
    <w:p w:rsidR="00C232A3" w:rsidRPr="00AB62BD" w:rsidRDefault="00C232A3" w:rsidP="00C232A3">
      <w:pPr>
        <w:pStyle w:val="ARfintablefootnoteroman"/>
      </w:pPr>
      <w:r w:rsidRPr="004A3EEC">
        <w:t>(ii)</w:t>
      </w:r>
      <w:r w:rsidRPr="004A3EEC">
        <w:tab/>
        <w:t>2017 figure</w:t>
      </w:r>
      <w:r w:rsidRPr="00AB62BD">
        <w:t xml:space="preserve"> includes the transfer of Director of Housing owned buildings of $60.1 million to Aboriginal Housing Victoria.</w:t>
      </w:r>
    </w:p>
    <w:p w:rsidR="00C232A3" w:rsidRPr="00AB62BD" w:rsidRDefault="00C232A3" w:rsidP="00C232A3">
      <w:pPr>
        <w:pStyle w:val="ARfinbodyaftertable"/>
      </w:pPr>
      <w:r w:rsidRPr="000917D5">
        <w:rPr>
          <w:rStyle w:val="Strong"/>
        </w:rPr>
        <w:t>Contributions of resources provided free of charge or for nominal consideration</w:t>
      </w:r>
      <w:r w:rsidRPr="00AB62BD">
        <w:t xml:space="preserve">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w:t>
      </w:r>
    </w:p>
    <w:p w:rsidR="00C232A3" w:rsidRPr="00AB62BD" w:rsidRDefault="00C232A3" w:rsidP="00C232A3">
      <w:pPr>
        <w:pStyle w:val="ARfinbody"/>
        <w:rPr>
          <w:lang w:eastAsia="en-AU"/>
        </w:rPr>
      </w:pPr>
      <w:r w:rsidRPr="00AB62BD">
        <w:rPr>
          <w:lang w:eastAsia="en-AU"/>
        </w:rPr>
        <w:t>Contributions in the form of services are only recognised when a fair value can be reliably determined and the services would have been purchased if not donated.</w:t>
      </w:r>
    </w:p>
    <w:p w:rsidR="00C232A3" w:rsidRPr="00D11896" w:rsidRDefault="00C232A3" w:rsidP="00C232A3">
      <w:pPr>
        <w:pStyle w:val="Heading5"/>
        <w:rPr>
          <w:rStyle w:val="Strong"/>
        </w:rPr>
      </w:pPr>
      <w:r w:rsidRPr="00D11896">
        <w:rPr>
          <w:rStyle w:val="Strong"/>
        </w:rPr>
        <w:t>3.1.5 Other operating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F73D7A" w:rsidRDefault="00C232A3" w:rsidP="00C232A3">
            <w:pPr>
              <w:pStyle w:val="ARfintablecolhead"/>
            </w:pPr>
          </w:p>
        </w:tc>
        <w:tc>
          <w:tcPr>
            <w:tcW w:w="1134" w:type="dxa"/>
            <w:tcBorders>
              <w:bottom w:val="single" w:sz="4" w:space="0" w:color="auto"/>
            </w:tcBorders>
            <w:shd w:val="clear" w:color="auto" w:fill="E7E6E6"/>
            <w:vAlign w:val="bottom"/>
          </w:tcPr>
          <w:p w:rsidR="00C232A3" w:rsidRPr="00F73D7A" w:rsidRDefault="00C232A3" w:rsidP="00C232A3">
            <w:pPr>
              <w:pStyle w:val="ARfintablecolheadright"/>
            </w:pPr>
            <w:r w:rsidRPr="00F73D7A">
              <w:t>2017</w:t>
            </w:r>
          </w:p>
          <w:p w:rsidR="00C232A3" w:rsidRPr="00F73D7A" w:rsidRDefault="00C232A3" w:rsidP="00C232A3">
            <w:pPr>
              <w:pStyle w:val="ARfintablecolheadright"/>
            </w:pPr>
            <w:r w:rsidRPr="00F73D7A">
              <w:t>$M</w:t>
            </w:r>
          </w:p>
        </w:tc>
        <w:tc>
          <w:tcPr>
            <w:tcW w:w="1134" w:type="dxa"/>
            <w:tcBorders>
              <w:bottom w:val="single" w:sz="4" w:space="0" w:color="auto"/>
            </w:tcBorders>
            <w:vAlign w:val="bottom"/>
          </w:tcPr>
          <w:p w:rsidR="00C232A3" w:rsidRPr="00F73D7A" w:rsidRDefault="00C232A3" w:rsidP="00C232A3">
            <w:pPr>
              <w:pStyle w:val="ARfintablecolheadright"/>
            </w:pPr>
            <w:r w:rsidRPr="00F73D7A">
              <w:t>2016</w:t>
            </w:r>
          </w:p>
          <w:p w:rsidR="00C232A3" w:rsidRPr="00F73D7A" w:rsidRDefault="00C232A3" w:rsidP="00C232A3">
            <w:pPr>
              <w:pStyle w:val="ARfintablecolheadright"/>
            </w:pPr>
            <w:r w:rsidRPr="00F73D7A">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Accommodation and property services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71.1</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77.9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Administrative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219.1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188.9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Information, communications and technology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123.6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118.0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Medicines and drugs / pharmacy supplies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Direct care operating costs</w:t>
            </w:r>
            <w:r w:rsidRPr="00AB62BD">
              <w:rPr>
                <w:vertAlign w:val="superscript"/>
                <w:lang w:eastAsia="en-AU"/>
              </w:rPr>
              <w:t xml:space="preserv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65.0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62.5</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Ex-gratia expense</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Total other operating expenses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528.4</w:t>
            </w:r>
          </w:p>
        </w:tc>
        <w:tc>
          <w:tcPr>
            <w:tcW w:w="1134" w:type="dxa"/>
          </w:tcPr>
          <w:p w:rsidR="00C232A3" w:rsidRPr="00AB62BD" w:rsidRDefault="00C232A3" w:rsidP="00C232A3">
            <w:pPr>
              <w:pStyle w:val="ARfintablebodyright"/>
              <w:rPr>
                <w:rStyle w:val="Strong"/>
                <w:bCs w:val="0"/>
              </w:rPr>
            </w:pPr>
            <w:r w:rsidRPr="00AB62BD">
              <w:rPr>
                <w:rStyle w:val="Strong"/>
              </w:rPr>
              <w:t>490.2</w:t>
            </w:r>
          </w:p>
        </w:tc>
      </w:tr>
    </w:tbl>
    <w:p w:rsidR="00C232A3" w:rsidRPr="00AB62BD" w:rsidRDefault="00C232A3" w:rsidP="00C232A3">
      <w:pPr>
        <w:pStyle w:val="ARfinbodyaftertable"/>
      </w:pPr>
      <w:r w:rsidRPr="000917D5">
        <w:rPr>
          <w:rStyle w:val="Strong"/>
        </w:rPr>
        <w:t>Other operating expenses</w:t>
      </w:r>
      <w:r w:rsidRPr="00AB62BD">
        <w:t xml:space="preserve"> generally represent the day-to-day running costs incurred in normal operations. It also includes bad debts expense from transactions that are mutually agreed.</w:t>
      </w:r>
    </w:p>
    <w:p w:rsidR="00C232A3" w:rsidRPr="00AB62BD" w:rsidRDefault="00C232A3" w:rsidP="00C232A3">
      <w:pPr>
        <w:pStyle w:val="ARfinbody"/>
        <w:rPr>
          <w:lang w:eastAsia="en-AU"/>
        </w:rPr>
      </w:pPr>
      <w:r w:rsidRPr="00AB62BD">
        <w:rPr>
          <w:lang w:eastAsia="en-AU"/>
        </w:rPr>
        <w:t>Supplies and services are recognised as an expense in the reporting period in which they are incurred.</w:t>
      </w:r>
    </w:p>
    <w:p w:rsidR="00C232A3" w:rsidRPr="00D11896" w:rsidRDefault="00C232A3" w:rsidP="00C232A3">
      <w:pPr>
        <w:pStyle w:val="Heading5"/>
        <w:rPr>
          <w:rStyle w:val="Strong"/>
        </w:rPr>
      </w:pPr>
      <w:r w:rsidRPr="00D11896">
        <w:rPr>
          <w:rStyle w:val="Strong"/>
        </w:rPr>
        <w:t>3.1.6 Other property management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AB62BD" w:rsidRDefault="00C232A3" w:rsidP="00C232A3">
            <w:pPr>
              <w:pStyle w:val="ARfintablecolhead"/>
            </w:pPr>
          </w:p>
        </w:tc>
        <w:tc>
          <w:tcPr>
            <w:tcW w:w="1134" w:type="dxa"/>
            <w:tcBorders>
              <w:bottom w:val="single" w:sz="4" w:space="0" w:color="auto"/>
            </w:tcBorders>
            <w:shd w:val="clear" w:color="auto" w:fill="E7E6E6"/>
            <w:vAlign w:val="bottom"/>
          </w:tcPr>
          <w:p w:rsidR="00C232A3" w:rsidRPr="00687E66" w:rsidRDefault="00C232A3" w:rsidP="00C232A3">
            <w:pPr>
              <w:pStyle w:val="ARfintablecolheadright"/>
            </w:pPr>
            <w:r w:rsidRPr="00687E66">
              <w:t>2017</w:t>
            </w:r>
          </w:p>
          <w:p w:rsidR="00C232A3" w:rsidRPr="00687E66" w:rsidRDefault="00C232A3" w:rsidP="00C232A3">
            <w:pPr>
              <w:pStyle w:val="ARfintablecolheadright"/>
            </w:pPr>
            <w:r w:rsidRPr="00687E66">
              <w:t>$M</w:t>
            </w:r>
          </w:p>
        </w:tc>
        <w:tc>
          <w:tcPr>
            <w:tcW w:w="1134" w:type="dxa"/>
            <w:tcBorders>
              <w:bottom w:val="single" w:sz="4" w:space="0" w:color="auto"/>
            </w:tcBorders>
            <w:vAlign w:val="bottom"/>
          </w:tcPr>
          <w:p w:rsidR="00C232A3" w:rsidRPr="00687E66" w:rsidRDefault="00C232A3" w:rsidP="00C232A3">
            <w:pPr>
              <w:pStyle w:val="ARfintablecolheadright"/>
            </w:pPr>
            <w:r w:rsidRPr="00687E66">
              <w:t>2016</w:t>
            </w:r>
          </w:p>
          <w:p w:rsidR="00C232A3" w:rsidRPr="00687E66" w:rsidRDefault="00C232A3" w:rsidP="00C232A3">
            <w:pPr>
              <w:pStyle w:val="ARfintablecolheadright"/>
            </w:pPr>
            <w:r w:rsidRPr="00687E66">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Rates to local authorities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113.7</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116.3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property lease expenses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Tenant utilities and other expenses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72.5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80.6</w:t>
            </w:r>
          </w:p>
        </w:tc>
      </w:tr>
      <w:tr w:rsidR="00C232A3" w:rsidRPr="00AB62BD" w:rsidTr="00C232A3">
        <w:trPr>
          <w:cantSplit/>
        </w:trPr>
        <w:tc>
          <w:tcPr>
            <w:tcW w:w="7371" w:type="dxa"/>
          </w:tcPr>
          <w:p w:rsidR="00C232A3" w:rsidRPr="00AB62BD" w:rsidRDefault="00C232A3" w:rsidP="00C232A3">
            <w:pPr>
              <w:pStyle w:val="ARfintablebody"/>
              <w:rPr>
                <w:lang w:eastAsia="en-AU"/>
              </w:rPr>
            </w:pPr>
            <w:r w:rsidRPr="00AB62BD">
              <w:rPr>
                <w:rStyle w:val="Strong"/>
              </w:rPr>
              <w:t>Total other property management expenses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198.4</w:t>
            </w:r>
          </w:p>
        </w:tc>
        <w:tc>
          <w:tcPr>
            <w:tcW w:w="1134" w:type="dxa"/>
          </w:tcPr>
          <w:p w:rsidR="00C232A3" w:rsidRPr="00AB62BD" w:rsidRDefault="00C232A3" w:rsidP="00C232A3">
            <w:pPr>
              <w:pStyle w:val="ARfintablebodyright"/>
              <w:rPr>
                <w:rStyle w:val="Strong"/>
                <w:bCs w:val="0"/>
              </w:rPr>
            </w:pPr>
            <w:r w:rsidRPr="00AB62BD">
              <w:rPr>
                <w:rStyle w:val="Strong"/>
              </w:rPr>
              <w:t>210.1</w:t>
            </w:r>
          </w:p>
        </w:tc>
      </w:tr>
    </w:tbl>
    <w:p w:rsidR="00C232A3" w:rsidRPr="00AB62BD" w:rsidRDefault="00C232A3" w:rsidP="00C232A3">
      <w:pPr>
        <w:pStyle w:val="ARfinbodyaftertable"/>
      </w:pPr>
      <w:r w:rsidRPr="007760CD">
        <w:rPr>
          <w:rStyle w:val="Strong"/>
        </w:rPr>
        <w:t>Other property management expenses</w:t>
      </w:r>
      <w:r w:rsidRPr="00AB62BD">
        <w:t xml:space="preserve"> generally includes all costs and incidental expenses associated with the management of properties. The bulk of these expenses are rates and utilities.</w:t>
      </w:r>
    </w:p>
    <w:p w:rsidR="00C232A3" w:rsidRPr="00AB62BD" w:rsidRDefault="00C232A3" w:rsidP="00C232A3">
      <w:pPr>
        <w:pStyle w:val="ARfinbody"/>
        <w:rPr>
          <w:lang w:eastAsia="en-AU"/>
        </w:rPr>
      </w:pPr>
      <w:r w:rsidRPr="00AB62BD">
        <w:rPr>
          <w:lang w:eastAsia="en-AU"/>
        </w:rPr>
        <w:t>Home finance operating costs which was previously reported as a separate line item, is now included in tenant utilities and other expenses.</w:t>
      </w:r>
    </w:p>
    <w:p w:rsidR="00C232A3" w:rsidRPr="006F474E" w:rsidRDefault="00C232A3" w:rsidP="00C232A3">
      <w:pPr>
        <w:pStyle w:val="ARbody"/>
      </w:pPr>
      <w:r w:rsidRPr="006F474E">
        <w:br w:type="page"/>
      </w:r>
    </w:p>
    <w:p w:rsidR="00C232A3" w:rsidRPr="007760CD" w:rsidRDefault="00C232A3" w:rsidP="00C232A3">
      <w:pPr>
        <w:pStyle w:val="Heading3"/>
      </w:pPr>
      <w:bookmarkStart w:id="95" w:name="_Toc493069493"/>
      <w:r w:rsidRPr="007760CD">
        <w:lastRenderedPageBreak/>
        <w:t>4. Disaggregated financial information by output</w:t>
      </w:r>
      <w:bookmarkEnd w:id="95"/>
    </w:p>
    <w:p w:rsidR="00C232A3" w:rsidRPr="007760CD" w:rsidRDefault="00C232A3" w:rsidP="00C232A3">
      <w:pPr>
        <w:pStyle w:val="Heading4"/>
      </w:pPr>
      <w:r w:rsidRPr="007760CD">
        <w:t>Introduction</w:t>
      </w:r>
    </w:p>
    <w:p w:rsidR="00C232A3" w:rsidRPr="00AB62BD" w:rsidRDefault="00C232A3" w:rsidP="00C232A3">
      <w:pPr>
        <w:pStyle w:val="ARfinbody"/>
        <w:rPr>
          <w:lang w:eastAsia="en-AU"/>
        </w:rPr>
      </w:pPr>
      <w:r w:rsidRPr="00AB62BD">
        <w:rPr>
          <w:lang w:eastAsia="en-AU"/>
        </w:rPr>
        <w:t>The Department of Health and Human Services is predominantly funded by accrual-based parliamentary appropriations for the provision of outputs. This section provides a description of the departmental outputs delivered during the year ended 30 June 2017 along with the objectives of those outputs.</w:t>
      </w:r>
    </w:p>
    <w:p w:rsidR="00C232A3" w:rsidRPr="00AB62BD" w:rsidRDefault="00C232A3" w:rsidP="00C232A3">
      <w:pPr>
        <w:pStyle w:val="ARfinbody"/>
        <w:rPr>
          <w:lang w:eastAsia="en-AU"/>
        </w:rPr>
      </w:pPr>
      <w:r w:rsidRPr="00AB62BD">
        <w:rPr>
          <w:lang w:eastAsia="en-AU"/>
        </w:rPr>
        <w:t>This section disaggregates revenue and expenses that enable the delivery of services (described in Section 2) by output and records the allocation of expenses incurred (described in Section 3) also by output, which form part of controlled balances of the department.</w:t>
      </w:r>
    </w:p>
    <w:p w:rsidR="00C232A3" w:rsidRPr="00AB62BD" w:rsidRDefault="00C232A3" w:rsidP="00C232A3">
      <w:pPr>
        <w:pStyle w:val="ARfinbody"/>
        <w:rPr>
          <w:lang w:eastAsia="en-AU"/>
        </w:rPr>
      </w:pPr>
      <w:r w:rsidRPr="00AB62BD">
        <w:rPr>
          <w:lang w:eastAsia="en-AU"/>
        </w:rPr>
        <w:t>It also provides information on items administered in connection with these outputs.</w:t>
      </w:r>
    </w:p>
    <w:p w:rsidR="00C232A3" w:rsidRPr="007760CD" w:rsidRDefault="00C232A3" w:rsidP="00C232A3">
      <w:pPr>
        <w:pStyle w:val="Heading4"/>
      </w:pPr>
      <w:r w:rsidRPr="007760CD">
        <w:t>Structure</w:t>
      </w:r>
    </w:p>
    <w:p w:rsidR="00C232A3" w:rsidRPr="00AB62BD" w:rsidRDefault="00C232A3" w:rsidP="00C232A3">
      <w:pPr>
        <w:pStyle w:val="ARfinstructure1"/>
      </w:pPr>
      <w:r>
        <w:t>4.1</w:t>
      </w:r>
      <w:r>
        <w:tab/>
      </w:r>
      <w:r w:rsidRPr="00AB62BD">
        <w:t>Departmental outputs</w:t>
      </w:r>
    </w:p>
    <w:p w:rsidR="00C232A3" w:rsidRPr="00AB62BD" w:rsidRDefault="00C232A3" w:rsidP="00C232A3">
      <w:pPr>
        <w:pStyle w:val="ARfinstructure2"/>
      </w:pPr>
      <w:r w:rsidRPr="00AB62BD">
        <w:t>4.1.1</w:t>
      </w:r>
      <w:r>
        <w:tab/>
      </w:r>
      <w:r w:rsidRPr="00AB62BD">
        <w:t>Descriptions and objectives</w:t>
      </w:r>
    </w:p>
    <w:p w:rsidR="00C232A3" w:rsidRPr="00AB62BD" w:rsidRDefault="00C232A3" w:rsidP="00C232A3">
      <w:pPr>
        <w:pStyle w:val="ARfinstructure2"/>
      </w:pPr>
      <w:r>
        <w:t>4.1.2</w:t>
      </w:r>
      <w:r>
        <w:tab/>
      </w:r>
      <w:r w:rsidRPr="00AB62BD">
        <w:t>Controlled income and expenses</w:t>
      </w:r>
    </w:p>
    <w:p w:rsidR="00C232A3" w:rsidRPr="00AB62BD" w:rsidRDefault="00C232A3" w:rsidP="00C232A3">
      <w:pPr>
        <w:pStyle w:val="ARfinstructure1"/>
      </w:pPr>
      <w:r>
        <w:t>4.2</w:t>
      </w:r>
      <w:r>
        <w:tab/>
      </w:r>
      <w:r w:rsidRPr="00AB62BD">
        <w:t>Administered (non-controlled) items</w:t>
      </w:r>
    </w:p>
    <w:p w:rsidR="00C232A3" w:rsidRPr="00AB62BD" w:rsidRDefault="00C232A3" w:rsidP="00C232A3">
      <w:pPr>
        <w:pStyle w:val="ARfinstructure2"/>
      </w:pPr>
      <w:r>
        <w:t>4.2.1</w:t>
      </w:r>
      <w:r>
        <w:tab/>
      </w:r>
      <w:r w:rsidRPr="00AB62BD">
        <w:t>Administered income and expenses</w:t>
      </w:r>
    </w:p>
    <w:p w:rsidR="00C232A3" w:rsidRPr="00AB62BD" w:rsidRDefault="00C232A3" w:rsidP="00C232A3">
      <w:pPr>
        <w:pStyle w:val="ARfinstructure2"/>
      </w:pPr>
      <w:r>
        <w:t>4.2.2</w:t>
      </w:r>
      <w:r>
        <w:tab/>
      </w:r>
      <w:r w:rsidRPr="00AB62BD">
        <w:t>Administered assets and liabilities</w:t>
      </w:r>
    </w:p>
    <w:p w:rsidR="00C232A3" w:rsidRDefault="00C232A3" w:rsidP="00C232A3">
      <w:pPr>
        <w:pStyle w:val="ARfinstructure1"/>
      </w:pPr>
      <w:r w:rsidRPr="00AB62BD">
        <w:t>4.3</w:t>
      </w:r>
      <w:r>
        <w:tab/>
      </w:r>
      <w:r w:rsidR="00EB6646">
        <w:t>Restructuring</w:t>
      </w:r>
      <w:r w:rsidRPr="00AB62BD">
        <w:t xml:space="preserve"> of administrative arrangements</w:t>
      </w:r>
    </w:p>
    <w:p w:rsidR="00C232A3" w:rsidRPr="00AB62BD" w:rsidRDefault="00C232A3" w:rsidP="00C232A3">
      <w:pPr>
        <w:pStyle w:val="Heading4"/>
      </w:pPr>
      <w:r>
        <w:t>4.1 Departmental outputs</w:t>
      </w:r>
    </w:p>
    <w:p w:rsidR="00C232A3" w:rsidRPr="00D11896" w:rsidRDefault="00C232A3" w:rsidP="00C232A3">
      <w:pPr>
        <w:pStyle w:val="Heading5"/>
        <w:rPr>
          <w:rStyle w:val="Strong"/>
        </w:rPr>
      </w:pPr>
      <w:r w:rsidRPr="00D11896">
        <w:rPr>
          <w:rStyle w:val="Strong"/>
        </w:rPr>
        <w:t>4.1.1 Departmental outputs – Descriptions and objectives</w:t>
      </w:r>
    </w:p>
    <w:p w:rsidR="00C232A3" w:rsidRPr="004F73D6" w:rsidRDefault="00C232A3" w:rsidP="00FB460C">
      <w:pPr>
        <w:pStyle w:val="Heading6"/>
      </w:pPr>
      <w:r w:rsidRPr="004F73D6">
        <w:t>Output group 1: Acute Health Services</w:t>
      </w:r>
    </w:p>
    <w:p w:rsidR="00C232A3" w:rsidRPr="00AB62BD" w:rsidRDefault="00C232A3" w:rsidP="00C232A3">
      <w:pPr>
        <w:pStyle w:val="ARfinbody"/>
        <w:rPr>
          <w:lang w:eastAsia="en-AU"/>
        </w:rPr>
      </w:pPr>
      <w:r w:rsidRPr="00AB62BD">
        <w:rPr>
          <w:lang w:eastAsia="en-AU"/>
        </w:rPr>
        <w:t>Acute Health Services outputs include a range of timely and high quality acute hospital inpatient, ambulatory, emergency, community-based and specialist services.</w:t>
      </w:r>
    </w:p>
    <w:p w:rsidR="00C232A3" w:rsidRPr="004F73D6" w:rsidRDefault="00C232A3" w:rsidP="00FB460C">
      <w:pPr>
        <w:pStyle w:val="Heading6"/>
      </w:pPr>
      <w:r w:rsidRPr="004F73D6">
        <w:t>Output group 2: Ambulance Services</w:t>
      </w:r>
    </w:p>
    <w:p w:rsidR="00C232A3" w:rsidRPr="00AB62BD" w:rsidRDefault="00C232A3" w:rsidP="00C232A3">
      <w:pPr>
        <w:pStyle w:val="ARfinbody"/>
        <w:rPr>
          <w:lang w:eastAsia="en-AU"/>
        </w:rPr>
      </w:pPr>
      <w:r w:rsidRPr="00AB62BD">
        <w:rPr>
          <w:lang w:eastAsia="en-AU"/>
        </w:rPr>
        <w:t>Ambulance Services outputs include emergency and non-emergency ambulance services.</w:t>
      </w:r>
    </w:p>
    <w:p w:rsidR="00C232A3" w:rsidRPr="004F73D6" w:rsidRDefault="00C232A3" w:rsidP="00FB460C">
      <w:pPr>
        <w:pStyle w:val="Heading6"/>
      </w:pPr>
      <w:r w:rsidRPr="004F73D6">
        <w:t>Output group 3: Mental Health</w:t>
      </w:r>
    </w:p>
    <w:p w:rsidR="00C232A3" w:rsidRPr="00AB62BD" w:rsidRDefault="00C232A3" w:rsidP="00C232A3">
      <w:pPr>
        <w:pStyle w:val="ARfinbody"/>
        <w:rPr>
          <w:lang w:eastAsia="en-AU"/>
        </w:rPr>
      </w:pPr>
      <w:r w:rsidRPr="00AB62BD">
        <w:rPr>
          <w:lang w:eastAsia="en-AU"/>
        </w:rPr>
        <w:t>Mental Health outputs include a range of inpatient, community-based residential and ambulatory services which treat and support people with a mental illness and their families and carers.</w:t>
      </w:r>
    </w:p>
    <w:p w:rsidR="00C232A3" w:rsidRPr="004F73D6" w:rsidRDefault="00C232A3" w:rsidP="00FB460C">
      <w:pPr>
        <w:pStyle w:val="Heading6"/>
      </w:pPr>
      <w:r w:rsidRPr="004F73D6">
        <w:t>Output group 4: Ageing, Aged and Home Care</w:t>
      </w:r>
    </w:p>
    <w:p w:rsidR="00C232A3" w:rsidRPr="00AB62BD" w:rsidRDefault="00C232A3" w:rsidP="00C232A3">
      <w:pPr>
        <w:pStyle w:val="ARfinbody"/>
        <w:rPr>
          <w:lang w:eastAsia="en-AU"/>
        </w:rPr>
      </w:pPr>
      <w:r w:rsidRPr="00AB62BD">
        <w:rPr>
          <w:lang w:eastAsia="en-AU"/>
        </w:rPr>
        <w:t xml:space="preserve">Ageing, Aged and Home Care outputs encompass leading and coordinating the whole of government policy on issues affecting our ageing community. It includes a range of in home, specialist geriatric, residential care and community based programs, such as Home and Community Care (HACC), that are targeted to older people, people with a disability, and their </w:t>
      </w:r>
      <w:proofErr w:type="spellStart"/>
      <w:r w:rsidRPr="00AB62BD">
        <w:rPr>
          <w:lang w:eastAsia="en-AU"/>
        </w:rPr>
        <w:t>carers</w:t>
      </w:r>
      <w:proofErr w:type="spellEnd"/>
      <w:r w:rsidRPr="00AB62BD">
        <w:rPr>
          <w:lang w:eastAsia="en-AU"/>
        </w:rPr>
        <w:t>.</w:t>
      </w:r>
    </w:p>
    <w:p w:rsidR="00C232A3" w:rsidRPr="004F73D6" w:rsidRDefault="00C232A3" w:rsidP="00FB460C">
      <w:pPr>
        <w:pStyle w:val="Heading6"/>
      </w:pPr>
      <w:r w:rsidRPr="004F73D6">
        <w:t>Output group 5: Primary, Community and Dental Health</w:t>
      </w:r>
    </w:p>
    <w:p w:rsidR="00C232A3" w:rsidRPr="00AB62BD" w:rsidRDefault="00C232A3" w:rsidP="00C232A3">
      <w:pPr>
        <w:pStyle w:val="ARfinbody"/>
        <w:rPr>
          <w:lang w:eastAsia="en-AU"/>
        </w:rPr>
      </w:pPr>
      <w:r w:rsidRPr="00AB62BD">
        <w:rPr>
          <w:lang w:eastAsia="en-AU"/>
        </w:rPr>
        <w:t>Primary, Community and Dental Health outputs include a range of in home, community based, community, primary health and dental services designed to promote health and wellbeing and prevent the onset of more serious illnesses.</w:t>
      </w:r>
    </w:p>
    <w:p w:rsidR="00C232A3" w:rsidRPr="004F73D6" w:rsidRDefault="00C232A3" w:rsidP="00FB460C">
      <w:pPr>
        <w:pStyle w:val="Heading6"/>
      </w:pPr>
      <w:r w:rsidRPr="004F73D6">
        <w:t>Output group 6: Small Rural Services</w:t>
      </w:r>
    </w:p>
    <w:p w:rsidR="00C232A3" w:rsidRPr="00AB62BD" w:rsidRDefault="00C232A3" w:rsidP="00C232A3">
      <w:pPr>
        <w:pStyle w:val="ARfinbody"/>
        <w:rPr>
          <w:lang w:eastAsia="en-AU"/>
        </w:rPr>
      </w:pPr>
      <w:r w:rsidRPr="00AB62BD">
        <w:rPr>
          <w:lang w:eastAsia="en-AU"/>
        </w:rPr>
        <w:t>Small Rural Services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p w:rsidR="00C232A3" w:rsidRPr="004F73D6" w:rsidRDefault="00C232A3" w:rsidP="00FB460C">
      <w:pPr>
        <w:pStyle w:val="Heading6"/>
      </w:pPr>
      <w:r w:rsidRPr="004F73D6">
        <w:t>Output group 7: Public Health</w:t>
      </w:r>
    </w:p>
    <w:p w:rsidR="00C232A3" w:rsidRPr="00AB62BD" w:rsidRDefault="00C232A3" w:rsidP="00C232A3">
      <w:pPr>
        <w:pStyle w:val="ARfinbody"/>
        <w:rPr>
          <w:lang w:eastAsia="en-AU"/>
        </w:rPr>
      </w:pPr>
      <w:r w:rsidRPr="00AB62BD">
        <w:rPr>
          <w:lang w:eastAsia="en-AU"/>
        </w:rPr>
        <w:t>Public Health outputs encompass services and support, including screening for health conditions and safety inspections that promote and protect the health and wellbeing of all Victorians.</w:t>
      </w:r>
    </w:p>
    <w:p w:rsidR="00C232A3" w:rsidRPr="004F73D6" w:rsidRDefault="00C232A3" w:rsidP="00FB460C">
      <w:pPr>
        <w:pStyle w:val="Heading6"/>
      </w:pPr>
      <w:r w:rsidRPr="004F73D6">
        <w:t>Output group 8: Drug Services</w:t>
      </w:r>
    </w:p>
    <w:p w:rsidR="00C232A3" w:rsidRPr="00AB62BD" w:rsidRDefault="00C232A3" w:rsidP="00C232A3">
      <w:pPr>
        <w:pStyle w:val="ARfinbody"/>
        <w:rPr>
          <w:lang w:eastAsia="en-AU"/>
        </w:rPr>
      </w:pPr>
      <w:r w:rsidRPr="00AB62BD">
        <w:rPr>
          <w:lang w:eastAsia="en-AU"/>
        </w:rPr>
        <w:t>Drug Services outputs include programs and services aimed at promoting and protecting health by reducing death, disease and social harm caused by the use and misuse of licit and illicit drugs.</w:t>
      </w:r>
    </w:p>
    <w:p w:rsidR="00C232A3" w:rsidRPr="004F73D6" w:rsidRDefault="00C232A3" w:rsidP="00FB460C">
      <w:pPr>
        <w:pStyle w:val="Heading6"/>
      </w:pPr>
      <w:r w:rsidRPr="004F73D6">
        <w:t>Output group 9: Disability Services</w:t>
      </w:r>
    </w:p>
    <w:p w:rsidR="00C232A3" w:rsidRPr="00AB62BD" w:rsidRDefault="00C232A3" w:rsidP="00C232A3">
      <w:pPr>
        <w:pStyle w:val="ARfinbody"/>
        <w:rPr>
          <w:lang w:eastAsia="en-AU"/>
        </w:rPr>
      </w:pPr>
      <w:r w:rsidRPr="00AB62BD">
        <w:rPr>
          <w:lang w:eastAsia="en-AU"/>
        </w:rPr>
        <w:t xml:space="preserve">Disability Services outputs include provision of continuing care and support services for people with disabilities, their </w:t>
      </w:r>
      <w:proofErr w:type="spellStart"/>
      <w:r w:rsidRPr="00AB62BD">
        <w:rPr>
          <w:lang w:eastAsia="en-AU"/>
        </w:rPr>
        <w:t>carers</w:t>
      </w:r>
      <w:proofErr w:type="spellEnd"/>
      <w:r w:rsidRPr="00AB62BD">
        <w:rPr>
          <w:lang w:eastAsia="en-AU"/>
        </w:rPr>
        <w:t xml:space="preserve"> and their families, and aims to make a positive difference for Victorians experiencing disadvantage.</w:t>
      </w:r>
    </w:p>
    <w:p w:rsidR="00C232A3" w:rsidRPr="004F73D6" w:rsidRDefault="00C232A3" w:rsidP="00FB460C">
      <w:pPr>
        <w:pStyle w:val="Heading6"/>
      </w:pPr>
      <w:r w:rsidRPr="004F73D6">
        <w:t>Output group 10: Child Protection and Family Services</w:t>
      </w:r>
    </w:p>
    <w:p w:rsidR="00C232A3" w:rsidRPr="00AB62BD" w:rsidRDefault="00C232A3" w:rsidP="00C232A3">
      <w:pPr>
        <w:pStyle w:val="ARfinbody"/>
        <w:rPr>
          <w:lang w:eastAsia="en-AU"/>
        </w:rPr>
      </w:pPr>
      <w:r w:rsidRPr="00AB62BD">
        <w:rPr>
          <w:lang w:eastAsia="en-AU"/>
        </w:rPr>
        <w:t>Child Protection and Family Services outputs fund statutory child protection services, family support and parenting services, family violence and sexual assault services, adoption and placement care services and specialist support services to ensure the safety and wellbeing of adolescents and children at risk of harm, abuse and neglect.</w:t>
      </w:r>
    </w:p>
    <w:p w:rsidR="00C232A3" w:rsidRPr="004F73D6" w:rsidRDefault="00C232A3" w:rsidP="00FB460C">
      <w:pPr>
        <w:pStyle w:val="Heading6"/>
      </w:pPr>
      <w:r w:rsidRPr="004F73D6">
        <w:lastRenderedPageBreak/>
        <w:t>Output group 11: Youth Services and Youth Justice</w:t>
      </w:r>
    </w:p>
    <w:p w:rsidR="00C232A3" w:rsidRPr="00AB62BD" w:rsidRDefault="00C232A3" w:rsidP="00C232A3">
      <w:pPr>
        <w:pStyle w:val="ARfinbody"/>
        <w:rPr>
          <w:lang w:eastAsia="en-AU"/>
        </w:rPr>
      </w:pPr>
      <w:r w:rsidRPr="00AB62BD">
        <w:rPr>
          <w:lang w:eastAsia="en-AU"/>
        </w:rPr>
        <w:t>Youth Services and Youth Justice outputs fund a range of services including the provision of advice to courts, community-based and custodial supervision and youth services.</w:t>
      </w:r>
    </w:p>
    <w:p w:rsidR="00C232A3" w:rsidRPr="004F73D6" w:rsidRDefault="00C232A3" w:rsidP="00FB460C">
      <w:pPr>
        <w:pStyle w:val="Heading6"/>
      </w:pPr>
      <w:r w:rsidRPr="004F73D6">
        <w:t>Output group 12: Concessions to Pensioners and Beneficiaries</w:t>
      </w:r>
    </w:p>
    <w:p w:rsidR="00C232A3" w:rsidRPr="00AB62BD" w:rsidRDefault="00C232A3" w:rsidP="00C232A3">
      <w:pPr>
        <w:pStyle w:val="ARfinbody"/>
        <w:rPr>
          <w:lang w:eastAsia="en-AU"/>
        </w:rPr>
      </w:pPr>
      <w:r w:rsidRPr="00AB62BD">
        <w:rPr>
          <w:lang w:eastAsia="en-AU"/>
        </w:rPr>
        <w:t>Concessions to Pensioners and Beneficiaries outputs include the development and coordination of the delivery of concessions and relief grants to eligible consumers and concession card holders.</w:t>
      </w:r>
    </w:p>
    <w:p w:rsidR="00C232A3" w:rsidRPr="004F73D6" w:rsidRDefault="00C232A3" w:rsidP="00FB460C">
      <w:pPr>
        <w:pStyle w:val="Heading6"/>
      </w:pPr>
      <w:r w:rsidRPr="004F73D6">
        <w:t>Output group 13: Empowering Individuals and Communities</w:t>
      </w:r>
    </w:p>
    <w:p w:rsidR="00C232A3" w:rsidRPr="00AB62BD" w:rsidRDefault="00C232A3" w:rsidP="00C232A3">
      <w:pPr>
        <w:pStyle w:val="ARfinbody"/>
        <w:rPr>
          <w:lang w:eastAsia="en-AU"/>
        </w:rPr>
      </w:pPr>
      <w:r w:rsidRPr="00AB62BD">
        <w:rPr>
          <w:lang w:eastAsia="en-AU"/>
        </w:rPr>
        <w:t>Empowering Individuals and Communities outputs fund programs that support community participation including Neighbourhood Houses, Men’s Sheds, community support projects and community sport and recreation and programs for youth and people with a disability.</w:t>
      </w:r>
    </w:p>
    <w:p w:rsidR="00C232A3" w:rsidRPr="004F73D6" w:rsidRDefault="00C232A3" w:rsidP="00FB460C">
      <w:pPr>
        <w:pStyle w:val="Heading6"/>
      </w:pPr>
      <w:r w:rsidRPr="004F73D6">
        <w:t>Output group 14: Housing Assistance</w:t>
      </w:r>
    </w:p>
    <w:p w:rsidR="00C232A3" w:rsidRPr="00AB62BD" w:rsidRDefault="00C232A3" w:rsidP="00C232A3">
      <w:pPr>
        <w:pStyle w:val="ARfinbody"/>
        <w:rPr>
          <w:lang w:eastAsia="en-AU"/>
        </w:rPr>
      </w:pPr>
      <w:r w:rsidRPr="00AB62BD">
        <w:rPr>
          <w:lang w:eastAsia="en-AU"/>
        </w:rPr>
        <w:t>Housing Assistance outputs include the provision of homelessness services, crisis and transitional accommodation and long-term adequate, affordable and accessible housing assistance, coordinated with support services where required, home renovation assistance and the management of the home loan portfolio.</w:t>
      </w:r>
    </w:p>
    <w:p w:rsidR="00C232A3" w:rsidRPr="004F73D6" w:rsidRDefault="00C232A3" w:rsidP="00FB460C">
      <w:pPr>
        <w:pStyle w:val="Heading6"/>
      </w:pPr>
      <w:r w:rsidRPr="004F73D6">
        <w:t>Output group 15: Shared Services</w:t>
      </w:r>
    </w:p>
    <w:p w:rsidR="00C232A3" w:rsidRPr="00AB62BD" w:rsidRDefault="00C232A3" w:rsidP="00C232A3">
      <w:pPr>
        <w:pStyle w:val="ARfinbody"/>
        <w:rPr>
          <w:lang w:eastAsia="en-AU"/>
        </w:rPr>
      </w:pPr>
      <w:r w:rsidRPr="00AB62BD">
        <w:rPr>
          <w:lang w:eastAsia="en-AU"/>
        </w:rPr>
        <w:t>Shared services reflect the range of corporate services that the department provides to the Depart</w:t>
      </w:r>
      <w:r>
        <w:rPr>
          <w:lang w:eastAsia="en-AU"/>
        </w:rPr>
        <w:t>ment of Education and Training.</w:t>
      </w:r>
    </w:p>
    <w:p w:rsidR="00C232A3" w:rsidRDefault="00C232A3" w:rsidP="00C232A3">
      <w:pPr>
        <w:pStyle w:val="ARfinbody"/>
        <w:rPr>
          <w:rStyle w:val="Strong"/>
          <w:rFonts w:cs="Arial"/>
          <w:bCs w:val="0"/>
        </w:rPr>
        <w:sectPr w:rsidR="00C232A3" w:rsidSect="00C232A3">
          <w:headerReference w:type="even" r:id="rId100"/>
          <w:headerReference w:type="default" r:id="rId101"/>
          <w:footerReference w:type="even" r:id="rId102"/>
          <w:footerReference w:type="default" r:id="rId103"/>
          <w:headerReference w:type="first" r:id="rId104"/>
          <w:footerReference w:type="first" r:id="rId105"/>
          <w:endnotePr>
            <w:numFmt w:val="decimal"/>
          </w:endnotePr>
          <w:pgSz w:w="11900" w:h="16840" w:code="9"/>
          <w:pgMar w:top="1531" w:right="851" w:bottom="680" w:left="1418" w:header="510" w:footer="340" w:gutter="0"/>
          <w:cols w:space="454"/>
        </w:sectPr>
      </w:pPr>
    </w:p>
    <w:p w:rsidR="00C232A3" w:rsidRPr="00D11896" w:rsidRDefault="00C232A3" w:rsidP="00C232A3">
      <w:pPr>
        <w:pStyle w:val="Heading5"/>
        <w:spacing w:before="0"/>
        <w:rPr>
          <w:rStyle w:val="Strong"/>
        </w:rPr>
      </w:pPr>
      <w:r w:rsidRPr="00D11896">
        <w:rPr>
          <w:rStyle w:val="Strong"/>
        </w:rPr>
        <w:lastRenderedPageBreak/>
        <w:t>4.1.2 Departmental outputs – Controlled income and expenses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949"/>
        <w:gridCol w:w="715"/>
        <w:gridCol w:w="716"/>
        <w:gridCol w:w="716"/>
        <w:gridCol w:w="716"/>
        <w:gridCol w:w="716"/>
        <w:gridCol w:w="716"/>
        <w:gridCol w:w="716"/>
        <w:gridCol w:w="716"/>
        <w:gridCol w:w="716"/>
        <w:gridCol w:w="716"/>
        <w:gridCol w:w="716"/>
        <w:gridCol w:w="716"/>
        <w:gridCol w:w="716"/>
        <w:gridCol w:w="716"/>
        <w:gridCol w:w="716"/>
        <w:gridCol w:w="771"/>
      </w:tblGrid>
      <w:tr w:rsidR="00C232A3" w:rsidRPr="003775EA" w:rsidTr="00C232A3">
        <w:trPr>
          <w:cantSplit/>
          <w:tblHeader/>
        </w:trPr>
        <w:tc>
          <w:tcPr>
            <w:tcW w:w="2949" w:type="dxa"/>
            <w:tcBorders>
              <w:bottom w:val="single" w:sz="4" w:space="0" w:color="auto"/>
            </w:tcBorders>
            <w:vAlign w:val="bottom"/>
          </w:tcPr>
          <w:p w:rsidR="00C232A3" w:rsidRPr="003775EA" w:rsidRDefault="00C232A3" w:rsidP="00C232A3">
            <w:pPr>
              <w:pStyle w:val="ARfintablecolhead"/>
              <w:rPr>
                <w:sz w:val="14"/>
                <w:szCs w:val="14"/>
              </w:rPr>
            </w:pPr>
            <w:r w:rsidRPr="003775EA">
              <w:rPr>
                <w:sz w:val="14"/>
                <w:szCs w:val="14"/>
              </w:rPr>
              <w:t>Output group</w:t>
            </w:r>
            <w:r>
              <w:rPr>
                <w:sz w:val="14"/>
                <w:szCs w:val="14"/>
              </w:rPr>
              <w:t xml:space="preserve"> </w:t>
            </w:r>
            <w:r w:rsidRPr="00A912F9">
              <w:rPr>
                <w:rStyle w:val="Superscriptbold"/>
                <w:sz w:val="14"/>
                <w:szCs w:val="14"/>
              </w:rPr>
              <w:t>(</w:t>
            </w:r>
            <w:proofErr w:type="spellStart"/>
            <w:r w:rsidRPr="00A912F9">
              <w:rPr>
                <w:rStyle w:val="Superscriptbold"/>
                <w:sz w:val="14"/>
                <w:szCs w:val="14"/>
              </w:rPr>
              <w:t>i</w:t>
            </w:r>
            <w:proofErr w:type="spellEnd"/>
            <w:r w:rsidRPr="00A912F9">
              <w:rPr>
                <w:rStyle w:val="Superscriptbold"/>
                <w:sz w:val="14"/>
                <w:szCs w:val="14"/>
              </w:rPr>
              <w:t>)</w:t>
            </w:r>
          </w:p>
          <w:p w:rsidR="00C232A3" w:rsidRPr="003775EA" w:rsidRDefault="00C232A3" w:rsidP="00C232A3">
            <w:pPr>
              <w:autoSpaceDE w:val="0"/>
              <w:autoSpaceDN w:val="0"/>
              <w:adjustRightInd w:val="0"/>
              <w:spacing w:beforeLines="40" w:before="96" w:afterLines="20" w:after="48"/>
              <w:rPr>
                <w:rFonts w:cs="Arial"/>
                <w:b/>
                <w:bCs/>
                <w:color w:val="000000"/>
                <w:sz w:val="14"/>
                <w:szCs w:val="14"/>
                <w:vertAlign w:val="superscript"/>
                <w:lang w:eastAsia="en-AU"/>
              </w:rPr>
            </w:pPr>
            <w:r w:rsidRPr="003775EA">
              <w:rPr>
                <w:rStyle w:val="Strong"/>
                <w:rFonts w:cs="Arial"/>
                <w:sz w:val="14"/>
                <w:szCs w:val="14"/>
              </w:rPr>
              <w:t>2017</w:t>
            </w:r>
          </w:p>
        </w:tc>
        <w:tc>
          <w:tcPr>
            <w:tcW w:w="715"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1</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2</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3</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4</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5</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6</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7</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8</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9</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10</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11</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12</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13</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14</w:t>
            </w:r>
          </w:p>
          <w:p w:rsidR="00C232A3" w:rsidRPr="003775EA" w:rsidRDefault="00C232A3" w:rsidP="00C232A3">
            <w:pPr>
              <w:pStyle w:val="ARfintablecolheadright"/>
              <w:rPr>
                <w:sz w:val="14"/>
                <w:szCs w:val="14"/>
              </w:rPr>
            </w:pPr>
            <w:r w:rsidRPr="003775EA">
              <w:rPr>
                <w:sz w:val="14"/>
                <w:szCs w:val="14"/>
              </w:rPr>
              <w:t>$M</w:t>
            </w:r>
          </w:p>
        </w:tc>
        <w:tc>
          <w:tcPr>
            <w:tcW w:w="716"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15</w:t>
            </w:r>
          </w:p>
          <w:p w:rsidR="00C232A3" w:rsidRPr="003775EA" w:rsidRDefault="00C232A3" w:rsidP="00C232A3">
            <w:pPr>
              <w:pStyle w:val="ARfintablecolheadright"/>
              <w:rPr>
                <w:sz w:val="14"/>
                <w:szCs w:val="14"/>
              </w:rPr>
            </w:pPr>
            <w:r w:rsidRPr="003775EA">
              <w:rPr>
                <w:sz w:val="14"/>
                <w:szCs w:val="14"/>
              </w:rPr>
              <w:t>$M</w:t>
            </w:r>
          </w:p>
        </w:tc>
        <w:tc>
          <w:tcPr>
            <w:tcW w:w="771" w:type="dxa"/>
            <w:tcBorders>
              <w:bottom w:val="single" w:sz="4" w:space="0" w:color="auto"/>
            </w:tcBorders>
            <w:vAlign w:val="bottom"/>
          </w:tcPr>
          <w:p w:rsidR="00C232A3" w:rsidRPr="003775EA" w:rsidRDefault="00C232A3" w:rsidP="00C232A3">
            <w:pPr>
              <w:pStyle w:val="ARfintablecolheadright"/>
              <w:rPr>
                <w:sz w:val="14"/>
                <w:szCs w:val="14"/>
              </w:rPr>
            </w:pPr>
            <w:r w:rsidRPr="003775EA">
              <w:rPr>
                <w:sz w:val="14"/>
                <w:szCs w:val="14"/>
              </w:rPr>
              <w:t>Total</w:t>
            </w:r>
            <w:r>
              <w:rPr>
                <w:sz w:val="14"/>
                <w:szCs w:val="14"/>
              </w:rPr>
              <w:t xml:space="preserve"> </w:t>
            </w:r>
            <w:r w:rsidRPr="001352E4">
              <w:rPr>
                <w:rStyle w:val="Superscriptbold"/>
                <w:sz w:val="14"/>
                <w:szCs w:val="14"/>
              </w:rPr>
              <w:t>(ii)</w:t>
            </w:r>
          </w:p>
          <w:p w:rsidR="00C232A3" w:rsidRPr="003775EA" w:rsidRDefault="00C232A3" w:rsidP="00C232A3">
            <w:pPr>
              <w:pStyle w:val="ARfintablecolheadright"/>
              <w:rPr>
                <w:sz w:val="14"/>
                <w:szCs w:val="14"/>
              </w:rPr>
            </w:pPr>
            <w:r w:rsidRPr="003775EA">
              <w:rPr>
                <w:sz w:val="14"/>
                <w:szCs w:val="14"/>
              </w:rPr>
              <w:t>$M</w:t>
            </w:r>
          </w:p>
        </w:tc>
      </w:tr>
      <w:tr w:rsidR="00C232A3" w:rsidRPr="003775EA" w:rsidTr="00C232A3">
        <w:trPr>
          <w:cantSplit/>
        </w:trPr>
        <w:tc>
          <w:tcPr>
            <w:tcW w:w="2949" w:type="dxa"/>
            <w:tcBorders>
              <w:top w:val="single" w:sz="4" w:space="0" w:color="auto"/>
              <w:bottom w:val="single" w:sz="4" w:space="0" w:color="A6A6A6" w:themeColor="background1" w:themeShade="A6"/>
            </w:tcBorders>
          </w:tcPr>
          <w:p w:rsidR="00C232A3" w:rsidRPr="003775EA" w:rsidRDefault="00C232A3" w:rsidP="00C232A3">
            <w:pPr>
              <w:pStyle w:val="ARfintablebody"/>
              <w:spacing w:before="30" w:after="10"/>
              <w:rPr>
                <w:rStyle w:val="Strong"/>
                <w:bCs w:val="0"/>
                <w:sz w:val="14"/>
                <w:szCs w:val="14"/>
              </w:rPr>
            </w:pPr>
            <w:r w:rsidRPr="003775EA">
              <w:rPr>
                <w:rStyle w:val="Strong"/>
                <w:sz w:val="14"/>
                <w:szCs w:val="14"/>
              </w:rPr>
              <w:t>Income from transactions</w:t>
            </w:r>
          </w:p>
        </w:tc>
        <w:tc>
          <w:tcPr>
            <w:tcW w:w="715"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71"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Output appropriations</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6,143.9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596.0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809.0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522.0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421.3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303.8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273.7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142.5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1,931.9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1,160.7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108.7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693.5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158.9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489.5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13,755.3</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Special appropriations</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1,062.9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59.2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42.8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25.2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49.2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9.0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14.0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63.9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1,334.5</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Interest income</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8.9</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Rental income and income from services</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479.9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480.9</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Grants and other income transfers</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224.1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328.6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85.7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128.9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45.8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12.2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20.0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30.5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889.2</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Fair value of assets and services received free of charge or for nominal consideration</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135.7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136.6</w:t>
            </w:r>
          </w:p>
        </w:tc>
      </w:tr>
      <w:tr w:rsidR="00C232A3" w:rsidRPr="003775EA" w:rsidTr="00C232A3">
        <w:trPr>
          <w:cantSplit/>
        </w:trPr>
        <w:tc>
          <w:tcPr>
            <w:tcW w:w="2949" w:type="dxa"/>
            <w:tcBorders>
              <w:top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Other income</w:t>
            </w:r>
          </w:p>
        </w:tc>
        <w:tc>
          <w:tcPr>
            <w:tcW w:w="715"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64.5</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0.4</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1.8</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0.9</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0.6</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1.2</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8.1</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2.5</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1.4</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0.8</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5.2</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2.5</w:t>
            </w:r>
          </w:p>
        </w:tc>
        <w:tc>
          <w:tcPr>
            <w:tcW w:w="771"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90.9</w:t>
            </w:r>
          </w:p>
        </w:tc>
      </w:tr>
      <w:tr w:rsidR="00C232A3" w:rsidRPr="003775EA" w:rsidTr="00C232A3">
        <w:trPr>
          <w:cantSplit/>
        </w:trPr>
        <w:tc>
          <w:tcPr>
            <w:tcW w:w="2949" w:type="dxa"/>
            <w:tcBorders>
              <w:bottom w:val="single" w:sz="4" w:space="0" w:color="auto"/>
            </w:tcBorders>
          </w:tcPr>
          <w:p w:rsidR="00C232A3" w:rsidRPr="003775EA" w:rsidRDefault="00C232A3" w:rsidP="00C232A3">
            <w:pPr>
              <w:pStyle w:val="ARfintablebody"/>
              <w:spacing w:before="30" w:after="10"/>
              <w:rPr>
                <w:bCs/>
                <w:sz w:val="14"/>
                <w:szCs w:val="14"/>
                <w:lang w:eastAsia="en-AU"/>
              </w:rPr>
            </w:pPr>
            <w:r w:rsidRPr="003775EA">
              <w:rPr>
                <w:rStyle w:val="Strong"/>
                <w:sz w:val="14"/>
                <w:szCs w:val="14"/>
              </w:rPr>
              <w:t>Total income from transactions</w:t>
            </w:r>
          </w:p>
        </w:tc>
        <w:tc>
          <w:tcPr>
            <w:tcW w:w="715"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7,495.4</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655.6</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1,182.2</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549.4</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478.2</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399.6</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417.7</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196.2</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2,008.6</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1,175.4</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110.3</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693.5</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315.4</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1,015.1</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3.5</w:t>
            </w:r>
          </w:p>
        </w:tc>
        <w:tc>
          <w:tcPr>
            <w:tcW w:w="771"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16,696.3</w:t>
            </w:r>
          </w:p>
        </w:tc>
      </w:tr>
      <w:tr w:rsidR="00C232A3" w:rsidRPr="003775EA" w:rsidTr="00C232A3">
        <w:trPr>
          <w:cantSplit/>
        </w:trPr>
        <w:tc>
          <w:tcPr>
            <w:tcW w:w="2949" w:type="dxa"/>
            <w:tcBorders>
              <w:top w:val="single" w:sz="4" w:space="0" w:color="auto"/>
              <w:bottom w:val="single" w:sz="4" w:space="0" w:color="A6A6A6" w:themeColor="background1" w:themeShade="A6"/>
            </w:tcBorders>
          </w:tcPr>
          <w:p w:rsidR="00C232A3" w:rsidRPr="003775EA" w:rsidRDefault="00C232A3" w:rsidP="00C232A3">
            <w:pPr>
              <w:pStyle w:val="ARfintablebody"/>
              <w:spacing w:before="30" w:after="10"/>
              <w:rPr>
                <w:rStyle w:val="Strong"/>
                <w:bCs w:val="0"/>
                <w:sz w:val="14"/>
                <w:szCs w:val="14"/>
              </w:rPr>
            </w:pPr>
            <w:r w:rsidRPr="003775EA">
              <w:rPr>
                <w:rStyle w:val="Strong"/>
                <w:sz w:val="14"/>
                <w:szCs w:val="14"/>
              </w:rPr>
              <w:t>Expenses from transactions</w:t>
            </w:r>
          </w:p>
        </w:tc>
        <w:tc>
          <w:tcPr>
            <w:tcW w:w="715"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71"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Employee expenses</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106.3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28.6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19.3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13.0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45.2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9.6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552.6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294.8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55.0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16.1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101.9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1.1</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1,260.3</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Depreciation and amortisation</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9.1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18.7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9.7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212.3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0.3</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269.9</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Interest expense</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5B7C87">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5B7C87">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5B7C87">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5B7C87">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5B7C87">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5B7C87">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DB0E6D">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DB0E6D">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1.1</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Maintenance</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5B7C87">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171.4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192.2</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Grants and other expense transfers</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6,653.4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632.1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1,042.5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408.5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412.6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320.1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235.8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176.0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1,274.0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750.0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18.8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683.4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143.4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430.2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13,180.8</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Capital asset charge</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843.5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19.6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67.9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50.8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26.4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35.8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38.0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14.4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7.7</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1,116.7</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Fair value of assets and services provided free of charge or for nominal consideration</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209.1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209.6</w:t>
            </w:r>
          </w:p>
        </w:tc>
      </w:tr>
      <w:tr w:rsidR="00C232A3" w:rsidRPr="003775EA"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Other operating expenses</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121.4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1.5</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11.4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13.0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6.8</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76.9</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8.2</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114.4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94.6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18.0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3.4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7.4</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46.6</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1.4</w:t>
            </w:r>
          </w:p>
        </w:tc>
        <w:tc>
          <w:tcPr>
            <w:tcW w:w="771"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528.4</w:t>
            </w:r>
          </w:p>
        </w:tc>
      </w:tr>
      <w:tr w:rsidR="00C232A3" w:rsidRPr="003775EA" w:rsidTr="00C232A3">
        <w:trPr>
          <w:cantSplit/>
        </w:trPr>
        <w:tc>
          <w:tcPr>
            <w:tcW w:w="2949" w:type="dxa"/>
            <w:tcBorders>
              <w:top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Other property management expenses</w:t>
            </w:r>
          </w:p>
        </w:tc>
        <w:tc>
          <w:tcPr>
            <w:tcW w:w="715"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C0223D">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C0223D">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C0223D">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0.4</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197.9</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71"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198.4</w:t>
            </w:r>
          </w:p>
        </w:tc>
      </w:tr>
      <w:tr w:rsidR="00C232A3" w:rsidRPr="003775EA" w:rsidTr="00C232A3">
        <w:trPr>
          <w:cantSplit/>
        </w:trPr>
        <w:tc>
          <w:tcPr>
            <w:tcW w:w="2949" w:type="dxa"/>
          </w:tcPr>
          <w:p w:rsidR="00C232A3" w:rsidRPr="003775EA" w:rsidRDefault="00C232A3" w:rsidP="00C232A3">
            <w:pPr>
              <w:pStyle w:val="ARfintablebody"/>
              <w:spacing w:before="30" w:after="10"/>
              <w:rPr>
                <w:bCs/>
                <w:sz w:val="14"/>
                <w:szCs w:val="14"/>
                <w:lang w:eastAsia="en-AU"/>
              </w:rPr>
            </w:pPr>
            <w:r w:rsidRPr="003775EA">
              <w:rPr>
                <w:rStyle w:val="Strong"/>
                <w:sz w:val="14"/>
                <w:szCs w:val="14"/>
              </w:rPr>
              <w:t>Total expenses from transactions</w:t>
            </w:r>
          </w:p>
        </w:tc>
        <w:tc>
          <w:tcPr>
            <w:tcW w:w="715"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7,733.7</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655.8</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1,159.7</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494.1</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462.4</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366.7</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361.6</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196.3</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2,009.1</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1,168.3</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108.7</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693.5</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175.2</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1,369.4</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2.9</w:t>
            </w:r>
          </w:p>
        </w:tc>
        <w:tc>
          <w:tcPr>
            <w:tcW w:w="771"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16,957.4</w:t>
            </w:r>
          </w:p>
        </w:tc>
      </w:tr>
      <w:tr w:rsidR="00C232A3" w:rsidRPr="003775EA" w:rsidTr="00C232A3">
        <w:trPr>
          <w:cantSplit/>
        </w:trPr>
        <w:tc>
          <w:tcPr>
            <w:tcW w:w="2949" w:type="dxa"/>
            <w:tcBorders>
              <w:bottom w:val="single" w:sz="4" w:space="0" w:color="auto"/>
            </w:tcBorders>
          </w:tcPr>
          <w:p w:rsidR="00C232A3" w:rsidRPr="003775EA" w:rsidRDefault="00C232A3" w:rsidP="00C232A3">
            <w:pPr>
              <w:pStyle w:val="ARfintablebody"/>
              <w:spacing w:before="30" w:after="10"/>
              <w:rPr>
                <w:bCs/>
                <w:sz w:val="14"/>
                <w:szCs w:val="14"/>
                <w:lang w:eastAsia="en-AU"/>
              </w:rPr>
            </w:pPr>
            <w:r w:rsidRPr="003775EA">
              <w:rPr>
                <w:rStyle w:val="Strong"/>
                <w:sz w:val="14"/>
                <w:szCs w:val="14"/>
              </w:rPr>
              <w:t>Net result from transactions (net operating balance)</w:t>
            </w:r>
          </w:p>
        </w:tc>
        <w:tc>
          <w:tcPr>
            <w:tcW w:w="715"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(238.3)</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(0.2)</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22.5</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55.4</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15.7</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32.9</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56.2</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(0.1)</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(0.4)</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7.1</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1.6</w:t>
            </w:r>
          </w:p>
        </w:tc>
        <w:tc>
          <w:tcPr>
            <w:tcW w:w="716" w:type="dxa"/>
            <w:tcBorders>
              <w:bottom w:val="single" w:sz="4" w:space="0" w:color="auto"/>
            </w:tcBorders>
          </w:tcPr>
          <w:p w:rsidR="00C232A3" w:rsidRPr="00050F24" w:rsidRDefault="00C232A3" w:rsidP="00C232A3">
            <w:pPr>
              <w:pStyle w:val="ARfintablebodyright"/>
              <w:spacing w:before="30" w:after="10"/>
              <w:rPr>
                <w:rStyle w:val="Strong"/>
              </w:rPr>
            </w:pPr>
            <w:r w:rsidRPr="00050F24">
              <w:rPr>
                <w:rStyle w:val="Strong"/>
              </w:rPr>
              <w:t>–</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140.2</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(354.3)</w:t>
            </w:r>
          </w:p>
        </w:tc>
        <w:tc>
          <w:tcPr>
            <w:tcW w:w="716"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0.7</w:t>
            </w:r>
          </w:p>
        </w:tc>
        <w:tc>
          <w:tcPr>
            <w:tcW w:w="771" w:type="dxa"/>
            <w:tcBorders>
              <w:bottom w:val="single" w:sz="4" w:space="0" w:color="auto"/>
            </w:tcBorders>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(261.1)</w:t>
            </w:r>
          </w:p>
        </w:tc>
      </w:tr>
      <w:tr w:rsidR="00C232A3" w:rsidRPr="00AB62BD" w:rsidTr="00C232A3">
        <w:trPr>
          <w:cantSplit/>
        </w:trPr>
        <w:tc>
          <w:tcPr>
            <w:tcW w:w="2949" w:type="dxa"/>
            <w:tcBorders>
              <w:top w:val="single" w:sz="4" w:space="0" w:color="auto"/>
              <w:bottom w:val="single" w:sz="4" w:space="0" w:color="A6A6A6" w:themeColor="background1" w:themeShade="A6"/>
            </w:tcBorders>
          </w:tcPr>
          <w:p w:rsidR="00C232A3" w:rsidRPr="003775EA" w:rsidRDefault="00C232A3" w:rsidP="00C232A3">
            <w:pPr>
              <w:pStyle w:val="ARfintablebody"/>
              <w:spacing w:before="30" w:after="10"/>
              <w:rPr>
                <w:rStyle w:val="Strong"/>
                <w:bCs w:val="0"/>
                <w:sz w:val="14"/>
                <w:szCs w:val="14"/>
              </w:rPr>
            </w:pPr>
            <w:r w:rsidRPr="003775EA">
              <w:rPr>
                <w:rStyle w:val="Strong"/>
                <w:sz w:val="14"/>
                <w:szCs w:val="14"/>
              </w:rPr>
              <w:t>Other economic flows included in net result</w:t>
            </w:r>
          </w:p>
        </w:tc>
        <w:tc>
          <w:tcPr>
            <w:tcW w:w="715"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16"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c>
          <w:tcPr>
            <w:tcW w:w="771" w:type="dxa"/>
            <w:tcBorders>
              <w:top w:val="single" w:sz="4" w:space="0" w:color="auto"/>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p>
        </w:tc>
      </w:tr>
      <w:tr w:rsidR="00C232A3" w:rsidRPr="00AB62BD"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Net gain/(loss) on non-financial assets</w:t>
            </w:r>
            <w:r>
              <w:rPr>
                <w:sz w:val="14"/>
                <w:szCs w:val="14"/>
                <w:lang w:eastAsia="en-AU"/>
              </w:rPr>
              <w:t xml:space="preserve"> </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0E3861">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0E3861">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(0.3)</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(2.0)</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0.3</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(4.1)</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(6.0)</w:t>
            </w:r>
          </w:p>
        </w:tc>
      </w:tr>
      <w:tr w:rsidR="00C232A3" w:rsidRPr="00AB62BD" w:rsidTr="00C232A3">
        <w:trPr>
          <w:cantSplit/>
        </w:trPr>
        <w:tc>
          <w:tcPr>
            <w:tcW w:w="2949"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Net gain/(loss) on financial instruments</w:t>
            </w:r>
            <w:r>
              <w:rPr>
                <w:sz w:val="14"/>
                <w:szCs w:val="14"/>
                <w:lang w:eastAsia="en-AU"/>
              </w:rPr>
              <w:t xml:space="preserve"> </w:t>
            </w:r>
          </w:p>
        </w:tc>
        <w:tc>
          <w:tcPr>
            <w:tcW w:w="715"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1.0</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71" w:type="dxa"/>
            <w:tcBorders>
              <w:top w:val="single" w:sz="4" w:space="0" w:color="A6A6A6" w:themeColor="background1" w:themeShade="A6"/>
              <w:bottom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1.5</w:t>
            </w:r>
          </w:p>
        </w:tc>
      </w:tr>
      <w:tr w:rsidR="00C232A3" w:rsidRPr="00AB62BD" w:rsidTr="00C232A3">
        <w:trPr>
          <w:cantSplit/>
        </w:trPr>
        <w:tc>
          <w:tcPr>
            <w:tcW w:w="2949" w:type="dxa"/>
            <w:tcBorders>
              <w:top w:val="single" w:sz="4" w:space="0" w:color="A6A6A6" w:themeColor="background1" w:themeShade="A6"/>
            </w:tcBorders>
          </w:tcPr>
          <w:p w:rsidR="00C232A3" w:rsidRPr="003775EA" w:rsidRDefault="00C232A3" w:rsidP="00C232A3">
            <w:pPr>
              <w:pStyle w:val="ARfintablebody"/>
              <w:spacing w:before="30" w:after="10"/>
              <w:rPr>
                <w:sz w:val="14"/>
                <w:szCs w:val="14"/>
                <w:lang w:eastAsia="en-AU"/>
              </w:rPr>
            </w:pPr>
            <w:r w:rsidRPr="003775EA">
              <w:rPr>
                <w:sz w:val="14"/>
                <w:szCs w:val="14"/>
                <w:lang w:eastAsia="en-AU"/>
              </w:rPr>
              <w:t>Other gains/(losses) from other economic flows</w:t>
            </w:r>
          </w:p>
        </w:tc>
        <w:tc>
          <w:tcPr>
            <w:tcW w:w="715"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5.3</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0.2</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0.8</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0.4</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0.3</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0.5</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0.3</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0.1</w:t>
            </w:r>
          </w:p>
        </w:tc>
        <w:tc>
          <w:tcPr>
            <w:tcW w:w="716" w:type="dxa"/>
            <w:tcBorders>
              <w:top w:val="single" w:sz="4" w:space="0" w:color="A6A6A6" w:themeColor="background1" w:themeShade="A6"/>
            </w:tcBorders>
          </w:tcPr>
          <w:p w:rsidR="00C232A3" w:rsidRPr="003775EA" w:rsidRDefault="00C232A3" w:rsidP="00C232A3">
            <w:pPr>
              <w:pStyle w:val="ARfintablebodyright"/>
              <w:spacing w:before="30" w:after="10"/>
              <w:rPr>
                <w:sz w:val="14"/>
                <w:szCs w:val="14"/>
                <w:lang w:eastAsia="en-AU"/>
              </w:rPr>
            </w:pPr>
            <w:r w:rsidRPr="003775EA">
              <w:rPr>
                <w:sz w:val="14"/>
                <w:szCs w:val="14"/>
                <w:lang w:eastAsia="en-AU"/>
              </w:rPr>
              <w:t>2.3</w:t>
            </w:r>
          </w:p>
        </w:tc>
        <w:tc>
          <w:tcPr>
            <w:tcW w:w="716" w:type="dxa"/>
            <w:tcBorders>
              <w:top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(0.5)</w:t>
            </w:r>
          </w:p>
        </w:tc>
        <w:tc>
          <w:tcPr>
            <w:tcW w:w="716" w:type="dxa"/>
            <w:tcBorders>
              <w:top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0.4</w:t>
            </w:r>
          </w:p>
        </w:tc>
        <w:tc>
          <w:tcPr>
            <w:tcW w:w="716" w:type="dxa"/>
            <w:tcBorders>
              <w:top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16" w:type="dxa"/>
            <w:tcBorders>
              <w:top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0.1</w:t>
            </w:r>
          </w:p>
        </w:tc>
        <w:tc>
          <w:tcPr>
            <w:tcW w:w="716" w:type="dxa"/>
            <w:tcBorders>
              <w:top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(10.8)</w:t>
            </w:r>
          </w:p>
        </w:tc>
        <w:tc>
          <w:tcPr>
            <w:tcW w:w="716" w:type="dxa"/>
            <w:tcBorders>
              <w:top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w:t>
            </w:r>
          </w:p>
        </w:tc>
        <w:tc>
          <w:tcPr>
            <w:tcW w:w="771" w:type="dxa"/>
            <w:tcBorders>
              <w:top w:val="single" w:sz="4" w:space="0" w:color="A6A6A6" w:themeColor="background1" w:themeShade="A6"/>
            </w:tcBorders>
          </w:tcPr>
          <w:p w:rsidR="00C232A3" w:rsidRPr="00395ADC" w:rsidRDefault="00C232A3" w:rsidP="00C232A3">
            <w:pPr>
              <w:pStyle w:val="ARfintablebodyright"/>
              <w:spacing w:before="30" w:after="10"/>
              <w:rPr>
                <w:sz w:val="14"/>
                <w:szCs w:val="14"/>
                <w:lang w:eastAsia="en-AU"/>
              </w:rPr>
            </w:pPr>
            <w:r w:rsidRPr="00395ADC">
              <w:rPr>
                <w:sz w:val="14"/>
                <w:szCs w:val="14"/>
                <w:lang w:eastAsia="en-AU"/>
              </w:rPr>
              <w:t>(0.6)</w:t>
            </w:r>
          </w:p>
        </w:tc>
      </w:tr>
      <w:tr w:rsidR="00C232A3" w:rsidRPr="00AB62BD" w:rsidTr="00C232A3">
        <w:trPr>
          <w:cantSplit/>
        </w:trPr>
        <w:tc>
          <w:tcPr>
            <w:tcW w:w="2949" w:type="dxa"/>
          </w:tcPr>
          <w:p w:rsidR="00C232A3" w:rsidRPr="003775EA" w:rsidRDefault="00C232A3" w:rsidP="00C232A3">
            <w:pPr>
              <w:pStyle w:val="ARfintablebody"/>
              <w:spacing w:before="30" w:after="10"/>
              <w:rPr>
                <w:bCs/>
                <w:sz w:val="14"/>
                <w:szCs w:val="14"/>
                <w:lang w:eastAsia="en-AU"/>
              </w:rPr>
            </w:pPr>
            <w:r w:rsidRPr="003775EA">
              <w:rPr>
                <w:rStyle w:val="Strong"/>
                <w:sz w:val="14"/>
                <w:szCs w:val="14"/>
              </w:rPr>
              <w:t>Total other economic flows included in net result</w:t>
            </w:r>
          </w:p>
        </w:tc>
        <w:tc>
          <w:tcPr>
            <w:tcW w:w="715"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6.3</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0.2</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0.9</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0.5</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0.1</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0.5</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0.4</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0.1</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0.4</w:t>
            </w:r>
          </w:p>
        </w:tc>
        <w:tc>
          <w:tcPr>
            <w:tcW w:w="716" w:type="dxa"/>
          </w:tcPr>
          <w:p w:rsidR="00C232A3" w:rsidRPr="00395ADC" w:rsidRDefault="00C232A3" w:rsidP="00C232A3">
            <w:pPr>
              <w:pStyle w:val="ARfintablebodyright"/>
              <w:spacing w:before="30" w:after="10"/>
              <w:rPr>
                <w:b/>
                <w:bCs/>
                <w:sz w:val="14"/>
                <w:szCs w:val="14"/>
                <w:lang w:eastAsia="en-AU"/>
              </w:rPr>
            </w:pPr>
            <w:r w:rsidRPr="00395ADC">
              <w:rPr>
                <w:rStyle w:val="Strong"/>
                <w:sz w:val="14"/>
                <w:szCs w:val="14"/>
              </w:rPr>
              <w:t>(0.2)</w:t>
            </w:r>
          </w:p>
        </w:tc>
        <w:tc>
          <w:tcPr>
            <w:tcW w:w="716" w:type="dxa"/>
          </w:tcPr>
          <w:p w:rsidR="00C232A3" w:rsidRPr="00395ADC" w:rsidRDefault="00C232A3" w:rsidP="00C232A3">
            <w:pPr>
              <w:pStyle w:val="ARfintablebodyright"/>
              <w:spacing w:before="30" w:after="10"/>
              <w:rPr>
                <w:b/>
                <w:bCs/>
                <w:sz w:val="14"/>
                <w:szCs w:val="14"/>
                <w:lang w:eastAsia="en-AU"/>
              </w:rPr>
            </w:pPr>
            <w:r w:rsidRPr="00395ADC">
              <w:rPr>
                <w:rStyle w:val="Strong"/>
                <w:sz w:val="14"/>
                <w:szCs w:val="14"/>
              </w:rPr>
              <w:t>0.4</w:t>
            </w:r>
          </w:p>
        </w:tc>
        <w:tc>
          <w:tcPr>
            <w:tcW w:w="716" w:type="dxa"/>
          </w:tcPr>
          <w:p w:rsidR="00C232A3" w:rsidRPr="00ED41C4" w:rsidRDefault="00C232A3" w:rsidP="00C232A3">
            <w:pPr>
              <w:pStyle w:val="ARfintablebodyright"/>
              <w:spacing w:before="30" w:after="10"/>
              <w:rPr>
                <w:rStyle w:val="Strong"/>
                <w:sz w:val="14"/>
                <w:szCs w:val="14"/>
              </w:rPr>
            </w:pPr>
            <w:r w:rsidRPr="00ED41C4">
              <w:rPr>
                <w:rStyle w:val="Strong"/>
                <w:sz w:val="14"/>
                <w:szCs w:val="14"/>
              </w:rPr>
              <w:t>–</w:t>
            </w:r>
          </w:p>
        </w:tc>
        <w:tc>
          <w:tcPr>
            <w:tcW w:w="716" w:type="dxa"/>
          </w:tcPr>
          <w:p w:rsidR="00C232A3" w:rsidRPr="00ED41C4" w:rsidRDefault="00C232A3" w:rsidP="00C232A3">
            <w:pPr>
              <w:pStyle w:val="ARfintablebodyright"/>
              <w:spacing w:before="30" w:after="10"/>
              <w:rPr>
                <w:rStyle w:val="Strong"/>
                <w:sz w:val="14"/>
                <w:szCs w:val="14"/>
              </w:rPr>
            </w:pPr>
            <w:r w:rsidRPr="00ED41C4">
              <w:rPr>
                <w:rStyle w:val="Strong"/>
                <w:sz w:val="14"/>
                <w:szCs w:val="14"/>
              </w:rPr>
              <w:t>0.1</w:t>
            </w:r>
          </w:p>
        </w:tc>
        <w:tc>
          <w:tcPr>
            <w:tcW w:w="716" w:type="dxa"/>
          </w:tcPr>
          <w:p w:rsidR="00C232A3" w:rsidRPr="00ED41C4" w:rsidRDefault="00C232A3" w:rsidP="00C232A3">
            <w:pPr>
              <w:pStyle w:val="ARfintablebodyright"/>
              <w:spacing w:before="30" w:after="10"/>
              <w:rPr>
                <w:rStyle w:val="Strong"/>
                <w:sz w:val="14"/>
                <w:szCs w:val="14"/>
              </w:rPr>
            </w:pPr>
            <w:r w:rsidRPr="00ED41C4">
              <w:rPr>
                <w:rStyle w:val="Strong"/>
                <w:sz w:val="14"/>
                <w:szCs w:val="14"/>
              </w:rPr>
              <w:t>(14.9)</w:t>
            </w:r>
          </w:p>
        </w:tc>
        <w:tc>
          <w:tcPr>
            <w:tcW w:w="716" w:type="dxa"/>
          </w:tcPr>
          <w:p w:rsidR="00C232A3" w:rsidRPr="00ED41C4" w:rsidRDefault="00C232A3" w:rsidP="00C232A3">
            <w:pPr>
              <w:pStyle w:val="ARfintablebodyright"/>
              <w:spacing w:before="30" w:after="10"/>
              <w:rPr>
                <w:rStyle w:val="Strong"/>
                <w:sz w:val="14"/>
                <w:szCs w:val="14"/>
              </w:rPr>
            </w:pPr>
            <w:r w:rsidRPr="00ED41C4">
              <w:rPr>
                <w:rStyle w:val="Strong"/>
                <w:sz w:val="14"/>
                <w:szCs w:val="14"/>
              </w:rPr>
              <w:t>–</w:t>
            </w:r>
          </w:p>
        </w:tc>
        <w:tc>
          <w:tcPr>
            <w:tcW w:w="771" w:type="dxa"/>
          </w:tcPr>
          <w:p w:rsidR="00C232A3" w:rsidRPr="00395ADC" w:rsidRDefault="00C232A3" w:rsidP="00C232A3">
            <w:pPr>
              <w:pStyle w:val="ARfintablebodyright"/>
              <w:spacing w:before="30" w:after="10"/>
              <w:rPr>
                <w:b/>
                <w:bCs/>
                <w:sz w:val="14"/>
                <w:szCs w:val="14"/>
                <w:lang w:eastAsia="en-AU"/>
              </w:rPr>
            </w:pPr>
            <w:r w:rsidRPr="00395ADC">
              <w:rPr>
                <w:rStyle w:val="Strong"/>
                <w:sz w:val="14"/>
                <w:szCs w:val="14"/>
              </w:rPr>
              <w:t>(5.1)</w:t>
            </w:r>
          </w:p>
        </w:tc>
      </w:tr>
      <w:tr w:rsidR="00C232A3" w:rsidRPr="00AB62BD" w:rsidTr="00C232A3">
        <w:trPr>
          <w:cantSplit/>
        </w:trPr>
        <w:tc>
          <w:tcPr>
            <w:tcW w:w="2949" w:type="dxa"/>
          </w:tcPr>
          <w:p w:rsidR="00C232A3" w:rsidRPr="003775EA" w:rsidRDefault="00C232A3" w:rsidP="00C232A3">
            <w:pPr>
              <w:pStyle w:val="ARfintablebody"/>
              <w:spacing w:before="30" w:after="10"/>
              <w:rPr>
                <w:bCs/>
                <w:sz w:val="14"/>
                <w:szCs w:val="14"/>
                <w:lang w:eastAsia="en-AU"/>
              </w:rPr>
            </w:pPr>
            <w:r w:rsidRPr="003775EA">
              <w:rPr>
                <w:rStyle w:val="Strong"/>
                <w:sz w:val="14"/>
                <w:szCs w:val="14"/>
              </w:rPr>
              <w:t>Net result</w:t>
            </w:r>
          </w:p>
        </w:tc>
        <w:tc>
          <w:tcPr>
            <w:tcW w:w="715"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(232.0)</w:t>
            </w:r>
          </w:p>
        </w:tc>
        <w:tc>
          <w:tcPr>
            <w:tcW w:w="716" w:type="dxa"/>
          </w:tcPr>
          <w:p w:rsidR="00C232A3" w:rsidRPr="00C51D97" w:rsidRDefault="00C232A3" w:rsidP="00C232A3">
            <w:pPr>
              <w:pStyle w:val="ARfintablebodyright"/>
              <w:spacing w:before="30" w:after="10"/>
              <w:rPr>
                <w:rStyle w:val="Strong"/>
              </w:rPr>
            </w:pPr>
            <w:r w:rsidRPr="00C51D97">
              <w:rPr>
                <w:rStyle w:val="Strong"/>
              </w:rPr>
              <w:t>–</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23.4</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55.9</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15.8</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33.4</w:t>
            </w:r>
          </w:p>
        </w:tc>
        <w:tc>
          <w:tcPr>
            <w:tcW w:w="716" w:type="dxa"/>
          </w:tcPr>
          <w:p w:rsidR="00C232A3" w:rsidRPr="003775EA" w:rsidRDefault="00C232A3" w:rsidP="00C232A3">
            <w:pPr>
              <w:pStyle w:val="ARfintablebodyright"/>
              <w:spacing w:before="30" w:after="10"/>
              <w:rPr>
                <w:b/>
                <w:bCs/>
                <w:sz w:val="14"/>
                <w:szCs w:val="14"/>
                <w:lang w:eastAsia="en-AU"/>
              </w:rPr>
            </w:pPr>
            <w:r w:rsidRPr="003775EA">
              <w:rPr>
                <w:rStyle w:val="Strong"/>
                <w:sz w:val="14"/>
                <w:szCs w:val="14"/>
              </w:rPr>
              <w:t>56.6</w:t>
            </w:r>
          </w:p>
        </w:tc>
        <w:tc>
          <w:tcPr>
            <w:tcW w:w="716" w:type="dxa"/>
          </w:tcPr>
          <w:p w:rsidR="00C232A3" w:rsidRPr="00C51D97" w:rsidRDefault="00C232A3" w:rsidP="00C232A3">
            <w:pPr>
              <w:pStyle w:val="ARfintablebodyright"/>
              <w:spacing w:before="30" w:after="10"/>
              <w:rPr>
                <w:rStyle w:val="Strong"/>
              </w:rPr>
            </w:pPr>
            <w:r w:rsidRPr="00C51D97">
              <w:rPr>
                <w:rStyle w:val="Strong"/>
              </w:rPr>
              <w:t>–</w:t>
            </w:r>
          </w:p>
        </w:tc>
        <w:tc>
          <w:tcPr>
            <w:tcW w:w="716" w:type="dxa"/>
          </w:tcPr>
          <w:p w:rsidR="00C232A3" w:rsidRPr="00C51D97" w:rsidRDefault="00C232A3" w:rsidP="00C232A3">
            <w:pPr>
              <w:pStyle w:val="ARfintablebodyright"/>
              <w:spacing w:before="30" w:after="10"/>
              <w:rPr>
                <w:rStyle w:val="Strong"/>
              </w:rPr>
            </w:pPr>
            <w:r w:rsidRPr="00C51D97">
              <w:rPr>
                <w:rStyle w:val="Strong"/>
              </w:rPr>
              <w:t>–</w:t>
            </w:r>
          </w:p>
        </w:tc>
        <w:tc>
          <w:tcPr>
            <w:tcW w:w="716" w:type="dxa"/>
          </w:tcPr>
          <w:p w:rsidR="00C232A3" w:rsidRPr="00ED41C4" w:rsidRDefault="00C232A3" w:rsidP="00C232A3">
            <w:pPr>
              <w:pStyle w:val="ARfintablebodyright"/>
              <w:spacing w:before="30" w:after="10"/>
              <w:rPr>
                <w:rStyle w:val="Strong"/>
                <w:sz w:val="14"/>
                <w:szCs w:val="14"/>
              </w:rPr>
            </w:pPr>
            <w:r w:rsidRPr="00ED41C4">
              <w:rPr>
                <w:rStyle w:val="Strong"/>
                <w:sz w:val="14"/>
                <w:szCs w:val="14"/>
              </w:rPr>
              <w:t>6.9</w:t>
            </w:r>
          </w:p>
        </w:tc>
        <w:tc>
          <w:tcPr>
            <w:tcW w:w="716" w:type="dxa"/>
          </w:tcPr>
          <w:p w:rsidR="00C232A3" w:rsidRPr="00ED41C4" w:rsidRDefault="00C232A3" w:rsidP="00C232A3">
            <w:pPr>
              <w:pStyle w:val="ARfintablebodyright"/>
              <w:spacing w:before="30" w:after="10"/>
              <w:rPr>
                <w:rStyle w:val="Strong"/>
                <w:sz w:val="14"/>
                <w:szCs w:val="14"/>
              </w:rPr>
            </w:pPr>
            <w:r w:rsidRPr="00ED41C4">
              <w:rPr>
                <w:rStyle w:val="Strong"/>
                <w:sz w:val="14"/>
                <w:szCs w:val="14"/>
              </w:rPr>
              <w:t>2.0</w:t>
            </w:r>
          </w:p>
        </w:tc>
        <w:tc>
          <w:tcPr>
            <w:tcW w:w="716" w:type="dxa"/>
          </w:tcPr>
          <w:p w:rsidR="00C232A3" w:rsidRPr="00ED41C4" w:rsidRDefault="00C232A3" w:rsidP="00C232A3">
            <w:pPr>
              <w:pStyle w:val="ARfintablebodyright"/>
              <w:spacing w:before="30" w:after="10"/>
              <w:rPr>
                <w:rStyle w:val="Strong"/>
                <w:sz w:val="14"/>
                <w:szCs w:val="14"/>
              </w:rPr>
            </w:pPr>
            <w:r w:rsidRPr="00ED41C4">
              <w:rPr>
                <w:rStyle w:val="Strong"/>
                <w:sz w:val="14"/>
                <w:szCs w:val="14"/>
              </w:rPr>
              <w:t>–</w:t>
            </w:r>
          </w:p>
        </w:tc>
        <w:tc>
          <w:tcPr>
            <w:tcW w:w="716" w:type="dxa"/>
          </w:tcPr>
          <w:p w:rsidR="00C232A3" w:rsidRPr="00395ADC" w:rsidRDefault="00C232A3" w:rsidP="00C232A3">
            <w:pPr>
              <w:pStyle w:val="ARfintablebodyright"/>
              <w:spacing w:before="30" w:after="10"/>
              <w:rPr>
                <w:b/>
                <w:bCs/>
                <w:sz w:val="14"/>
                <w:szCs w:val="14"/>
                <w:lang w:eastAsia="en-AU"/>
              </w:rPr>
            </w:pPr>
            <w:r w:rsidRPr="00395ADC">
              <w:rPr>
                <w:rStyle w:val="Strong"/>
                <w:sz w:val="14"/>
                <w:szCs w:val="14"/>
              </w:rPr>
              <w:t>140.3</w:t>
            </w:r>
          </w:p>
        </w:tc>
        <w:tc>
          <w:tcPr>
            <w:tcW w:w="716" w:type="dxa"/>
          </w:tcPr>
          <w:p w:rsidR="00C232A3" w:rsidRPr="00395ADC" w:rsidRDefault="00C232A3" w:rsidP="00C232A3">
            <w:pPr>
              <w:pStyle w:val="ARfintablebodyright"/>
              <w:spacing w:before="30" w:after="10"/>
              <w:rPr>
                <w:b/>
                <w:bCs/>
                <w:sz w:val="14"/>
                <w:szCs w:val="14"/>
                <w:lang w:eastAsia="en-AU"/>
              </w:rPr>
            </w:pPr>
            <w:r w:rsidRPr="00395ADC">
              <w:rPr>
                <w:rStyle w:val="Strong"/>
                <w:sz w:val="14"/>
                <w:szCs w:val="14"/>
              </w:rPr>
              <w:t>(369.2)</w:t>
            </w:r>
          </w:p>
        </w:tc>
        <w:tc>
          <w:tcPr>
            <w:tcW w:w="716" w:type="dxa"/>
          </w:tcPr>
          <w:p w:rsidR="00C232A3" w:rsidRPr="00395ADC" w:rsidRDefault="00C232A3" w:rsidP="00C232A3">
            <w:pPr>
              <w:pStyle w:val="ARfintablebodyright"/>
              <w:spacing w:before="30" w:after="10"/>
              <w:rPr>
                <w:b/>
                <w:bCs/>
                <w:sz w:val="14"/>
                <w:szCs w:val="14"/>
                <w:lang w:eastAsia="en-AU"/>
              </w:rPr>
            </w:pPr>
            <w:r w:rsidRPr="00395ADC">
              <w:rPr>
                <w:rStyle w:val="Strong"/>
                <w:sz w:val="14"/>
                <w:szCs w:val="14"/>
              </w:rPr>
              <w:t>0.7</w:t>
            </w:r>
          </w:p>
        </w:tc>
        <w:tc>
          <w:tcPr>
            <w:tcW w:w="771" w:type="dxa"/>
          </w:tcPr>
          <w:p w:rsidR="00C232A3" w:rsidRPr="00395ADC" w:rsidRDefault="00C232A3" w:rsidP="00C232A3">
            <w:pPr>
              <w:pStyle w:val="ARfintablebodyright"/>
              <w:spacing w:before="30" w:after="10"/>
              <w:rPr>
                <w:rStyle w:val="Strong"/>
                <w:bCs w:val="0"/>
                <w:sz w:val="14"/>
                <w:szCs w:val="14"/>
              </w:rPr>
            </w:pPr>
            <w:r w:rsidRPr="00395ADC">
              <w:rPr>
                <w:rStyle w:val="Strong"/>
                <w:sz w:val="14"/>
                <w:szCs w:val="14"/>
              </w:rPr>
              <w:t>(266.2)</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Refer to Note 4.1.1 for output definitions.</w:t>
      </w:r>
    </w:p>
    <w:p w:rsidR="00C232A3" w:rsidRDefault="00C232A3" w:rsidP="00C232A3">
      <w:pPr>
        <w:pStyle w:val="ARfintablefootnoteroman"/>
      </w:pPr>
      <w:r>
        <w:t>(ii)</w:t>
      </w:r>
      <w:r>
        <w:tab/>
      </w:r>
      <w:r w:rsidRPr="00AB62BD">
        <w:t>Total amount may not agree with Comprehensive Operating Statement due to eliminations.</w:t>
      </w:r>
    </w:p>
    <w:p w:rsidR="00C232A3" w:rsidRDefault="00C232A3" w:rsidP="00C232A3">
      <w:pPr>
        <w:pStyle w:val="ARbody"/>
        <w:rPr>
          <w:color w:val="000000"/>
          <w:sz w:val="14"/>
          <w:szCs w:val="14"/>
          <w:lang w:eastAsia="en-AU"/>
        </w:rPr>
      </w:pPr>
      <w:r>
        <w:br w:type="page"/>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046"/>
        <w:gridCol w:w="708"/>
        <w:gridCol w:w="708"/>
        <w:gridCol w:w="708"/>
        <w:gridCol w:w="708"/>
        <w:gridCol w:w="708"/>
        <w:gridCol w:w="708"/>
        <w:gridCol w:w="708"/>
        <w:gridCol w:w="708"/>
        <w:gridCol w:w="708"/>
        <w:gridCol w:w="708"/>
        <w:gridCol w:w="708"/>
        <w:gridCol w:w="708"/>
        <w:gridCol w:w="708"/>
        <w:gridCol w:w="708"/>
        <w:gridCol w:w="708"/>
        <w:gridCol w:w="793"/>
      </w:tblGrid>
      <w:tr w:rsidR="00C232A3" w:rsidRPr="00AB62BD" w:rsidTr="00C232A3">
        <w:trPr>
          <w:cantSplit/>
          <w:tblHeader/>
        </w:trPr>
        <w:tc>
          <w:tcPr>
            <w:tcW w:w="3046" w:type="dxa"/>
            <w:tcBorders>
              <w:bottom w:val="single" w:sz="4" w:space="0" w:color="auto"/>
            </w:tcBorders>
            <w:vAlign w:val="bottom"/>
          </w:tcPr>
          <w:p w:rsidR="00C232A3" w:rsidRPr="00AB1C26" w:rsidRDefault="00C232A3" w:rsidP="00C232A3">
            <w:pPr>
              <w:pStyle w:val="ARfintablecolhead"/>
              <w:rPr>
                <w:sz w:val="14"/>
                <w:szCs w:val="14"/>
              </w:rPr>
            </w:pPr>
            <w:r w:rsidRPr="00AB1C26">
              <w:rPr>
                <w:sz w:val="14"/>
                <w:szCs w:val="14"/>
              </w:rPr>
              <w:lastRenderedPageBreak/>
              <w:t>Output group</w:t>
            </w:r>
            <w:r>
              <w:rPr>
                <w:sz w:val="14"/>
                <w:szCs w:val="14"/>
              </w:rPr>
              <w:t xml:space="preserve"> </w:t>
            </w:r>
            <w:r w:rsidRPr="000812B4">
              <w:rPr>
                <w:rStyle w:val="Superscriptbold"/>
                <w:sz w:val="14"/>
                <w:szCs w:val="14"/>
              </w:rPr>
              <w:t>(</w:t>
            </w:r>
            <w:proofErr w:type="spellStart"/>
            <w:r w:rsidRPr="000812B4">
              <w:rPr>
                <w:rStyle w:val="Superscriptbold"/>
                <w:sz w:val="14"/>
                <w:szCs w:val="14"/>
              </w:rPr>
              <w:t>i</w:t>
            </w:r>
            <w:proofErr w:type="spellEnd"/>
            <w:r w:rsidRPr="000812B4">
              <w:rPr>
                <w:rStyle w:val="Superscriptbold"/>
                <w:sz w:val="14"/>
                <w:szCs w:val="14"/>
              </w:rPr>
              <w:t>)</w:t>
            </w:r>
          </w:p>
          <w:p w:rsidR="00C232A3" w:rsidRPr="00AB1C26" w:rsidRDefault="00C232A3" w:rsidP="00C232A3">
            <w:pPr>
              <w:pStyle w:val="ARfintablecolhead"/>
              <w:rPr>
                <w:bCs/>
                <w:color w:val="000000"/>
                <w:sz w:val="14"/>
                <w:szCs w:val="14"/>
                <w:vertAlign w:val="superscript"/>
              </w:rPr>
            </w:pPr>
            <w:r w:rsidRPr="00AB1C26">
              <w:rPr>
                <w:sz w:val="14"/>
                <w:szCs w:val="14"/>
              </w:rPr>
              <w:t>2016</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1</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2</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3</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4</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5</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6</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7</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8</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9</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10</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11</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12</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13</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14</w:t>
            </w:r>
          </w:p>
          <w:p w:rsidR="00C232A3" w:rsidRPr="00AB1C26" w:rsidRDefault="00C232A3" w:rsidP="00C232A3">
            <w:pPr>
              <w:pStyle w:val="ARfintablecolheadright"/>
              <w:rPr>
                <w:sz w:val="14"/>
                <w:szCs w:val="14"/>
              </w:rPr>
            </w:pPr>
            <w:r w:rsidRPr="00AB1C26">
              <w:rPr>
                <w:sz w:val="14"/>
                <w:szCs w:val="14"/>
              </w:rPr>
              <w:t>$M</w:t>
            </w:r>
          </w:p>
        </w:tc>
        <w:tc>
          <w:tcPr>
            <w:tcW w:w="708"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15</w:t>
            </w:r>
          </w:p>
          <w:p w:rsidR="00C232A3" w:rsidRPr="00AB1C26" w:rsidRDefault="00C232A3" w:rsidP="00C232A3">
            <w:pPr>
              <w:pStyle w:val="ARfintablecolheadright"/>
              <w:rPr>
                <w:sz w:val="14"/>
                <w:szCs w:val="14"/>
              </w:rPr>
            </w:pPr>
            <w:r w:rsidRPr="00AB1C26">
              <w:rPr>
                <w:sz w:val="14"/>
                <w:szCs w:val="14"/>
              </w:rPr>
              <w:t>$M</w:t>
            </w:r>
          </w:p>
        </w:tc>
        <w:tc>
          <w:tcPr>
            <w:tcW w:w="793" w:type="dxa"/>
            <w:tcBorders>
              <w:bottom w:val="single" w:sz="4" w:space="0" w:color="auto"/>
            </w:tcBorders>
            <w:vAlign w:val="bottom"/>
          </w:tcPr>
          <w:p w:rsidR="00C232A3" w:rsidRPr="00AB1C26" w:rsidRDefault="00C232A3" w:rsidP="00C232A3">
            <w:pPr>
              <w:pStyle w:val="ARfintablecolheadright"/>
              <w:rPr>
                <w:sz w:val="14"/>
                <w:szCs w:val="14"/>
              </w:rPr>
            </w:pPr>
            <w:r w:rsidRPr="00AB1C26">
              <w:rPr>
                <w:sz w:val="14"/>
                <w:szCs w:val="14"/>
              </w:rPr>
              <w:t>Total</w:t>
            </w:r>
            <w:r>
              <w:rPr>
                <w:sz w:val="14"/>
                <w:szCs w:val="14"/>
              </w:rPr>
              <w:t xml:space="preserve"> </w:t>
            </w:r>
            <w:r w:rsidRPr="000812B4">
              <w:rPr>
                <w:rStyle w:val="Superscriptbold"/>
                <w:sz w:val="14"/>
                <w:szCs w:val="14"/>
              </w:rPr>
              <w:t>(ii)</w:t>
            </w:r>
          </w:p>
          <w:p w:rsidR="00C232A3" w:rsidRPr="00AB1C26" w:rsidRDefault="00C232A3" w:rsidP="00C232A3">
            <w:pPr>
              <w:pStyle w:val="ARfintablecolheadright"/>
              <w:rPr>
                <w:sz w:val="14"/>
                <w:szCs w:val="14"/>
              </w:rPr>
            </w:pPr>
            <w:r w:rsidRPr="00AB1C26">
              <w:rPr>
                <w:sz w:val="14"/>
                <w:szCs w:val="14"/>
              </w:rPr>
              <w:t>$M</w:t>
            </w:r>
          </w:p>
        </w:tc>
      </w:tr>
      <w:tr w:rsidR="00C232A3" w:rsidRPr="00AB62BD" w:rsidTr="00C232A3">
        <w:trPr>
          <w:cantSplit/>
        </w:trPr>
        <w:tc>
          <w:tcPr>
            <w:tcW w:w="3046" w:type="dxa"/>
            <w:tcBorders>
              <w:top w:val="single" w:sz="4" w:space="0" w:color="auto"/>
              <w:bottom w:val="single" w:sz="4" w:space="0" w:color="A6A6A6" w:themeColor="background1" w:themeShade="A6"/>
            </w:tcBorders>
          </w:tcPr>
          <w:p w:rsidR="00C232A3" w:rsidRPr="00AB1C26" w:rsidRDefault="00C232A3" w:rsidP="00C232A3">
            <w:pPr>
              <w:pStyle w:val="ARfintablebody"/>
              <w:rPr>
                <w:rStyle w:val="Strong"/>
                <w:bCs w:val="0"/>
                <w:sz w:val="14"/>
                <w:szCs w:val="14"/>
              </w:rPr>
            </w:pPr>
            <w:r w:rsidRPr="00AB1C26">
              <w:rPr>
                <w:rStyle w:val="Strong"/>
                <w:sz w:val="14"/>
                <w:szCs w:val="14"/>
              </w:rPr>
              <w:t>Income from transactions</w:t>
            </w: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93"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Output appropriations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5,378.9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503.1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760.3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1,002.9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385.2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320.1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247.1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91.0</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1,694.6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1,000.3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152.5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704.9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200.6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460.4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12,901.7</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Special appropriations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1,068.5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59.7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43.2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25.4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49.6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7.9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63.9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1,341.2</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Interest income</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9.4</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Rental income and income from services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476.6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476.6</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Grants and other income transfers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252.3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286.2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87.3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63.3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86.7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30.4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834.2</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Fair value of assets and services received free of charge or for nominal consideration</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8.6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3.0</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2.0</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13.6</w:t>
            </w:r>
          </w:p>
        </w:tc>
      </w:tr>
      <w:tr w:rsidR="00C232A3" w:rsidRPr="00AB62BD" w:rsidTr="00C232A3">
        <w:trPr>
          <w:cantSplit/>
        </w:trPr>
        <w:tc>
          <w:tcPr>
            <w:tcW w:w="3046" w:type="dxa"/>
            <w:tcBorders>
              <w:top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Other income</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20.7</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0.3</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0.6</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0.5</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0.8</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1.7</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6.8</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2.4</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2.0</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326.5</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2.4</w:t>
            </w:r>
          </w:p>
        </w:tc>
        <w:tc>
          <w:tcPr>
            <w:tcW w:w="793"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367.3</w:t>
            </w:r>
          </w:p>
        </w:tc>
      </w:tr>
      <w:tr w:rsidR="00C232A3" w:rsidRPr="00AB62BD" w:rsidTr="00C232A3">
        <w:trPr>
          <w:cantSplit/>
        </w:trPr>
        <w:tc>
          <w:tcPr>
            <w:tcW w:w="3046" w:type="dxa"/>
            <w:tcBorders>
              <w:bottom w:val="single" w:sz="4" w:space="0" w:color="auto"/>
            </w:tcBorders>
          </w:tcPr>
          <w:p w:rsidR="00C232A3" w:rsidRPr="00AB1C26" w:rsidRDefault="00C232A3" w:rsidP="00C232A3">
            <w:pPr>
              <w:pStyle w:val="ARfintablebody"/>
              <w:rPr>
                <w:bCs/>
                <w:sz w:val="14"/>
                <w:szCs w:val="14"/>
                <w:lang w:eastAsia="en-AU"/>
              </w:rPr>
            </w:pPr>
            <w:r w:rsidRPr="00AB1C26">
              <w:rPr>
                <w:rStyle w:val="Strong"/>
                <w:sz w:val="14"/>
                <w:szCs w:val="14"/>
              </w:rPr>
              <w:t>Total income from transactions</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6,729.0</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563.1</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1,090.9</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1,029.5</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445.0</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417.3</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325.8</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185.6</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1,768.8</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1,006.3</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153.8</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704.9</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233.2</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1,288.3</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2.4</w:t>
            </w:r>
          </w:p>
        </w:tc>
        <w:tc>
          <w:tcPr>
            <w:tcW w:w="793"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15,943.9</w:t>
            </w:r>
          </w:p>
        </w:tc>
      </w:tr>
      <w:tr w:rsidR="00C232A3" w:rsidRPr="00AB62BD" w:rsidTr="00C232A3">
        <w:trPr>
          <w:cantSplit/>
        </w:trPr>
        <w:tc>
          <w:tcPr>
            <w:tcW w:w="3046" w:type="dxa"/>
            <w:tcBorders>
              <w:top w:val="single" w:sz="4" w:space="0" w:color="auto"/>
              <w:bottom w:val="single" w:sz="4" w:space="0" w:color="A6A6A6" w:themeColor="background1" w:themeShade="A6"/>
            </w:tcBorders>
          </w:tcPr>
          <w:p w:rsidR="00C232A3" w:rsidRPr="00AB1C26" w:rsidRDefault="00C232A3" w:rsidP="00C232A3">
            <w:pPr>
              <w:pStyle w:val="ARfintablebody"/>
              <w:rPr>
                <w:rStyle w:val="Strong"/>
                <w:bCs w:val="0"/>
                <w:sz w:val="14"/>
                <w:szCs w:val="14"/>
              </w:rPr>
            </w:pPr>
            <w:r w:rsidRPr="00AB1C26">
              <w:rPr>
                <w:rStyle w:val="Strong"/>
                <w:sz w:val="14"/>
                <w:szCs w:val="14"/>
              </w:rPr>
              <w:t>Expenses from transactions</w:t>
            </w: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93"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Employee expenses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83.1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23.7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23.9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11.5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39.2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535.8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266.3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73.1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15.7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97.5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1,191.2</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Depreciation and amortisation</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15.6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22.0</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11.2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212.6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0.2</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280.6</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Interest expense</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0.3</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Maintenance</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176.8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200.1</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Grants and other transfers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5,634.2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520.6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953.9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868.7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361.1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332.1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217.0</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162.7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1,036.5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625.4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29.9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694.1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203.1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279.4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11,918.6</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Capital asset charge</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747.7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17.7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65.5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50.8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26.5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35.8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38.0</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10.3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1,016.8</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Fair value of assets and services provided free of charge or for nominal consideration</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13.9</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Other operating expenses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112.8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9.4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16.4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2.6</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60.4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111.2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83.7</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28.8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4.3</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0.9</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490.2</w:t>
            </w:r>
          </w:p>
        </w:tc>
      </w:tr>
      <w:tr w:rsidR="00C232A3" w:rsidRPr="00AB62BD" w:rsidTr="00C232A3">
        <w:trPr>
          <w:cantSplit/>
        </w:trPr>
        <w:tc>
          <w:tcPr>
            <w:tcW w:w="3046" w:type="dxa"/>
            <w:tcBorders>
              <w:top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 xml:space="preserve">Other </w:t>
            </w:r>
            <w:r>
              <w:rPr>
                <w:sz w:val="14"/>
                <w:szCs w:val="14"/>
                <w:lang w:eastAsia="en-AU"/>
              </w:rPr>
              <w:t>p</w:t>
            </w:r>
            <w:r w:rsidRPr="00AB1C26">
              <w:rPr>
                <w:sz w:val="14"/>
                <w:szCs w:val="14"/>
                <w:lang w:eastAsia="en-AU"/>
              </w:rPr>
              <w:t xml:space="preserve">roperty </w:t>
            </w:r>
            <w:r>
              <w:rPr>
                <w:sz w:val="14"/>
                <w:szCs w:val="14"/>
                <w:lang w:eastAsia="en-AU"/>
              </w:rPr>
              <w:t>m</w:t>
            </w:r>
            <w:r w:rsidRPr="00AB1C26">
              <w:rPr>
                <w:sz w:val="14"/>
                <w:szCs w:val="14"/>
                <w:lang w:eastAsia="en-AU"/>
              </w:rPr>
              <w:t>anagement expenses</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210.1</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210.1</w:t>
            </w:r>
          </w:p>
        </w:tc>
      </w:tr>
      <w:tr w:rsidR="00C232A3" w:rsidRPr="00AB62BD" w:rsidTr="00C232A3">
        <w:trPr>
          <w:cantSplit/>
        </w:trPr>
        <w:tc>
          <w:tcPr>
            <w:tcW w:w="3046" w:type="dxa"/>
          </w:tcPr>
          <w:p w:rsidR="00C232A3" w:rsidRPr="00AB1C26" w:rsidRDefault="00C232A3" w:rsidP="00C232A3">
            <w:pPr>
              <w:pStyle w:val="ARfintablebody"/>
              <w:rPr>
                <w:bCs/>
                <w:sz w:val="14"/>
                <w:szCs w:val="14"/>
                <w:lang w:eastAsia="en-AU"/>
              </w:rPr>
            </w:pPr>
            <w:r w:rsidRPr="00AB1C26">
              <w:rPr>
                <w:rStyle w:val="Strong"/>
                <w:sz w:val="14"/>
                <w:szCs w:val="14"/>
              </w:rPr>
              <w:t>Total expenses from transactions</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6,596.4</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540.6</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1,057.6</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962.6</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414.5</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373.6</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320.7</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180.6</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1,761.5</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1,003.7</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153.0</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704.8</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233.0</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1,016.5</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2.4</w:t>
            </w:r>
          </w:p>
        </w:tc>
        <w:tc>
          <w:tcPr>
            <w:tcW w:w="793" w:type="dxa"/>
          </w:tcPr>
          <w:p w:rsidR="00C232A3" w:rsidRPr="00AB1C26" w:rsidRDefault="00C232A3" w:rsidP="00C232A3">
            <w:pPr>
              <w:pStyle w:val="ARfintablebodyright"/>
              <w:rPr>
                <w:b/>
                <w:bCs/>
                <w:sz w:val="14"/>
                <w:szCs w:val="14"/>
                <w:lang w:eastAsia="en-AU"/>
              </w:rPr>
            </w:pPr>
            <w:r w:rsidRPr="00AB1C26">
              <w:rPr>
                <w:rStyle w:val="Strong"/>
                <w:sz w:val="14"/>
                <w:szCs w:val="14"/>
              </w:rPr>
              <w:t>15,321.8</w:t>
            </w:r>
          </w:p>
        </w:tc>
      </w:tr>
      <w:tr w:rsidR="00C232A3" w:rsidRPr="00AB62BD" w:rsidTr="00C232A3">
        <w:trPr>
          <w:cantSplit/>
        </w:trPr>
        <w:tc>
          <w:tcPr>
            <w:tcW w:w="3046" w:type="dxa"/>
            <w:tcBorders>
              <w:bottom w:val="single" w:sz="4" w:space="0" w:color="auto"/>
            </w:tcBorders>
          </w:tcPr>
          <w:p w:rsidR="00C232A3" w:rsidRPr="00AB1C26" w:rsidRDefault="00C232A3" w:rsidP="00C232A3">
            <w:pPr>
              <w:pStyle w:val="ARfintablebody"/>
              <w:rPr>
                <w:bCs/>
                <w:sz w:val="14"/>
                <w:szCs w:val="14"/>
                <w:lang w:eastAsia="en-AU"/>
              </w:rPr>
            </w:pPr>
            <w:r w:rsidRPr="00AB1C26">
              <w:rPr>
                <w:rStyle w:val="Strong"/>
                <w:sz w:val="14"/>
                <w:szCs w:val="14"/>
              </w:rPr>
              <w:t>Net result from transactions (net operating balance)</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132.5</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22.4</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33.3</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66.9</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30.5</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43.7</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5.1</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5.0</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7.3</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2.6</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0.8</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0.1</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0.2</w:t>
            </w:r>
          </w:p>
        </w:tc>
        <w:tc>
          <w:tcPr>
            <w:tcW w:w="708"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271.8</w:t>
            </w:r>
          </w:p>
        </w:tc>
        <w:tc>
          <w:tcPr>
            <w:tcW w:w="708" w:type="dxa"/>
            <w:tcBorders>
              <w:bottom w:val="single" w:sz="4" w:space="0" w:color="auto"/>
            </w:tcBorders>
          </w:tcPr>
          <w:p w:rsidR="00C232A3" w:rsidRPr="00C51D97" w:rsidRDefault="00C232A3" w:rsidP="00C232A3">
            <w:pPr>
              <w:pStyle w:val="ARfintablebodyright"/>
              <w:rPr>
                <w:rStyle w:val="Strong"/>
              </w:rPr>
            </w:pPr>
            <w:r w:rsidRPr="00C51D97">
              <w:rPr>
                <w:rStyle w:val="Strong"/>
              </w:rPr>
              <w:t>–</w:t>
            </w:r>
          </w:p>
        </w:tc>
        <w:tc>
          <w:tcPr>
            <w:tcW w:w="793" w:type="dxa"/>
            <w:tcBorders>
              <w:bottom w:val="single" w:sz="4" w:space="0" w:color="auto"/>
            </w:tcBorders>
          </w:tcPr>
          <w:p w:rsidR="00C232A3" w:rsidRPr="00AB1C26" w:rsidRDefault="00C232A3" w:rsidP="00C232A3">
            <w:pPr>
              <w:pStyle w:val="ARfintablebodyright"/>
              <w:rPr>
                <w:b/>
                <w:bCs/>
                <w:sz w:val="14"/>
                <w:szCs w:val="14"/>
                <w:lang w:eastAsia="en-AU"/>
              </w:rPr>
            </w:pPr>
            <w:r w:rsidRPr="00AB1C26">
              <w:rPr>
                <w:rStyle w:val="Strong"/>
                <w:sz w:val="14"/>
                <w:szCs w:val="14"/>
              </w:rPr>
              <w:t>622.1</w:t>
            </w:r>
          </w:p>
        </w:tc>
      </w:tr>
      <w:tr w:rsidR="00C232A3" w:rsidRPr="00AB62BD" w:rsidTr="00C232A3">
        <w:trPr>
          <w:cantSplit/>
        </w:trPr>
        <w:tc>
          <w:tcPr>
            <w:tcW w:w="3046" w:type="dxa"/>
            <w:tcBorders>
              <w:top w:val="single" w:sz="4" w:space="0" w:color="auto"/>
              <w:bottom w:val="single" w:sz="4" w:space="0" w:color="A6A6A6" w:themeColor="background1" w:themeShade="A6"/>
            </w:tcBorders>
          </w:tcPr>
          <w:p w:rsidR="00C232A3" w:rsidRPr="00AB1C26" w:rsidRDefault="00C232A3" w:rsidP="00C232A3">
            <w:pPr>
              <w:pStyle w:val="ARfintablebody"/>
              <w:rPr>
                <w:rStyle w:val="Strong"/>
                <w:bCs w:val="0"/>
                <w:sz w:val="14"/>
                <w:szCs w:val="14"/>
              </w:rPr>
            </w:pPr>
            <w:r w:rsidRPr="00AB1C26">
              <w:rPr>
                <w:rStyle w:val="Strong"/>
                <w:sz w:val="14"/>
                <w:szCs w:val="14"/>
              </w:rPr>
              <w:t>Other economic flows included in net result</w:t>
            </w: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08"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c>
          <w:tcPr>
            <w:tcW w:w="793" w:type="dxa"/>
            <w:tcBorders>
              <w:top w:val="single" w:sz="4" w:space="0" w:color="auto"/>
              <w:bottom w:val="single" w:sz="4" w:space="0" w:color="A6A6A6" w:themeColor="background1" w:themeShade="A6"/>
            </w:tcBorders>
          </w:tcPr>
          <w:p w:rsidR="00C232A3" w:rsidRPr="00AB1C26" w:rsidRDefault="00C232A3" w:rsidP="00C232A3">
            <w:pPr>
              <w:pStyle w:val="ARfintablebodyright"/>
              <w:rPr>
                <w:sz w:val="14"/>
                <w:szCs w:val="14"/>
                <w:lang w:eastAsia="en-AU"/>
              </w:rPr>
            </w:pP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Net gain/(loss) on non-financial assets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(0.5)</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(0.8)</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1.0</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0.9</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0.9</w:t>
            </w:r>
          </w:p>
        </w:tc>
      </w:tr>
      <w:tr w:rsidR="00C232A3" w:rsidRPr="00AB62BD" w:rsidTr="00C232A3">
        <w:trPr>
          <w:cantSplit/>
        </w:trPr>
        <w:tc>
          <w:tcPr>
            <w:tcW w:w="3046"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Net gain/(loss) on financial instruments</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0.4</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0.2</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08"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bottom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0.6</w:t>
            </w:r>
          </w:p>
        </w:tc>
      </w:tr>
      <w:tr w:rsidR="00C232A3" w:rsidRPr="00AB62BD" w:rsidTr="00C232A3">
        <w:trPr>
          <w:cantSplit/>
        </w:trPr>
        <w:tc>
          <w:tcPr>
            <w:tcW w:w="3046" w:type="dxa"/>
            <w:tcBorders>
              <w:top w:val="single" w:sz="4" w:space="0" w:color="A6A6A6" w:themeColor="background1" w:themeShade="A6"/>
            </w:tcBorders>
          </w:tcPr>
          <w:p w:rsidR="00C232A3" w:rsidRPr="00AB1C26" w:rsidRDefault="00C232A3" w:rsidP="00C232A3">
            <w:pPr>
              <w:pStyle w:val="ARfintablebody"/>
              <w:rPr>
                <w:sz w:val="14"/>
                <w:szCs w:val="14"/>
                <w:lang w:eastAsia="en-AU"/>
              </w:rPr>
            </w:pPr>
            <w:r w:rsidRPr="00AB1C26">
              <w:rPr>
                <w:sz w:val="14"/>
                <w:szCs w:val="14"/>
                <w:lang w:eastAsia="en-AU"/>
              </w:rPr>
              <w:t>Other gains/(losses) from other economic flows</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(3.7)</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(0.3)</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(0.4)</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(0.2)</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(0.4)</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(5.7)</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(3.4)</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(0.9)</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(0.1)</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(0.2)</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(6.7)</w:t>
            </w:r>
          </w:p>
        </w:tc>
        <w:tc>
          <w:tcPr>
            <w:tcW w:w="708"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w:t>
            </w:r>
          </w:p>
        </w:tc>
        <w:tc>
          <w:tcPr>
            <w:tcW w:w="793" w:type="dxa"/>
            <w:tcBorders>
              <w:top w:val="single" w:sz="4" w:space="0" w:color="A6A6A6" w:themeColor="background1" w:themeShade="A6"/>
            </w:tcBorders>
          </w:tcPr>
          <w:p w:rsidR="00C232A3" w:rsidRPr="00AB1C26" w:rsidRDefault="00C232A3" w:rsidP="00C232A3">
            <w:pPr>
              <w:pStyle w:val="ARfintablebodyright"/>
              <w:rPr>
                <w:sz w:val="14"/>
                <w:szCs w:val="14"/>
                <w:lang w:eastAsia="en-AU"/>
              </w:rPr>
            </w:pPr>
            <w:r w:rsidRPr="00AB1C26">
              <w:rPr>
                <w:sz w:val="14"/>
                <w:szCs w:val="14"/>
                <w:lang w:eastAsia="en-AU"/>
              </w:rPr>
              <w:t>(22.1)</w:t>
            </w:r>
          </w:p>
        </w:tc>
      </w:tr>
      <w:tr w:rsidR="00C232A3" w:rsidRPr="00AB62BD" w:rsidTr="00C232A3">
        <w:trPr>
          <w:cantSplit/>
        </w:trPr>
        <w:tc>
          <w:tcPr>
            <w:tcW w:w="3046" w:type="dxa"/>
          </w:tcPr>
          <w:p w:rsidR="00C232A3" w:rsidRPr="00AB1C26" w:rsidRDefault="00C232A3" w:rsidP="00C232A3">
            <w:pPr>
              <w:pStyle w:val="ARfintablebody"/>
              <w:rPr>
                <w:bCs/>
                <w:sz w:val="14"/>
                <w:szCs w:val="14"/>
                <w:lang w:eastAsia="en-AU"/>
              </w:rPr>
            </w:pPr>
            <w:r w:rsidRPr="00AB1C26">
              <w:rPr>
                <w:rStyle w:val="Strong"/>
                <w:sz w:val="14"/>
                <w:szCs w:val="14"/>
              </w:rPr>
              <w:t>Total other economic flows included in net result</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(3.8)</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(0.3)</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(0.4)</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(0.2)</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(0.1)</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0.1</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(0.3)</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(0.1)</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(6.3)</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(2.4)</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(0.7)</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(0.1)</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(0.2)</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(5.8)</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w:t>
            </w:r>
          </w:p>
        </w:tc>
        <w:tc>
          <w:tcPr>
            <w:tcW w:w="793" w:type="dxa"/>
          </w:tcPr>
          <w:p w:rsidR="00C232A3" w:rsidRPr="00395ADC" w:rsidRDefault="00C232A3" w:rsidP="00C232A3">
            <w:pPr>
              <w:pStyle w:val="ARfintablebodyright"/>
              <w:rPr>
                <w:b/>
                <w:bCs/>
                <w:sz w:val="14"/>
                <w:szCs w:val="14"/>
                <w:lang w:eastAsia="en-AU"/>
              </w:rPr>
            </w:pPr>
            <w:r w:rsidRPr="00395ADC">
              <w:rPr>
                <w:rStyle w:val="Strong"/>
                <w:sz w:val="14"/>
                <w:szCs w:val="14"/>
              </w:rPr>
              <w:t>(20.6)</w:t>
            </w:r>
          </w:p>
        </w:tc>
      </w:tr>
      <w:tr w:rsidR="00C232A3" w:rsidRPr="00AB62BD" w:rsidTr="00C232A3">
        <w:trPr>
          <w:cantSplit/>
        </w:trPr>
        <w:tc>
          <w:tcPr>
            <w:tcW w:w="3046" w:type="dxa"/>
          </w:tcPr>
          <w:p w:rsidR="00C232A3" w:rsidRPr="00AB1C26" w:rsidRDefault="00C232A3" w:rsidP="00C232A3">
            <w:pPr>
              <w:pStyle w:val="ARfintablebody"/>
              <w:rPr>
                <w:bCs/>
                <w:sz w:val="14"/>
                <w:szCs w:val="14"/>
                <w:lang w:eastAsia="en-AU"/>
              </w:rPr>
            </w:pPr>
            <w:r w:rsidRPr="00AB1C26">
              <w:rPr>
                <w:rStyle w:val="Strong"/>
                <w:sz w:val="14"/>
                <w:szCs w:val="14"/>
              </w:rPr>
              <w:t>Net result</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128.7</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22.1</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32.9</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66.7</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30.4</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43.8</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4.8</w:t>
            </w:r>
          </w:p>
        </w:tc>
        <w:tc>
          <w:tcPr>
            <w:tcW w:w="708" w:type="dxa"/>
          </w:tcPr>
          <w:p w:rsidR="00C232A3" w:rsidRPr="00AB1C26" w:rsidRDefault="00C232A3" w:rsidP="00C232A3">
            <w:pPr>
              <w:pStyle w:val="ARfintablebodyright"/>
              <w:rPr>
                <w:b/>
                <w:bCs/>
                <w:sz w:val="14"/>
                <w:szCs w:val="14"/>
                <w:lang w:eastAsia="en-AU"/>
              </w:rPr>
            </w:pPr>
            <w:r w:rsidRPr="00AB1C26">
              <w:rPr>
                <w:rStyle w:val="Strong"/>
                <w:sz w:val="14"/>
                <w:szCs w:val="14"/>
              </w:rPr>
              <w:t>4.9</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1.1</w:t>
            </w:r>
          </w:p>
        </w:tc>
        <w:tc>
          <w:tcPr>
            <w:tcW w:w="708" w:type="dxa"/>
          </w:tcPr>
          <w:p w:rsidR="00C232A3" w:rsidRPr="00395ADC" w:rsidRDefault="00C232A3" w:rsidP="00C232A3">
            <w:pPr>
              <w:pStyle w:val="ARfintablebodyright"/>
              <w:rPr>
                <w:b/>
                <w:bCs/>
                <w:sz w:val="14"/>
                <w:szCs w:val="14"/>
                <w:lang w:eastAsia="en-AU"/>
              </w:rPr>
            </w:pPr>
            <w:r w:rsidRPr="00395ADC">
              <w:rPr>
                <w:rStyle w:val="Strong"/>
                <w:sz w:val="14"/>
                <w:szCs w:val="14"/>
              </w:rPr>
              <w:t>0.2</w:t>
            </w:r>
          </w:p>
        </w:tc>
        <w:tc>
          <w:tcPr>
            <w:tcW w:w="708" w:type="dxa"/>
          </w:tcPr>
          <w:p w:rsidR="00C232A3" w:rsidRPr="00ED41C4" w:rsidRDefault="00C232A3" w:rsidP="00C232A3">
            <w:pPr>
              <w:pStyle w:val="ARfintablebodyright"/>
              <w:rPr>
                <w:rStyle w:val="Strong"/>
                <w:sz w:val="14"/>
                <w:szCs w:val="14"/>
              </w:rPr>
            </w:pPr>
            <w:r w:rsidRPr="00ED41C4">
              <w:rPr>
                <w:rStyle w:val="Strong"/>
                <w:sz w:val="14"/>
                <w:szCs w:val="14"/>
              </w:rPr>
              <w:t>–</w:t>
            </w:r>
          </w:p>
        </w:tc>
        <w:tc>
          <w:tcPr>
            <w:tcW w:w="708" w:type="dxa"/>
          </w:tcPr>
          <w:p w:rsidR="00C232A3" w:rsidRPr="00ED41C4" w:rsidRDefault="00C232A3" w:rsidP="00C232A3">
            <w:pPr>
              <w:pStyle w:val="ARfintablebodyright"/>
              <w:rPr>
                <w:rStyle w:val="Strong"/>
                <w:sz w:val="14"/>
                <w:szCs w:val="14"/>
              </w:rPr>
            </w:pPr>
            <w:r w:rsidRPr="00ED41C4">
              <w:rPr>
                <w:rStyle w:val="Strong"/>
                <w:sz w:val="14"/>
                <w:szCs w:val="14"/>
              </w:rPr>
              <w:t>0.1</w:t>
            </w:r>
          </w:p>
        </w:tc>
        <w:tc>
          <w:tcPr>
            <w:tcW w:w="708" w:type="dxa"/>
          </w:tcPr>
          <w:p w:rsidR="00C232A3" w:rsidRPr="00ED41C4" w:rsidRDefault="00C232A3" w:rsidP="00C232A3">
            <w:pPr>
              <w:pStyle w:val="ARfintablebodyright"/>
              <w:rPr>
                <w:rStyle w:val="Strong"/>
                <w:sz w:val="14"/>
                <w:szCs w:val="14"/>
              </w:rPr>
            </w:pPr>
            <w:r w:rsidRPr="00ED41C4">
              <w:rPr>
                <w:rStyle w:val="Strong"/>
                <w:sz w:val="14"/>
                <w:szCs w:val="14"/>
              </w:rPr>
              <w:t>–</w:t>
            </w:r>
          </w:p>
        </w:tc>
        <w:tc>
          <w:tcPr>
            <w:tcW w:w="708" w:type="dxa"/>
          </w:tcPr>
          <w:p w:rsidR="00C232A3" w:rsidRPr="00ED41C4" w:rsidRDefault="00C232A3" w:rsidP="00C232A3">
            <w:pPr>
              <w:pStyle w:val="ARfintablebodyright"/>
              <w:rPr>
                <w:rStyle w:val="Strong"/>
                <w:sz w:val="14"/>
                <w:szCs w:val="14"/>
              </w:rPr>
            </w:pPr>
            <w:r w:rsidRPr="00ED41C4">
              <w:rPr>
                <w:rStyle w:val="Strong"/>
                <w:sz w:val="14"/>
                <w:szCs w:val="14"/>
              </w:rPr>
              <w:t>266.0</w:t>
            </w:r>
          </w:p>
        </w:tc>
        <w:tc>
          <w:tcPr>
            <w:tcW w:w="708" w:type="dxa"/>
          </w:tcPr>
          <w:p w:rsidR="00C232A3" w:rsidRPr="00ED41C4" w:rsidRDefault="00C232A3" w:rsidP="00C232A3">
            <w:pPr>
              <w:pStyle w:val="ARfintablebodyright"/>
              <w:rPr>
                <w:rStyle w:val="Strong"/>
                <w:sz w:val="14"/>
                <w:szCs w:val="14"/>
              </w:rPr>
            </w:pPr>
            <w:r w:rsidRPr="00ED41C4">
              <w:rPr>
                <w:rStyle w:val="Strong"/>
                <w:sz w:val="14"/>
                <w:szCs w:val="14"/>
              </w:rPr>
              <w:t>–</w:t>
            </w:r>
          </w:p>
        </w:tc>
        <w:tc>
          <w:tcPr>
            <w:tcW w:w="793" w:type="dxa"/>
          </w:tcPr>
          <w:p w:rsidR="00C232A3" w:rsidRPr="00395ADC" w:rsidRDefault="00C232A3" w:rsidP="00C232A3">
            <w:pPr>
              <w:pStyle w:val="ARfintablebodyright"/>
              <w:rPr>
                <w:rStyle w:val="Strong"/>
                <w:bCs w:val="0"/>
                <w:sz w:val="14"/>
                <w:szCs w:val="14"/>
              </w:rPr>
            </w:pPr>
            <w:r w:rsidRPr="00395ADC">
              <w:rPr>
                <w:rStyle w:val="Strong"/>
                <w:sz w:val="14"/>
                <w:szCs w:val="14"/>
              </w:rPr>
              <w:t>601.5</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Refer to Note 4.1.1 for output definitions.</w:t>
      </w:r>
    </w:p>
    <w:p w:rsidR="00C232A3" w:rsidRPr="00AB62BD" w:rsidRDefault="00C232A3" w:rsidP="00C232A3">
      <w:pPr>
        <w:pStyle w:val="ARfintablefootnoteroman"/>
      </w:pPr>
      <w:r>
        <w:t>(ii)</w:t>
      </w:r>
      <w:r>
        <w:tab/>
      </w:r>
      <w:r w:rsidRPr="00AB62BD">
        <w:t>Total amount may not agree with Comprehensive Operating Statement due to eliminations.</w:t>
      </w:r>
    </w:p>
    <w:p w:rsidR="00C232A3" w:rsidRDefault="00C232A3" w:rsidP="00300E48">
      <w:pPr>
        <w:pStyle w:val="ARbody"/>
        <w:rPr>
          <w:rFonts w:eastAsia="MS Mincho"/>
          <w:lang w:eastAsia="en-AU"/>
        </w:rPr>
      </w:pPr>
      <w:r>
        <w:br w:type="page"/>
      </w:r>
    </w:p>
    <w:p w:rsidR="00C232A3" w:rsidRPr="00AB62BD" w:rsidRDefault="00C232A3" w:rsidP="00C232A3">
      <w:pPr>
        <w:pStyle w:val="Heading4"/>
      </w:pPr>
      <w:r w:rsidRPr="00AB62BD">
        <w:lastRenderedPageBreak/>
        <w:t>4.2 Administered (non-controlled) items</w:t>
      </w:r>
    </w:p>
    <w:p w:rsidR="00C232A3" w:rsidRPr="00D11896" w:rsidRDefault="00C232A3" w:rsidP="00C232A3">
      <w:pPr>
        <w:pStyle w:val="Heading5"/>
        <w:rPr>
          <w:rStyle w:val="Strong"/>
        </w:rPr>
      </w:pPr>
      <w:r w:rsidRPr="00D11896">
        <w:rPr>
          <w:rStyle w:val="Strong"/>
        </w:rPr>
        <w:t>4.2.1 Administered income and expenses</w:t>
      </w:r>
    </w:p>
    <w:p w:rsidR="00C232A3" w:rsidRPr="00AB62BD" w:rsidRDefault="00C232A3" w:rsidP="00C232A3">
      <w:pPr>
        <w:pStyle w:val="ARfinbody"/>
        <w:rPr>
          <w:lang w:eastAsia="en-AU"/>
        </w:rPr>
      </w:pPr>
      <w:r w:rsidRPr="00AB62BD">
        <w:rPr>
          <w:lang w:eastAsia="en-AU"/>
        </w:rPr>
        <w:t>Administered income includes taxes, fees and fines and the proceeds from the sale of administered surplus land and buildings. Administered expenses includes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the controlled department financial statements and these administered items are consolidated into the financial statements of the State.</w:t>
      </w:r>
    </w:p>
    <w:p w:rsidR="00C232A3" w:rsidRPr="00AB62BD" w:rsidRDefault="00C232A3" w:rsidP="00C232A3">
      <w:pPr>
        <w:pStyle w:val="ARfinbody"/>
        <w:rPr>
          <w:lang w:eastAsia="en-AU"/>
        </w:rPr>
      </w:pPr>
      <w:r w:rsidRPr="00AB62BD">
        <w:rPr>
          <w:lang w:eastAsia="en-AU"/>
        </w:rPr>
        <w:t>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059"/>
        <w:gridCol w:w="755"/>
        <w:gridCol w:w="756"/>
        <w:gridCol w:w="757"/>
        <w:gridCol w:w="757"/>
        <w:gridCol w:w="757"/>
        <w:gridCol w:w="758"/>
        <w:gridCol w:w="758"/>
        <w:gridCol w:w="758"/>
        <w:gridCol w:w="758"/>
        <w:gridCol w:w="758"/>
        <w:gridCol w:w="758"/>
        <w:gridCol w:w="758"/>
        <w:gridCol w:w="785"/>
        <w:gridCol w:w="770"/>
        <w:gridCol w:w="757"/>
      </w:tblGrid>
      <w:tr w:rsidR="00C232A3" w:rsidRPr="00AB62BD" w:rsidTr="00C232A3">
        <w:trPr>
          <w:cantSplit/>
          <w:tblHeader/>
        </w:trPr>
        <w:tc>
          <w:tcPr>
            <w:tcW w:w="3059" w:type="dxa"/>
            <w:tcBorders>
              <w:bottom w:val="single" w:sz="4" w:space="0" w:color="auto"/>
            </w:tcBorders>
            <w:vAlign w:val="bottom"/>
          </w:tcPr>
          <w:p w:rsidR="00C232A3" w:rsidRPr="004F38AB" w:rsidRDefault="00C232A3" w:rsidP="00C232A3">
            <w:pPr>
              <w:pStyle w:val="ARfintablecolhead"/>
            </w:pPr>
            <w:r w:rsidRPr="004F38AB">
              <w:t>(a) Output group</w:t>
            </w:r>
            <w:r>
              <w:t xml:space="preserve"> </w:t>
            </w:r>
            <w:r w:rsidRPr="000812B4">
              <w:rPr>
                <w:rStyle w:val="Superscriptbold"/>
              </w:rPr>
              <w:t>(</w:t>
            </w:r>
            <w:proofErr w:type="spellStart"/>
            <w:r w:rsidRPr="000812B4">
              <w:rPr>
                <w:rStyle w:val="Superscriptbold"/>
              </w:rPr>
              <w:t>i</w:t>
            </w:r>
            <w:proofErr w:type="spellEnd"/>
            <w:r w:rsidRPr="000812B4">
              <w:rPr>
                <w:rStyle w:val="Superscriptbold"/>
              </w:rPr>
              <w:t>)</w:t>
            </w:r>
            <w:r>
              <w:rPr>
                <w:rStyle w:val="Superscriptbold"/>
              </w:rPr>
              <w:t>(ii)</w:t>
            </w:r>
          </w:p>
          <w:p w:rsidR="00C232A3" w:rsidRPr="00AB62BD" w:rsidRDefault="00C232A3" w:rsidP="00C232A3">
            <w:pPr>
              <w:pStyle w:val="ARfintablecolhead"/>
              <w:rPr>
                <w:bCs/>
                <w:color w:val="000000"/>
                <w:vertAlign w:val="superscript"/>
              </w:rPr>
            </w:pPr>
            <w:r w:rsidRPr="004F38AB">
              <w:t>2017</w:t>
            </w:r>
          </w:p>
        </w:tc>
        <w:tc>
          <w:tcPr>
            <w:tcW w:w="755" w:type="dxa"/>
            <w:tcBorders>
              <w:bottom w:val="single" w:sz="4" w:space="0" w:color="auto"/>
            </w:tcBorders>
            <w:vAlign w:val="bottom"/>
          </w:tcPr>
          <w:p w:rsidR="00C232A3" w:rsidRPr="004F38AB" w:rsidRDefault="00C232A3" w:rsidP="00C232A3">
            <w:pPr>
              <w:pStyle w:val="ARfintablecolheadright"/>
            </w:pPr>
            <w:r w:rsidRPr="004F38AB">
              <w:t>1</w:t>
            </w:r>
          </w:p>
          <w:p w:rsidR="00C232A3" w:rsidRPr="004F38AB" w:rsidRDefault="00C232A3" w:rsidP="00C232A3">
            <w:pPr>
              <w:pStyle w:val="ARfintablecolheadright"/>
            </w:pPr>
            <w:r w:rsidRPr="004F38AB">
              <w:t>$M</w:t>
            </w:r>
          </w:p>
        </w:tc>
        <w:tc>
          <w:tcPr>
            <w:tcW w:w="756" w:type="dxa"/>
            <w:tcBorders>
              <w:bottom w:val="single" w:sz="4" w:space="0" w:color="auto"/>
            </w:tcBorders>
            <w:vAlign w:val="bottom"/>
          </w:tcPr>
          <w:p w:rsidR="00C232A3" w:rsidRPr="004F38AB" w:rsidRDefault="00C232A3" w:rsidP="00C232A3">
            <w:pPr>
              <w:pStyle w:val="ARfintablecolheadright"/>
            </w:pPr>
            <w:r w:rsidRPr="004F38AB">
              <w:t>2</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3</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4</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5</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6</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7</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8</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9</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10</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11</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12</w:t>
            </w:r>
          </w:p>
          <w:p w:rsidR="00C232A3" w:rsidRPr="004F38AB" w:rsidRDefault="00C232A3" w:rsidP="00C232A3">
            <w:pPr>
              <w:pStyle w:val="ARfintablecolheadright"/>
            </w:pPr>
            <w:r w:rsidRPr="004F38AB">
              <w:t>$M</w:t>
            </w:r>
          </w:p>
        </w:tc>
        <w:tc>
          <w:tcPr>
            <w:tcW w:w="785" w:type="dxa"/>
            <w:tcBorders>
              <w:bottom w:val="single" w:sz="4" w:space="0" w:color="auto"/>
            </w:tcBorders>
            <w:vAlign w:val="bottom"/>
          </w:tcPr>
          <w:p w:rsidR="00C232A3" w:rsidRPr="004F38AB" w:rsidRDefault="00C232A3" w:rsidP="00C232A3">
            <w:pPr>
              <w:pStyle w:val="ARfintablecolheadright"/>
            </w:pPr>
            <w:r w:rsidRPr="004F38AB">
              <w:t>13</w:t>
            </w:r>
          </w:p>
          <w:p w:rsidR="00C232A3" w:rsidRPr="004F38AB" w:rsidRDefault="00C232A3" w:rsidP="00C232A3">
            <w:pPr>
              <w:pStyle w:val="ARfintablecolheadright"/>
            </w:pPr>
            <w:r w:rsidRPr="004F38AB">
              <w:t>$M</w:t>
            </w:r>
          </w:p>
        </w:tc>
        <w:tc>
          <w:tcPr>
            <w:tcW w:w="770" w:type="dxa"/>
            <w:tcBorders>
              <w:bottom w:val="single" w:sz="4" w:space="0" w:color="auto"/>
            </w:tcBorders>
            <w:vAlign w:val="bottom"/>
          </w:tcPr>
          <w:p w:rsidR="00C232A3" w:rsidRPr="004F38AB" w:rsidRDefault="00C232A3" w:rsidP="00C232A3">
            <w:pPr>
              <w:pStyle w:val="ARfintablecolheadright"/>
            </w:pPr>
            <w:r w:rsidRPr="004F38AB">
              <w:t>14</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Total</w:t>
            </w:r>
          </w:p>
          <w:p w:rsidR="00C232A3" w:rsidRPr="004F38AB" w:rsidRDefault="00C232A3" w:rsidP="00C232A3">
            <w:pPr>
              <w:pStyle w:val="ARfintablecolheadright"/>
            </w:pPr>
            <w:r w:rsidRPr="004F38AB">
              <w:t>$M</w:t>
            </w:r>
          </w:p>
        </w:tc>
      </w:tr>
      <w:tr w:rsidR="00C232A3" w:rsidRPr="00AB62BD" w:rsidTr="00C232A3">
        <w:trPr>
          <w:cantSplit/>
        </w:trPr>
        <w:tc>
          <w:tcPr>
            <w:tcW w:w="305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Administered income from transactions</w:t>
            </w:r>
          </w:p>
        </w:tc>
        <w:tc>
          <w:tcPr>
            <w:tcW w:w="75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8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7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Commonwealth contribution to the national health reform</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4,062.1</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453.8</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102.2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46.8</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47.8</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4,722.1</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State contribution to the national health reform</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4,102.8</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169.5</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4,272.4</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State contribution to the National Disability Insurance Agency</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120.5</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120.5</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Commonwealth grants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67.5</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78.2</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Sales of goods and services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281.6</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14.2</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F749AF">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F749AF">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37.3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C20A66">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C20A66">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C20A66">
              <w:rPr>
                <w:sz w:val="14"/>
                <w:szCs w:val="14"/>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339.0</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Appropriations – payments made on behalf of the </w:t>
            </w:r>
            <w:r>
              <w:rPr>
                <w:lang w:eastAsia="en-AU"/>
              </w:rPr>
              <w:t>S</w:t>
            </w:r>
            <w:r w:rsidRPr="00AB62BD">
              <w:rPr>
                <w:lang w:eastAsia="en-AU"/>
              </w:rPr>
              <w:t>tate</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income</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Fees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8.9</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Grants and other income transfers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46.1</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76.3</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21.3</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045283">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045283">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045283">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w:t>
            </w:r>
          </w:p>
        </w:tc>
      </w:tr>
      <w:tr w:rsidR="00C232A3" w:rsidRPr="00AB62BD" w:rsidTr="00C232A3">
        <w:trPr>
          <w:cantSplit/>
        </w:trPr>
        <w:tc>
          <w:tcPr>
            <w:tcW w:w="3059"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administered income from transactions</w:t>
            </w:r>
          </w:p>
        </w:tc>
        <w:tc>
          <w:tcPr>
            <w:tcW w:w="755"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8,523.2</w:t>
            </w:r>
          </w:p>
        </w:tc>
        <w:tc>
          <w:tcPr>
            <w:tcW w:w="756" w:type="dxa"/>
            <w:tcBorders>
              <w:bottom w:val="single" w:sz="4" w:space="0" w:color="auto"/>
            </w:tcBorders>
          </w:tcPr>
          <w:p w:rsidR="00C232A3" w:rsidRPr="00C51D97" w:rsidRDefault="00C232A3" w:rsidP="00C232A3">
            <w:pPr>
              <w:pStyle w:val="ARfintablebodyright"/>
              <w:rPr>
                <w:rStyle w:val="Strong"/>
              </w:rPr>
            </w:pPr>
            <w:r w:rsidRPr="00C51D97">
              <w:rPr>
                <w:rStyle w:val="Strong"/>
              </w:rPr>
              <w:t>–</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637.6</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69.1</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16.4</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102.2</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55.9</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49.1</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184.2</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2.9</w:t>
            </w:r>
          </w:p>
        </w:tc>
        <w:tc>
          <w:tcPr>
            <w:tcW w:w="758" w:type="dxa"/>
            <w:tcBorders>
              <w:bottom w:val="single" w:sz="4" w:space="0" w:color="auto"/>
            </w:tcBorders>
          </w:tcPr>
          <w:p w:rsidR="00C232A3" w:rsidRPr="00C51D97" w:rsidRDefault="00C232A3" w:rsidP="00C232A3">
            <w:pPr>
              <w:pStyle w:val="ARfintablebodyright"/>
              <w:rPr>
                <w:rStyle w:val="Strong"/>
              </w:rPr>
            </w:pPr>
            <w:r w:rsidRPr="00C51D97">
              <w:rPr>
                <w:rStyle w:val="Strong"/>
              </w:rPr>
              <w:t>–</w:t>
            </w:r>
          </w:p>
        </w:tc>
        <w:tc>
          <w:tcPr>
            <w:tcW w:w="758" w:type="dxa"/>
            <w:tcBorders>
              <w:bottom w:val="single" w:sz="4" w:space="0" w:color="auto"/>
            </w:tcBorders>
          </w:tcPr>
          <w:p w:rsidR="00C232A3" w:rsidRPr="00C51D97" w:rsidRDefault="00C232A3" w:rsidP="00C232A3">
            <w:pPr>
              <w:pStyle w:val="ARfintablebodyright"/>
              <w:rPr>
                <w:rStyle w:val="Strong"/>
              </w:rPr>
            </w:pPr>
            <w:r w:rsidRPr="00C51D97">
              <w:rPr>
                <w:rStyle w:val="Strong"/>
              </w:rPr>
              <w:t>1.0</w:t>
            </w:r>
          </w:p>
        </w:tc>
        <w:tc>
          <w:tcPr>
            <w:tcW w:w="785"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0.6</w:t>
            </w:r>
          </w:p>
        </w:tc>
        <w:tc>
          <w:tcPr>
            <w:tcW w:w="770"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9,642.1</w:t>
            </w:r>
          </w:p>
        </w:tc>
      </w:tr>
      <w:tr w:rsidR="00C232A3" w:rsidRPr="00AB62BD" w:rsidTr="00C232A3">
        <w:trPr>
          <w:cantSplit/>
        </w:trPr>
        <w:tc>
          <w:tcPr>
            <w:tcW w:w="305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Administered expenses from transactions</w:t>
            </w:r>
          </w:p>
        </w:tc>
        <w:tc>
          <w:tcPr>
            <w:tcW w:w="75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8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7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Grants and other expense transfers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7,995.9</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331.8</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72572E">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72572E">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72572E">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72572E">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145.9</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8,474.2</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operating expenses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Payments into the consolidated fund</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308.6</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14.5</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71.4</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6.9</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456.0</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 to the departmental controlled entity</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213.1</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291.5</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102.2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46.8</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47.8</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710.8</w:t>
            </w:r>
          </w:p>
        </w:tc>
      </w:tr>
      <w:tr w:rsidR="00C232A3" w:rsidRPr="00AB62BD" w:rsidTr="00C232A3">
        <w:trPr>
          <w:cantSplit/>
        </w:trPr>
        <w:tc>
          <w:tcPr>
            <w:tcW w:w="3059" w:type="dxa"/>
          </w:tcPr>
          <w:p w:rsidR="00C232A3" w:rsidRPr="00AB62BD" w:rsidRDefault="00C232A3" w:rsidP="00C232A3">
            <w:pPr>
              <w:pStyle w:val="ARfintablebody"/>
              <w:rPr>
                <w:bCs/>
                <w:lang w:eastAsia="en-AU"/>
              </w:rPr>
            </w:pPr>
            <w:r w:rsidRPr="00AB62BD">
              <w:rPr>
                <w:rStyle w:val="Strong"/>
              </w:rPr>
              <w:t>Total administered expenses from transactions</w:t>
            </w:r>
          </w:p>
        </w:tc>
        <w:tc>
          <w:tcPr>
            <w:tcW w:w="755" w:type="dxa"/>
          </w:tcPr>
          <w:p w:rsidR="00C232A3" w:rsidRPr="00AB62BD" w:rsidRDefault="00C232A3" w:rsidP="00C232A3">
            <w:pPr>
              <w:pStyle w:val="ARfintablebodyright"/>
              <w:rPr>
                <w:b/>
                <w:bCs/>
                <w:lang w:eastAsia="en-AU"/>
              </w:rPr>
            </w:pPr>
            <w:r w:rsidRPr="00AB62BD">
              <w:rPr>
                <w:rStyle w:val="Strong"/>
              </w:rPr>
              <w:t>8,517.9</w:t>
            </w:r>
          </w:p>
        </w:tc>
        <w:tc>
          <w:tcPr>
            <w:tcW w:w="756" w:type="dxa"/>
          </w:tcPr>
          <w:p w:rsidR="00C232A3" w:rsidRPr="00C51D97" w:rsidRDefault="00C232A3" w:rsidP="00C232A3">
            <w:pPr>
              <w:pStyle w:val="ARfintablebodyright"/>
              <w:rPr>
                <w:rStyle w:val="Strong"/>
              </w:rPr>
            </w:pPr>
            <w:r w:rsidRPr="00C51D97">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637.8</w:t>
            </w:r>
          </w:p>
        </w:tc>
        <w:tc>
          <w:tcPr>
            <w:tcW w:w="757" w:type="dxa"/>
          </w:tcPr>
          <w:p w:rsidR="00C232A3" w:rsidRPr="00AB62BD" w:rsidRDefault="00C232A3" w:rsidP="00C232A3">
            <w:pPr>
              <w:pStyle w:val="ARfintablebodyright"/>
              <w:rPr>
                <w:b/>
                <w:bCs/>
                <w:lang w:eastAsia="en-AU"/>
              </w:rPr>
            </w:pPr>
            <w:r w:rsidRPr="00AB62BD">
              <w:rPr>
                <w:rStyle w:val="Strong"/>
              </w:rPr>
              <w:t>71.4</w:t>
            </w:r>
          </w:p>
        </w:tc>
        <w:tc>
          <w:tcPr>
            <w:tcW w:w="757" w:type="dxa"/>
          </w:tcPr>
          <w:p w:rsidR="00C232A3" w:rsidRPr="00AB62BD" w:rsidRDefault="00C232A3" w:rsidP="00C232A3">
            <w:pPr>
              <w:pStyle w:val="ARfintablebodyright"/>
              <w:rPr>
                <w:b/>
                <w:bCs/>
                <w:lang w:eastAsia="en-AU"/>
              </w:rPr>
            </w:pPr>
            <w:r w:rsidRPr="00AB62BD">
              <w:rPr>
                <w:rStyle w:val="Strong"/>
              </w:rPr>
              <w:t>16.4</w:t>
            </w:r>
          </w:p>
        </w:tc>
        <w:tc>
          <w:tcPr>
            <w:tcW w:w="758" w:type="dxa"/>
          </w:tcPr>
          <w:p w:rsidR="00C232A3" w:rsidRPr="00AB62BD" w:rsidRDefault="00C232A3" w:rsidP="00C232A3">
            <w:pPr>
              <w:pStyle w:val="ARfintablebodyright"/>
              <w:rPr>
                <w:b/>
                <w:bCs/>
                <w:lang w:eastAsia="en-AU"/>
              </w:rPr>
            </w:pPr>
            <w:r w:rsidRPr="00AB62BD">
              <w:rPr>
                <w:rStyle w:val="Strong"/>
              </w:rPr>
              <w:t>102.2</w:t>
            </w:r>
          </w:p>
        </w:tc>
        <w:tc>
          <w:tcPr>
            <w:tcW w:w="758" w:type="dxa"/>
          </w:tcPr>
          <w:p w:rsidR="00C232A3" w:rsidRPr="00AB62BD" w:rsidRDefault="00C232A3" w:rsidP="00C232A3">
            <w:pPr>
              <w:pStyle w:val="ARfintablebodyright"/>
              <w:rPr>
                <w:b/>
                <w:bCs/>
                <w:lang w:eastAsia="en-AU"/>
              </w:rPr>
            </w:pPr>
            <w:r w:rsidRPr="00AB62BD">
              <w:rPr>
                <w:rStyle w:val="Strong"/>
              </w:rPr>
              <w:t>56.6</w:t>
            </w:r>
          </w:p>
        </w:tc>
        <w:tc>
          <w:tcPr>
            <w:tcW w:w="758" w:type="dxa"/>
          </w:tcPr>
          <w:p w:rsidR="00C232A3" w:rsidRPr="00AB62BD" w:rsidRDefault="00C232A3" w:rsidP="00C232A3">
            <w:pPr>
              <w:pStyle w:val="ARfintablebodyright"/>
              <w:rPr>
                <w:b/>
                <w:bCs/>
                <w:lang w:eastAsia="en-AU"/>
              </w:rPr>
            </w:pPr>
            <w:r w:rsidRPr="00AB62BD">
              <w:rPr>
                <w:rStyle w:val="Strong"/>
              </w:rPr>
              <w:t>49.1</w:t>
            </w:r>
          </w:p>
        </w:tc>
        <w:tc>
          <w:tcPr>
            <w:tcW w:w="758" w:type="dxa"/>
          </w:tcPr>
          <w:p w:rsidR="00C232A3" w:rsidRPr="00AB62BD" w:rsidRDefault="00C232A3" w:rsidP="00C232A3">
            <w:pPr>
              <w:pStyle w:val="ARfintablebodyright"/>
              <w:rPr>
                <w:b/>
                <w:bCs/>
                <w:lang w:eastAsia="en-AU"/>
              </w:rPr>
            </w:pPr>
            <w:r w:rsidRPr="00AB62BD">
              <w:rPr>
                <w:rStyle w:val="Strong"/>
              </w:rPr>
              <w:t>186.5</w:t>
            </w:r>
          </w:p>
        </w:tc>
        <w:tc>
          <w:tcPr>
            <w:tcW w:w="758" w:type="dxa"/>
          </w:tcPr>
          <w:p w:rsidR="00C232A3" w:rsidRPr="00AB62BD" w:rsidRDefault="00C232A3" w:rsidP="00C232A3">
            <w:pPr>
              <w:pStyle w:val="ARfintablebodyright"/>
              <w:rPr>
                <w:b/>
                <w:bCs/>
                <w:lang w:eastAsia="en-AU"/>
              </w:rPr>
            </w:pPr>
            <w:r w:rsidRPr="00AB62BD">
              <w:rPr>
                <w:rStyle w:val="Strong"/>
              </w:rPr>
              <w:t>3.4</w:t>
            </w:r>
          </w:p>
        </w:tc>
        <w:tc>
          <w:tcPr>
            <w:tcW w:w="758" w:type="dxa"/>
          </w:tcPr>
          <w:p w:rsidR="00C232A3" w:rsidRPr="00C51D97" w:rsidRDefault="00C232A3" w:rsidP="00C232A3">
            <w:pPr>
              <w:pStyle w:val="ARfintablebodyright"/>
              <w:rPr>
                <w:rStyle w:val="Strong"/>
              </w:rPr>
            </w:pPr>
            <w:r w:rsidRPr="00C51D97">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1.0</w:t>
            </w:r>
          </w:p>
        </w:tc>
        <w:tc>
          <w:tcPr>
            <w:tcW w:w="785" w:type="dxa"/>
          </w:tcPr>
          <w:p w:rsidR="00C232A3" w:rsidRPr="00AB62BD" w:rsidRDefault="00C232A3" w:rsidP="00C232A3">
            <w:pPr>
              <w:pStyle w:val="ARfintablebodyright"/>
              <w:rPr>
                <w:b/>
                <w:bCs/>
                <w:lang w:eastAsia="en-AU"/>
              </w:rPr>
            </w:pPr>
            <w:r w:rsidRPr="00AB62BD">
              <w:rPr>
                <w:rStyle w:val="Strong"/>
              </w:rPr>
              <w:t>0.3</w:t>
            </w:r>
          </w:p>
        </w:tc>
        <w:tc>
          <w:tcPr>
            <w:tcW w:w="770"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9,642.3</w:t>
            </w:r>
          </w:p>
        </w:tc>
      </w:tr>
      <w:tr w:rsidR="00C232A3" w:rsidRPr="00AB62BD" w:rsidTr="00C232A3">
        <w:trPr>
          <w:cantSplit/>
        </w:trPr>
        <w:tc>
          <w:tcPr>
            <w:tcW w:w="3059"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administered net result from transactions</w:t>
            </w:r>
          </w:p>
        </w:tc>
        <w:tc>
          <w:tcPr>
            <w:tcW w:w="755"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5.3</w:t>
            </w:r>
          </w:p>
        </w:tc>
        <w:tc>
          <w:tcPr>
            <w:tcW w:w="756"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(0.2)</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(2.3)</w:t>
            </w:r>
          </w:p>
        </w:tc>
        <w:tc>
          <w:tcPr>
            <w:tcW w:w="757" w:type="dxa"/>
            <w:tcBorders>
              <w:bottom w:val="single" w:sz="4" w:space="0" w:color="auto"/>
            </w:tcBorders>
          </w:tcPr>
          <w:p w:rsidR="00C232A3" w:rsidRPr="00C51D97" w:rsidRDefault="00C232A3" w:rsidP="00C232A3">
            <w:pPr>
              <w:pStyle w:val="ARfintablebodyright"/>
              <w:rPr>
                <w:rStyle w:val="Strong"/>
              </w:rPr>
            </w:pPr>
            <w:r w:rsidRPr="00C51D97">
              <w:rPr>
                <w:rStyle w:val="Strong"/>
              </w:rPr>
              <w:t>–</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(0.6)</w:t>
            </w:r>
          </w:p>
        </w:tc>
        <w:tc>
          <w:tcPr>
            <w:tcW w:w="758" w:type="dxa"/>
            <w:tcBorders>
              <w:bottom w:val="single" w:sz="4" w:space="0" w:color="auto"/>
            </w:tcBorders>
          </w:tcPr>
          <w:p w:rsidR="00C232A3" w:rsidRPr="00C51D97" w:rsidRDefault="00C232A3" w:rsidP="00C232A3">
            <w:pPr>
              <w:pStyle w:val="ARfintablebodyright"/>
              <w:rPr>
                <w:rStyle w:val="Strong"/>
              </w:rPr>
            </w:pPr>
            <w:r w:rsidRPr="00C51D97">
              <w:rPr>
                <w:rStyle w:val="Strong"/>
              </w:rPr>
              <w:t>–</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(2.3)</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(0.4)</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785"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0.3</w:t>
            </w:r>
          </w:p>
        </w:tc>
        <w:tc>
          <w:tcPr>
            <w:tcW w:w="770"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(0.2)</w:t>
            </w:r>
          </w:p>
        </w:tc>
      </w:tr>
      <w:tr w:rsidR="00C232A3" w:rsidRPr="00AB62BD" w:rsidTr="00C232A3">
        <w:trPr>
          <w:cantSplit/>
        </w:trPr>
        <w:tc>
          <w:tcPr>
            <w:tcW w:w="305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lastRenderedPageBreak/>
              <w:t>Administered other economic flows included in net result</w:t>
            </w:r>
          </w:p>
        </w:tc>
        <w:tc>
          <w:tcPr>
            <w:tcW w:w="75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8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7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Net gain/(loss) on non-financial assets and liabilities </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(26.5)</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(24.3)</w:t>
            </w:r>
          </w:p>
        </w:tc>
      </w:tr>
      <w:tr w:rsidR="00C232A3" w:rsidRPr="00AB62BD" w:rsidTr="00C232A3">
        <w:trPr>
          <w:cantSplit/>
        </w:trPr>
        <w:tc>
          <w:tcPr>
            <w:tcW w:w="3059"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gains/(losses) from other economic flows</w:t>
            </w:r>
          </w:p>
        </w:tc>
        <w:tc>
          <w:tcPr>
            <w:tcW w:w="755" w:type="dxa"/>
            <w:tcBorders>
              <w:top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6"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85"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70"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r>
      <w:tr w:rsidR="00C232A3" w:rsidRPr="00AB62BD" w:rsidTr="00C232A3">
        <w:trPr>
          <w:cantSplit/>
        </w:trPr>
        <w:tc>
          <w:tcPr>
            <w:tcW w:w="3059" w:type="dxa"/>
          </w:tcPr>
          <w:p w:rsidR="00C232A3" w:rsidRPr="00AB62BD" w:rsidRDefault="00C232A3" w:rsidP="00C232A3">
            <w:pPr>
              <w:pStyle w:val="ARfintablebody"/>
              <w:rPr>
                <w:bCs/>
                <w:lang w:eastAsia="en-AU"/>
              </w:rPr>
            </w:pPr>
            <w:r w:rsidRPr="00AB62BD">
              <w:rPr>
                <w:rStyle w:val="Strong"/>
              </w:rPr>
              <w:t>Total administered other economic flows</w:t>
            </w:r>
          </w:p>
        </w:tc>
        <w:tc>
          <w:tcPr>
            <w:tcW w:w="755" w:type="dxa"/>
          </w:tcPr>
          <w:p w:rsidR="00C232A3" w:rsidRPr="00C51D97" w:rsidRDefault="00C232A3" w:rsidP="00C232A3">
            <w:pPr>
              <w:pStyle w:val="ARfintablebodyright"/>
              <w:rPr>
                <w:rStyle w:val="Strong"/>
              </w:rPr>
            </w:pPr>
            <w:r w:rsidRPr="00C51D97">
              <w:rPr>
                <w:rStyle w:val="Strong"/>
              </w:rPr>
              <w:t>–</w:t>
            </w:r>
          </w:p>
        </w:tc>
        <w:tc>
          <w:tcPr>
            <w:tcW w:w="756"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0.2</w:t>
            </w:r>
          </w:p>
        </w:tc>
        <w:tc>
          <w:tcPr>
            <w:tcW w:w="757" w:type="dxa"/>
          </w:tcPr>
          <w:p w:rsidR="00C232A3" w:rsidRPr="00AB62BD" w:rsidRDefault="00C232A3" w:rsidP="00C232A3">
            <w:pPr>
              <w:pStyle w:val="ARfintablebodyright"/>
              <w:rPr>
                <w:b/>
                <w:bCs/>
                <w:lang w:eastAsia="en-AU"/>
              </w:rPr>
            </w:pPr>
            <w:r w:rsidRPr="00AB62BD">
              <w:rPr>
                <w:rStyle w:val="Strong"/>
              </w:rPr>
              <w:t>(26.9)</w:t>
            </w:r>
          </w:p>
        </w:tc>
        <w:tc>
          <w:tcPr>
            <w:tcW w:w="757" w:type="dxa"/>
          </w:tcPr>
          <w:p w:rsidR="00C232A3" w:rsidRPr="00AB62BD" w:rsidRDefault="00C232A3" w:rsidP="00C232A3">
            <w:pPr>
              <w:pStyle w:val="ARfintablebodyright"/>
              <w:rPr>
                <w:b/>
                <w:bCs/>
                <w:lang w:eastAsia="en-AU"/>
              </w:rPr>
            </w:pPr>
            <w:r w:rsidRPr="00AB62BD">
              <w:rPr>
                <w:rStyle w:val="Strong"/>
              </w:rPr>
              <w:t>(1.5)</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0.6</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2.2</w:t>
            </w:r>
          </w:p>
        </w:tc>
        <w:tc>
          <w:tcPr>
            <w:tcW w:w="758" w:type="dxa"/>
          </w:tcPr>
          <w:p w:rsidR="00C232A3" w:rsidRPr="00AB62BD" w:rsidRDefault="00C232A3" w:rsidP="00C232A3">
            <w:pPr>
              <w:pStyle w:val="ARfintablebodyright"/>
              <w:rPr>
                <w:b/>
                <w:bCs/>
                <w:lang w:eastAsia="en-AU"/>
              </w:rPr>
            </w:pPr>
            <w:r w:rsidRPr="00AB62BD">
              <w:rPr>
                <w:rStyle w:val="Strong"/>
              </w:rPr>
              <w:t>0.4</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85" w:type="dxa"/>
          </w:tcPr>
          <w:p w:rsidR="00C232A3" w:rsidRPr="00AB62BD" w:rsidRDefault="00C232A3" w:rsidP="00C232A3">
            <w:pPr>
              <w:pStyle w:val="ARfintablebodyright"/>
              <w:rPr>
                <w:b/>
                <w:bCs/>
                <w:lang w:eastAsia="en-AU"/>
              </w:rPr>
            </w:pPr>
            <w:r w:rsidRPr="00AB62BD">
              <w:rPr>
                <w:rStyle w:val="Strong"/>
              </w:rPr>
              <w:t>–</w:t>
            </w:r>
          </w:p>
        </w:tc>
        <w:tc>
          <w:tcPr>
            <w:tcW w:w="770"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(25.0)</w:t>
            </w:r>
          </w:p>
        </w:tc>
      </w:tr>
      <w:tr w:rsidR="00C232A3" w:rsidRPr="00AB62BD" w:rsidTr="00C232A3">
        <w:trPr>
          <w:cantSplit/>
        </w:trPr>
        <w:tc>
          <w:tcPr>
            <w:tcW w:w="3059" w:type="dxa"/>
          </w:tcPr>
          <w:p w:rsidR="00C232A3" w:rsidRPr="00AB62BD" w:rsidRDefault="00C232A3" w:rsidP="00C232A3">
            <w:pPr>
              <w:pStyle w:val="ARfintablebody"/>
              <w:rPr>
                <w:bCs/>
                <w:lang w:eastAsia="en-AU"/>
              </w:rPr>
            </w:pPr>
            <w:r w:rsidRPr="00AB62BD">
              <w:rPr>
                <w:rStyle w:val="Strong"/>
              </w:rPr>
              <w:t>Administered net result</w:t>
            </w:r>
          </w:p>
        </w:tc>
        <w:tc>
          <w:tcPr>
            <w:tcW w:w="755" w:type="dxa"/>
          </w:tcPr>
          <w:p w:rsidR="00C232A3" w:rsidRPr="00AB62BD" w:rsidRDefault="00C232A3" w:rsidP="00C232A3">
            <w:pPr>
              <w:pStyle w:val="ARfintablebodyright"/>
              <w:rPr>
                <w:b/>
                <w:bCs/>
                <w:lang w:eastAsia="en-AU"/>
              </w:rPr>
            </w:pPr>
            <w:r w:rsidRPr="00AB62BD">
              <w:rPr>
                <w:rStyle w:val="Strong"/>
              </w:rPr>
              <w:t>5.3</w:t>
            </w:r>
          </w:p>
        </w:tc>
        <w:tc>
          <w:tcPr>
            <w:tcW w:w="756"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C51D97" w:rsidRDefault="00C232A3" w:rsidP="00C232A3">
            <w:pPr>
              <w:pStyle w:val="ARfintablebodyright"/>
              <w:rPr>
                <w:rStyle w:val="Strong"/>
              </w:rPr>
            </w:pPr>
            <w:r w:rsidRPr="00C51D97">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(29.2)</w:t>
            </w:r>
          </w:p>
        </w:tc>
        <w:tc>
          <w:tcPr>
            <w:tcW w:w="757" w:type="dxa"/>
          </w:tcPr>
          <w:p w:rsidR="00C232A3" w:rsidRPr="00AB62BD" w:rsidRDefault="00C232A3" w:rsidP="00C232A3">
            <w:pPr>
              <w:pStyle w:val="ARfintablebodyright"/>
              <w:rPr>
                <w:b/>
                <w:bCs/>
                <w:lang w:eastAsia="en-AU"/>
              </w:rPr>
            </w:pPr>
            <w:r w:rsidRPr="00AB62BD">
              <w:rPr>
                <w:rStyle w:val="Strong"/>
              </w:rPr>
              <w:t>(1.5)</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C51D97" w:rsidRDefault="00C232A3" w:rsidP="00C232A3">
            <w:pPr>
              <w:pStyle w:val="ARfintablebodyright"/>
              <w:rPr>
                <w:rStyle w:val="Strong"/>
              </w:rPr>
            </w:pPr>
            <w:r w:rsidRPr="00C51D97">
              <w:rPr>
                <w:rStyle w:val="Strong"/>
              </w:rPr>
              <w:t>–</w:t>
            </w:r>
          </w:p>
        </w:tc>
        <w:tc>
          <w:tcPr>
            <w:tcW w:w="758" w:type="dxa"/>
          </w:tcPr>
          <w:p w:rsidR="00C232A3" w:rsidRPr="00C51D97" w:rsidRDefault="00C232A3" w:rsidP="00C232A3">
            <w:pPr>
              <w:pStyle w:val="ARfintablebodyright"/>
              <w:rPr>
                <w:rStyle w:val="Strong"/>
              </w:rPr>
            </w:pPr>
            <w:r w:rsidRPr="00C51D97">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(0.1)</w:t>
            </w:r>
          </w:p>
        </w:tc>
        <w:tc>
          <w:tcPr>
            <w:tcW w:w="758" w:type="dxa"/>
          </w:tcPr>
          <w:p w:rsidR="00C232A3" w:rsidRPr="00C51D97" w:rsidRDefault="00C232A3" w:rsidP="00C232A3">
            <w:pPr>
              <w:pStyle w:val="ARfintablebodyright"/>
              <w:rPr>
                <w:rStyle w:val="Strong"/>
              </w:rPr>
            </w:pPr>
            <w:r w:rsidRPr="00C51D97">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85" w:type="dxa"/>
          </w:tcPr>
          <w:p w:rsidR="00C232A3" w:rsidRPr="00AB62BD" w:rsidRDefault="00C232A3" w:rsidP="00C232A3">
            <w:pPr>
              <w:pStyle w:val="ARfintablebodyright"/>
              <w:rPr>
                <w:b/>
                <w:bCs/>
                <w:lang w:eastAsia="en-AU"/>
              </w:rPr>
            </w:pPr>
            <w:r w:rsidRPr="00AB62BD">
              <w:rPr>
                <w:rStyle w:val="Strong"/>
              </w:rPr>
              <w:t>0.3</w:t>
            </w:r>
          </w:p>
        </w:tc>
        <w:tc>
          <w:tcPr>
            <w:tcW w:w="770"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rStyle w:val="Strong"/>
                <w:bCs w:val="0"/>
              </w:rPr>
            </w:pPr>
            <w:r w:rsidRPr="00AB62BD">
              <w:rPr>
                <w:rStyle w:val="Strong"/>
              </w:rPr>
              <w:t>(25.2)</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Refer to Note 4.1.1 for output group definitions</w:t>
      </w:r>
    </w:p>
    <w:p w:rsidR="00C232A3" w:rsidRDefault="00C232A3" w:rsidP="00C232A3">
      <w:pPr>
        <w:pStyle w:val="ARfintablefootnoteroman"/>
      </w:pPr>
      <w:r w:rsidRPr="00AB62BD">
        <w:t>(ii)</w:t>
      </w:r>
      <w:r>
        <w:tab/>
      </w:r>
      <w:r w:rsidRPr="00AB62BD">
        <w:t>Output group 15: Share Services is not applicable for administered activities.</w:t>
      </w:r>
    </w:p>
    <w:p w:rsidR="00C232A3" w:rsidRPr="00AB62BD" w:rsidRDefault="00C232A3" w:rsidP="00C232A3">
      <w:pPr>
        <w:pStyle w:val="ARfintablefootnoteroman"/>
      </w:pP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059"/>
        <w:gridCol w:w="755"/>
        <w:gridCol w:w="756"/>
        <w:gridCol w:w="757"/>
        <w:gridCol w:w="757"/>
        <w:gridCol w:w="757"/>
        <w:gridCol w:w="758"/>
        <w:gridCol w:w="758"/>
        <w:gridCol w:w="758"/>
        <w:gridCol w:w="758"/>
        <w:gridCol w:w="758"/>
        <w:gridCol w:w="758"/>
        <w:gridCol w:w="758"/>
        <w:gridCol w:w="758"/>
        <w:gridCol w:w="797"/>
        <w:gridCol w:w="757"/>
      </w:tblGrid>
      <w:tr w:rsidR="00C232A3" w:rsidRPr="00AB62BD" w:rsidTr="00C232A3">
        <w:trPr>
          <w:cantSplit/>
          <w:tblHeader/>
        </w:trPr>
        <w:tc>
          <w:tcPr>
            <w:tcW w:w="3059" w:type="dxa"/>
            <w:tcBorders>
              <w:bottom w:val="single" w:sz="4" w:space="0" w:color="auto"/>
            </w:tcBorders>
            <w:vAlign w:val="bottom"/>
          </w:tcPr>
          <w:p w:rsidR="00C232A3" w:rsidRPr="004F38AB" w:rsidRDefault="00C232A3" w:rsidP="00C232A3">
            <w:pPr>
              <w:pStyle w:val="ARfintablecolhead"/>
            </w:pPr>
            <w:r w:rsidRPr="00AB62BD">
              <w:rPr>
                <w:rStyle w:val="Strong"/>
                <w:rFonts w:cs="Arial"/>
              </w:rPr>
              <w:t>(</w:t>
            </w:r>
            <w:r w:rsidRPr="004F38AB">
              <w:t>a) Output group</w:t>
            </w:r>
            <w:r>
              <w:t xml:space="preserve"> </w:t>
            </w:r>
            <w:r w:rsidRPr="000812B4">
              <w:rPr>
                <w:rStyle w:val="Superscript"/>
              </w:rPr>
              <w:t>(</w:t>
            </w:r>
            <w:proofErr w:type="spellStart"/>
            <w:r w:rsidRPr="000812B4">
              <w:rPr>
                <w:rStyle w:val="Superscript"/>
              </w:rPr>
              <w:t>i</w:t>
            </w:r>
            <w:proofErr w:type="spellEnd"/>
            <w:r w:rsidRPr="000812B4">
              <w:rPr>
                <w:rStyle w:val="Superscript"/>
              </w:rPr>
              <w:t>)</w:t>
            </w:r>
            <w:r>
              <w:rPr>
                <w:rStyle w:val="Superscript"/>
              </w:rPr>
              <w:t>(ii)</w:t>
            </w:r>
          </w:p>
          <w:p w:rsidR="00C232A3" w:rsidRPr="00AB62BD" w:rsidRDefault="00C232A3" w:rsidP="00C232A3">
            <w:pPr>
              <w:pStyle w:val="ARfintablecolhead"/>
              <w:rPr>
                <w:bCs/>
                <w:color w:val="000000"/>
                <w:vertAlign w:val="superscript"/>
              </w:rPr>
            </w:pPr>
            <w:r w:rsidRPr="004F38AB">
              <w:t>2016</w:t>
            </w:r>
          </w:p>
        </w:tc>
        <w:tc>
          <w:tcPr>
            <w:tcW w:w="755" w:type="dxa"/>
            <w:tcBorders>
              <w:bottom w:val="single" w:sz="4" w:space="0" w:color="auto"/>
            </w:tcBorders>
            <w:vAlign w:val="bottom"/>
          </w:tcPr>
          <w:p w:rsidR="00C232A3" w:rsidRPr="004F38AB" w:rsidRDefault="00C232A3" w:rsidP="00C232A3">
            <w:pPr>
              <w:pStyle w:val="ARfintablecolheadright"/>
            </w:pPr>
            <w:r w:rsidRPr="004F38AB">
              <w:t>1</w:t>
            </w:r>
          </w:p>
          <w:p w:rsidR="00C232A3" w:rsidRPr="004F38AB" w:rsidRDefault="00C232A3" w:rsidP="00C232A3">
            <w:pPr>
              <w:pStyle w:val="ARfintablecolheadright"/>
            </w:pPr>
            <w:r w:rsidRPr="004F38AB">
              <w:t>$M</w:t>
            </w:r>
          </w:p>
        </w:tc>
        <w:tc>
          <w:tcPr>
            <w:tcW w:w="756" w:type="dxa"/>
            <w:tcBorders>
              <w:bottom w:val="single" w:sz="4" w:space="0" w:color="auto"/>
            </w:tcBorders>
            <w:vAlign w:val="bottom"/>
          </w:tcPr>
          <w:p w:rsidR="00C232A3" w:rsidRPr="004F38AB" w:rsidRDefault="00C232A3" w:rsidP="00C232A3">
            <w:pPr>
              <w:pStyle w:val="ARfintablecolheadright"/>
            </w:pPr>
            <w:r w:rsidRPr="004F38AB">
              <w:t>2</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3</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4</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5</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6</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7</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8</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9</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10</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11</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12</w:t>
            </w:r>
          </w:p>
          <w:p w:rsidR="00C232A3" w:rsidRPr="004F38AB" w:rsidRDefault="00C232A3" w:rsidP="00C232A3">
            <w:pPr>
              <w:pStyle w:val="ARfintablecolheadright"/>
            </w:pPr>
            <w:r w:rsidRPr="004F38AB">
              <w:t>$M</w:t>
            </w:r>
          </w:p>
        </w:tc>
        <w:tc>
          <w:tcPr>
            <w:tcW w:w="758" w:type="dxa"/>
            <w:tcBorders>
              <w:bottom w:val="single" w:sz="4" w:space="0" w:color="auto"/>
            </w:tcBorders>
            <w:vAlign w:val="bottom"/>
          </w:tcPr>
          <w:p w:rsidR="00C232A3" w:rsidRPr="004F38AB" w:rsidRDefault="00C232A3" w:rsidP="00C232A3">
            <w:pPr>
              <w:pStyle w:val="ARfintablecolheadright"/>
            </w:pPr>
            <w:r w:rsidRPr="004F38AB">
              <w:t>13</w:t>
            </w:r>
          </w:p>
          <w:p w:rsidR="00C232A3" w:rsidRPr="004F38AB" w:rsidRDefault="00C232A3" w:rsidP="00C232A3">
            <w:pPr>
              <w:pStyle w:val="ARfintablecolheadright"/>
            </w:pPr>
            <w:r w:rsidRPr="004F38AB">
              <w:t>$M</w:t>
            </w:r>
          </w:p>
        </w:tc>
        <w:tc>
          <w:tcPr>
            <w:tcW w:w="797" w:type="dxa"/>
            <w:tcBorders>
              <w:bottom w:val="single" w:sz="4" w:space="0" w:color="auto"/>
            </w:tcBorders>
            <w:vAlign w:val="bottom"/>
          </w:tcPr>
          <w:p w:rsidR="00C232A3" w:rsidRPr="004F38AB" w:rsidRDefault="00C232A3" w:rsidP="00C232A3">
            <w:pPr>
              <w:pStyle w:val="ARfintablecolheadright"/>
            </w:pPr>
            <w:r w:rsidRPr="004F38AB">
              <w:t>14</w:t>
            </w:r>
          </w:p>
          <w:p w:rsidR="00C232A3" w:rsidRPr="004F38AB" w:rsidRDefault="00C232A3" w:rsidP="00C232A3">
            <w:pPr>
              <w:pStyle w:val="ARfintablecolheadright"/>
            </w:pPr>
            <w:r w:rsidRPr="004F38AB">
              <w:t>$M</w:t>
            </w:r>
          </w:p>
        </w:tc>
        <w:tc>
          <w:tcPr>
            <w:tcW w:w="757" w:type="dxa"/>
            <w:tcBorders>
              <w:bottom w:val="single" w:sz="4" w:space="0" w:color="auto"/>
            </w:tcBorders>
            <w:vAlign w:val="bottom"/>
          </w:tcPr>
          <w:p w:rsidR="00C232A3" w:rsidRPr="004F38AB" w:rsidRDefault="00C232A3" w:rsidP="00C232A3">
            <w:pPr>
              <w:pStyle w:val="ARfintablecolheadright"/>
            </w:pPr>
            <w:r w:rsidRPr="004F38AB">
              <w:t>Total</w:t>
            </w:r>
          </w:p>
          <w:p w:rsidR="00C232A3" w:rsidRPr="004F38AB" w:rsidRDefault="00C232A3" w:rsidP="00C232A3">
            <w:pPr>
              <w:pStyle w:val="ARfintablecolheadright"/>
            </w:pPr>
            <w:r w:rsidRPr="004F38AB">
              <w:t>$M</w:t>
            </w:r>
          </w:p>
        </w:tc>
      </w:tr>
      <w:tr w:rsidR="00C232A3" w:rsidRPr="00AB62BD" w:rsidTr="00C232A3">
        <w:trPr>
          <w:cantSplit/>
        </w:trPr>
        <w:tc>
          <w:tcPr>
            <w:tcW w:w="305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Administered income from transactions</w:t>
            </w:r>
          </w:p>
        </w:tc>
        <w:tc>
          <w:tcPr>
            <w:tcW w:w="75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9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Commonwealth contribution to the national health reform</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3,585.0</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408.0</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9.9</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36.7</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47.5</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4,180.4</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State contribution to the national health reform</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3,918.6</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172.3</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4,090.9</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Commonwealth grants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10.1</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27.9</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40.6</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Sales of goods and services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286.9</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14.7</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896DE6">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896DE6">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27.4</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0C24D3">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0C24D3">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0C24D3">
              <w:rPr>
                <w:sz w:val="14"/>
                <w:szCs w:val="14"/>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335.7</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income</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Fees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9.1</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Grants and other income transfers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50.9</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A298A">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1D29E2">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963FF9">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963FF9">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963FF9">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963FF9">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963FF9">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963FF9">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52.2</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36.3</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A298A">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1D29E2">
              <w:rPr>
                <w:sz w:val="14"/>
                <w:szCs w:val="14"/>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40.7</w:t>
            </w:r>
          </w:p>
        </w:tc>
      </w:tr>
      <w:tr w:rsidR="00C232A3" w:rsidRPr="00AB62BD" w:rsidTr="00C232A3">
        <w:trPr>
          <w:cantSplit/>
        </w:trPr>
        <w:tc>
          <w:tcPr>
            <w:tcW w:w="3059"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administered income from transactions</w:t>
            </w:r>
          </w:p>
        </w:tc>
        <w:tc>
          <w:tcPr>
            <w:tcW w:w="755"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7,888.8</w:t>
            </w:r>
          </w:p>
        </w:tc>
        <w:tc>
          <w:tcPr>
            <w:tcW w:w="756" w:type="dxa"/>
            <w:tcBorders>
              <w:bottom w:val="single" w:sz="4" w:space="0" w:color="auto"/>
            </w:tcBorders>
          </w:tcPr>
          <w:p w:rsidR="00C232A3" w:rsidRPr="00050F24" w:rsidRDefault="00C232A3" w:rsidP="00C232A3">
            <w:pPr>
              <w:pStyle w:val="ARfintablebodyright"/>
              <w:rPr>
                <w:rStyle w:val="Strong"/>
              </w:rPr>
            </w:pPr>
            <w:r w:rsidRPr="00050F24">
              <w:rPr>
                <w:rStyle w:val="Strong"/>
              </w:rPr>
              <w:t>–</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595.1</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30.4</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14.6</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93.2</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45.5</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48.7</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27.8</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1.5</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1.5</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3.2</w:t>
            </w:r>
          </w:p>
        </w:tc>
        <w:tc>
          <w:tcPr>
            <w:tcW w:w="75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0.2</w:t>
            </w:r>
          </w:p>
        </w:tc>
        <w:tc>
          <w:tcPr>
            <w:tcW w:w="79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8,750.7</w:t>
            </w:r>
          </w:p>
        </w:tc>
      </w:tr>
      <w:tr w:rsidR="00C232A3" w:rsidRPr="00AB62BD" w:rsidTr="00C232A3">
        <w:trPr>
          <w:cantSplit/>
        </w:trPr>
        <w:tc>
          <w:tcPr>
            <w:tcW w:w="305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Administered expenses from transactions</w:t>
            </w:r>
          </w:p>
        </w:tc>
        <w:tc>
          <w:tcPr>
            <w:tcW w:w="75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9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Grants and other expense transfers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7,337.4</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318.2</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FD55B0">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FD55B0">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7,656.8</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operating expenses</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Payments into the consolidated fund</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342.4</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15.0</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30.5</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8.8</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30.1</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436.4</w:t>
            </w: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Payment to the departmental controlled entity</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249.2</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262.1</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9.9</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93.2</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36.7</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47.5</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698.7</w:t>
            </w:r>
          </w:p>
        </w:tc>
      </w:tr>
      <w:tr w:rsidR="00C232A3" w:rsidRPr="00AB62BD" w:rsidTr="00C232A3">
        <w:trPr>
          <w:cantSplit/>
        </w:trPr>
        <w:tc>
          <w:tcPr>
            <w:tcW w:w="3059" w:type="dxa"/>
          </w:tcPr>
          <w:p w:rsidR="00C232A3" w:rsidRPr="00AB62BD" w:rsidRDefault="00C232A3" w:rsidP="00C232A3">
            <w:pPr>
              <w:pStyle w:val="ARfintablebody"/>
              <w:rPr>
                <w:bCs/>
                <w:lang w:eastAsia="en-AU"/>
              </w:rPr>
            </w:pPr>
            <w:r w:rsidRPr="00AB62BD">
              <w:rPr>
                <w:rStyle w:val="Strong"/>
              </w:rPr>
              <w:t>Total administered expenses from transactions</w:t>
            </w:r>
          </w:p>
        </w:tc>
        <w:tc>
          <w:tcPr>
            <w:tcW w:w="755" w:type="dxa"/>
          </w:tcPr>
          <w:p w:rsidR="00C232A3" w:rsidRPr="00AB62BD" w:rsidRDefault="00C232A3" w:rsidP="00C232A3">
            <w:pPr>
              <w:pStyle w:val="ARfintablebodyright"/>
              <w:rPr>
                <w:b/>
                <w:bCs/>
                <w:lang w:eastAsia="en-AU"/>
              </w:rPr>
            </w:pPr>
            <w:r w:rsidRPr="00AB62BD">
              <w:rPr>
                <w:rStyle w:val="Strong"/>
              </w:rPr>
              <w:t>7,929.4</w:t>
            </w:r>
          </w:p>
        </w:tc>
        <w:tc>
          <w:tcPr>
            <w:tcW w:w="756" w:type="dxa"/>
          </w:tcPr>
          <w:p w:rsidR="00C232A3" w:rsidRPr="00AB62BD" w:rsidRDefault="00C232A3" w:rsidP="00C232A3">
            <w:pPr>
              <w:pStyle w:val="ARfintablebodyright"/>
              <w:rPr>
                <w:b/>
                <w:bCs/>
                <w:lang w:eastAsia="en-AU"/>
              </w:rPr>
            </w:pPr>
            <w:r w:rsidRPr="00AB62BD">
              <w:rPr>
                <w:rStyle w:val="Strong"/>
              </w:rPr>
              <w:t>(0.3)</w:t>
            </w:r>
          </w:p>
        </w:tc>
        <w:tc>
          <w:tcPr>
            <w:tcW w:w="757" w:type="dxa"/>
          </w:tcPr>
          <w:p w:rsidR="00C232A3" w:rsidRPr="00AB62BD" w:rsidRDefault="00C232A3" w:rsidP="00C232A3">
            <w:pPr>
              <w:pStyle w:val="ARfintablebodyright"/>
              <w:rPr>
                <w:b/>
                <w:bCs/>
                <w:lang w:eastAsia="en-AU"/>
              </w:rPr>
            </w:pPr>
            <w:r w:rsidRPr="00AB62BD">
              <w:rPr>
                <w:rStyle w:val="Strong"/>
              </w:rPr>
              <w:t>595.4</w:t>
            </w:r>
          </w:p>
        </w:tc>
        <w:tc>
          <w:tcPr>
            <w:tcW w:w="757" w:type="dxa"/>
          </w:tcPr>
          <w:p w:rsidR="00C232A3" w:rsidRPr="00AB62BD" w:rsidRDefault="00C232A3" w:rsidP="00C232A3">
            <w:pPr>
              <w:pStyle w:val="ARfintablebodyright"/>
              <w:rPr>
                <w:b/>
                <w:bCs/>
                <w:lang w:eastAsia="en-AU"/>
              </w:rPr>
            </w:pPr>
            <w:r w:rsidRPr="00AB62BD">
              <w:rPr>
                <w:rStyle w:val="Strong"/>
              </w:rPr>
              <w:t>30.5</w:t>
            </w:r>
          </w:p>
        </w:tc>
        <w:tc>
          <w:tcPr>
            <w:tcW w:w="757" w:type="dxa"/>
          </w:tcPr>
          <w:p w:rsidR="00C232A3" w:rsidRPr="00AB62BD" w:rsidRDefault="00C232A3" w:rsidP="00C232A3">
            <w:pPr>
              <w:pStyle w:val="ARfintablebodyright"/>
              <w:rPr>
                <w:b/>
                <w:bCs/>
                <w:lang w:eastAsia="en-AU"/>
              </w:rPr>
            </w:pPr>
            <w:r w:rsidRPr="00AB62BD">
              <w:rPr>
                <w:rStyle w:val="Strong"/>
              </w:rPr>
              <w:t>14.7</w:t>
            </w:r>
          </w:p>
        </w:tc>
        <w:tc>
          <w:tcPr>
            <w:tcW w:w="758" w:type="dxa"/>
          </w:tcPr>
          <w:p w:rsidR="00C232A3" w:rsidRPr="00AB62BD" w:rsidRDefault="00C232A3" w:rsidP="00C232A3">
            <w:pPr>
              <w:pStyle w:val="ARfintablebodyright"/>
              <w:rPr>
                <w:b/>
                <w:bCs/>
                <w:lang w:eastAsia="en-AU"/>
              </w:rPr>
            </w:pPr>
            <w:r w:rsidRPr="00AB62BD">
              <w:rPr>
                <w:rStyle w:val="Strong"/>
              </w:rPr>
              <w:t>93.2</w:t>
            </w:r>
          </w:p>
        </w:tc>
        <w:tc>
          <w:tcPr>
            <w:tcW w:w="758" w:type="dxa"/>
          </w:tcPr>
          <w:p w:rsidR="00C232A3" w:rsidRPr="00AB62BD" w:rsidRDefault="00C232A3" w:rsidP="00C232A3">
            <w:pPr>
              <w:pStyle w:val="ARfintablebodyright"/>
              <w:rPr>
                <w:b/>
                <w:bCs/>
                <w:lang w:eastAsia="en-AU"/>
              </w:rPr>
            </w:pPr>
            <w:r w:rsidRPr="00AB62BD">
              <w:rPr>
                <w:rStyle w:val="Strong"/>
              </w:rPr>
              <w:t>45.7</w:t>
            </w:r>
          </w:p>
        </w:tc>
        <w:tc>
          <w:tcPr>
            <w:tcW w:w="758" w:type="dxa"/>
          </w:tcPr>
          <w:p w:rsidR="00C232A3" w:rsidRPr="00AB62BD" w:rsidRDefault="00C232A3" w:rsidP="00C232A3">
            <w:pPr>
              <w:pStyle w:val="ARfintablebodyright"/>
              <w:rPr>
                <w:b/>
                <w:bCs/>
                <w:lang w:eastAsia="en-AU"/>
              </w:rPr>
            </w:pPr>
            <w:r w:rsidRPr="00AB62BD">
              <w:rPr>
                <w:rStyle w:val="Strong"/>
              </w:rPr>
              <w:t>48.8</w:t>
            </w:r>
          </w:p>
        </w:tc>
        <w:tc>
          <w:tcPr>
            <w:tcW w:w="758" w:type="dxa"/>
          </w:tcPr>
          <w:p w:rsidR="00C232A3" w:rsidRPr="00AB62BD" w:rsidRDefault="00C232A3" w:rsidP="00C232A3">
            <w:pPr>
              <w:pStyle w:val="ARfintablebodyright"/>
              <w:rPr>
                <w:b/>
                <w:bCs/>
                <w:lang w:eastAsia="en-AU"/>
              </w:rPr>
            </w:pPr>
            <w:r w:rsidRPr="00AB62BD">
              <w:rPr>
                <w:rStyle w:val="Strong"/>
              </w:rPr>
              <w:t>30.3</w:t>
            </w:r>
          </w:p>
        </w:tc>
        <w:tc>
          <w:tcPr>
            <w:tcW w:w="758" w:type="dxa"/>
          </w:tcPr>
          <w:p w:rsidR="00C232A3" w:rsidRPr="00AB62BD" w:rsidRDefault="00C232A3" w:rsidP="00C232A3">
            <w:pPr>
              <w:pStyle w:val="ARfintablebodyright"/>
              <w:rPr>
                <w:b/>
                <w:bCs/>
                <w:lang w:eastAsia="en-AU"/>
              </w:rPr>
            </w:pPr>
            <w:r w:rsidRPr="00AB62BD">
              <w:rPr>
                <w:rStyle w:val="Strong"/>
              </w:rPr>
              <w:t>1.6</w:t>
            </w:r>
          </w:p>
        </w:tc>
        <w:tc>
          <w:tcPr>
            <w:tcW w:w="758" w:type="dxa"/>
          </w:tcPr>
          <w:p w:rsidR="00C232A3" w:rsidRPr="00AB62BD" w:rsidRDefault="00C232A3" w:rsidP="00C232A3">
            <w:pPr>
              <w:pStyle w:val="ARfintablebodyright"/>
              <w:rPr>
                <w:b/>
                <w:bCs/>
                <w:lang w:eastAsia="en-AU"/>
              </w:rPr>
            </w:pPr>
            <w:r w:rsidRPr="00AB62BD">
              <w:rPr>
                <w:rStyle w:val="Strong"/>
              </w:rPr>
              <w:t>1.0</w:t>
            </w:r>
          </w:p>
        </w:tc>
        <w:tc>
          <w:tcPr>
            <w:tcW w:w="758" w:type="dxa"/>
          </w:tcPr>
          <w:p w:rsidR="00C232A3" w:rsidRPr="00AB62BD" w:rsidRDefault="00C232A3" w:rsidP="00C232A3">
            <w:pPr>
              <w:pStyle w:val="ARfintablebodyright"/>
              <w:rPr>
                <w:b/>
                <w:bCs/>
                <w:lang w:eastAsia="en-AU"/>
              </w:rPr>
            </w:pPr>
            <w:r w:rsidRPr="00AB62BD">
              <w:rPr>
                <w:rStyle w:val="Strong"/>
              </w:rPr>
              <w:t>2.7</w:t>
            </w:r>
          </w:p>
        </w:tc>
        <w:tc>
          <w:tcPr>
            <w:tcW w:w="758" w:type="dxa"/>
          </w:tcPr>
          <w:p w:rsidR="00C232A3" w:rsidRPr="00AB62BD" w:rsidRDefault="00C232A3" w:rsidP="00C232A3">
            <w:pPr>
              <w:pStyle w:val="ARfintablebodyright"/>
              <w:rPr>
                <w:b/>
                <w:bCs/>
                <w:lang w:eastAsia="en-AU"/>
              </w:rPr>
            </w:pPr>
            <w:r w:rsidRPr="00AB62BD">
              <w:rPr>
                <w:rStyle w:val="Strong"/>
              </w:rPr>
              <w:t>0.2</w:t>
            </w:r>
          </w:p>
        </w:tc>
        <w:tc>
          <w:tcPr>
            <w:tcW w:w="797"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8,793.1</w:t>
            </w:r>
          </w:p>
        </w:tc>
      </w:tr>
      <w:tr w:rsidR="00C232A3" w:rsidRPr="00AB62BD" w:rsidTr="00C232A3">
        <w:trPr>
          <w:cantSplit/>
        </w:trPr>
        <w:tc>
          <w:tcPr>
            <w:tcW w:w="3059" w:type="dxa"/>
            <w:tcBorders>
              <w:bottom w:val="single" w:sz="4" w:space="0" w:color="auto"/>
            </w:tcBorders>
          </w:tcPr>
          <w:p w:rsidR="00C232A3" w:rsidRPr="00AB62BD" w:rsidRDefault="00C232A3" w:rsidP="00C232A3">
            <w:pPr>
              <w:pStyle w:val="ARfintablebody"/>
              <w:rPr>
                <w:bCs/>
                <w:lang w:eastAsia="en-AU"/>
              </w:rPr>
            </w:pPr>
            <w:r w:rsidRPr="00AB62BD">
              <w:rPr>
                <w:rStyle w:val="Strong"/>
              </w:rPr>
              <w:lastRenderedPageBreak/>
              <w:t>Total administered net result from transactions</w:t>
            </w:r>
          </w:p>
        </w:tc>
        <w:tc>
          <w:tcPr>
            <w:tcW w:w="755"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(40.6)</w:t>
            </w:r>
          </w:p>
        </w:tc>
        <w:tc>
          <w:tcPr>
            <w:tcW w:w="756"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0.3</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(0.3)</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(0.2)</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(0.1)</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(0.2)</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(2.5)</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0.4</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0.5</w:t>
            </w:r>
          </w:p>
        </w:tc>
        <w:tc>
          <w:tcPr>
            <w:tcW w:w="758" w:type="dxa"/>
            <w:tcBorders>
              <w:bottom w:val="single" w:sz="4" w:space="0" w:color="auto"/>
            </w:tcBorders>
          </w:tcPr>
          <w:p w:rsidR="00C232A3" w:rsidRPr="00050F24" w:rsidRDefault="00C232A3" w:rsidP="00C232A3">
            <w:pPr>
              <w:pStyle w:val="ARfintablebodyright"/>
              <w:rPr>
                <w:rStyle w:val="Strong"/>
              </w:rPr>
            </w:pPr>
            <w:r w:rsidRPr="00050F24">
              <w:rPr>
                <w:rStyle w:val="Strong"/>
              </w:rPr>
              <w:t>–</w:t>
            </w:r>
          </w:p>
        </w:tc>
        <w:tc>
          <w:tcPr>
            <w:tcW w:w="797" w:type="dxa"/>
            <w:tcBorders>
              <w:bottom w:val="single" w:sz="4" w:space="0" w:color="auto"/>
            </w:tcBorders>
          </w:tcPr>
          <w:p w:rsidR="00C232A3" w:rsidRPr="00050F24" w:rsidRDefault="00C232A3" w:rsidP="00C232A3">
            <w:pPr>
              <w:pStyle w:val="ARfintablebodyright"/>
              <w:rPr>
                <w:rStyle w:val="Strong"/>
              </w:rPr>
            </w:pPr>
            <w:r w:rsidRPr="00050F24">
              <w:rPr>
                <w:rStyle w:val="Strong"/>
              </w:rPr>
              <w:t>–</w:t>
            </w:r>
          </w:p>
        </w:tc>
        <w:tc>
          <w:tcPr>
            <w:tcW w:w="757"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(42.5)</w:t>
            </w:r>
          </w:p>
        </w:tc>
      </w:tr>
      <w:tr w:rsidR="00C232A3" w:rsidRPr="00AB62BD" w:rsidTr="00C232A3">
        <w:trPr>
          <w:cantSplit/>
        </w:trPr>
        <w:tc>
          <w:tcPr>
            <w:tcW w:w="305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Administered other economic flows included in net result</w:t>
            </w:r>
          </w:p>
        </w:tc>
        <w:tc>
          <w:tcPr>
            <w:tcW w:w="75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9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757"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05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Net gain/(loss) on non-financial assets and liabilities </w:t>
            </w:r>
          </w:p>
        </w:tc>
        <w:tc>
          <w:tcPr>
            <w:tcW w:w="75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c>
          <w:tcPr>
            <w:tcW w:w="7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w:t>
            </w:r>
          </w:p>
        </w:tc>
      </w:tr>
      <w:tr w:rsidR="00C232A3" w:rsidRPr="00AB62BD" w:rsidTr="00C232A3">
        <w:trPr>
          <w:cantSplit/>
        </w:trPr>
        <w:tc>
          <w:tcPr>
            <w:tcW w:w="3059"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gains/(losses) from other economic flows</w:t>
            </w:r>
          </w:p>
        </w:tc>
        <w:tc>
          <w:tcPr>
            <w:tcW w:w="755"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6"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9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757"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3059" w:type="dxa"/>
          </w:tcPr>
          <w:p w:rsidR="00C232A3" w:rsidRPr="00AB62BD" w:rsidRDefault="00C232A3" w:rsidP="00C232A3">
            <w:pPr>
              <w:pStyle w:val="ARfintablebody"/>
              <w:rPr>
                <w:bCs/>
                <w:lang w:eastAsia="en-AU"/>
              </w:rPr>
            </w:pPr>
            <w:r w:rsidRPr="00AB62BD">
              <w:rPr>
                <w:rStyle w:val="Strong"/>
              </w:rPr>
              <w:t>Total administered other economic flows</w:t>
            </w:r>
          </w:p>
        </w:tc>
        <w:tc>
          <w:tcPr>
            <w:tcW w:w="755" w:type="dxa"/>
          </w:tcPr>
          <w:p w:rsidR="00C232A3" w:rsidRPr="00AB62BD" w:rsidRDefault="00C232A3" w:rsidP="00C232A3">
            <w:pPr>
              <w:pStyle w:val="ARfintablebodyright"/>
              <w:rPr>
                <w:b/>
                <w:bCs/>
                <w:lang w:eastAsia="en-AU"/>
              </w:rPr>
            </w:pPr>
            <w:r w:rsidRPr="00AB62BD">
              <w:rPr>
                <w:rStyle w:val="Strong"/>
              </w:rPr>
              <w:t>0.5</w:t>
            </w:r>
          </w:p>
        </w:tc>
        <w:tc>
          <w:tcPr>
            <w:tcW w:w="756" w:type="dxa"/>
          </w:tcPr>
          <w:p w:rsidR="00C232A3" w:rsidRPr="00AB62BD" w:rsidRDefault="00C232A3" w:rsidP="00C232A3">
            <w:pPr>
              <w:pStyle w:val="ARfintablebodyright"/>
              <w:rPr>
                <w:b/>
                <w:bCs/>
                <w:lang w:eastAsia="en-AU"/>
              </w:rPr>
            </w:pPr>
            <w:r w:rsidRPr="00AB62BD">
              <w:rPr>
                <w:rStyle w:val="Strong"/>
              </w:rPr>
              <w:t>(0.3)</w:t>
            </w:r>
          </w:p>
        </w:tc>
        <w:tc>
          <w:tcPr>
            <w:tcW w:w="757"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1.9</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58" w:type="dxa"/>
          </w:tcPr>
          <w:p w:rsidR="00C232A3" w:rsidRPr="00AB62BD" w:rsidRDefault="00C232A3" w:rsidP="00C232A3">
            <w:pPr>
              <w:pStyle w:val="ARfintablebodyright"/>
              <w:rPr>
                <w:b/>
                <w:bCs/>
                <w:lang w:eastAsia="en-AU"/>
              </w:rPr>
            </w:pPr>
            <w:r w:rsidRPr="00AB62BD">
              <w:rPr>
                <w:rStyle w:val="Strong"/>
              </w:rPr>
              <w:t>–</w:t>
            </w:r>
          </w:p>
        </w:tc>
        <w:tc>
          <w:tcPr>
            <w:tcW w:w="797" w:type="dxa"/>
          </w:tcPr>
          <w:p w:rsidR="00C232A3" w:rsidRPr="00AB62BD" w:rsidRDefault="00C232A3" w:rsidP="00C232A3">
            <w:pPr>
              <w:pStyle w:val="ARfintablebodyright"/>
              <w:rPr>
                <w:b/>
                <w:bCs/>
                <w:lang w:eastAsia="en-AU"/>
              </w:rPr>
            </w:pPr>
            <w:r w:rsidRPr="00AB62BD">
              <w:rPr>
                <w:rStyle w:val="Strong"/>
              </w:rPr>
              <w:t>–</w:t>
            </w:r>
          </w:p>
        </w:tc>
        <w:tc>
          <w:tcPr>
            <w:tcW w:w="757" w:type="dxa"/>
          </w:tcPr>
          <w:p w:rsidR="00C232A3" w:rsidRPr="00AB62BD" w:rsidRDefault="00C232A3" w:rsidP="00C232A3">
            <w:pPr>
              <w:pStyle w:val="ARfintablebodyright"/>
              <w:rPr>
                <w:b/>
                <w:bCs/>
                <w:lang w:eastAsia="en-AU"/>
              </w:rPr>
            </w:pPr>
            <w:r w:rsidRPr="00AB62BD">
              <w:rPr>
                <w:rStyle w:val="Strong"/>
              </w:rPr>
              <w:t>2.1</w:t>
            </w:r>
          </w:p>
        </w:tc>
      </w:tr>
      <w:tr w:rsidR="00C232A3" w:rsidRPr="00AB62BD" w:rsidTr="00C232A3">
        <w:trPr>
          <w:cantSplit/>
        </w:trPr>
        <w:tc>
          <w:tcPr>
            <w:tcW w:w="3059" w:type="dxa"/>
          </w:tcPr>
          <w:p w:rsidR="00C232A3" w:rsidRPr="00AB62BD" w:rsidRDefault="00C232A3" w:rsidP="00C232A3">
            <w:pPr>
              <w:pStyle w:val="ARfintablebody"/>
              <w:rPr>
                <w:bCs/>
                <w:lang w:eastAsia="en-AU"/>
              </w:rPr>
            </w:pPr>
            <w:r w:rsidRPr="00AB62BD">
              <w:rPr>
                <w:rStyle w:val="Strong"/>
              </w:rPr>
              <w:t>Administered net result</w:t>
            </w:r>
          </w:p>
        </w:tc>
        <w:tc>
          <w:tcPr>
            <w:tcW w:w="755" w:type="dxa"/>
          </w:tcPr>
          <w:p w:rsidR="00C232A3" w:rsidRPr="00AB62BD" w:rsidRDefault="00C232A3" w:rsidP="00C232A3">
            <w:pPr>
              <w:pStyle w:val="ARfintablebodyright"/>
              <w:rPr>
                <w:b/>
                <w:bCs/>
                <w:lang w:eastAsia="en-AU"/>
              </w:rPr>
            </w:pPr>
            <w:r w:rsidRPr="00AB62BD">
              <w:rPr>
                <w:rStyle w:val="Strong"/>
              </w:rPr>
              <w:t>(40.1)</w:t>
            </w:r>
          </w:p>
        </w:tc>
        <w:tc>
          <w:tcPr>
            <w:tcW w:w="756" w:type="dxa"/>
          </w:tcPr>
          <w:p w:rsidR="00C232A3" w:rsidRPr="00050F24" w:rsidRDefault="00C232A3" w:rsidP="00C232A3">
            <w:pPr>
              <w:pStyle w:val="ARfintablebodyright"/>
              <w:rPr>
                <w:rStyle w:val="Strong"/>
              </w:rPr>
            </w:pPr>
            <w:r w:rsidRPr="00050F24">
              <w:rPr>
                <w:rStyle w:val="Strong"/>
              </w:rPr>
              <w:t>–</w:t>
            </w:r>
          </w:p>
        </w:tc>
        <w:tc>
          <w:tcPr>
            <w:tcW w:w="757" w:type="dxa"/>
          </w:tcPr>
          <w:p w:rsidR="00C232A3" w:rsidRPr="00050F24" w:rsidRDefault="00C232A3" w:rsidP="00C232A3">
            <w:pPr>
              <w:pStyle w:val="ARfintablebodyright"/>
              <w:rPr>
                <w:rStyle w:val="Strong"/>
              </w:rPr>
            </w:pPr>
            <w:r w:rsidRPr="00050F24">
              <w:rPr>
                <w:rStyle w:val="Strong"/>
              </w:rPr>
              <w:t>(0.3)</w:t>
            </w:r>
          </w:p>
        </w:tc>
        <w:tc>
          <w:tcPr>
            <w:tcW w:w="757" w:type="dxa"/>
          </w:tcPr>
          <w:p w:rsidR="00C232A3" w:rsidRPr="00050F24" w:rsidRDefault="00C232A3" w:rsidP="00C232A3">
            <w:pPr>
              <w:pStyle w:val="ARfintablebodyright"/>
              <w:rPr>
                <w:rStyle w:val="Strong"/>
              </w:rPr>
            </w:pPr>
            <w:r w:rsidRPr="00050F24">
              <w:rPr>
                <w:rStyle w:val="Strong"/>
              </w:rPr>
              <w:t>(0.2)</w:t>
            </w:r>
          </w:p>
        </w:tc>
        <w:tc>
          <w:tcPr>
            <w:tcW w:w="757" w:type="dxa"/>
          </w:tcPr>
          <w:p w:rsidR="00C232A3" w:rsidRPr="00050F24" w:rsidRDefault="00C232A3" w:rsidP="00C232A3">
            <w:pPr>
              <w:pStyle w:val="ARfintablebodyright"/>
              <w:rPr>
                <w:rStyle w:val="Strong"/>
              </w:rPr>
            </w:pPr>
            <w:r w:rsidRPr="00050F24">
              <w:rPr>
                <w:rStyle w:val="Strong"/>
              </w:rPr>
              <w:t>(0.1)</w:t>
            </w:r>
          </w:p>
        </w:tc>
        <w:tc>
          <w:tcPr>
            <w:tcW w:w="758" w:type="dxa"/>
          </w:tcPr>
          <w:p w:rsidR="00C232A3" w:rsidRPr="00050F24" w:rsidRDefault="00C232A3" w:rsidP="00C232A3">
            <w:pPr>
              <w:pStyle w:val="ARfintablebodyright"/>
              <w:rPr>
                <w:rStyle w:val="Strong"/>
              </w:rPr>
            </w:pPr>
            <w:r w:rsidRPr="00050F24">
              <w:rPr>
                <w:rStyle w:val="Strong"/>
              </w:rPr>
              <w:t>–</w:t>
            </w:r>
          </w:p>
        </w:tc>
        <w:tc>
          <w:tcPr>
            <w:tcW w:w="758" w:type="dxa"/>
          </w:tcPr>
          <w:p w:rsidR="00C232A3" w:rsidRPr="00050F24" w:rsidRDefault="00C232A3" w:rsidP="00C232A3">
            <w:pPr>
              <w:pStyle w:val="ARfintablebodyright"/>
              <w:rPr>
                <w:rStyle w:val="Strong"/>
              </w:rPr>
            </w:pPr>
            <w:r w:rsidRPr="00050F24">
              <w:rPr>
                <w:rStyle w:val="Strong"/>
              </w:rPr>
              <w:t>(0.2)</w:t>
            </w:r>
          </w:p>
        </w:tc>
        <w:tc>
          <w:tcPr>
            <w:tcW w:w="758" w:type="dxa"/>
          </w:tcPr>
          <w:p w:rsidR="00C232A3" w:rsidRPr="00050F24" w:rsidRDefault="00C232A3" w:rsidP="00C232A3">
            <w:pPr>
              <w:pStyle w:val="ARfintablebodyright"/>
              <w:rPr>
                <w:rStyle w:val="Strong"/>
              </w:rPr>
            </w:pPr>
            <w:r w:rsidRPr="00050F24">
              <w:rPr>
                <w:rStyle w:val="Strong"/>
              </w:rPr>
              <w:t>–</w:t>
            </w:r>
          </w:p>
        </w:tc>
        <w:tc>
          <w:tcPr>
            <w:tcW w:w="758" w:type="dxa"/>
          </w:tcPr>
          <w:p w:rsidR="00C232A3" w:rsidRPr="00050F24" w:rsidRDefault="00C232A3" w:rsidP="00C232A3">
            <w:pPr>
              <w:pStyle w:val="ARfintablebodyright"/>
              <w:rPr>
                <w:rStyle w:val="Strong"/>
              </w:rPr>
            </w:pPr>
            <w:r w:rsidRPr="00050F24">
              <w:rPr>
                <w:rStyle w:val="Strong"/>
              </w:rPr>
              <w:t>(0.6)</w:t>
            </w:r>
          </w:p>
        </w:tc>
        <w:tc>
          <w:tcPr>
            <w:tcW w:w="758" w:type="dxa"/>
          </w:tcPr>
          <w:p w:rsidR="00C232A3" w:rsidRPr="00050F24" w:rsidRDefault="00C232A3" w:rsidP="00C232A3">
            <w:pPr>
              <w:pStyle w:val="ARfintablebodyright"/>
              <w:rPr>
                <w:rStyle w:val="Strong"/>
              </w:rPr>
            </w:pPr>
            <w:r w:rsidRPr="00050F24">
              <w:rPr>
                <w:rStyle w:val="Strong"/>
              </w:rPr>
              <w:t>–</w:t>
            </w:r>
          </w:p>
        </w:tc>
        <w:tc>
          <w:tcPr>
            <w:tcW w:w="758" w:type="dxa"/>
          </w:tcPr>
          <w:p w:rsidR="00C232A3" w:rsidRPr="00050F24" w:rsidRDefault="00C232A3" w:rsidP="00C232A3">
            <w:pPr>
              <w:pStyle w:val="ARfintablebodyright"/>
              <w:rPr>
                <w:rStyle w:val="Strong"/>
              </w:rPr>
            </w:pPr>
            <w:r w:rsidRPr="00050F24">
              <w:rPr>
                <w:rStyle w:val="Strong"/>
              </w:rPr>
              <w:t>0.4</w:t>
            </w:r>
          </w:p>
        </w:tc>
        <w:tc>
          <w:tcPr>
            <w:tcW w:w="758" w:type="dxa"/>
          </w:tcPr>
          <w:p w:rsidR="00C232A3" w:rsidRPr="00050F24" w:rsidRDefault="00C232A3" w:rsidP="00C232A3">
            <w:pPr>
              <w:pStyle w:val="ARfintablebodyright"/>
              <w:rPr>
                <w:rStyle w:val="Strong"/>
              </w:rPr>
            </w:pPr>
            <w:r w:rsidRPr="00050F24">
              <w:rPr>
                <w:rStyle w:val="Strong"/>
              </w:rPr>
              <w:t>0.5</w:t>
            </w:r>
          </w:p>
        </w:tc>
        <w:tc>
          <w:tcPr>
            <w:tcW w:w="758" w:type="dxa"/>
          </w:tcPr>
          <w:p w:rsidR="00C232A3" w:rsidRPr="00050F24" w:rsidRDefault="00C232A3" w:rsidP="00C232A3">
            <w:pPr>
              <w:pStyle w:val="ARfintablebodyright"/>
              <w:rPr>
                <w:rStyle w:val="Strong"/>
              </w:rPr>
            </w:pPr>
            <w:r w:rsidRPr="00050F24">
              <w:rPr>
                <w:rStyle w:val="Strong"/>
              </w:rPr>
              <w:t>–</w:t>
            </w:r>
          </w:p>
        </w:tc>
        <w:tc>
          <w:tcPr>
            <w:tcW w:w="797" w:type="dxa"/>
          </w:tcPr>
          <w:p w:rsidR="00C232A3" w:rsidRPr="00050F24" w:rsidRDefault="00C232A3" w:rsidP="00C232A3">
            <w:pPr>
              <w:pStyle w:val="ARfintablebodyright"/>
              <w:rPr>
                <w:rStyle w:val="Strong"/>
              </w:rPr>
            </w:pPr>
            <w:r w:rsidRPr="00050F24">
              <w:rPr>
                <w:rStyle w:val="Strong"/>
              </w:rPr>
              <w:t>–</w:t>
            </w:r>
          </w:p>
        </w:tc>
        <w:tc>
          <w:tcPr>
            <w:tcW w:w="757" w:type="dxa"/>
          </w:tcPr>
          <w:p w:rsidR="00C232A3" w:rsidRPr="00AB62BD" w:rsidRDefault="00C232A3" w:rsidP="00C232A3">
            <w:pPr>
              <w:pStyle w:val="ARfintablebodyright"/>
              <w:rPr>
                <w:rStyle w:val="Strong"/>
                <w:bCs w:val="0"/>
              </w:rPr>
            </w:pPr>
            <w:r w:rsidRPr="00AB62BD">
              <w:rPr>
                <w:rStyle w:val="Strong"/>
              </w:rPr>
              <w:t>(40.4)</w:t>
            </w:r>
          </w:p>
        </w:tc>
      </w:tr>
    </w:tbl>
    <w:p w:rsidR="00C232A3" w:rsidRPr="00AB62BD" w:rsidRDefault="00C232A3" w:rsidP="00C232A3">
      <w:pPr>
        <w:pStyle w:val="ARfintablefootnote"/>
        <w:rPr>
          <w:lang w:eastAsia="en-AU"/>
        </w:rPr>
      </w:pPr>
      <w:r w:rsidRPr="00AB62BD">
        <w:rPr>
          <w:lang w:eastAsia="en-AU"/>
        </w:rPr>
        <w:t>Notes:</w:t>
      </w:r>
    </w:p>
    <w:p w:rsidR="00AA035A" w:rsidRDefault="00C232A3" w:rsidP="00C232A3">
      <w:pPr>
        <w:pStyle w:val="ARfintablefootnoteroman"/>
      </w:pPr>
      <w:r>
        <w:t>(</w:t>
      </w:r>
      <w:proofErr w:type="spellStart"/>
      <w:r>
        <w:t>i</w:t>
      </w:r>
      <w:proofErr w:type="spellEnd"/>
      <w:r>
        <w:t>)</w:t>
      </w:r>
      <w:r>
        <w:tab/>
      </w:r>
      <w:r w:rsidRPr="004A3EEC">
        <w:t>Refer</w:t>
      </w:r>
      <w:r w:rsidRPr="00AB62BD">
        <w:t xml:space="preserve"> to Note 4.1.1 for output group definitions</w:t>
      </w:r>
    </w:p>
    <w:p w:rsidR="00AA035A" w:rsidRDefault="00C232A3" w:rsidP="00C232A3">
      <w:pPr>
        <w:pStyle w:val="ARfintablefootnoteroman"/>
      </w:pPr>
      <w:r>
        <w:t>(ii)</w:t>
      </w:r>
      <w:r>
        <w:tab/>
      </w:r>
      <w:r w:rsidRPr="00AB62BD">
        <w:t>Output group 15: Share Services is not applicable for administered activities.</w:t>
      </w:r>
    </w:p>
    <w:p w:rsidR="00C232A3" w:rsidRPr="00AB62BD" w:rsidRDefault="00C232A3" w:rsidP="00C232A3">
      <w:pPr>
        <w:pStyle w:val="ARfinbody"/>
        <w:rPr>
          <w:lang w:eastAsia="en-AU"/>
        </w:rPr>
      </w:pPr>
    </w:p>
    <w:p w:rsidR="00C232A3" w:rsidRDefault="00C232A3" w:rsidP="00C232A3">
      <w:pPr>
        <w:pStyle w:val="ARfinbody"/>
        <w:rPr>
          <w:lang w:eastAsia="en-AU"/>
        </w:rPr>
        <w:sectPr w:rsidR="00C232A3" w:rsidSect="00C232A3">
          <w:headerReference w:type="even" r:id="rId106"/>
          <w:headerReference w:type="default" r:id="rId107"/>
          <w:endnotePr>
            <w:numFmt w:val="decimal"/>
          </w:endnotePr>
          <w:pgSz w:w="16840" w:h="11900" w:orient="landscape" w:code="9"/>
          <w:pgMar w:top="1418" w:right="1531" w:bottom="851" w:left="851" w:header="794" w:footer="340" w:gutter="0"/>
          <w:cols w:space="454"/>
          <w:docGrid w:linePitch="272"/>
        </w:sectPr>
      </w:pPr>
    </w:p>
    <w:p w:rsidR="00C232A3" w:rsidRPr="007760CD" w:rsidRDefault="00C232A3" w:rsidP="00C232A3">
      <w:pPr>
        <w:pStyle w:val="Heading5continued"/>
        <w:spacing w:before="0"/>
      </w:pPr>
      <w:r w:rsidRPr="007760CD">
        <w:lastRenderedPageBreak/>
        <w:t>4.2.1 Administered income and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4A3EEC" w:rsidRDefault="00C232A3" w:rsidP="00C232A3">
            <w:pPr>
              <w:pStyle w:val="ARfintablecolheadright"/>
            </w:pPr>
          </w:p>
        </w:tc>
        <w:tc>
          <w:tcPr>
            <w:tcW w:w="1134" w:type="dxa"/>
            <w:shd w:val="clear" w:color="auto" w:fill="E7E6E6"/>
            <w:vAlign w:val="bottom"/>
          </w:tcPr>
          <w:p w:rsidR="00C232A3" w:rsidRPr="004A3EEC" w:rsidRDefault="00C232A3" w:rsidP="00C232A3">
            <w:pPr>
              <w:pStyle w:val="ARfintablecolheadright"/>
            </w:pPr>
            <w:r w:rsidRPr="004A3EEC">
              <w:t>2017</w:t>
            </w:r>
          </w:p>
          <w:p w:rsidR="00C232A3" w:rsidRPr="004A3EEC" w:rsidRDefault="00C232A3" w:rsidP="00C232A3">
            <w:pPr>
              <w:pStyle w:val="ARfintablecolheadright"/>
            </w:pPr>
            <w:r w:rsidRPr="004A3EEC">
              <w:t>$M</w:t>
            </w:r>
          </w:p>
        </w:tc>
        <w:tc>
          <w:tcPr>
            <w:tcW w:w="1134" w:type="dxa"/>
            <w:vAlign w:val="bottom"/>
          </w:tcPr>
          <w:p w:rsidR="00C232A3" w:rsidRPr="004A3EEC" w:rsidRDefault="00C232A3" w:rsidP="00C232A3">
            <w:pPr>
              <w:pStyle w:val="ARfintablecolheadright"/>
            </w:pPr>
            <w:r w:rsidRPr="004A3EEC">
              <w:t>2016</w:t>
            </w:r>
          </w:p>
          <w:p w:rsidR="00C232A3" w:rsidRPr="004A3EEC" w:rsidRDefault="00C232A3" w:rsidP="00C232A3">
            <w:pPr>
              <w:pStyle w:val="ARfintablecolheadright"/>
            </w:pPr>
            <w:r w:rsidRPr="004A3EEC">
              <w:t>$M</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 xml:space="preserve">(b) Grants and other expense transfers </w:t>
            </w:r>
          </w:p>
        </w:tc>
        <w:tc>
          <w:tcPr>
            <w:tcW w:w="1134" w:type="dxa"/>
            <w:shd w:val="clear" w:color="auto" w:fill="E7E6E6"/>
          </w:tcPr>
          <w:p w:rsidR="00C232A3" w:rsidRPr="00AB62BD" w:rsidRDefault="00C232A3" w:rsidP="00C232A3">
            <w:pPr>
              <w:pStyle w:val="ARfintablebodyright"/>
              <w:rPr>
                <w:rStyle w:val="Strong"/>
                <w:bCs w:val="0"/>
              </w:rPr>
            </w:pPr>
          </w:p>
        </w:tc>
        <w:tc>
          <w:tcPr>
            <w:tcW w:w="1134" w:type="dxa"/>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 xml:space="preserve">Public hospitals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Monash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1,112.0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1,032.0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Alfred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666.0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613.5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Eastern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641.8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596.4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Melbourne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578.2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530.0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Western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563.6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516.7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Austin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540.4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505.3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Barwon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396.6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362.0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Royal Children’s Hospital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372.2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361.7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St Vincent’s Hospital (Melbourne) Limited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372.8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350.9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Peninsula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386.1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343.4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Northern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369.6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331.6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Mercy Hospitals Victoria Limited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263.2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242.3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Ballarat Health Services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216.4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194.5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Bendigo Health Care Group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214.7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184.7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Royal Women’s Hospital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192.4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182.8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Latrobe Regional Hospital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147.1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136.2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Goulburn Valley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136.0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126.3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South West Healthcare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102.2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Peter </w:t>
            </w:r>
            <w:proofErr w:type="spellStart"/>
            <w:r w:rsidRPr="00AB62BD">
              <w:rPr>
                <w:lang w:eastAsia="en-AU"/>
              </w:rPr>
              <w:t>MacCallum</w:t>
            </w:r>
            <w:proofErr w:type="spellEnd"/>
            <w:r w:rsidRPr="00AB62BD">
              <w:rPr>
                <w:lang w:eastAsia="en-AU"/>
              </w:rPr>
              <w:t xml:space="preserve"> Cancer Centre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116.0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Albury Wodonga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93.4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Ramsay Health Care Limited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87.9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80.8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Northeast Health Wangaratta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86.7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76.6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Royal Victorian Eye and Ear Hospital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81.7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73.5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West Gippsland Health Care Group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62.6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54.7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Central Gippsland Health Service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49.7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Bairnsdale Regional Health Service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Wimmera Health Care Group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49.8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Echuca Regional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39.2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Djerriwarrh</w:t>
            </w:r>
            <w:proofErr w:type="spellEnd"/>
            <w:r w:rsidRPr="00AB62BD">
              <w:rPr>
                <w:lang w:eastAsia="en-AU"/>
              </w:rPr>
              <w:t xml:space="preserve"> Health Services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Western District Health Service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34.0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Swan Hill District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Bass Coast Regional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36.4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Calvary Health Care Bethlehem Limited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18.6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Portland District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Colac Area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20.7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Castlemaine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22.4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Gippsland Southern Health Service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Benalla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East Grampians Health Service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Maryborough District Health Service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Stawell Regional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12.4</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 xml:space="preserve">Kyabram District Health Services </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12.7</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11.9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8,318.5</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7,655.9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Commonwealth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National Disability Insurance Agency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145.9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Cross Border payment to NSW Health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organisations with payment</w:t>
            </w:r>
            <w:r>
              <w:rPr>
                <w:lang w:eastAsia="en-AU"/>
              </w:rPr>
              <w:t>s</w:t>
            </w:r>
            <w:r w:rsidRPr="00AB62BD">
              <w:rPr>
                <w:lang w:eastAsia="en-AU"/>
              </w:rPr>
              <w:t xml:space="preserve"> totall</w:t>
            </w:r>
            <w:r>
              <w:rPr>
                <w:lang w:eastAsia="en-AU"/>
              </w:rPr>
              <w:t>ing</w:t>
            </w:r>
            <w:r w:rsidRPr="00AB62BD">
              <w:rPr>
                <w:lang w:eastAsia="en-AU"/>
              </w:rPr>
              <w:t xml:space="preserve"> less than </w:t>
            </w:r>
            <w:r>
              <w:rPr>
                <w:lang w:eastAsia="en-AU"/>
              </w:rPr>
              <w:t>$10 million</w:t>
            </w:r>
            <w:r w:rsidRPr="00AB62BD">
              <w:rPr>
                <w:lang w:eastAsia="en-AU"/>
              </w:rPr>
              <w:t xml:space="preserve"> </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rPr>
          <w:cantSplit/>
        </w:trPr>
        <w:tc>
          <w:tcPr>
            <w:tcW w:w="7371" w:type="dxa"/>
          </w:tcPr>
          <w:p w:rsidR="00C232A3" w:rsidRPr="00AB62BD" w:rsidRDefault="00C232A3" w:rsidP="00EA6A4E">
            <w:pPr>
              <w:pStyle w:val="ARfintablebody"/>
              <w:rPr>
                <w:bCs/>
                <w:lang w:eastAsia="en-AU"/>
              </w:rPr>
            </w:pPr>
            <w:r w:rsidRPr="00AB62BD">
              <w:rPr>
                <w:rStyle w:val="Strong"/>
              </w:rPr>
              <w:t xml:space="preserve">Total </w:t>
            </w:r>
            <w:r w:rsidR="00EA6A4E">
              <w:rPr>
                <w:rStyle w:val="Strong"/>
              </w:rPr>
              <w:t>g</w:t>
            </w:r>
            <w:r w:rsidRPr="00AB62BD">
              <w:rPr>
                <w:rStyle w:val="Strong"/>
              </w:rPr>
              <w:t>rants and other expense transfers</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8,474.2</w:t>
            </w:r>
          </w:p>
        </w:tc>
        <w:tc>
          <w:tcPr>
            <w:tcW w:w="1134" w:type="dxa"/>
          </w:tcPr>
          <w:p w:rsidR="00C232A3" w:rsidRPr="00AB62BD" w:rsidRDefault="00C232A3" w:rsidP="00C232A3">
            <w:pPr>
              <w:pStyle w:val="ARfintablebodyright"/>
              <w:rPr>
                <w:rStyle w:val="Strong"/>
                <w:bCs w:val="0"/>
              </w:rPr>
            </w:pPr>
            <w:r w:rsidRPr="00AB62BD">
              <w:rPr>
                <w:rStyle w:val="Strong"/>
              </w:rPr>
              <w:t>7,656.8</w:t>
            </w:r>
          </w:p>
        </w:tc>
      </w:tr>
    </w:tbl>
    <w:p w:rsidR="00C232A3" w:rsidRPr="00D11896" w:rsidRDefault="00C232A3" w:rsidP="00C232A3">
      <w:pPr>
        <w:pStyle w:val="Heading5"/>
        <w:rPr>
          <w:rStyle w:val="Strong"/>
        </w:rPr>
      </w:pPr>
      <w:bookmarkStart w:id="96" w:name="_Ref492907358"/>
      <w:r w:rsidRPr="00D11896">
        <w:rPr>
          <w:rStyle w:val="Strong"/>
        </w:rPr>
        <w:lastRenderedPageBreak/>
        <w:t>4.2.2 Administered assets and liabilities</w:t>
      </w:r>
      <w:bookmarkEnd w:id="96"/>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165048" w:rsidRDefault="00C232A3" w:rsidP="00C232A3">
            <w:pPr>
              <w:pStyle w:val="ARfintablecolhead"/>
            </w:pPr>
          </w:p>
        </w:tc>
        <w:tc>
          <w:tcPr>
            <w:tcW w:w="1134" w:type="dxa"/>
            <w:shd w:val="clear" w:color="auto" w:fill="E7E6E6"/>
            <w:vAlign w:val="bottom"/>
          </w:tcPr>
          <w:p w:rsidR="00C232A3" w:rsidRPr="00165048" w:rsidRDefault="00C232A3" w:rsidP="00C232A3">
            <w:pPr>
              <w:pStyle w:val="ARfintablecolheadright"/>
            </w:pPr>
            <w:r w:rsidRPr="00165048">
              <w:t>2017</w:t>
            </w:r>
          </w:p>
          <w:p w:rsidR="00C232A3" w:rsidRPr="00165048" w:rsidRDefault="00C232A3" w:rsidP="00C232A3">
            <w:pPr>
              <w:pStyle w:val="ARfintablecolheadright"/>
            </w:pPr>
            <w:r w:rsidRPr="00165048">
              <w:t>$M</w:t>
            </w:r>
          </w:p>
        </w:tc>
        <w:tc>
          <w:tcPr>
            <w:tcW w:w="1134" w:type="dxa"/>
            <w:vAlign w:val="bottom"/>
          </w:tcPr>
          <w:p w:rsidR="00C232A3" w:rsidRPr="00165048" w:rsidRDefault="00C232A3" w:rsidP="00C232A3">
            <w:pPr>
              <w:pStyle w:val="ARfintablecolheadright"/>
            </w:pPr>
            <w:r w:rsidRPr="00165048">
              <w:t>2016</w:t>
            </w:r>
          </w:p>
          <w:p w:rsidR="00C232A3" w:rsidRPr="00165048" w:rsidRDefault="00C232A3" w:rsidP="00C232A3">
            <w:pPr>
              <w:pStyle w:val="ARfintablecolheadright"/>
            </w:pPr>
            <w:r w:rsidRPr="00165048">
              <w:t>$M</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Administered assets</w:t>
            </w:r>
          </w:p>
        </w:tc>
        <w:tc>
          <w:tcPr>
            <w:tcW w:w="1134" w:type="dxa"/>
            <w:tcBorders>
              <w:bottom w:val="single" w:sz="4" w:space="0" w:color="auto"/>
            </w:tcBorders>
            <w:shd w:val="clear" w:color="auto" w:fill="E7E6E6"/>
          </w:tcPr>
          <w:p w:rsidR="00C232A3" w:rsidRPr="00AB62BD" w:rsidRDefault="00C232A3" w:rsidP="00C232A3">
            <w:pPr>
              <w:pStyle w:val="ARfintablebodyright"/>
              <w:rPr>
                <w:rStyle w:val="Strong"/>
                <w:bCs w:val="0"/>
              </w:rPr>
            </w:pPr>
          </w:p>
        </w:tc>
        <w:tc>
          <w:tcPr>
            <w:tcW w:w="1134"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Financial assets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Trust funds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41.3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Future service potential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9.8</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administered assets</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52.6</w:t>
            </w:r>
          </w:p>
        </w:tc>
        <w:tc>
          <w:tcPr>
            <w:tcW w:w="1134" w:type="dxa"/>
          </w:tcPr>
          <w:p w:rsidR="00C232A3" w:rsidRPr="00AB62BD" w:rsidRDefault="00C232A3" w:rsidP="00C232A3">
            <w:pPr>
              <w:pStyle w:val="ARfintablebodyright"/>
              <w:rPr>
                <w:bCs/>
                <w:lang w:eastAsia="en-AU"/>
              </w:rPr>
            </w:pPr>
            <w:r w:rsidRPr="00AB62BD">
              <w:rPr>
                <w:rStyle w:val="Strong"/>
              </w:rPr>
              <w:t>22.5</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rStyle w:val="Strong"/>
                <w:bCs w:val="0"/>
              </w:rPr>
            </w:pPr>
            <w:r w:rsidRPr="00AB62BD">
              <w:rPr>
                <w:rStyle w:val="Strong"/>
              </w:rPr>
              <w:t>Administered liabilities</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p>
        </w:tc>
        <w:tc>
          <w:tcPr>
            <w:tcW w:w="1134"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Financial liabilities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Building redevelopment</w:t>
            </w:r>
            <w:r w:rsidRPr="00AB62BD">
              <w:rPr>
                <w:vertAlign w:val="superscript"/>
                <w:lang w:eastAsia="en-AU"/>
              </w:rPr>
              <w:t xml:space="preserve"> (</w:t>
            </w:r>
            <w:proofErr w:type="spellStart"/>
            <w:r w:rsidRPr="00AB62BD">
              <w:rPr>
                <w:vertAlign w:val="superscript"/>
                <w:lang w:eastAsia="en-AU"/>
              </w:rPr>
              <w:t>i</w:t>
            </w:r>
            <w:proofErr w:type="spellEnd"/>
            <w:r w:rsidRPr="00AB62BD">
              <w:rPr>
                <w:vertAlign w:val="superscript"/>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Amounts payable to the consolidated fund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Payables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28.5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4.9</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administered liabilities</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52.6</w:t>
            </w:r>
          </w:p>
        </w:tc>
        <w:tc>
          <w:tcPr>
            <w:tcW w:w="1134" w:type="dxa"/>
          </w:tcPr>
          <w:p w:rsidR="00C232A3" w:rsidRPr="00AB62BD" w:rsidRDefault="00C232A3" w:rsidP="00C232A3">
            <w:pPr>
              <w:pStyle w:val="ARfintablebodyright"/>
              <w:rPr>
                <w:bCs/>
                <w:lang w:eastAsia="en-AU"/>
              </w:rPr>
            </w:pPr>
            <w:r w:rsidRPr="00AB62BD">
              <w:rPr>
                <w:rStyle w:val="Strong"/>
              </w:rPr>
              <w:t>22.5</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administered net assets</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w:t>
            </w:r>
          </w:p>
        </w:tc>
        <w:tc>
          <w:tcPr>
            <w:tcW w:w="1134" w:type="dxa"/>
          </w:tcPr>
          <w:p w:rsidR="00C232A3" w:rsidRPr="00AB62BD" w:rsidRDefault="00C232A3" w:rsidP="00C232A3">
            <w:pPr>
              <w:pStyle w:val="ARfintablebodyright"/>
              <w:rPr>
                <w:rStyle w:val="Strong"/>
                <w:bCs w:val="0"/>
              </w:rPr>
            </w:pPr>
            <w:r w:rsidRPr="00AB62BD">
              <w:rPr>
                <w:rStyle w:val="Strong"/>
              </w:rPr>
              <w:t>–</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 xml:space="preserve">On behalf of the Department of Treasury and Finance, the department administers funding provided under a Health Service Agreement for building redevelopment at St Vincent’s Hospital of </w:t>
      </w:r>
      <w:r>
        <w:t>$3.7 million</w:t>
      </w:r>
      <w:r w:rsidRPr="00AB62BD">
        <w:t xml:space="preserve"> (2016: </w:t>
      </w:r>
      <w:r>
        <w:t>$9.8 million</w:t>
      </w:r>
      <w:r w:rsidRPr="00AB62BD">
        <w:t>).</w:t>
      </w:r>
    </w:p>
    <w:p w:rsidR="00C232A3" w:rsidRPr="00944045" w:rsidRDefault="00C232A3" w:rsidP="00C232A3">
      <w:pPr>
        <w:pStyle w:val="Heading4"/>
      </w:pPr>
      <w:r w:rsidRPr="00944045">
        <w:t>4.3 Restructuring of administrative arrangements</w:t>
      </w:r>
    </w:p>
    <w:p w:rsidR="00C232A3" w:rsidRPr="00AB62BD" w:rsidRDefault="00C232A3" w:rsidP="00C232A3">
      <w:pPr>
        <w:pStyle w:val="ARfinbody"/>
        <w:rPr>
          <w:lang w:eastAsia="en-AU"/>
        </w:rPr>
      </w:pPr>
      <w:r w:rsidRPr="00AB62BD">
        <w:rPr>
          <w:lang w:eastAsia="en-AU"/>
        </w:rPr>
        <w:t xml:space="preserve">In February 2017, the Victorian Government announced that the Youth Services and Youth Justice output would be transferred from the department (as transferor) to the Department of Justice and Regulation (as transferee), taking effect from 1 April 2017. The combined income and expenses for the Youth Services and Youth Justice output </w:t>
      </w:r>
      <w:r>
        <w:rPr>
          <w:lang w:eastAsia="en-AU"/>
        </w:rPr>
        <w:t>from 1 April 2017</w:t>
      </w:r>
      <w:r w:rsidRPr="00AB62BD">
        <w:rPr>
          <w:lang w:eastAsia="en-AU"/>
        </w:rPr>
        <w:t xml:space="preserve"> are reported by the Department of Justice and Regulation. The net asset transfers were treated as a contribution of capital by the State.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087"/>
        <w:gridCol w:w="2552"/>
      </w:tblGrid>
      <w:tr w:rsidR="00C232A3" w:rsidRPr="00AB62BD" w:rsidTr="00C232A3">
        <w:trPr>
          <w:cantSplit/>
          <w:tblHeader/>
        </w:trPr>
        <w:tc>
          <w:tcPr>
            <w:tcW w:w="7088" w:type="dxa"/>
            <w:tcBorders>
              <w:bottom w:val="single" w:sz="4" w:space="0" w:color="auto"/>
            </w:tcBorders>
            <w:vAlign w:val="bottom"/>
          </w:tcPr>
          <w:p w:rsidR="00C232A3" w:rsidRPr="00165048" w:rsidRDefault="00C232A3" w:rsidP="00C232A3">
            <w:pPr>
              <w:pStyle w:val="ARfintablecolhead"/>
            </w:pPr>
          </w:p>
        </w:tc>
        <w:tc>
          <w:tcPr>
            <w:tcW w:w="2552" w:type="dxa"/>
            <w:tcBorders>
              <w:bottom w:val="single" w:sz="4" w:space="0" w:color="auto"/>
            </w:tcBorders>
            <w:vAlign w:val="bottom"/>
          </w:tcPr>
          <w:p w:rsidR="00C232A3" w:rsidRPr="00165048" w:rsidRDefault="00C232A3" w:rsidP="00C232A3">
            <w:pPr>
              <w:pStyle w:val="ARfintablecolheadright"/>
            </w:pPr>
            <w:r w:rsidRPr="00165048">
              <w:t>2017</w:t>
            </w:r>
          </w:p>
          <w:p w:rsidR="00C232A3" w:rsidRPr="00165048" w:rsidRDefault="00C232A3" w:rsidP="00C232A3">
            <w:pPr>
              <w:pStyle w:val="ARfintablecolheadright"/>
            </w:pPr>
            <w:r w:rsidRPr="00165048">
              <w:t>Transfer out:</w:t>
            </w:r>
            <w:r w:rsidRPr="00165048">
              <w:br/>
              <w:t>Output – Youth Services and Youth Justice</w:t>
            </w:r>
          </w:p>
          <w:p w:rsidR="00C232A3" w:rsidRPr="00165048" w:rsidRDefault="00C232A3" w:rsidP="00C232A3">
            <w:pPr>
              <w:pStyle w:val="ARfintablecolheadright"/>
            </w:pPr>
            <w:r w:rsidRPr="00165048">
              <w:t>$M</w:t>
            </w:r>
          </w:p>
        </w:tc>
      </w:tr>
      <w:tr w:rsidR="00C232A3" w:rsidRPr="00AB62BD" w:rsidTr="00C232A3">
        <w:trPr>
          <w:cantSplit/>
        </w:trPr>
        <w:tc>
          <w:tcPr>
            <w:tcW w:w="7088"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Assets</w:t>
            </w:r>
          </w:p>
        </w:tc>
        <w:tc>
          <w:tcPr>
            <w:tcW w:w="255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0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255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C232A3">
        <w:trPr>
          <w:cantSplit/>
        </w:trPr>
        <w:tc>
          <w:tcPr>
            <w:tcW w:w="70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Receivables</w:t>
            </w:r>
          </w:p>
        </w:tc>
        <w:tc>
          <w:tcPr>
            <w:tcW w:w="255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14.9</w:t>
            </w:r>
          </w:p>
        </w:tc>
      </w:tr>
      <w:tr w:rsidR="00C232A3" w:rsidRPr="00AB62BD" w:rsidTr="00C232A3">
        <w:trPr>
          <w:cantSplit/>
        </w:trPr>
        <w:tc>
          <w:tcPr>
            <w:tcW w:w="7088"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Property, plant and equipment</w:t>
            </w:r>
          </w:p>
        </w:tc>
        <w:tc>
          <w:tcPr>
            <w:tcW w:w="2552"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219.7</w:t>
            </w:r>
          </w:p>
        </w:tc>
      </w:tr>
      <w:tr w:rsidR="00C232A3" w:rsidRPr="00AB62BD" w:rsidTr="00C232A3">
        <w:trPr>
          <w:cantSplit/>
        </w:trPr>
        <w:tc>
          <w:tcPr>
            <w:tcW w:w="7088"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Liabilities</w:t>
            </w:r>
          </w:p>
        </w:tc>
        <w:tc>
          <w:tcPr>
            <w:tcW w:w="2552"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0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Borrowings</w:t>
            </w:r>
          </w:p>
        </w:tc>
        <w:tc>
          <w:tcPr>
            <w:tcW w:w="2552"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w:t>
            </w:r>
          </w:p>
        </w:tc>
      </w:tr>
      <w:tr w:rsidR="00C232A3" w:rsidRPr="00AB62BD" w:rsidTr="00C232A3">
        <w:trPr>
          <w:cantSplit/>
        </w:trPr>
        <w:tc>
          <w:tcPr>
            <w:tcW w:w="7088"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Provisions</w:t>
            </w:r>
          </w:p>
        </w:tc>
        <w:tc>
          <w:tcPr>
            <w:tcW w:w="2552"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14.9</w:t>
            </w:r>
          </w:p>
        </w:tc>
      </w:tr>
      <w:tr w:rsidR="00C232A3" w:rsidRPr="00AB62BD" w:rsidTr="00C232A3">
        <w:trPr>
          <w:cantSplit/>
        </w:trPr>
        <w:tc>
          <w:tcPr>
            <w:tcW w:w="7088" w:type="dxa"/>
          </w:tcPr>
          <w:p w:rsidR="00C232A3" w:rsidRPr="00AB62BD" w:rsidRDefault="00C232A3" w:rsidP="00C232A3">
            <w:pPr>
              <w:pStyle w:val="ARfintablebody"/>
              <w:rPr>
                <w:bCs/>
                <w:lang w:eastAsia="en-AU"/>
              </w:rPr>
            </w:pPr>
            <w:r w:rsidRPr="00AB62BD">
              <w:rPr>
                <w:rStyle w:val="Strong"/>
              </w:rPr>
              <w:t>Net assets recognised/(transferred)</w:t>
            </w:r>
          </w:p>
        </w:tc>
        <w:tc>
          <w:tcPr>
            <w:tcW w:w="2552" w:type="dxa"/>
          </w:tcPr>
          <w:p w:rsidR="00C232A3" w:rsidRPr="00AB62BD" w:rsidRDefault="00C232A3" w:rsidP="00C232A3">
            <w:pPr>
              <w:pStyle w:val="ARfintablebodyright"/>
              <w:rPr>
                <w:lang w:eastAsia="en-AU"/>
              </w:rPr>
            </w:pPr>
            <w:r w:rsidRPr="00AB62BD">
              <w:rPr>
                <w:rStyle w:val="Strong"/>
              </w:rPr>
              <w:t>218.2</w:t>
            </w:r>
          </w:p>
        </w:tc>
      </w:tr>
      <w:tr w:rsidR="00C232A3" w:rsidRPr="00AB62BD" w:rsidTr="00C232A3">
        <w:trPr>
          <w:cantSplit/>
        </w:trPr>
        <w:tc>
          <w:tcPr>
            <w:tcW w:w="7088" w:type="dxa"/>
          </w:tcPr>
          <w:p w:rsidR="00C232A3" w:rsidRPr="00AB62BD" w:rsidRDefault="00C232A3" w:rsidP="00C232A3">
            <w:pPr>
              <w:pStyle w:val="ARfintablebody"/>
              <w:rPr>
                <w:bCs/>
                <w:lang w:eastAsia="en-AU"/>
              </w:rPr>
            </w:pPr>
            <w:r w:rsidRPr="00AB62BD">
              <w:rPr>
                <w:rStyle w:val="Strong"/>
              </w:rPr>
              <w:t>Net capital contribution from the Crown</w:t>
            </w:r>
          </w:p>
        </w:tc>
        <w:tc>
          <w:tcPr>
            <w:tcW w:w="2552" w:type="dxa"/>
          </w:tcPr>
          <w:p w:rsidR="00C232A3" w:rsidRPr="00AB62BD" w:rsidRDefault="00C232A3" w:rsidP="00C232A3">
            <w:pPr>
              <w:pStyle w:val="ARfintablebodyright"/>
              <w:rPr>
                <w:rStyle w:val="Strong"/>
                <w:bCs w:val="0"/>
              </w:rPr>
            </w:pPr>
            <w:r w:rsidRPr="00AB62BD">
              <w:rPr>
                <w:rStyle w:val="Strong"/>
              </w:rPr>
              <w:t>218.2</w:t>
            </w:r>
          </w:p>
        </w:tc>
      </w:tr>
    </w:tbl>
    <w:p w:rsidR="00C232A3" w:rsidRPr="00657EC0" w:rsidRDefault="00C232A3" w:rsidP="00C232A3">
      <w:pPr>
        <w:pStyle w:val="ARbody"/>
      </w:pPr>
      <w:r w:rsidRPr="00657EC0">
        <w:br w:type="page"/>
      </w:r>
    </w:p>
    <w:p w:rsidR="00C232A3" w:rsidRPr="00944045" w:rsidRDefault="00C232A3" w:rsidP="00C232A3">
      <w:pPr>
        <w:pStyle w:val="Heading3"/>
      </w:pPr>
      <w:bookmarkStart w:id="97" w:name="_Toc493069494"/>
      <w:r w:rsidRPr="00944045">
        <w:lastRenderedPageBreak/>
        <w:t>5. Key assets available to support output delivery</w:t>
      </w:r>
      <w:bookmarkEnd w:id="97"/>
    </w:p>
    <w:p w:rsidR="00C232A3" w:rsidRPr="00944045" w:rsidRDefault="00C232A3" w:rsidP="00C232A3">
      <w:pPr>
        <w:pStyle w:val="Heading4"/>
      </w:pPr>
      <w:r w:rsidRPr="00944045">
        <w:t>Introduction</w:t>
      </w:r>
    </w:p>
    <w:p w:rsidR="00C232A3" w:rsidRPr="00AB62BD" w:rsidRDefault="00C232A3" w:rsidP="00C232A3">
      <w:pPr>
        <w:pStyle w:val="ARfinbody"/>
        <w:rPr>
          <w:lang w:eastAsia="en-AU"/>
        </w:rPr>
      </w:pPr>
      <w:r w:rsidRPr="00AB62BD">
        <w:rPr>
          <w:lang w:eastAsia="en-AU"/>
        </w:rPr>
        <w:t>The Department of Health and Human Services controls infrastructure and other investments that are utilised in fulfilling its objectives and conducting its activities. They represent the key resources that have been entrusted to the department to be utilised for delivery of those outputs.</w:t>
      </w:r>
    </w:p>
    <w:p w:rsidR="00C232A3" w:rsidRPr="00944045" w:rsidRDefault="00C232A3" w:rsidP="00C232A3">
      <w:pPr>
        <w:pStyle w:val="Heading4"/>
      </w:pPr>
      <w:r w:rsidRPr="00944045">
        <w:t>Structure</w:t>
      </w:r>
    </w:p>
    <w:p w:rsidR="00C232A3" w:rsidRPr="00AB62BD" w:rsidRDefault="00C232A3" w:rsidP="00C232A3">
      <w:pPr>
        <w:pStyle w:val="ARfinstructure1"/>
      </w:pPr>
      <w:r>
        <w:t>5.1</w:t>
      </w:r>
      <w:r>
        <w:tab/>
      </w:r>
      <w:r w:rsidRPr="00AB62BD">
        <w:t>Property, plant and equipment</w:t>
      </w:r>
    </w:p>
    <w:p w:rsidR="00C232A3" w:rsidRPr="00AB62BD" w:rsidRDefault="00C232A3" w:rsidP="00C232A3">
      <w:pPr>
        <w:pStyle w:val="ARfinstructure2"/>
      </w:pPr>
      <w:r w:rsidRPr="00AB62BD">
        <w:t>5.1.1</w:t>
      </w:r>
      <w:r>
        <w:tab/>
      </w:r>
      <w:r w:rsidRPr="00AB62BD">
        <w:t>Depreciation and impairment</w:t>
      </w:r>
    </w:p>
    <w:p w:rsidR="00C232A3" w:rsidRPr="00AB62BD" w:rsidRDefault="00C232A3" w:rsidP="00C232A3">
      <w:pPr>
        <w:pStyle w:val="ARfinstructure2"/>
      </w:pPr>
      <w:r>
        <w:t>5.1.2</w:t>
      </w:r>
      <w:r>
        <w:tab/>
      </w:r>
      <w:r w:rsidRPr="00AB62BD">
        <w:t>Carrying values by purpose groups</w:t>
      </w:r>
    </w:p>
    <w:p w:rsidR="00C232A3" w:rsidRPr="00AB62BD" w:rsidRDefault="00C232A3" w:rsidP="00C232A3">
      <w:pPr>
        <w:pStyle w:val="ARfinstructure2"/>
      </w:pPr>
      <w:r>
        <w:t>5.1.3</w:t>
      </w:r>
      <w:r>
        <w:tab/>
      </w:r>
      <w:r w:rsidRPr="00AB62BD">
        <w:t>Reconciliation of movements in carrying values</w:t>
      </w:r>
    </w:p>
    <w:p w:rsidR="00C232A3" w:rsidRPr="00AB62BD" w:rsidRDefault="00C232A3" w:rsidP="00C232A3">
      <w:pPr>
        <w:pStyle w:val="ARfinstructure1"/>
      </w:pPr>
      <w:r>
        <w:t>5.2</w:t>
      </w:r>
      <w:r>
        <w:tab/>
      </w:r>
      <w:r w:rsidRPr="00AB62BD">
        <w:t>Intangible assets</w:t>
      </w:r>
    </w:p>
    <w:p w:rsidR="00C232A3" w:rsidRPr="00AB62BD" w:rsidRDefault="00C232A3" w:rsidP="00C232A3">
      <w:pPr>
        <w:pStyle w:val="ARfinstructure1"/>
      </w:pPr>
      <w:r>
        <w:t>5.3</w:t>
      </w:r>
      <w:r>
        <w:tab/>
      </w:r>
      <w:r w:rsidRPr="00AB62BD">
        <w:t>Investments accounted for using the equity method</w:t>
      </w:r>
    </w:p>
    <w:p w:rsidR="00C232A3" w:rsidRPr="00AB62BD" w:rsidRDefault="00C232A3" w:rsidP="00C232A3">
      <w:pPr>
        <w:pStyle w:val="ARfinstructure2"/>
      </w:pPr>
      <w:r w:rsidRPr="00AB62BD">
        <w:t>5.3.1</w:t>
      </w:r>
      <w:r>
        <w:tab/>
      </w:r>
      <w:r w:rsidRPr="00AB62BD">
        <w:t>Details of joint venture</w:t>
      </w:r>
    </w:p>
    <w:p w:rsidR="00C232A3" w:rsidRPr="00944045" w:rsidRDefault="00C232A3" w:rsidP="00C232A3">
      <w:pPr>
        <w:pStyle w:val="Heading4"/>
      </w:pPr>
      <w:r w:rsidRPr="00944045">
        <w:t>5.1 Total property, plant and equipment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13"/>
        <w:gridCol w:w="1021"/>
        <w:gridCol w:w="1021"/>
        <w:gridCol w:w="1021"/>
        <w:gridCol w:w="1021"/>
        <w:gridCol w:w="1021"/>
        <w:gridCol w:w="1021"/>
      </w:tblGrid>
      <w:tr w:rsidR="00C232A3" w:rsidRPr="00AB62BD" w:rsidTr="00C232A3">
        <w:trPr>
          <w:cantSplit/>
          <w:tblHeader/>
        </w:trPr>
        <w:tc>
          <w:tcPr>
            <w:tcW w:w="3513" w:type="dxa"/>
            <w:vMerge w:val="restart"/>
            <w:vAlign w:val="bottom"/>
          </w:tcPr>
          <w:p w:rsidR="00C232A3" w:rsidRPr="00AB62BD" w:rsidRDefault="00C232A3" w:rsidP="00C232A3">
            <w:pPr>
              <w:pStyle w:val="ARfintablecolhead"/>
            </w:pPr>
          </w:p>
        </w:tc>
        <w:tc>
          <w:tcPr>
            <w:tcW w:w="2042" w:type="dxa"/>
            <w:gridSpan w:val="2"/>
            <w:vAlign w:val="bottom"/>
          </w:tcPr>
          <w:p w:rsidR="00C232A3" w:rsidRPr="00AB62BD" w:rsidRDefault="00C232A3" w:rsidP="00C232A3">
            <w:pPr>
              <w:pStyle w:val="ARfintablecolheadcentre"/>
              <w:rPr>
                <w:bCs/>
                <w:color w:val="000000"/>
              </w:rPr>
            </w:pPr>
            <w:r w:rsidRPr="0004495A">
              <w:t>Gross carrying</w:t>
            </w:r>
            <w:r w:rsidRPr="00AB62BD">
              <w:rPr>
                <w:rStyle w:val="Strong"/>
                <w:rFonts w:cs="Arial"/>
              </w:rPr>
              <w:t xml:space="preserve"> </w:t>
            </w:r>
            <w:r w:rsidRPr="0004495A">
              <w:t>amount</w:t>
            </w:r>
          </w:p>
        </w:tc>
        <w:tc>
          <w:tcPr>
            <w:tcW w:w="2042" w:type="dxa"/>
            <w:gridSpan w:val="2"/>
            <w:vAlign w:val="bottom"/>
          </w:tcPr>
          <w:p w:rsidR="00C232A3" w:rsidRPr="00AB62BD" w:rsidRDefault="00C232A3" w:rsidP="00C232A3">
            <w:pPr>
              <w:pStyle w:val="ARfintablecolheadcentre"/>
              <w:rPr>
                <w:bCs/>
                <w:color w:val="000000"/>
              </w:rPr>
            </w:pPr>
            <w:r>
              <w:rPr>
                <w:bCs/>
                <w:color w:val="000000"/>
              </w:rPr>
              <w:t>Accumulated depreciation</w:t>
            </w:r>
          </w:p>
        </w:tc>
        <w:tc>
          <w:tcPr>
            <w:tcW w:w="2042" w:type="dxa"/>
            <w:gridSpan w:val="2"/>
            <w:vAlign w:val="bottom"/>
          </w:tcPr>
          <w:p w:rsidR="00C232A3" w:rsidRPr="00AB62BD" w:rsidRDefault="00C232A3" w:rsidP="00C232A3">
            <w:pPr>
              <w:pStyle w:val="ARfintablecolheadcentre"/>
              <w:rPr>
                <w:bCs/>
                <w:color w:val="000000"/>
              </w:rPr>
            </w:pPr>
            <w:r>
              <w:rPr>
                <w:bCs/>
                <w:color w:val="000000"/>
              </w:rPr>
              <w:t>Net carrying amount</w:t>
            </w:r>
          </w:p>
        </w:tc>
      </w:tr>
      <w:tr w:rsidR="00C232A3" w:rsidRPr="00AB62BD" w:rsidTr="00C232A3">
        <w:trPr>
          <w:cantSplit/>
          <w:tblHeader/>
        </w:trPr>
        <w:tc>
          <w:tcPr>
            <w:tcW w:w="3513" w:type="dxa"/>
            <w:vMerge/>
            <w:vAlign w:val="bottom"/>
          </w:tcPr>
          <w:p w:rsidR="00C232A3" w:rsidRPr="00AB62BD" w:rsidRDefault="00C232A3" w:rsidP="00C232A3">
            <w:pPr>
              <w:pStyle w:val="ARfintablebody"/>
              <w:rPr>
                <w:lang w:eastAsia="en-AU"/>
              </w:rPr>
            </w:pPr>
          </w:p>
        </w:tc>
        <w:tc>
          <w:tcPr>
            <w:tcW w:w="1021" w:type="dxa"/>
            <w:shd w:val="clear" w:color="auto" w:fill="E7E6E6"/>
            <w:vAlign w:val="bottom"/>
          </w:tcPr>
          <w:p w:rsidR="00C232A3" w:rsidRPr="0004495A" w:rsidRDefault="00C232A3" w:rsidP="00C232A3">
            <w:pPr>
              <w:pStyle w:val="ARfintablecolheadright"/>
            </w:pPr>
            <w:r w:rsidRPr="0004495A">
              <w:t>2017</w:t>
            </w:r>
          </w:p>
          <w:p w:rsidR="00C232A3" w:rsidRPr="0004495A" w:rsidRDefault="00C232A3" w:rsidP="00C232A3">
            <w:pPr>
              <w:pStyle w:val="ARfintablecolheadright"/>
            </w:pPr>
            <w:r w:rsidRPr="0004495A">
              <w:t>$M</w:t>
            </w:r>
          </w:p>
        </w:tc>
        <w:tc>
          <w:tcPr>
            <w:tcW w:w="1021" w:type="dxa"/>
            <w:vAlign w:val="bottom"/>
          </w:tcPr>
          <w:p w:rsidR="00C232A3" w:rsidRPr="0004495A" w:rsidRDefault="00C232A3" w:rsidP="00C232A3">
            <w:pPr>
              <w:pStyle w:val="ARfintablecolheadright"/>
            </w:pPr>
            <w:r w:rsidRPr="0004495A">
              <w:t>2016</w:t>
            </w:r>
          </w:p>
          <w:p w:rsidR="00C232A3" w:rsidRPr="0004495A" w:rsidRDefault="00C232A3" w:rsidP="00C232A3">
            <w:pPr>
              <w:pStyle w:val="ARfintablecolheadright"/>
            </w:pPr>
            <w:r w:rsidRPr="0004495A">
              <w:t>$M</w:t>
            </w:r>
          </w:p>
        </w:tc>
        <w:tc>
          <w:tcPr>
            <w:tcW w:w="1021" w:type="dxa"/>
            <w:shd w:val="clear" w:color="auto" w:fill="E7E6E6"/>
            <w:vAlign w:val="bottom"/>
          </w:tcPr>
          <w:p w:rsidR="00C232A3" w:rsidRPr="0004495A" w:rsidRDefault="00C232A3" w:rsidP="00C232A3">
            <w:pPr>
              <w:pStyle w:val="ARfintablecolheadright"/>
            </w:pPr>
            <w:r w:rsidRPr="0004495A">
              <w:t>2017</w:t>
            </w:r>
          </w:p>
          <w:p w:rsidR="00C232A3" w:rsidRPr="0004495A" w:rsidRDefault="00C232A3" w:rsidP="00C232A3">
            <w:pPr>
              <w:pStyle w:val="ARfintablecolheadright"/>
            </w:pPr>
            <w:r w:rsidRPr="0004495A">
              <w:t>$M</w:t>
            </w:r>
          </w:p>
        </w:tc>
        <w:tc>
          <w:tcPr>
            <w:tcW w:w="1021" w:type="dxa"/>
            <w:vAlign w:val="bottom"/>
          </w:tcPr>
          <w:p w:rsidR="00C232A3" w:rsidRPr="0004495A" w:rsidRDefault="00C232A3" w:rsidP="00C232A3">
            <w:pPr>
              <w:pStyle w:val="ARfintablecolheadright"/>
            </w:pPr>
            <w:r w:rsidRPr="0004495A">
              <w:t>2016</w:t>
            </w:r>
          </w:p>
          <w:p w:rsidR="00C232A3" w:rsidRPr="0004495A" w:rsidRDefault="00C232A3" w:rsidP="00C232A3">
            <w:pPr>
              <w:pStyle w:val="ARfintablecolheadright"/>
            </w:pPr>
            <w:r w:rsidRPr="0004495A">
              <w:t>$M</w:t>
            </w:r>
          </w:p>
        </w:tc>
        <w:tc>
          <w:tcPr>
            <w:tcW w:w="1021" w:type="dxa"/>
            <w:shd w:val="clear" w:color="auto" w:fill="E7E6E6"/>
            <w:vAlign w:val="bottom"/>
          </w:tcPr>
          <w:p w:rsidR="00C232A3" w:rsidRPr="0004495A" w:rsidRDefault="00C232A3" w:rsidP="00C232A3">
            <w:pPr>
              <w:pStyle w:val="ARfintablecolheadright"/>
            </w:pPr>
            <w:r w:rsidRPr="0004495A">
              <w:t>2017</w:t>
            </w:r>
          </w:p>
          <w:p w:rsidR="00C232A3" w:rsidRPr="0004495A" w:rsidRDefault="00C232A3" w:rsidP="00C232A3">
            <w:pPr>
              <w:pStyle w:val="ARfintablecolheadright"/>
            </w:pPr>
            <w:r w:rsidRPr="0004495A">
              <w:t>$M</w:t>
            </w:r>
          </w:p>
        </w:tc>
        <w:tc>
          <w:tcPr>
            <w:tcW w:w="1021" w:type="dxa"/>
            <w:vAlign w:val="bottom"/>
          </w:tcPr>
          <w:p w:rsidR="00C232A3" w:rsidRPr="0004495A" w:rsidRDefault="00C232A3" w:rsidP="00C232A3">
            <w:pPr>
              <w:pStyle w:val="ARfintablecolheadright"/>
            </w:pPr>
            <w:r w:rsidRPr="0004495A">
              <w:t>2016</w:t>
            </w:r>
          </w:p>
          <w:p w:rsidR="00C232A3" w:rsidRPr="0004495A" w:rsidRDefault="00C232A3" w:rsidP="00C232A3">
            <w:pPr>
              <w:pStyle w:val="ARfintablecolheadright"/>
            </w:pPr>
            <w:r w:rsidRPr="0004495A">
              <w:t>$M</w:t>
            </w:r>
          </w:p>
        </w:tc>
      </w:tr>
      <w:tr w:rsidR="00C232A3" w:rsidRPr="00AB62BD" w:rsidTr="00C232A3">
        <w:trPr>
          <w:cantSplit/>
        </w:trPr>
        <w:tc>
          <w:tcPr>
            <w:tcW w:w="3513" w:type="dxa"/>
          </w:tcPr>
          <w:p w:rsidR="00C232A3" w:rsidRPr="00AB62BD" w:rsidRDefault="00C232A3" w:rsidP="00C232A3">
            <w:pPr>
              <w:pStyle w:val="ARfintablebody"/>
              <w:rPr>
                <w:lang w:eastAsia="en-AU"/>
              </w:rPr>
            </w:pPr>
            <w:r w:rsidRPr="00AB62BD">
              <w:rPr>
                <w:lang w:eastAsia="en-AU"/>
              </w:rPr>
              <w:t>Land at fair value</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16,839.6</w:t>
            </w:r>
          </w:p>
        </w:tc>
        <w:tc>
          <w:tcPr>
            <w:tcW w:w="1021" w:type="dxa"/>
          </w:tcPr>
          <w:p w:rsidR="00C232A3" w:rsidRPr="00AB62BD" w:rsidRDefault="00C232A3" w:rsidP="00C232A3">
            <w:pPr>
              <w:pStyle w:val="ARfintablebodyright"/>
              <w:rPr>
                <w:lang w:eastAsia="en-AU"/>
              </w:rPr>
            </w:pPr>
            <w:r w:rsidRPr="00AB62BD">
              <w:rPr>
                <w:lang w:eastAsia="en-AU"/>
              </w:rPr>
              <w:t>15,163.2</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Pr>
          <w:p w:rsidR="00C232A3" w:rsidRPr="00AB62BD" w:rsidRDefault="00C232A3" w:rsidP="00C232A3">
            <w:pPr>
              <w:pStyle w:val="ARfintablebodyright"/>
              <w:rPr>
                <w:lang w:eastAsia="en-AU"/>
              </w:rPr>
            </w:pPr>
            <w:r w:rsidRPr="00AB62BD">
              <w:rPr>
                <w:lang w:eastAsia="en-AU"/>
              </w:rPr>
              <w:t>–</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16,839.6</w:t>
            </w:r>
          </w:p>
        </w:tc>
        <w:tc>
          <w:tcPr>
            <w:tcW w:w="1021" w:type="dxa"/>
          </w:tcPr>
          <w:p w:rsidR="00C232A3" w:rsidRPr="00AB62BD" w:rsidRDefault="00C232A3" w:rsidP="00C232A3">
            <w:pPr>
              <w:pStyle w:val="ARfintablebodyright"/>
              <w:rPr>
                <w:lang w:eastAsia="en-AU"/>
              </w:rPr>
            </w:pPr>
            <w:r w:rsidRPr="00AB62BD">
              <w:rPr>
                <w:lang w:eastAsia="en-AU"/>
              </w:rPr>
              <w:t>15,163.2</w:t>
            </w:r>
          </w:p>
        </w:tc>
      </w:tr>
      <w:tr w:rsidR="00C232A3" w:rsidRPr="00AB62BD" w:rsidTr="00C232A3">
        <w:trPr>
          <w:cantSplit/>
        </w:trPr>
        <w:tc>
          <w:tcPr>
            <w:tcW w:w="3513" w:type="dxa"/>
          </w:tcPr>
          <w:p w:rsidR="00C232A3" w:rsidRPr="00AB62BD" w:rsidRDefault="00C232A3" w:rsidP="00C232A3">
            <w:pPr>
              <w:pStyle w:val="ARfintablebody"/>
              <w:rPr>
                <w:lang w:eastAsia="en-AU"/>
              </w:rPr>
            </w:pPr>
            <w:r w:rsidRPr="00AB62BD">
              <w:rPr>
                <w:lang w:eastAsia="en-AU"/>
              </w:rPr>
              <w:t>Buildings at fair value</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9,650.5</w:t>
            </w:r>
          </w:p>
        </w:tc>
        <w:tc>
          <w:tcPr>
            <w:tcW w:w="1021" w:type="dxa"/>
          </w:tcPr>
          <w:p w:rsidR="00C232A3" w:rsidRPr="00AB62BD" w:rsidRDefault="00C232A3" w:rsidP="00C232A3">
            <w:pPr>
              <w:pStyle w:val="ARfintablebodyright"/>
              <w:rPr>
                <w:lang w:eastAsia="en-AU"/>
              </w:rPr>
            </w:pPr>
            <w:r w:rsidRPr="00AB62BD">
              <w:rPr>
                <w:lang w:eastAsia="en-AU"/>
              </w:rPr>
              <w:t>9,754.4</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(605.2)</w:t>
            </w:r>
          </w:p>
        </w:tc>
        <w:tc>
          <w:tcPr>
            <w:tcW w:w="1021" w:type="dxa"/>
          </w:tcPr>
          <w:p w:rsidR="00C232A3" w:rsidRPr="00AB62BD" w:rsidRDefault="00C232A3" w:rsidP="00C232A3">
            <w:pPr>
              <w:pStyle w:val="ARfintablebodyright"/>
              <w:rPr>
                <w:lang w:eastAsia="en-AU"/>
              </w:rPr>
            </w:pPr>
            <w:r w:rsidRPr="00AB62BD">
              <w:rPr>
                <w:lang w:eastAsia="en-AU"/>
              </w:rPr>
              <w:t>(385.3)</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9,045.3</w:t>
            </w:r>
          </w:p>
        </w:tc>
        <w:tc>
          <w:tcPr>
            <w:tcW w:w="1021" w:type="dxa"/>
          </w:tcPr>
          <w:p w:rsidR="00C232A3" w:rsidRPr="00AB62BD" w:rsidRDefault="00C232A3" w:rsidP="00C232A3">
            <w:pPr>
              <w:pStyle w:val="ARfintablebodyright"/>
              <w:rPr>
                <w:lang w:eastAsia="en-AU"/>
              </w:rPr>
            </w:pPr>
            <w:r w:rsidRPr="00AB62BD">
              <w:rPr>
                <w:lang w:eastAsia="en-AU"/>
              </w:rPr>
              <w:t>9,369.0</w:t>
            </w:r>
          </w:p>
        </w:tc>
      </w:tr>
      <w:tr w:rsidR="00C232A3" w:rsidRPr="00AB62BD" w:rsidTr="00C232A3">
        <w:trPr>
          <w:cantSplit/>
        </w:trPr>
        <w:tc>
          <w:tcPr>
            <w:tcW w:w="3513" w:type="dxa"/>
          </w:tcPr>
          <w:p w:rsidR="00C232A3" w:rsidRPr="00AB62BD" w:rsidRDefault="00C232A3" w:rsidP="00C232A3">
            <w:pPr>
              <w:pStyle w:val="ARfintablebody"/>
              <w:rPr>
                <w:lang w:eastAsia="en-AU"/>
              </w:rPr>
            </w:pPr>
            <w:r w:rsidRPr="00AB62BD">
              <w:rPr>
                <w:lang w:eastAsia="en-AU"/>
              </w:rPr>
              <w:t>Plant, equipment and vehicles at fair value</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91.1</w:t>
            </w:r>
          </w:p>
        </w:tc>
        <w:tc>
          <w:tcPr>
            <w:tcW w:w="1021" w:type="dxa"/>
          </w:tcPr>
          <w:p w:rsidR="00C232A3" w:rsidRPr="00AB62BD" w:rsidRDefault="00C232A3" w:rsidP="00C232A3">
            <w:pPr>
              <w:pStyle w:val="ARfintablebodyright"/>
              <w:rPr>
                <w:lang w:eastAsia="en-AU"/>
              </w:rPr>
            </w:pPr>
            <w:r w:rsidRPr="00AB62BD">
              <w:rPr>
                <w:lang w:eastAsia="en-AU"/>
              </w:rPr>
              <w:t>92.0</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(33.1)</w:t>
            </w:r>
          </w:p>
        </w:tc>
        <w:tc>
          <w:tcPr>
            <w:tcW w:w="1021" w:type="dxa"/>
          </w:tcPr>
          <w:p w:rsidR="00C232A3" w:rsidRPr="00AB62BD" w:rsidRDefault="00C232A3" w:rsidP="00C232A3">
            <w:pPr>
              <w:pStyle w:val="ARfintablebodyright"/>
              <w:rPr>
                <w:lang w:eastAsia="en-AU"/>
              </w:rPr>
            </w:pPr>
            <w:r w:rsidRPr="00AB62BD">
              <w:rPr>
                <w:lang w:eastAsia="en-AU"/>
              </w:rPr>
              <w:t>(28.8)</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58.0</w:t>
            </w:r>
          </w:p>
        </w:tc>
        <w:tc>
          <w:tcPr>
            <w:tcW w:w="1021" w:type="dxa"/>
          </w:tcPr>
          <w:p w:rsidR="00C232A3" w:rsidRPr="00AB62BD" w:rsidRDefault="00C232A3" w:rsidP="00C232A3">
            <w:pPr>
              <w:pStyle w:val="ARfintablebodyright"/>
              <w:rPr>
                <w:lang w:eastAsia="en-AU"/>
              </w:rPr>
            </w:pPr>
            <w:r w:rsidRPr="00AB62BD">
              <w:rPr>
                <w:lang w:eastAsia="en-AU"/>
              </w:rPr>
              <w:t>63.2</w:t>
            </w:r>
          </w:p>
        </w:tc>
      </w:tr>
      <w:tr w:rsidR="00C232A3" w:rsidRPr="00AB62BD" w:rsidTr="00C232A3">
        <w:trPr>
          <w:cantSplit/>
        </w:trPr>
        <w:tc>
          <w:tcPr>
            <w:tcW w:w="3513" w:type="dxa"/>
          </w:tcPr>
          <w:p w:rsidR="00C232A3" w:rsidRPr="00AB62BD" w:rsidRDefault="00C232A3" w:rsidP="00C232A3">
            <w:pPr>
              <w:pStyle w:val="ARfintablebody"/>
              <w:rPr>
                <w:lang w:eastAsia="en-AU"/>
              </w:rPr>
            </w:pPr>
            <w:r w:rsidRPr="00AB62BD">
              <w:rPr>
                <w:lang w:eastAsia="en-AU"/>
              </w:rPr>
              <w:t>Assets under construction at cost</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195.9</w:t>
            </w:r>
          </w:p>
        </w:tc>
        <w:tc>
          <w:tcPr>
            <w:tcW w:w="1021" w:type="dxa"/>
          </w:tcPr>
          <w:p w:rsidR="00C232A3" w:rsidRPr="00AB62BD" w:rsidRDefault="00C232A3" w:rsidP="00C232A3">
            <w:pPr>
              <w:pStyle w:val="ARfintablebodyright"/>
              <w:rPr>
                <w:lang w:eastAsia="en-AU"/>
              </w:rPr>
            </w:pPr>
            <w:r w:rsidRPr="00AB62BD">
              <w:rPr>
                <w:lang w:eastAsia="en-AU"/>
              </w:rPr>
              <w:t>94.2</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Pr>
          <w:p w:rsidR="00C232A3" w:rsidRPr="00AB62BD" w:rsidRDefault="00C232A3" w:rsidP="00C232A3">
            <w:pPr>
              <w:pStyle w:val="ARfintablebodyright"/>
              <w:rPr>
                <w:lang w:eastAsia="en-AU"/>
              </w:rPr>
            </w:pPr>
            <w:r w:rsidRPr="00AB62BD">
              <w:rPr>
                <w:lang w:eastAsia="en-AU"/>
              </w:rPr>
              <w:t>–</w:t>
            </w:r>
          </w:p>
        </w:tc>
        <w:tc>
          <w:tcPr>
            <w:tcW w:w="1021" w:type="dxa"/>
            <w:shd w:val="clear" w:color="auto" w:fill="E7E6E6"/>
          </w:tcPr>
          <w:p w:rsidR="00C232A3" w:rsidRPr="00AB62BD" w:rsidRDefault="00C232A3" w:rsidP="00C232A3">
            <w:pPr>
              <w:pStyle w:val="ARfintablebodyright"/>
              <w:rPr>
                <w:lang w:eastAsia="en-AU"/>
              </w:rPr>
            </w:pPr>
            <w:r w:rsidRPr="00AB62BD">
              <w:rPr>
                <w:lang w:eastAsia="en-AU"/>
              </w:rPr>
              <w:t>195.9</w:t>
            </w:r>
          </w:p>
        </w:tc>
        <w:tc>
          <w:tcPr>
            <w:tcW w:w="1021" w:type="dxa"/>
          </w:tcPr>
          <w:p w:rsidR="00C232A3" w:rsidRPr="00AB62BD" w:rsidRDefault="00C232A3" w:rsidP="00C232A3">
            <w:pPr>
              <w:pStyle w:val="ARfintablebodyright"/>
              <w:rPr>
                <w:lang w:eastAsia="en-AU"/>
              </w:rPr>
            </w:pPr>
            <w:r w:rsidRPr="00AB62BD">
              <w:rPr>
                <w:lang w:eastAsia="en-AU"/>
              </w:rPr>
              <w:t>94.2</w:t>
            </w:r>
          </w:p>
        </w:tc>
      </w:tr>
      <w:tr w:rsidR="00C232A3" w:rsidRPr="00AB62BD" w:rsidTr="00C232A3">
        <w:trPr>
          <w:cantSplit/>
        </w:trPr>
        <w:tc>
          <w:tcPr>
            <w:tcW w:w="3513" w:type="dxa"/>
          </w:tcPr>
          <w:p w:rsidR="00C232A3" w:rsidRPr="00AB62BD" w:rsidRDefault="00C232A3" w:rsidP="00C232A3">
            <w:pPr>
              <w:pStyle w:val="ARfintablebody"/>
              <w:rPr>
                <w:lang w:eastAsia="en-AU"/>
              </w:rPr>
            </w:pPr>
            <w:r w:rsidRPr="00AB62BD">
              <w:rPr>
                <w:rStyle w:val="Strong"/>
              </w:rPr>
              <w:t>Net carrying amount</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26,777.1</w:t>
            </w:r>
          </w:p>
        </w:tc>
        <w:tc>
          <w:tcPr>
            <w:tcW w:w="1021" w:type="dxa"/>
          </w:tcPr>
          <w:p w:rsidR="00C232A3" w:rsidRPr="00AB62BD" w:rsidRDefault="00C232A3" w:rsidP="00C232A3">
            <w:pPr>
              <w:pStyle w:val="ARfintablebodyright"/>
              <w:rPr>
                <w:b/>
                <w:bCs/>
                <w:lang w:eastAsia="en-AU"/>
              </w:rPr>
            </w:pPr>
            <w:r w:rsidRPr="00AB62BD">
              <w:rPr>
                <w:rStyle w:val="Strong"/>
              </w:rPr>
              <w:t>25,103.8</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(638.3)</w:t>
            </w:r>
          </w:p>
        </w:tc>
        <w:tc>
          <w:tcPr>
            <w:tcW w:w="1021" w:type="dxa"/>
          </w:tcPr>
          <w:p w:rsidR="00C232A3" w:rsidRPr="00AB62BD" w:rsidRDefault="00C232A3" w:rsidP="00C232A3">
            <w:pPr>
              <w:pStyle w:val="ARfintablebodyright"/>
              <w:rPr>
                <w:b/>
                <w:bCs/>
                <w:lang w:eastAsia="en-AU"/>
              </w:rPr>
            </w:pPr>
            <w:r w:rsidRPr="00AB62BD">
              <w:rPr>
                <w:rStyle w:val="Strong"/>
              </w:rPr>
              <w:t>(414.1)</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26,138.8</w:t>
            </w:r>
          </w:p>
        </w:tc>
        <w:tc>
          <w:tcPr>
            <w:tcW w:w="1021" w:type="dxa"/>
          </w:tcPr>
          <w:p w:rsidR="00C232A3" w:rsidRPr="00AB62BD" w:rsidRDefault="00C232A3" w:rsidP="00C232A3">
            <w:pPr>
              <w:pStyle w:val="ARfintablebodyright"/>
              <w:rPr>
                <w:rStyle w:val="Strong"/>
                <w:bCs w:val="0"/>
              </w:rPr>
            </w:pPr>
            <w:r w:rsidRPr="00AB62BD">
              <w:rPr>
                <w:rStyle w:val="Strong"/>
              </w:rPr>
              <w:t>24,689.6</w:t>
            </w:r>
          </w:p>
        </w:tc>
      </w:tr>
    </w:tbl>
    <w:p w:rsidR="00C232A3" w:rsidRPr="00D11896" w:rsidRDefault="00C232A3" w:rsidP="00C232A3">
      <w:pPr>
        <w:pStyle w:val="Heading5"/>
        <w:rPr>
          <w:rStyle w:val="Strong"/>
        </w:rPr>
      </w:pPr>
      <w:r w:rsidRPr="00D11896">
        <w:rPr>
          <w:rStyle w:val="Strong"/>
        </w:rPr>
        <w:t>Initial recognition</w:t>
      </w:r>
    </w:p>
    <w:p w:rsidR="00C232A3" w:rsidRPr="00AB62BD" w:rsidRDefault="00C232A3" w:rsidP="00C232A3">
      <w:pPr>
        <w:pStyle w:val="ARfinbody"/>
        <w:rPr>
          <w:lang w:eastAsia="en-AU"/>
        </w:rPr>
      </w:pPr>
      <w:r w:rsidRPr="00AB62BD">
        <w:rPr>
          <w:lang w:eastAsia="en-AU"/>
        </w:rPr>
        <w:t>Items of property, plant and equipment,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w:t>
      </w:r>
    </w:p>
    <w:p w:rsidR="00C232A3" w:rsidRPr="00AB62BD" w:rsidRDefault="00C232A3" w:rsidP="00C232A3">
      <w:pPr>
        <w:pStyle w:val="ARfinbody"/>
        <w:rPr>
          <w:lang w:eastAsia="en-AU"/>
        </w:rPr>
      </w:pPr>
      <w:r w:rsidRPr="00AB62BD">
        <w:rPr>
          <w:lang w:eastAsia="en-AU"/>
        </w:rPr>
        <w:t>The cost of constructed non-financial physical assets includes the cost of all materials used in construction, direct labour on the project and an appropriate proportion of variable and fixed overheads.</w:t>
      </w:r>
    </w:p>
    <w:p w:rsidR="00C232A3" w:rsidRPr="00AB62BD" w:rsidRDefault="00C232A3" w:rsidP="00C232A3">
      <w:pPr>
        <w:pStyle w:val="ARfinbody"/>
        <w:rPr>
          <w:strike/>
          <w:lang w:eastAsia="en-AU"/>
        </w:rPr>
      </w:pPr>
      <w:r w:rsidRPr="00AB62BD">
        <w:rPr>
          <w:lang w:eastAsia="en-AU"/>
        </w:rPr>
        <w:t>The cost of a leasehold improvement is capitalised and depreciated over the shorter of the remaining term of the lease or their estimated useful lives.</w:t>
      </w:r>
    </w:p>
    <w:p w:rsidR="00C232A3" w:rsidRPr="00AB62BD" w:rsidRDefault="00C232A3" w:rsidP="00C232A3">
      <w:pPr>
        <w:pStyle w:val="ARfinbody"/>
        <w:rPr>
          <w:lang w:eastAsia="en-AU"/>
        </w:rPr>
      </w:pPr>
      <w:r w:rsidRPr="00AB62BD">
        <w:rPr>
          <w:lang w:eastAsia="en-AU"/>
        </w:rPr>
        <w:t>The initial cost of non-financial physical assets under a finance lease is measured at amounts equal to the fair value of the leased asset or, if lower, the present value of the minimum lease payments, each determined at the inception of the lease. Also noted that certain assets are acquired under finance leases, which may form part of a service concession arrangement (Public Private Partnership).</w:t>
      </w:r>
    </w:p>
    <w:p w:rsidR="00C232A3" w:rsidRPr="00D11896" w:rsidRDefault="00C232A3" w:rsidP="00C232A3">
      <w:pPr>
        <w:pStyle w:val="Heading5"/>
        <w:rPr>
          <w:rStyle w:val="Strong"/>
        </w:rPr>
      </w:pPr>
      <w:r w:rsidRPr="00D11896">
        <w:rPr>
          <w:rStyle w:val="Strong"/>
        </w:rPr>
        <w:t>Subsequent measurement:</w:t>
      </w:r>
    </w:p>
    <w:p w:rsidR="00C232A3" w:rsidRPr="00AB62BD" w:rsidRDefault="00C232A3" w:rsidP="00C232A3">
      <w:pPr>
        <w:pStyle w:val="ARfinbody"/>
        <w:rPr>
          <w:lang w:eastAsia="en-AU"/>
        </w:rPr>
      </w:pPr>
      <w:r w:rsidRPr="00AB62BD">
        <w:rPr>
          <w:lang w:eastAsia="en-AU"/>
        </w:rPr>
        <w:t>Property, plant and equipment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rsidR="00C232A3" w:rsidRPr="00AB62BD" w:rsidRDefault="00C232A3" w:rsidP="00C232A3">
      <w:pPr>
        <w:pStyle w:val="ARfinbody"/>
        <w:rPr>
          <w:lang w:eastAsia="en-AU"/>
        </w:rPr>
      </w:pPr>
      <w:r w:rsidRPr="00944045">
        <w:rPr>
          <w:rStyle w:val="Strong"/>
        </w:rPr>
        <w:t>Non-specialised land and non-specialised buildings</w:t>
      </w:r>
      <w:r w:rsidRPr="00AB62BD">
        <w:rPr>
          <w:lang w:eastAsia="en-AU"/>
        </w:rPr>
        <w:t xml:space="preserve"> are valued using the market approach, whereby assets are compared to recent comparable sales or sales of comparable assets that are considered to have nominal value.</w:t>
      </w:r>
    </w:p>
    <w:p w:rsidR="00C232A3" w:rsidRPr="00AB62BD" w:rsidRDefault="00C232A3" w:rsidP="00C232A3">
      <w:pPr>
        <w:pStyle w:val="ARfinbody"/>
        <w:rPr>
          <w:lang w:eastAsia="en-AU"/>
        </w:rPr>
      </w:pPr>
      <w:r w:rsidRPr="00944045">
        <w:rPr>
          <w:rStyle w:val="Strong"/>
        </w:rPr>
        <w:t>Specialised land and specialised buildings:</w:t>
      </w:r>
      <w:r w:rsidRPr="00AB62BD">
        <w:rPr>
          <w:lang w:eastAsia="en-AU"/>
        </w:rPr>
        <w:t xml:space="preserve"> The market approach is used for specialised land, although it may be adjusted for a community service obligation (CSO) to reflect the specialised nature of the land being valued.</w:t>
      </w:r>
    </w:p>
    <w:p w:rsidR="00C232A3" w:rsidRPr="00AB62BD" w:rsidRDefault="00C232A3" w:rsidP="00C232A3">
      <w:pPr>
        <w:pStyle w:val="ARfinbody"/>
        <w:rPr>
          <w:lang w:eastAsia="en-AU"/>
        </w:rPr>
      </w:pPr>
      <w:r w:rsidRPr="00AB62BD">
        <w:rPr>
          <w:lang w:eastAsia="en-AU"/>
        </w:rPr>
        <w:t xml:space="preserve">The CSO adjustment is a reflection of the </w:t>
      </w:r>
      <w:proofErr w:type="spellStart"/>
      <w:r w:rsidRPr="00AB62BD">
        <w:rPr>
          <w:lang w:eastAsia="en-AU"/>
        </w:rPr>
        <w:t>valuer’s</w:t>
      </w:r>
      <w:proofErr w:type="spellEnd"/>
      <w:r w:rsidRPr="00AB62BD">
        <w:rPr>
          <w:lang w:eastAsia="en-AU"/>
        </w:rPr>
        <w:t xml:space="preserve"> assessment of the impact of restrictions associated with an asset to the extent that is also equally applicable to market participants.</w:t>
      </w:r>
    </w:p>
    <w:p w:rsidR="00C232A3" w:rsidRPr="00AB62BD" w:rsidRDefault="00C232A3" w:rsidP="00C232A3">
      <w:pPr>
        <w:pStyle w:val="ARfinbody"/>
        <w:rPr>
          <w:lang w:eastAsia="en-AU"/>
        </w:rPr>
      </w:pPr>
      <w:r w:rsidRPr="00AB62BD">
        <w:rPr>
          <w:lang w:eastAsia="en-AU"/>
        </w:rPr>
        <w:t>For the majority of the department’s specialised buildings, the depreciated replacement cost method is used, adjusting for the associated depreciation.</w:t>
      </w:r>
    </w:p>
    <w:p w:rsidR="00C232A3" w:rsidRPr="00AB62BD" w:rsidRDefault="00C232A3" w:rsidP="00C232A3">
      <w:pPr>
        <w:pStyle w:val="ARfinbody"/>
        <w:rPr>
          <w:lang w:eastAsia="en-AU"/>
        </w:rPr>
      </w:pPr>
      <w:r w:rsidRPr="00944045">
        <w:rPr>
          <w:rStyle w:val="Strong"/>
        </w:rPr>
        <w:t xml:space="preserve">Vehicles </w:t>
      </w:r>
      <w:r w:rsidRPr="00AB62BD">
        <w:rPr>
          <w:lang w:eastAsia="en-AU"/>
        </w:rPr>
        <w:t>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rsidR="00C232A3" w:rsidRPr="00AB62BD" w:rsidRDefault="00C232A3" w:rsidP="00C232A3">
      <w:pPr>
        <w:pStyle w:val="ARfinbody"/>
        <w:rPr>
          <w:lang w:eastAsia="en-AU"/>
        </w:rPr>
      </w:pPr>
      <w:r w:rsidRPr="00AB62BD">
        <w:rPr>
          <w:lang w:eastAsia="en-AU"/>
        </w:rPr>
        <w:t xml:space="preserve">Fair value for </w:t>
      </w:r>
      <w:r w:rsidRPr="00944045">
        <w:rPr>
          <w:rStyle w:val="Strong"/>
        </w:rPr>
        <w:t>plant and equipment</w:t>
      </w:r>
      <w:r w:rsidRPr="00AB62BD">
        <w:rPr>
          <w:lang w:eastAsia="en-AU"/>
        </w:rPr>
        <w:t xml:space="preserve"> is determined using the depreciated replacement cost method.</w:t>
      </w:r>
    </w:p>
    <w:p w:rsidR="00C232A3" w:rsidRPr="00AB62BD" w:rsidRDefault="00C232A3" w:rsidP="00C232A3">
      <w:pPr>
        <w:pStyle w:val="ARfinbody"/>
        <w:rPr>
          <w:lang w:eastAsia="en-AU"/>
        </w:rPr>
      </w:pPr>
      <w:r w:rsidRPr="00AB62BD">
        <w:rPr>
          <w:lang w:eastAsia="en-AU"/>
        </w:rPr>
        <w:t>Refer to Note 8.3 for additional information on fair value determination of property, plant and equipment.</w:t>
      </w:r>
    </w:p>
    <w:p w:rsidR="00C232A3" w:rsidRDefault="00C232A3" w:rsidP="00300E48">
      <w:pPr>
        <w:pStyle w:val="ARbody"/>
        <w:rPr>
          <w:sz w:val="19"/>
        </w:rPr>
      </w:pPr>
      <w:r>
        <w:br w:type="page"/>
      </w:r>
    </w:p>
    <w:p w:rsidR="00C232A3" w:rsidRPr="00D11896" w:rsidRDefault="00C232A3" w:rsidP="00C232A3">
      <w:pPr>
        <w:pStyle w:val="Heading5"/>
        <w:rPr>
          <w:rStyle w:val="Strong"/>
        </w:rPr>
      </w:pPr>
      <w:r w:rsidRPr="00D11896">
        <w:rPr>
          <w:rStyle w:val="Strong"/>
        </w:rPr>
        <w:lastRenderedPageBreak/>
        <w:t>5.1.1 Depreciation and impairment</w:t>
      </w:r>
    </w:p>
    <w:p w:rsidR="00C232A3" w:rsidRPr="004F73D6" w:rsidRDefault="00C232A3" w:rsidP="00FB460C">
      <w:pPr>
        <w:pStyle w:val="Heading6"/>
      </w:pPr>
      <w:r w:rsidRPr="004F73D6">
        <w:t>Charge for the period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04495A" w:rsidRDefault="00C232A3" w:rsidP="00C232A3">
            <w:pPr>
              <w:pStyle w:val="ARfintablecolheadright"/>
            </w:pPr>
          </w:p>
        </w:tc>
        <w:tc>
          <w:tcPr>
            <w:tcW w:w="1134" w:type="dxa"/>
            <w:tcBorders>
              <w:bottom w:val="single" w:sz="4" w:space="0" w:color="auto"/>
            </w:tcBorders>
            <w:shd w:val="clear" w:color="auto" w:fill="E7E6E6"/>
            <w:vAlign w:val="bottom"/>
          </w:tcPr>
          <w:p w:rsidR="00C232A3" w:rsidRPr="0004495A" w:rsidRDefault="00C232A3" w:rsidP="00C232A3">
            <w:pPr>
              <w:pStyle w:val="ARfintablecolheadright"/>
            </w:pPr>
            <w:r w:rsidRPr="0004495A">
              <w:t>2017</w:t>
            </w:r>
          </w:p>
          <w:p w:rsidR="00C232A3" w:rsidRPr="0004495A" w:rsidRDefault="00C232A3" w:rsidP="00C232A3">
            <w:pPr>
              <w:pStyle w:val="ARfintablecolheadright"/>
            </w:pPr>
            <w:r w:rsidRPr="0004495A">
              <w:t>$M</w:t>
            </w:r>
          </w:p>
        </w:tc>
        <w:tc>
          <w:tcPr>
            <w:tcW w:w="1134" w:type="dxa"/>
            <w:tcBorders>
              <w:bottom w:val="single" w:sz="4" w:space="0" w:color="auto"/>
            </w:tcBorders>
            <w:vAlign w:val="bottom"/>
          </w:tcPr>
          <w:p w:rsidR="00C232A3" w:rsidRPr="0004495A" w:rsidRDefault="00C232A3" w:rsidP="00C232A3">
            <w:pPr>
              <w:pStyle w:val="ARfintablecolheadright"/>
            </w:pPr>
            <w:r w:rsidRPr="0004495A">
              <w:t>2016</w:t>
            </w:r>
          </w:p>
          <w:p w:rsidR="00C232A3" w:rsidRPr="0004495A" w:rsidRDefault="00C232A3" w:rsidP="00C232A3">
            <w:pPr>
              <w:pStyle w:val="ARfintablecolheadright"/>
            </w:pPr>
            <w:r w:rsidRPr="0004495A">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Buildings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231.5</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237.3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Public Administration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Youth Justice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Community 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198.9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197.3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Plant, equipment and vehicles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Community 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Intangible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Community 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Motor vehicles under finance lease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Health and Welfare</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15.4</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Aggregate depreciation and amortisation allocated</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271.7</w:t>
            </w:r>
          </w:p>
        </w:tc>
        <w:tc>
          <w:tcPr>
            <w:tcW w:w="1134" w:type="dxa"/>
          </w:tcPr>
          <w:p w:rsidR="00C232A3" w:rsidRPr="00AB62BD" w:rsidRDefault="00C232A3" w:rsidP="00C232A3">
            <w:pPr>
              <w:pStyle w:val="ARfintablebodyright"/>
              <w:rPr>
                <w:b/>
                <w:bCs/>
                <w:lang w:eastAsia="en-AU"/>
              </w:rPr>
            </w:pPr>
            <w:r w:rsidRPr="00AB62BD">
              <w:rPr>
                <w:rStyle w:val="Strong"/>
              </w:rPr>
              <w:t>282.8</w:t>
            </w:r>
          </w:p>
        </w:tc>
      </w:tr>
      <w:tr w:rsidR="00C232A3" w:rsidRPr="00AB62BD" w:rsidTr="00C232A3">
        <w:trPr>
          <w:cantSplit/>
        </w:trPr>
        <w:tc>
          <w:tcPr>
            <w:tcW w:w="7371" w:type="dxa"/>
          </w:tcPr>
          <w:p w:rsidR="00C232A3" w:rsidRPr="00AB62BD" w:rsidRDefault="00C232A3" w:rsidP="00C232A3">
            <w:pPr>
              <w:pStyle w:val="ARfintablebody"/>
              <w:rPr>
                <w:lang w:eastAsia="en-AU"/>
              </w:rPr>
            </w:pPr>
            <w:r w:rsidRPr="00AB62BD">
              <w:rPr>
                <w:lang w:eastAsia="en-AU"/>
              </w:rPr>
              <w:t>Less depreciation and amortisation capitalised to carrying amount of other assets during the year</w:t>
            </w:r>
          </w:p>
        </w:tc>
        <w:tc>
          <w:tcPr>
            <w:tcW w:w="1134" w:type="dxa"/>
            <w:shd w:val="clear" w:color="auto" w:fill="E7E6E6"/>
          </w:tcPr>
          <w:p w:rsidR="00C232A3" w:rsidRPr="00AB62BD" w:rsidRDefault="00C232A3" w:rsidP="00C232A3">
            <w:pPr>
              <w:pStyle w:val="ARfintablebodyright"/>
              <w:rPr>
                <w:lang w:eastAsia="en-AU"/>
              </w:rPr>
            </w:pPr>
            <w:r w:rsidRPr="00AB62BD">
              <w:rPr>
                <w:lang w:eastAsia="en-AU"/>
              </w:rPr>
              <w:t>(1.8)</w:t>
            </w:r>
          </w:p>
        </w:tc>
        <w:tc>
          <w:tcPr>
            <w:tcW w:w="1134" w:type="dxa"/>
          </w:tcPr>
          <w:p w:rsidR="00C232A3" w:rsidRPr="00AB62BD" w:rsidRDefault="00C232A3" w:rsidP="00C232A3">
            <w:pPr>
              <w:pStyle w:val="ARfintablebodyright"/>
              <w:rPr>
                <w:lang w:eastAsia="en-AU"/>
              </w:rPr>
            </w:pPr>
            <w:r w:rsidRPr="00AB62BD">
              <w:rPr>
                <w:lang w:eastAsia="en-AU"/>
              </w:rPr>
              <w:t>(2.1)</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Total depreciation and amortisation</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269.8</w:t>
            </w:r>
          </w:p>
        </w:tc>
        <w:tc>
          <w:tcPr>
            <w:tcW w:w="1134" w:type="dxa"/>
          </w:tcPr>
          <w:p w:rsidR="00C232A3" w:rsidRPr="00AB62BD" w:rsidRDefault="00C232A3" w:rsidP="00C232A3">
            <w:pPr>
              <w:pStyle w:val="ARfintablebodyright"/>
              <w:rPr>
                <w:rStyle w:val="Strong"/>
                <w:bCs w:val="0"/>
              </w:rPr>
            </w:pPr>
            <w:r w:rsidRPr="00AB62BD">
              <w:rPr>
                <w:rStyle w:val="Strong"/>
              </w:rPr>
              <w:t>280.7</w:t>
            </w:r>
          </w:p>
        </w:tc>
      </w:tr>
    </w:tbl>
    <w:p w:rsidR="00C232A3" w:rsidRPr="00AB62BD" w:rsidRDefault="00C232A3" w:rsidP="00C232A3">
      <w:pPr>
        <w:pStyle w:val="ARfinbodyaftertable"/>
      </w:pPr>
      <w:r w:rsidRPr="00AB62BD">
        <w:t>All buildings, plant, equipment, vehicles and other non-current physical assets that have finite useful lives are depreciated. The exceptions to this rule include items under operating leases, assets held for sale and land.</w:t>
      </w:r>
    </w:p>
    <w:p w:rsidR="00C232A3" w:rsidRPr="00AB62BD" w:rsidRDefault="00C232A3" w:rsidP="00C232A3">
      <w:pPr>
        <w:pStyle w:val="ARfinbody"/>
        <w:rPr>
          <w:lang w:eastAsia="en-AU"/>
        </w:rPr>
      </w:pPr>
      <w:r w:rsidRPr="00AB62BD">
        <w:rPr>
          <w:lang w:eastAsia="en-AU"/>
        </w:rPr>
        <w:t>Depreciation is calculated on a straight line basis at rates that allocate the asset’s value, less any estimated residual value, over its estimated useful life.</w:t>
      </w:r>
    </w:p>
    <w:p w:rsidR="00C232A3" w:rsidRDefault="00C232A3" w:rsidP="00C232A3">
      <w:pPr>
        <w:pStyle w:val="ARfinbody"/>
        <w:rPr>
          <w:lang w:eastAsia="en-AU"/>
        </w:rPr>
      </w:pPr>
      <w:r w:rsidRPr="00AB62BD">
        <w:rPr>
          <w:lang w:eastAsia="en-AU"/>
        </w:rPr>
        <w:t>Typical estimated useful lives for the different asset classes for the current and prior years are included in the table below:</w:t>
      </w:r>
    </w:p>
    <w:tbl>
      <w:tblPr>
        <w:tblStyle w:val="TableGrid"/>
        <w:tblW w:w="0" w:type="auto"/>
        <w:tblLook w:val="04A0" w:firstRow="1" w:lastRow="0" w:firstColumn="1" w:lastColumn="0" w:noHBand="0" w:noVBand="1"/>
      </w:tblPr>
      <w:tblGrid>
        <w:gridCol w:w="3833"/>
        <w:gridCol w:w="1275"/>
      </w:tblGrid>
      <w:tr w:rsidR="00C232A3" w:rsidTr="00C232A3">
        <w:trPr>
          <w:cnfStyle w:val="100000000000" w:firstRow="1" w:lastRow="0" w:firstColumn="0" w:lastColumn="0" w:oddVBand="0" w:evenVBand="0" w:oddHBand="0" w:evenHBand="0" w:firstRowFirstColumn="0" w:firstRowLastColumn="0" w:lastRowFirstColumn="0" w:lastRowLastColumn="0"/>
        </w:trPr>
        <w:tc>
          <w:tcPr>
            <w:tcW w:w="3833" w:type="dxa"/>
          </w:tcPr>
          <w:p w:rsidR="00C232A3" w:rsidRDefault="00C232A3" w:rsidP="00C232A3">
            <w:pPr>
              <w:pStyle w:val="ARfintablecolhead"/>
            </w:pPr>
            <w:r w:rsidRPr="00944045">
              <w:t>Asset class</w:t>
            </w:r>
          </w:p>
        </w:tc>
        <w:tc>
          <w:tcPr>
            <w:tcW w:w="1275" w:type="dxa"/>
          </w:tcPr>
          <w:p w:rsidR="00C232A3" w:rsidRDefault="00C232A3" w:rsidP="00C232A3">
            <w:pPr>
              <w:pStyle w:val="ARfintablecolhead"/>
              <w:cnfStyle w:val="000000000000" w:firstRow="0" w:lastRow="0" w:firstColumn="0" w:lastColumn="0" w:oddVBand="0" w:evenVBand="0" w:oddHBand="0" w:evenHBand="0" w:firstRowFirstColumn="0" w:firstRowLastColumn="0" w:lastRowFirstColumn="0" w:lastRowLastColumn="0"/>
            </w:pPr>
            <w:r w:rsidRPr="00944045">
              <w:t>Useful life</w:t>
            </w:r>
          </w:p>
        </w:tc>
      </w:tr>
      <w:tr w:rsidR="00C232A3" w:rsidTr="00C232A3">
        <w:tc>
          <w:tcPr>
            <w:tcW w:w="3833" w:type="dxa"/>
          </w:tcPr>
          <w:p w:rsidR="00C232A3" w:rsidRDefault="00C232A3" w:rsidP="00C232A3">
            <w:pPr>
              <w:pStyle w:val="ARfintablebody"/>
              <w:rPr>
                <w:lang w:eastAsia="en-AU"/>
              </w:rPr>
            </w:pPr>
            <w:r w:rsidRPr="00AB62BD">
              <w:rPr>
                <w:lang w:eastAsia="en-AU"/>
              </w:rPr>
              <w:t>Buildings</w:t>
            </w:r>
          </w:p>
        </w:tc>
        <w:tc>
          <w:tcPr>
            <w:tcW w:w="1275" w:type="dxa"/>
          </w:tcPr>
          <w:p w:rsidR="00C232A3" w:rsidRDefault="00C232A3" w:rsidP="00C232A3">
            <w:pPr>
              <w:pStyle w:val="ARfintablebody"/>
              <w:rPr>
                <w:lang w:eastAsia="en-AU"/>
              </w:rPr>
            </w:pPr>
            <w:r w:rsidRPr="00AB62BD">
              <w:rPr>
                <w:lang w:eastAsia="en-AU"/>
              </w:rPr>
              <w:t>5 to 60 years</w:t>
            </w:r>
          </w:p>
        </w:tc>
      </w:tr>
      <w:tr w:rsidR="00C232A3" w:rsidTr="00C232A3">
        <w:tc>
          <w:tcPr>
            <w:tcW w:w="3833" w:type="dxa"/>
          </w:tcPr>
          <w:p w:rsidR="00C232A3" w:rsidRDefault="00C232A3" w:rsidP="00C232A3">
            <w:pPr>
              <w:pStyle w:val="ARfintablebody"/>
              <w:rPr>
                <w:lang w:eastAsia="en-AU"/>
              </w:rPr>
            </w:pPr>
            <w:r w:rsidRPr="00AB62BD">
              <w:rPr>
                <w:lang w:eastAsia="en-AU"/>
              </w:rPr>
              <w:t>Plant, equipment and vehicles</w:t>
            </w:r>
          </w:p>
        </w:tc>
        <w:tc>
          <w:tcPr>
            <w:tcW w:w="1275" w:type="dxa"/>
          </w:tcPr>
          <w:p w:rsidR="00C232A3" w:rsidRDefault="00C232A3" w:rsidP="00C232A3">
            <w:pPr>
              <w:pStyle w:val="ARfintablebody"/>
              <w:rPr>
                <w:lang w:eastAsia="en-AU"/>
              </w:rPr>
            </w:pPr>
            <w:r w:rsidRPr="00AB62BD">
              <w:rPr>
                <w:lang w:eastAsia="en-AU"/>
              </w:rPr>
              <w:t>3 to 10 years</w:t>
            </w:r>
          </w:p>
        </w:tc>
      </w:tr>
      <w:tr w:rsidR="00C232A3" w:rsidTr="00C232A3">
        <w:tc>
          <w:tcPr>
            <w:tcW w:w="3833" w:type="dxa"/>
          </w:tcPr>
          <w:p w:rsidR="00C232A3" w:rsidRDefault="00C232A3" w:rsidP="00C232A3">
            <w:pPr>
              <w:pStyle w:val="ARfintablebody"/>
              <w:rPr>
                <w:lang w:eastAsia="en-AU"/>
              </w:rPr>
            </w:pPr>
            <w:r w:rsidRPr="00AB62BD">
              <w:rPr>
                <w:lang w:eastAsia="en-AU"/>
              </w:rPr>
              <w:t>Intangible assets</w:t>
            </w:r>
          </w:p>
        </w:tc>
        <w:tc>
          <w:tcPr>
            <w:tcW w:w="1275" w:type="dxa"/>
          </w:tcPr>
          <w:p w:rsidR="00C232A3" w:rsidRDefault="00C232A3" w:rsidP="00C232A3">
            <w:pPr>
              <w:pStyle w:val="ARfintablebody"/>
              <w:rPr>
                <w:lang w:eastAsia="en-AU"/>
              </w:rPr>
            </w:pPr>
            <w:r w:rsidRPr="00AB62BD">
              <w:rPr>
                <w:lang w:eastAsia="en-AU"/>
              </w:rPr>
              <w:t>4 to 8 years</w:t>
            </w:r>
          </w:p>
        </w:tc>
      </w:tr>
    </w:tbl>
    <w:p w:rsidR="00C232A3" w:rsidRPr="00AB62BD" w:rsidRDefault="00C232A3" w:rsidP="00C232A3">
      <w:pPr>
        <w:pStyle w:val="ARfinbodyaftertable"/>
      </w:pPr>
      <w:r w:rsidRPr="00AB62BD">
        <w:t>The estimated useful lives, residual values and depreciation method are reviewed at the end of each annual reporting period, and adjustments made where appropriate.</w:t>
      </w:r>
    </w:p>
    <w:p w:rsidR="00C232A3" w:rsidRPr="00AB62BD" w:rsidRDefault="00C232A3" w:rsidP="00C232A3">
      <w:pPr>
        <w:pStyle w:val="ARfinbody"/>
        <w:rPr>
          <w:lang w:eastAsia="en-AU"/>
        </w:rPr>
      </w:pPr>
      <w:r w:rsidRPr="00AB62BD">
        <w:rPr>
          <w:lang w:eastAsia="en-AU"/>
        </w:rPr>
        <w:t>Leasehold improvements are depreciated over the shorter of the lease term and their useful lives.</w:t>
      </w:r>
    </w:p>
    <w:p w:rsidR="00C232A3" w:rsidRPr="00AB62BD" w:rsidRDefault="00C232A3" w:rsidP="00C232A3">
      <w:pPr>
        <w:pStyle w:val="ARfinbody"/>
        <w:rPr>
          <w:lang w:eastAsia="en-AU"/>
        </w:rPr>
      </w:pPr>
      <w:r w:rsidRPr="00AB62BD">
        <w:rPr>
          <w:lang w:eastAsia="en-AU"/>
        </w:rPr>
        <w:t>In the event of the loss or destruction of an asset, the future economic benefits arising from the use of the asset will be replaced (unless a specific decision to the contrary has been made). Land, which is considered to have an indefinite life, is not depreciated. Depreciation is not recognised in respect of these assets because their service potential has not, in any material sense, been consumed during the reporting period.</w:t>
      </w:r>
    </w:p>
    <w:p w:rsidR="00C232A3" w:rsidRPr="00AB62BD" w:rsidRDefault="00C232A3" w:rsidP="00C232A3">
      <w:pPr>
        <w:pStyle w:val="ARfinbody"/>
        <w:rPr>
          <w:lang w:eastAsia="en-AU"/>
        </w:rPr>
      </w:pPr>
      <w:r w:rsidRPr="00944045">
        <w:rPr>
          <w:rStyle w:val="Strong"/>
        </w:rPr>
        <w:t>Impairment:</w:t>
      </w:r>
      <w:r w:rsidRPr="00AB62BD">
        <w:rPr>
          <w:lang w:eastAsia="en-AU"/>
        </w:rPr>
        <w:t xml:space="preserve"> Non-financial assets, including items of </w:t>
      </w:r>
      <w:r>
        <w:rPr>
          <w:lang w:eastAsia="en-AU"/>
        </w:rPr>
        <w:t>p</w:t>
      </w:r>
      <w:r w:rsidRPr="00AB62BD">
        <w:rPr>
          <w:lang w:eastAsia="en-AU"/>
        </w:rPr>
        <w:t xml:space="preserve">roperty, </w:t>
      </w:r>
      <w:r>
        <w:rPr>
          <w:lang w:eastAsia="en-AU"/>
        </w:rPr>
        <w:t>p</w:t>
      </w:r>
      <w:r w:rsidRPr="00AB62BD">
        <w:rPr>
          <w:lang w:eastAsia="en-AU"/>
        </w:rPr>
        <w:t xml:space="preserve">lant and </w:t>
      </w:r>
      <w:r>
        <w:rPr>
          <w:lang w:eastAsia="en-AU"/>
        </w:rPr>
        <w:t>e</w:t>
      </w:r>
      <w:r w:rsidRPr="00AB62BD">
        <w:rPr>
          <w:lang w:eastAsia="en-AU"/>
        </w:rPr>
        <w:t>quipment, are tested for impairment whenever there is an indication that the asset may be impaired.</w:t>
      </w:r>
    </w:p>
    <w:p w:rsidR="00C232A3" w:rsidRPr="00AB62BD" w:rsidRDefault="00C232A3" w:rsidP="00C232A3">
      <w:pPr>
        <w:pStyle w:val="ARfinbody"/>
        <w:rPr>
          <w:lang w:eastAsia="en-AU"/>
        </w:rPr>
      </w:pPr>
      <w:r w:rsidRPr="00AB62BD">
        <w:rPr>
          <w:lang w:eastAsia="en-AU"/>
        </w:rPr>
        <w:t>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rsidR="00C232A3" w:rsidRPr="00AB62BD" w:rsidRDefault="00C232A3" w:rsidP="00C232A3">
      <w:pPr>
        <w:pStyle w:val="ARfinbody"/>
        <w:rPr>
          <w:lang w:eastAsia="en-AU"/>
        </w:rPr>
      </w:pPr>
      <w:r w:rsidRPr="00AB62BD">
        <w:rPr>
          <w:lang w:eastAsia="en-AU"/>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rsidR="00C232A3" w:rsidRPr="00AB62BD" w:rsidRDefault="00C232A3" w:rsidP="00C232A3">
      <w:pPr>
        <w:pStyle w:val="ARfinbody"/>
        <w:rPr>
          <w:lang w:eastAsia="en-AU"/>
        </w:rPr>
      </w:pPr>
      <w:r w:rsidRPr="00AB62BD">
        <w:rPr>
          <w:lang w:eastAsia="en-AU"/>
        </w:rPr>
        <w:t>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w:t>
      </w:r>
      <w:r>
        <w:rPr>
          <w:lang w:eastAsia="en-AU"/>
        </w:rPr>
        <w:t xml:space="preserve"> fair value less costs to sell.</w:t>
      </w:r>
    </w:p>
    <w:p w:rsidR="00C232A3" w:rsidRDefault="00C232A3" w:rsidP="00C232A3">
      <w:pPr>
        <w:pStyle w:val="ARfinbody"/>
        <w:rPr>
          <w:rStyle w:val="Strong"/>
          <w:rFonts w:cs="Arial"/>
          <w:bCs w:val="0"/>
        </w:rPr>
        <w:sectPr w:rsidR="00C232A3" w:rsidSect="00C232A3">
          <w:headerReference w:type="even" r:id="rId108"/>
          <w:headerReference w:type="default" r:id="rId109"/>
          <w:footerReference w:type="even" r:id="rId110"/>
          <w:footerReference w:type="default" r:id="rId111"/>
          <w:headerReference w:type="first" r:id="rId112"/>
          <w:footerReference w:type="first" r:id="rId113"/>
          <w:endnotePr>
            <w:numFmt w:val="decimal"/>
          </w:endnotePr>
          <w:pgSz w:w="11900" w:h="16840" w:code="9"/>
          <w:pgMar w:top="1531" w:right="851" w:bottom="680" w:left="1418" w:header="510" w:footer="340" w:gutter="0"/>
          <w:cols w:space="454"/>
        </w:sectPr>
      </w:pPr>
    </w:p>
    <w:p w:rsidR="00C232A3" w:rsidRPr="00D11896" w:rsidRDefault="00C232A3" w:rsidP="00C232A3">
      <w:pPr>
        <w:pStyle w:val="Heading5"/>
        <w:spacing w:before="0"/>
        <w:rPr>
          <w:rStyle w:val="Strong"/>
        </w:rPr>
      </w:pPr>
      <w:r w:rsidRPr="00D11896">
        <w:rPr>
          <w:rStyle w:val="Strong"/>
        </w:rPr>
        <w:lastRenderedPageBreak/>
        <w:t xml:space="preserve">5.1.2 Carrying values by ‘purpose groups’ </w:t>
      </w:r>
      <w:r w:rsidRPr="00A27BC4">
        <w:rPr>
          <w:rStyle w:val="Superscriptbold"/>
        </w:rPr>
        <w:t>(</w:t>
      </w:r>
      <w:proofErr w:type="spellStart"/>
      <w:r w:rsidRPr="00A27BC4">
        <w:rPr>
          <w:rStyle w:val="Superscriptbold"/>
        </w:rPr>
        <w:t>i</w:t>
      </w:r>
      <w:proofErr w:type="spellEnd"/>
      <w:r w:rsidRPr="00A27BC4">
        <w:rPr>
          <w:rStyle w:val="Superscriptbold"/>
        </w:rPr>
        <w:t>)</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251"/>
        <w:gridCol w:w="1020"/>
        <w:gridCol w:w="1020"/>
        <w:gridCol w:w="1021"/>
        <w:gridCol w:w="1021"/>
        <w:gridCol w:w="1021"/>
        <w:gridCol w:w="1021"/>
        <w:gridCol w:w="1021"/>
        <w:gridCol w:w="1021"/>
        <w:gridCol w:w="1021"/>
        <w:gridCol w:w="1021"/>
      </w:tblGrid>
      <w:tr w:rsidR="00C232A3" w:rsidRPr="00AB62BD" w:rsidTr="00B059F2">
        <w:trPr>
          <w:cantSplit/>
          <w:tblHeader/>
        </w:trPr>
        <w:tc>
          <w:tcPr>
            <w:tcW w:w="4251" w:type="dxa"/>
            <w:tcBorders>
              <w:bottom w:val="single" w:sz="4" w:space="0" w:color="auto"/>
            </w:tcBorders>
            <w:shd w:val="clear" w:color="auto" w:fill="auto"/>
            <w:vAlign w:val="bottom"/>
          </w:tcPr>
          <w:p w:rsidR="00C232A3" w:rsidRPr="001007BE" w:rsidRDefault="00C232A3" w:rsidP="00C232A3">
            <w:pPr>
              <w:pStyle w:val="ARfintablecolheadcentre"/>
            </w:pPr>
          </w:p>
        </w:tc>
        <w:tc>
          <w:tcPr>
            <w:tcW w:w="2040" w:type="dxa"/>
            <w:gridSpan w:val="2"/>
            <w:tcBorders>
              <w:bottom w:val="single" w:sz="4" w:space="0" w:color="auto"/>
            </w:tcBorders>
            <w:shd w:val="clear" w:color="auto" w:fill="auto"/>
            <w:vAlign w:val="bottom"/>
          </w:tcPr>
          <w:p w:rsidR="00C232A3" w:rsidRPr="001007BE" w:rsidRDefault="00C232A3" w:rsidP="00C232A3">
            <w:pPr>
              <w:pStyle w:val="ARfintablecolheadcentre"/>
            </w:pPr>
            <w:r>
              <w:t>Health and Welfare</w:t>
            </w:r>
          </w:p>
        </w:tc>
        <w:tc>
          <w:tcPr>
            <w:tcW w:w="2042" w:type="dxa"/>
            <w:gridSpan w:val="2"/>
            <w:tcBorders>
              <w:bottom w:val="single" w:sz="4" w:space="0" w:color="auto"/>
            </w:tcBorders>
            <w:shd w:val="clear" w:color="auto" w:fill="auto"/>
            <w:vAlign w:val="bottom"/>
          </w:tcPr>
          <w:p w:rsidR="00C232A3" w:rsidRPr="001007BE" w:rsidRDefault="00C232A3" w:rsidP="00C232A3">
            <w:pPr>
              <w:pStyle w:val="ARfintablecolheadcentre"/>
            </w:pPr>
            <w:r>
              <w:t>Youth Justice</w:t>
            </w:r>
          </w:p>
        </w:tc>
        <w:tc>
          <w:tcPr>
            <w:tcW w:w="2042" w:type="dxa"/>
            <w:gridSpan w:val="2"/>
            <w:tcBorders>
              <w:bottom w:val="single" w:sz="4" w:space="0" w:color="auto"/>
            </w:tcBorders>
            <w:shd w:val="clear" w:color="auto" w:fill="auto"/>
            <w:vAlign w:val="bottom"/>
          </w:tcPr>
          <w:p w:rsidR="00C232A3" w:rsidRPr="001007BE" w:rsidRDefault="00C232A3" w:rsidP="00C232A3">
            <w:pPr>
              <w:pStyle w:val="ARfintablecolheadcentre"/>
            </w:pPr>
            <w:r>
              <w:t>Community Housing</w:t>
            </w:r>
          </w:p>
        </w:tc>
        <w:tc>
          <w:tcPr>
            <w:tcW w:w="2042" w:type="dxa"/>
            <w:gridSpan w:val="2"/>
            <w:tcBorders>
              <w:bottom w:val="single" w:sz="4" w:space="0" w:color="auto"/>
            </w:tcBorders>
            <w:shd w:val="clear" w:color="auto" w:fill="auto"/>
            <w:vAlign w:val="bottom"/>
          </w:tcPr>
          <w:p w:rsidR="00C232A3" w:rsidRPr="001007BE" w:rsidRDefault="00C232A3" w:rsidP="00C232A3">
            <w:pPr>
              <w:pStyle w:val="ARfintablecolheadcentre"/>
            </w:pPr>
            <w:r>
              <w:t>Public Administration</w:t>
            </w:r>
          </w:p>
        </w:tc>
        <w:tc>
          <w:tcPr>
            <w:tcW w:w="2042" w:type="dxa"/>
            <w:gridSpan w:val="2"/>
            <w:tcBorders>
              <w:bottom w:val="single" w:sz="4" w:space="0" w:color="auto"/>
            </w:tcBorders>
            <w:shd w:val="clear" w:color="auto" w:fill="auto"/>
            <w:vAlign w:val="bottom"/>
          </w:tcPr>
          <w:p w:rsidR="00C232A3" w:rsidRPr="001007BE" w:rsidRDefault="00C232A3" w:rsidP="00C232A3">
            <w:pPr>
              <w:pStyle w:val="ARfintablecolheadcentre"/>
            </w:pPr>
            <w:r>
              <w:t>Total</w:t>
            </w:r>
          </w:p>
        </w:tc>
      </w:tr>
      <w:tr w:rsidR="00C232A3" w:rsidRPr="00AB62BD" w:rsidTr="00C232A3">
        <w:trPr>
          <w:cantSplit/>
          <w:tblHeader/>
        </w:trPr>
        <w:tc>
          <w:tcPr>
            <w:tcW w:w="4251" w:type="dxa"/>
            <w:tcBorders>
              <w:bottom w:val="single" w:sz="4" w:space="0" w:color="auto"/>
            </w:tcBorders>
            <w:vAlign w:val="bottom"/>
          </w:tcPr>
          <w:p w:rsidR="00C232A3" w:rsidRPr="001007BE" w:rsidRDefault="00C232A3" w:rsidP="00C232A3">
            <w:pPr>
              <w:pStyle w:val="ARfintablecolhead"/>
            </w:pPr>
            <w:r w:rsidRPr="001007BE">
              <w:t>Nature based classification</w:t>
            </w:r>
          </w:p>
        </w:tc>
        <w:tc>
          <w:tcPr>
            <w:tcW w:w="1020" w:type="dxa"/>
            <w:tcBorders>
              <w:bottom w:val="single" w:sz="4" w:space="0" w:color="auto"/>
            </w:tcBorders>
            <w:shd w:val="clear" w:color="auto" w:fill="E7E6E6"/>
            <w:vAlign w:val="bottom"/>
          </w:tcPr>
          <w:p w:rsidR="00C232A3" w:rsidRPr="001007BE" w:rsidRDefault="00C232A3" w:rsidP="00C232A3">
            <w:pPr>
              <w:pStyle w:val="ARfintablecolheadright"/>
            </w:pPr>
            <w:r w:rsidRPr="001007BE">
              <w:t>2017</w:t>
            </w:r>
          </w:p>
          <w:p w:rsidR="00C232A3" w:rsidRPr="001007BE" w:rsidRDefault="00C232A3" w:rsidP="00C232A3">
            <w:pPr>
              <w:pStyle w:val="ARfintablecolheadright"/>
            </w:pPr>
            <w:r w:rsidRPr="001007BE">
              <w:t>$M</w:t>
            </w:r>
          </w:p>
        </w:tc>
        <w:tc>
          <w:tcPr>
            <w:tcW w:w="1020" w:type="dxa"/>
            <w:tcBorders>
              <w:bottom w:val="single" w:sz="4" w:space="0" w:color="auto"/>
            </w:tcBorders>
            <w:vAlign w:val="bottom"/>
          </w:tcPr>
          <w:p w:rsidR="00C232A3" w:rsidRPr="001007BE" w:rsidRDefault="00C232A3" w:rsidP="00C232A3">
            <w:pPr>
              <w:pStyle w:val="ARfintablecolheadright"/>
            </w:pPr>
            <w:r w:rsidRPr="001007BE">
              <w:t>2016</w:t>
            </w:r>
          </w:p>
          <w:p w:rsidR="00C232A3" w:rsidRPr="001007BE" w:rsidRDefault="00C232A3" w:rsidP="00C232A3">
            <w:pPr>
              <w:pStyle w:val="ARfintablecolheadright"/>
            </w:pPr>
            <w:r w:rsidRPr="001007BE">
              <w:t>$M</w:t>
            </w:r>
          </w:p>
        </w:tc>
        <w:tc>
          <w:tcPr>
            <w:tcW w:w="1021" w:type="dxa"/>
            <w:tcBorders>
              <w:bottom w:val="single" w:sz="4" w:space="0" w:color="auto"/>
            </w:tcBorders>
            <w:shd w:val="clear" w:color="auto" w:fill="E7E6E6"/>
            <w:vAlign w:val="bottom"/>
          </w:tcPr>
          <w:p w:rsidR="00C232A3" w:rsidRPr="001007BE" w:rsidRDefault="00C232A3" w:rsidP="00C232A3">
            <w:pPr>
              <w:pStyle w:val="ARfintablecolheadright"/>
            </w:pPr>
            <w:r w:rsidRPr="001007BE">
              <w:t>2017</w:t>
            </w:r>
          </w:p>
          <w:p w:rsidR="00C232A3" w:rsidRPr="001007BE" w:rsidRDefault="00C232A3" w:rsidP="00C232A3">
            <w:pPr>
              <w:pStyle w:val="ARfintablecolheadright"/>
            </w:pPr>
            <w:r w:rsidRPr="001007BE">
              <w:t>$M</w:t>
            </w:r>
          </w:p>
        </w:tc>
        <w:tc>
          <w:tcPr>
            <w:tcW w:w="1021" w:type="dxa"/>
            <w:tcBorders>
              <w:bottom w:val="single" w:sz="4" w:space="0" w:color="auto"/>
            </w:tcBorders>
            <w:vAlign w:val="bottom"/>
          </w:tcPr>
          <w:p w:rsidR="00C232A3" w:rsidRPr="001007BE" w:rsidRDefault="00C232A3" w:rsidP="00C232A3">
            <w:pPr>
              <w:pStyle w:val="ARfintablecolheadright"/>
            </w:pPr>
            <w:r w:rsidRPr="001007BE">
              <w:t>2016</w:t>
            </w:r>
          </w:p>
          <w:p w:rsidR="00C232A3" w:rsidRPr="001007BE" w:rsidRDefault="00C232A3" w:rsidP="00C232A3">
            <w:pPr>
              <w:pStyle w:val="ARfintablecolheadright"/>
            </w:pPr>
            <w:r w:rsidRPr="001007BE">
              <w:t>$M</w:t>
            </w:r>
          </w:p>
        </w:tc>
        <w:tc>
          <w:tcPr>
            <w:tcW w:w="1021" w:type="dxa"/>
            <w:tcBorders>
              <w:bottom w:val="single" w:sz="4" w:space="0" w:color="auto"/>
            </w:tcBorders>
            <w:shd w:val="clear" w:color="auto" w:fill="E7E6E6"/>
            <w:vAlign w:val="bottom"/>
          </w:tcPr>
          <w:p w:rsidR="00C232A3" w:rsidRPr="001007BE" w:rsidRDefault="00C232A3" w:rsidP="00C232A3">
            <w:pPr>
              <w:pStyle w:val="ARfintablecolheadright"/>
            </w:pPr>
            <w:r w:rsidRPr="001007BE">
              <w:t>2017</w:t>
            </w:r>
          </w:p>
          <w:p w:rsidR="00C232A3" w:rsidRPr="001007BE" w:rsidRDefault="00C232A3" w:rsidP="00C232A3">
            <w:pPr>
              <w:pStyle w:val="ARfintablecolheadright"/>
            </w:pPr>
            <w:r w:rsidRPr="001007BE">
              <w:t>$M</w:t>
            </w:r>
          </w:p>
        </w:tc>
        <w:tc>
          <w:tcPr>
            <w:tcW w:w="1021" w:type="dxa"/>
            <w:tcBorders>
              <w:bottom w:val="single" w:sz="4" w:space="0" w:color="auto"/>
            </w:tcBorders>
            <w:vAlign w:val="bottom"/>
          </w:tcPr>
          <w:p w:rsidR="00C232A3" w:rsidRPr="001007BE" w:rsidRDefault="00C232A3" w:rsidP="00C232A3">
            <w:pPr>
              <w:pStyle w:val="ARfintablecolheadright"/>
            </w:pPr>
            <w:r w:rsidRPr="001007BE">
              <w:t>2016</w:t>
            </w:r>
          </w:p>
          <w:p w:rsidR="00C232A3" w:rsidRPr="001007BE" w:rsidRDefault="00C232A3" w:rsidP="00C232A3">
            <w:pPr>
              <w:pStyle w:val="ARfintablecolheadright"/>
            </w:pPr>
            <w:r w:rsidRPr="001007BE">
              <w:t>$M</w:t>
            </w:r>
          </w:p>
        </w:tc>
        <w:tc>
          <w:tcPr>
            <w:tcW w:w="1021" w:type="dxa"/>
            <w:tcBorders>
              <w:bottom w:val="single" w:sz="4" w:space="0" w:color="auto"/>
            </w:tcBorders>
            <w:shd w:val="clear" w:color="auto" w:fill="E7E6E6"/>
            <w:vAlign w:val="bottom"/>
          </w:tcPr>
          <w:p w:rsidR="00C232A3" w:rsidRPr="001007BE" w:rsidRDefault="00C232A3" w:rsidP="00C232A3">
            <w:pPr>
              <w:pStyle w:val="ARfintablecolheadright"/>
            </w:pPr>
            <w:r w:rsidRPr="001007BE">
              <w:t>2017</w:t>
            </w:r>
          </w:p>
          <w:p w:rsidR="00C232A3" w:rsidRPr="001007BE" w:rsidRDefault="00C232A3" w:rsidP="00C232A3">
            <w:pPr>
              <w:pStyle w:val="ARfintablecolheadright"/>
            </w:pPr>
            <w:r w:rsidRPr="001007BE">
              <w:t>$M</w:t>
            </w:r>
          </w:p>
        </w:tc>
        <w:tc>
          <w:tcPr>
            <w:tcW w:w="1021" w:type="dxa"/>
            <w:tcBorders>
              <w:bottom w:val="single" w:sz="4" w:space="0" w:color="auto"/>
            </w:tcBorders>
            <w:vAlign w:val="bottom"/>
          </w:tcPr>
          <w:p w:rsidR="00C232A3" w:rsidRPr="001007BE" w:rsidRDefault="00C232A3" w:rsidP="00C232A3">
            <w:pPr>
              <w:pStyle w:val="ARfintablecolheadright"/>
            </w:pPr>
            <w:r w:rsidRPr="001007BE">
              <w:t>2016</w:t>
            </w:r>
          </w:p>
          <w:p w:rsidR="00C232A3" w:rsidRPr="001007BE" w:rsidRDefault="00C232A3" w:rsidP="00C232A3">
            <w:pPr>
              <w:pStyle w:val="ARfintablecolheadright"/>
            </w:pPr>
            <w:r w:rsidRPr="001007BE">
              <w:t>$M</w:t>
            </w:r>
          </w:p>
        </w:tc>
        <w:tc>
          <w:tcPr>
            <w:tcW w:w="1021" w:type="dxa"/>
            <w:tcBorders>
              <w:bottom w:val="single" w:sz="4" w:space="0" w:color="auto"/>
            </w:tcBorders>
            <w:shd w:val="clear" w:color="auto" w:fill="E7E6E6"/>
            <w:vAlign w:val="bottom"/>
          </w:tcPr>
          <w:p w:rsidR="00C232A3" w:rsidRPr="001007BE" w:rsidRDefault="00C232A3" w:rsidP="00C232A3">
            <w:pPr>
              <w:pStyle w:val="ARfintablecolheadright"/>
            </w:pPr>
            <w:r w:rsidRPr="001007BE">
              <w:t>2017</w:t>
            </w:r>
          </w:p>
          <w:p w:rsidR="00C232A3" w:rsidRPr="001007BE" w:rsidRDefault="00C232A3" w:rsidP="00C232A3">
            <w:pPr>
              <w:pStyle w:val="ARfintablecolheadright"/>
            </w:pPr>
            <w:r w:rsidRPr="001007BE">
              <w:t>$M</w:t>
            </w:r>
          </w:p>
        </w:tc>
        <w:tc>
          <w:tcPr>
            <w:tcW w:w="1021" w:type="dxa"/>
            <w:tcBorders>
              <w:bottom w:val="single" w:sz="4" w:space="0" w:color="auto"/>
            </w:tcBorders>
            <w:vAlign w:val="bottom"/>
          </w:tcPr>
          <w:p w:rsidR="00C232A3" w:rsidRPr="001007BE" w:rsidRDefault="00C232A3" w:rsidP="00C232A3">
            <w:pPr>
              <w:pStyle w:val="ARfintablecolheadright"/>
            </w:pPr>
            <w:r w:rsidRPr="001007BE">
              <w:t>2016</w:t>
            </w:r>
          </w:p>
          <w:p w:rsidR="00C232A3" w:rsidRPr="001007BE" w:rsidRDefault="00C232A3" w:rsidP="00C232A3">
            <w:pPr>
              <w:pStyle w:val="ARfintablecolheadright"/>
            </w:pPr>
            <w:r w:rsidRPr="001007BE">
              <w:t>$M</w:t>
            </w:r>
          </w:p>
        </w:tc>
      </w:tr>
      <w:tr w:rsidR="00C232A3" w:rsidRPr="00AB62BD" w:rsidTr="00C232A3">
        <w:trPr>
          <w:cantSplit/>
        </w:trPr>
        <w:tc>
          <w:tcPr>
            <w:tcW w:w="425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Land at fair value</w:t>
            </w:r>
          </w:p>
        </w:tc>
        <w:tc>
          <w:tcPr>
            <w:tcW w:w="1020"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property</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15,979.5</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14,298.9</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15,979.5</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14,298.9</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Community services</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853.3</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775.5</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86.1</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8.8</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6.6</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862.1</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868.2</w:t>
            </w:r>
          </w:p>
        </w:tc>
      </w:tr>
      <w:tr w:rsidR="00C232A3" w:rsidRPr="00AB62BD" w:rsidTr="00C232A3">
        <w:trPr>
          <w:cantSplit/>
        </w:trPr>
        <w:tc>
          <w:tcPr>
            <w:tcW w:w="4251" w:type="dxa"/>
            <w:tcBorders>
              <w:top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Less allowance for Shared Home Ownership Scheme equity conversion</w:t>
            </w:r>
          </w:p>
        </w:tc>
        <w:tc>
          <w:tcPr>
            <w:tcW w:w="1020" w:type="dxa"/>
            <w:tcBorders>
              <w:top w:val="single" w:sz="4" w:space="0" w:color="A6A6A6" w:themeColor="background1" w:themeShade="A6"/>
            </w:tcBorders>
            <w:shd w:val="clear" w:color="auto" w:fill="E7E6E6"/>
          </w:tcPr>
          <w:p w:rsidR="00C232A3" w:rsidRPr="00946B9D" w:rsidRDefault="00C232A3" w:rsidP="00C232A3">
            <w:pPr>
              <w:pStyle w:val="ARfintablebodyright"/>
            </w:pPr>
            <w:r w:rsidRPr="00946B9D">
              <w:t>–</w:t>
            </w:r>
          </w:p>
        </w:tc>
        <w:tc>
          <w:tcPr>
            <w:tcW w:w="1020" w:type="dxa"/>
            <w:tcBorders>
              <w:top w:val="single" w:sz="4" w:space="0" w:color="A6A6A6" w:themeColor="background1" w:themeShade="A6"/>
            </w:tcBorders>
          </w:tcPr>
          <w:p w:rsidR="00C232A3" w:rsidRPr="00946B9D" w:rsidRDefault="00C232A3" w:rsidP="00C232A3">
            <w:pPr>
              <w:pStyle w:val="ARfintablebodyright"/>
            </w:pPr>
            <w:r w:rsidRPr="00946B9D">
              <w:t>–</w:t>
            </w:r>
          </w:p>
        </w:tc>
        <w:tc>
          <w:tcPr>
            <w:tcW w:w="1021" w:type="dxa"/>
            <w:tcBorders>
              <w:top w:val="single" w:sz="4" w:space="0" w:color="A6A6A6" w:themeColor="background1" w:themeShade="A6"/>
            </w:tcBorders>
            <w:shd w:val="clear" w:color="auto" w:fill="E7E6E6"/>
          </w:tcPr>
          <w:p w:rsidR="00C232A3" w:rsidRPr="00946B9D" w:rsidRDefault="00C232A3" w:rsidP="00C232A3">
            <w:pPr>
              <w:pStyle w:val="ARfintablebodyright"/>
            </w:pPr>
            <w:r w:rsidRPr="00946B9D">
              <w:t>–</w:t>
            </w:r>
          </w:p>
        </w:tc>
        <w:tc>
          <w:tcPr>
            <w:tcW w:w="1021" w:type="dxa"/>
            <w:tcBorders>
              <w:top w:val="single" w:sz="4" w:space="0" w:color="A6A6A6" w:themeColor="background1" w:themeShade="A6"/>
            </w:tcBorders>
          </w:tcPr>
          <w:p w:rsidR="00C232A3" w:rsidRPr="00946B9D" w:rsidRDefault="00C232A3" w:rsidP="00C232A3">
            <w:pPr>
              <w:pStyle w:val="ARfintablebodyright"/>
            </w:pPr>
            <w:r w:rsidRPr="00946B9D">
              <w:t>–</w:t>
            </w:r>
          </w:p>
        </w:tc>
        <w:tc>
          <w:tcPr>
            <w:tcW w:w="1021" w:type="dxa"/>
            <w:tcBorders>
              <w:top w:val="single" w:sz="4" w:space="0" w:color="A6A6A6" w:themeColor="background1" w:themeShade="A6"/>
            </w:tcBorders>
            <w:shd w:val="clear" w:color="auto" w:fill="E7E6E6"/>
          </w:tcPr>
          <w:p w:rsidR="00C232A3" w:rsidRPr="00946B9D" w:rsidRDefault="00C232A3" w:rsidP="00C232A3">
            <w:pPr>
              <w:pStyle w:val="ARfintablebodyright"/>
            </w:pPr>
            <w:r w:rsidRPr="00946B9D">
              <w:t>(2.0)</w:t>
            </w:r>
          </w:p>
        </w:tc>
        <w:tc>
          <w:tcPr>
            <w:tcW w:w="1021" w:type="dxa"/>
            <w:tcBorders>
              <w:top w:val="single" w:sz="4" w:space="0" w:color="A6A6A6" w:themeColor="background1" w:themeShade="A6"/>
            </w:tcBorders>
          </w:tcPr>
          <w:p w:rsidR="00C232A3" w:rsidRPr="00946B9D" w:rsidRDefault="00C232A3" w:rsidP="00C232A3">
            <w:pPr>
              <w:pStyle w:val="ARfintablebodyright"/>
            </w:pPr>
            <w:r w:rsidRPr="00946B9D">
              <w:t>(3.9)</w:t>
            </w:r>
          </w:p>
        </w:tc>
        <w:tc>
          <w:tcPr>
            <w:tcW w:w="1021" w:type="dxa"/>
            <w:tcBorders>
              <w:top w:val="single" w:sz="4" w:space="0" w:color="A6A6A6" w:themeColor="background1" w:themeShade="A6"/>
            </w:tcBorders>
            <w:shd w:val="clear" w:color="auto" w:fill="E7E6E6"/>
          </w:tcPr>
          <w:p w:rsidR="00C232A3" w:rsidRPr="00946B9D" w:rsidRDefault="00C232A3" w:rsidP="00C232A3">
            <w:pPr>
              <w:pStyle w:val="ARfintablebodyright"/>
            </w:pPr>
            <w:r w:rsidRPr="00946B9D">
              <w:t>–</w:t>
            </w:r>
          </w:p>
        </w:tc>
        <w:tc>
          <w:tcPr>
            <w:tcW w:w="1021" w:type="dxa"/>
            <w:tcBorders>
              <w:top w:val="single" w:sz="4" w:space="0" w:color="A6A6A6" w:themeColor="background1" w:themeShade="A6"/>
            </w:tcBorders>
          </w:tcPr>
          <w:p w:rsidR="00C232A3" w:rsidRPr="00946B9D" w:rsidRDefault="00C232A3" w:rsidP="00C232A3">
            <w:pPr>
              <w:pStyle w:val="ARfintablebodyright"/>
            </w:pPr>
            <w:r w:rsidRPr="00946B9D">
              <w:t>–</w:t>
            </w:r>
          </w:p>
        </w:tc>
        <w:tc>
          <w:tcPr>
            <w:tcW w:w="1021" w:type="dxa"/>
            <w:tcBorders>
              <w:top w:val="single" w:sz="4" w:space="0" w:color="A6A6A6" w:themeColor="background1" w:themeShade="A6"/>
            </w:tcBorders>
            <w:shd w:val="clear" w:color="auto" w:fill="E7E6E6"/>
          </w:tcPr>
          <w:p w:rsidR="00C232A3" w:rsidRPr="00946B9D" w:rsidRDefault="00C232A3" w:rsidP="00C232A3">
            <w:pPr>
              <w:pStyle w:val="ARfintablebodyright"/>
            </w:pPr>
            <w:r w:rsidRPr="00946B9D">
              <w:t>(2.0)</w:t>
            </w:r>
          </w:p>
        </w:tc>
        <w:tc>
          <w:tcPr>
            <w:tcW w:w="1021" w:type="dxa"/>
            <w:tcBorders>
              <w:top w:val="single" w:sz="4" w:space="0" w:color="A6A6A6" w:themeColor="background1" w:themeShade="A6"/>
            </w:tcBorders>
          </w:tcPr>
          <w:p w:rsidR="00C232A3" w:rsidRPr="00946B9D" w:rsidRDefault="00C232A3" w:rsidP="00C232A3">
            <w:pPr>
              <w:pStyle w:val="ARfintablebodyright"/>
            </w:pPr>
            <w:r w:rsidRPr="00946B9D">
              <w:t>(3.9)</w:t>
            </w:r>
          </w:p>
        </w:tc>
      </w:tr>
      <w:tr w:rsidR="00C232A3" w:rsidRPr="00AB62BD" w:rsidTr="00C232A3">
        <w:trPr>
          <w:cantSplit/>
        </w:trPr>
        <w:tc>
          <w:tcPr>
            <w:tcW w:w="425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land at fair value</w:t>
            </w:r>
          </w:p>
        </w:tc>
        <w:tc>
          <w:tcPr>
            <w:tcW w:w="1020"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853.3</w:t>
            </w:r>
          </w:p>
        </w:tc>
        <w:tc>
          <w:tcPr>
            <w:tcW w:w="1020"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775.5</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86.1</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15,977.5</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14,295.0</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8.8</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6.6</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16,839.6</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15,163.2</w:t>
            </w:r>
          </w:p>
        </w:tc>
      </w:tr>
      <w:tr w:rsidR="00C232A3" w:rsidRPr="00AB62BD" w:rsidTr="00C232A3">
        <w:trPr>
          <w:cantSplit/>
        </w:trPr>
        <w:tc>
          <w:tcPr>
            <w:tcW w:w="425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Buildings at fair value</w:t>
            </w:r>
          </w:p>
        </w:tc>
        <w:tc>
          <w:tcPr>
            <w:tcW w:w="1020"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property</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8,856.5</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8,855.5</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8,856.5</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8,855.5</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property – regional offices</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3.5</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3.5</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Community services</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769.5</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756.0</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126.6</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24.8</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14.7</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794.3</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897.3</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Less accumulated depreciation</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946B9D" w:rsidRDefault="00C232A3" w:rsidP="00C232A3">
            <w:pPr>
              <w:pStyle w:val="ARfintablebodyright"/>
            </w:pPr>
            <w:r w:rsidRPr="00946B9D">
              <w:t>(117.9)</w:t>
            </w:r>
          </w:p>
        </w:tc>
        <w:tc>
          <w:tcPr>
            <w:tcW w:w="1020" w:type="dxa"/>
            <w:tcBorders>
              <w:top w:val="single" w:sz="4" w:space="0" w:color="A6A6A6" w:themeColor="background1" w:themeShade="A6"/>
              <w:bottom w:val="single" w:sz="4" w:space="0" w:color="A6A6A6" w:themeColor="background1" w:themeShade="A6"/>
            </w:tcBorders>
          </w:tcPr>
          <w:p w:rsidR="00C232A3" w:rsidRPr="00946B9D" w:rsidRDefault="00C232A3" w:rsidP="00C232A3">
            <w:pPr>
              <w:pStyle w:val="ARfintablebodyright"/>
            </w:pPr>
            <w:r w:rsidRPr="00946B9D">
              <w:t>(88.7)</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946B9D" w:rsidRDefault="00C232A3" w:rsidP="00C232A3">
            <w:pPr>
              <w:pStyle w:val="ARfintablebodyright"/>
            </w:pPr>
            <w:r w:rsidRPr="00946B9D">
              <w:t>–</w:t>
            </w:r>
          </w:p>
        </w:tc>
        <w:tc>
          <w:tcPr>
            <w:tcW w:w="1021" w:type="dxa"/>
            <w:tcBorders>
              <w:top w:val="single" w:sz="4" w:space="0" w:color="A6A6A6" w:themeColor="background1" w:themeShade="A6"/>
              <w:bottom w:val="single" w:sz="4" w:space="0" w:color="A6A6A6" w:themeColor="background1" w:themeShade="A6"/>
            </w:tcBorders>
          </w:tcPr>
          <w:p w:rsidR="00C232A3" w:rsidRPr="00946B9D" w:rsidRDefault="00C232A3" w:rsidP="00C232A3">
            <w:pPr>
              <w:pStyle w:val="ARfintablebodyright"/>
            </w:pPr>
            <w:r w:rsidRPr="00946B9D">
              <w:t>(3.5)</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946B9D" w:rsidRDefault="00C232A3" w:rsidP="00C232A3">
            <w:pPr>
              <w:pStyle w:val="ARfintablebodyright"/>
            </w:pPr>
            <w:r w:rsidRPr="00946B9D">
              <w:t>(487.3)</w:t>
            </w:r>
          </w:p>
        </w:tc>
        <w:tc>
          <w:tcPr>
            <w:tcW w:w="1021" w:type="dxa"/>
            <w:tcBorders>
              <w:top w:val="single" w:sz="4" w:space="0" w:color="A6A6A6" w:themeColor="background1" w:themeShade="A6"/>
              <w:bottom w:val="single" w:sz="4" w:space="0" w:color="A6A6A6" w:themeColor="background1" w:themeShade="A6"/>
            </w:tcBorders>
          </w:tcPr>
          <w:p w:rsidR="00C232A3" w:rsidRPr="00946B9D" w:rsidRDefault="00C232A3" w:rsidP="00C232A3">
            <w:pPr>
              <w:pStyle w:val="ARfintablebodyright"/>
            </w:pPr>
            <w:r w:rsidRPr="00946B9D">
              <w:t>(292.3)</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946B9D" w:rsidRDefault="00C232A3" w:rsidP="00C232A3">
            <w:pPr>
              <w:pStyle w:val="ARfintablebodyright"/>
            </w:pPr>
            <w:r w:rsidRPr="00946B9D">
              <w:t>–</w:t>
            </w:r>
          </w:p>
        </w:tc>
        <w:tc>
          <w:tcPr>
            <w:tcW w:w="1021" w:type="dxa"/>
            <w:tcBorders>
              <w:top w:val="single" w:sz="4" w:space="0" w:color="A6A6A6" w:themeColor="background1" w:themeShade="A6"/>
              <w:bottom w:val="single" w:sz="4" w:space="0" w:color="A6A6A6" w:themeColor="background1" w:themeShade="A6"/>
            </w:tcBorders>
          </w:tcPr>
          <w:p w:rsidR="00C232A3" w:rsidRPr="00946B9D" w:rsidRDefault="00C232A3" w:rsidP="00C232A3">
            <w:pPr>
              <w:pStyle w:val="ARfintablebodyright"/>
            </w:pPr>
            <w:r w:rsidRPr="00946B9D">
              <w:t>(0.8)</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946B9D" w:rsidRDefault="00C232A3" w:rsidP="00C232A3">
            <w:pPr>
              <w:pStyle w:val="ARfintablebodyright"/>
            </w:pPr>
            <w:r w:rsidRPr="00946B9D">
              <w:t>(605.2)</w:t>
            </w:r>
          </w:p>
        </w:tc>
        <w:tc>
          <w:tcPr>
            <w:tcW w:w="1021" w:type="dxa"/>
            <w:tcBorders>
              <w:top w:val="single" w:sz="4" w:space="0" w:color="A6A6A6" w:themeColor="background1" w:themeShade="A6"/>
              <w:bottom w:val="single" w:sz="4" w:space="0" w:color="A6A6A6" w:themeColor="background1" w:themeShade="A6"/>
            </w:tcBorders>
          </w:tcPr>
          <w:p w:rsidR="00C232A3" w:rsidRPr="00946B9D" w:rsidRDefault="00C232A3" w:rsidP="00C232A3">
            <w:pPr>
              <w:pStyle w:val="ARfintablebodyright"/>
            </w:pPr>
            <w:r w:rsidRPr="00946B9D">
              <w:t>(385.3)</w:t>
            </w:r>
          </w:p>
        </w:tc>
      </w:tr>
      <w:tr w:rsidR="00C232A3" w:rsidRPr="00AB62BD" w:rsidTr="00C232A3">
        <w:trPr>
          <w:cantSplit/>
        </w:trPr>
        <w:tc>
          <w:tcPr>
            <w:tcW w:w="4251" w:type="dxa"/>
            <w:tcBorders>
              <w:top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Less allowance for Shared Home Ownership Scheme equity conversion</w:t>
            </w:r>
          </w:p>
        </w:tc>
        <w:tc>
          <w:tcPr>
            <w:tcW w:w="1020" w:type="dxa"/>
            <w:tcBorders>
              <w:top w:val="single" w:sz="4" w:space="0" w:color="A6A6A6" w:themeColor="background1" w:themeShade="A6"/>
            </w:tcBorders>
            <w:shd w:val="clear" w:color="auto" w:fill="E7E6E6"/>
          </w:tcPr>
          <w:p w:rsidR="00C232A3" w:rsidRPr="00AB62BD" w:rsidRDefault="00C232A3" w:rsidP="00C232A3">
            <w:pPr>
              <w:pStyle w:val="ARfintablebodyright"/>
              <w:rPr>
                <w:i/>
                <w:iCs/>
                <w:lang w:eastAsia="en-AU"/>
              </w:rPr>
            </w:pPr>
            <w:r w:rsidRPr="00AB62BD">
              <w:rPr>
                <w:lang w:eastAsia="en-AU"/>
              </w:rPr>
              <w:t>–</w:t>
            </w:r>
          </w:p>
        </w:tc>
        <w:tc>
          <w:tcPr>
            <w:tcW w:w="1020"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(3.8)</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(3.8)</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r>
      <w:tr w:rsidR="00C232A3" w:rsidRPr="00AB62BD" w:rsidTr="00C232A3">
        <w:trPr>
          <w:cantSplit/>
        </w:trPr>
        <w:tc>
          <w:tcPr>
            <w:tcW w:w="425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buildings at fair value</w:t>
            </w:r>
          </w:p>
        </w:tc>
        <w:tc>
          <w:tcPr>
            <w:tcW w:w="1020"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651.6</w:t>
            </w:r>
          </w:p>
        </w:tc>
        <w:tc>
          <w:tcPr>
            <w:tcW w:w="1020"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667.3</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123.2</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8,368.8</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8,564.7</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24.8</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13.9</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9,045.2</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9,369.0</w:t>
            </w:r>
          </w:p>
        </w:tc>
      </w:tr>
      <w:tr w:rsidR="00C232A3" w:rsidRPr="00AB62BD" w:rsidTr="00C232A3">
        <w:trPr>
          <w:cantSplit/>
        </w:trPr>
        <w:tc>
          <w:tcPr>
            <w:tcW w:w="425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Plant, equipment and vehicles at fair value</w:t>
            </w:r>
          </w:p>
        </w:tc>
        <w:tc>
          <w:tcPr>
            <w:tcW w:w="1020"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Plant, equipment and vehicles</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46.0</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42.7</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2.3</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48.3</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45.7</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Less accumulated depreciation</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(33.2)</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(29.4)</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(0.7)</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(33.9)</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(29.8)</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Cs/>
                <w:lang w:eastAsia="en-AU"/>
              </w:rPr>
            </w:pP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12.8</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13.3</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0.8</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1.6</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1.8</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14.4</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15.8</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Motor vehicles under finance lease</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42.8</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46.3</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42.8</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46.3</w:t>
            </w: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Less accumulated depreciation</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0.8</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0.8</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r>
      <w:tr w:rsidR="00C232A3" w:rsidRPr="00AB62BD" w:rsidTr="00C232A3">
        <w:trPr>
          <w:cantSplit/>
        </w:trPr>
        <w:tc>
          <w:tcPr>
            <w:tcW w:w="4251" w:type="dxa"/>
            <w:tcBorders>
              <w:top w:val="single" w:sz="4" w:space="0" w:color="A6A6A6" w:themeColor="background1" w:themeShade="A6"/>
            </w:tcBorders>
          </w:tcPr>
          <w:p w:rsidR="00C232A3" w:rsidRPr="00AB62BD" w:rsidRDefault="00C232A3" w:rsidP="00C232A3">
            <w:pPr>
              <w:pStyle w:val="ARfintablebody"/>
              <w:rPr>
                <w:lang w:eastAsia="en-AU"/>
              </w:rPr>
            </w:pPr>
          </w:p>
        </w:tc>
        <w:tc>
          <w:tcPr>
            <w:tcW w:w="1020" w:type="dxa"/>
            <w:tcBorders>
              <w:top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43.6</w:t>
            </w:r>
          </w:p>
        </w:tc>
        <w:tc>
          <w:tcPr>
            <w:tcW w:w="1020" w:type="dxa"/>
            <w:tcBorders>
              <w:top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47.4</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43.6</w:t>
            </w:r>
          </w:p>
        </w:tc>
        <w:tc>
          <w:tcPr>
            <w:tcW w:w="1021" w:type="dxa"/>
            <w:tcBorders>
              <w:top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47.4</w:t>
            </w:r>
          </w:p>
        </w:tc>
      </w:tr>
      <w:tr w:rsidR="00C232A3" w:rsidRPr="00AB62BD" w:rsidTr="00C232A3">
        <w:trPr>
          <w:cantSplit/>
        </w:trPr>
        <w:tc>
          <w:tcPr>
            <w:tcW w:w="425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plant, equipment and vehicles at fair value</w:t>
            </w:r>
          </w:p>
        </w:tc>
        <w:tc>
          <w:tcPr>
            <w:tcW w:w="1020"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56.4</w:t>
            </w:r>
          </w:p>
        </w:tc>
        <w:tc>
          <w:tcPr>
            <w:tcW w:w="1020"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60.6</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0.8</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1.6</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1.8</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021"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58.0</w:t>
            </w:r>
          </w:p>
        </w:tc>
        <w:tc>
          <w:tcPr>
            <w:tcW w:w="102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63.2</w:t>
            </w:r>
          </w:p>
        </w:tc>
      </w:tr>
      <w:tr w:rsidR="00C232A3" w:rsidRPr="00AB62BD" w:rsidTr="00C232A3">
        <w:trPr>
          <w:cantSplit/>
        </w:trPr>
        <w:tc>
          <w:tcPr>
            <w:tcW w:w="425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Assets under construction at cost</w:t>
            </w:r>
          </w:p>
        </w:tc>
        <w:tc>
          <w:tcPr>
            <w:tcW w:w="1020"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02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25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Rental property</w:t>
            </w:r>
          </w:p>
        </w:tc>
        <w:tc>
          <w:tcPr>
            <w:tcW w:w="1020"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139.3</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70.2</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139.3</w:t>
            </w:r>
          </w:p>
        </w:tc>
        <w:tc>
          <w:tcPr>
            <w:tcW w:w="10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70.2</w:t>
            </w:r>
          </w:p>
        </w:tc>
      </w:tr>
      <w:tr w:rsidR="00C232A3" w:rsidRPr="00AB62BD" w:rsidTr="00C232A3">
        <w:trPr>
          <w:cantSplit/>
        </w:trPr>
        <w:tc>
          <w:tcPr>
            <w:tcW w:w="425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property</w:t>
            </w:r>
          </w:p>
        </w:tc>
        <w:tc>
          <w:tcPr>
            <w:tcW w:w="1020"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56.0</w:t>
            </w:r>
          </w:p>
        </w:tc>
        <w:tc>
          <w:tcPr>
            <w:tcW w:w="1020"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20.0</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0.6</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021"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56.6</w:t>
            </w:r>
          </w:p>
        </w:tc>
        <w:tc>
          <w:tcPr>
            <w:tcW w:w="102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24.0</w:t>
            </w:r>
          </w:p>
        </w:tc>
      </w:tr>
      <w:tr w:rsidR="00C232A3" w:rsidRPr="00AB62BD" w:rsidTr="00C232A3">
        <w:trPr>
          <w:cantSplit/>
        </w:trPr>
        <w:tc>
          <w:tcPr>
            <w:tcW w:w="4251" w:type="dxa"/>
          </w:tcPr>
          <w:p w:rsidR="00C232A3" w:rsidRPr="00AB62BD" w:rsidRDefault="00C232A3" w:rsidP="00C232A3">
            <w:pPr>
              <w:pStyle w:val="ARfintablebody"/>
              <w:rPr>
                <w:bCs/>
                <w:lang w:eastAsia="en-AU"/>
              </w:rPr>
            </w:pPr>
            <w:r w:rsidRPr="00AB62BD">
              <w:rPr>
                <w:rStyle w:val="Strong"/>
              </w:rPr>
              <w:t>Total assets under construction at cost</w:t>
            </w:r>
          </w:p>
        </w:tc>
        <w:tc>
          <w:tcPr>
            <w:tcW w:w="1020" w:type="dxa"/>
            <w:shd w:val="clear" w:color="auto" w:fill="E7E6E6"/>
          </w:tcPr>
          <w:p w:rsidR="00C232A3" w:rsidRPr="00AB62BD" w:rsidRDefault="00C232A3" w:rsidP="00C232A3">
            <w:pPr>
              <w:pStyle w:val="ARfintablebodyright"/>
              <w:rPr>
                <w:b/>
                <w:bCs/>
                <w:lang w:eastAsia="en-AU"/>
              </w:rPr>
            </w:pPr>
            <w:r>
              <w:rPr>
                <w:rStyle w:val="Strong"/>
              </w:rPr>
              <w:t>56.0</w:t>
            </w:r>
          </w:p>
        </w:tc>
        <w:tc>
          <w:tcPr>
            <w:tcW w:w="1020" w:type="dxa"/>
          </w:tcPr>
          <w:p w:rsidR="00C232A3" w:rsidRPr="00AB62BD" w:rsidRDefault="00C232A3" w:rsidP="00C232A3">
            <w:pPr>
              <w:pStyle w:val="ARfintablebodyright"/>
              <w:rPr>
                <w:b/>
                <w:bCs/>
                <w:lang w:eastAsia="en-AU"/>
              </w:rPr>
            </w:pPr>
            <w:r w:rsidRPr="00AB62BD">
              <w:rPr>
                <w:rStyle w:val="Strong"/>
              </w:rPr>
              <w:t>20.0</w:t>
            </w:r>
          </w:p>
        </w:tc>
        <w:tc>
          <w:tcPr>
            <w:tcW w:w="1021" w:type="dxa"/>
            <w:shd w:val="clear" w:color="auto" w:fill="E7E6E6"/>
          </w:tcPr>
          <w:p w:rsidR="00C232A3" w:rsidRPr="00E966B5" w:rsidRDefault="00C232A3" w:rsidP="00C232A3">
            <w:pPr>
              <w:pStyle w:val="ARfintablebodyright"/>
              <w:rPr>
                <w:rStyle w:val="Strong"/>
              </w:rPr>
            </w:pPr>
            <w:r w:rsidRPr="00E966B5">
              <w:rPr>
                <w:rStyle w:val="Strong"/>
              </w:rPr>
              <w:t>–</w:t>
            </w:r>
          </w:p>
        </w:tc>
        <w:tc>
          <w:tcPr>
            <w:tcW w:w="1021" w:type="dxa"/>
          </w:tcPr>
          <w:p w:rsidR="00C232A3" w:rsidRPr="00AB62BD" w:rsidRDefault="00C232A3" w:rsidP="00C232A3">
            <w:pPr>
              <w:pStyle w:val="ARfintablebodyright"/>
              <w:rPr>
                <w:b/>
                <w:bCs/>
                <w:lang w:eastAsia="en-AU"/>
              </w:rPr>
            </w:pPr>
            <w:r w:rsidRPr="00AB62BD">
              <w:rPr>
                <w:rStyle w:val="Strong"/>
              </w:rPr>
              <w:t>3.6</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139.9</w:t>
            </w:r>
          </w:p>
        </w:tc>
        <w:tc>
          <w:tcPr>
            <w:tcW w:w="1021" w:type="dxa"/>
          </w:tcPr>
          <w:p w:rsidR="00C232A3" w:rsidRPr="00AB62BD" w:rsidRDefault="00C232A3" w:rsidP="00C232A3">
            <w:pPr>
              <w:pStyle w:val="ARfintablebodyright"/>
              <w:rPr>
                <w:b/>
                <w:bCs/>
                <w:lang w:eastAsia="en-AU"/>
              </w:rPr>
            </w:pPr>
            <w:r w:rsidRPr="00AB62BD">
              <w:rPr>
                <w:rStyle w:val="Strong"/>
              </w:rPr>
              <w:t>70.6</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w:t>
            </w:r>
          </w:p>
        </w:tc>
        <w:tc>
          <w:tcPr>
            <w:tcW w:w="1021" w:type="dxa"/>
          </w:tcPr>
          <w:p w:rsidR="00C232A3" w:rsidRPr="00AB62BD" w:rsidRDefault="00C232A3" w:rsidP="00C232A3">
            <w:pPr>
              <w:pStyle w:val="ARfintablebodyright"/>
              <w:rPr>
                <w:b/>
                <w:bCs/>
                <w:lang w:eastAsia="en-AU"/>
              </w:rPr>
            </w:pPr>
            <w:r w:rsidRPr="00AB62BD">
              <w:rPr>
                <w:rStyle w:val="Strong"/>
              </w:rPr>
              <w:t>–</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195.9</w:t>
            </w:r>
          </w:p>
        </w:tc>
        <w:tc>
          <w:tcPr>
            <w:tcW w:w="1021" w:type="dxa"/>
          </w:tcPr>
          <w:p w:rsidR="00C232A3" w:rsidRPr="00AB62BD" w:rsidRDefault="00C232A3" w:rsidP="00C232A3">
            <w:pPr>
              <w:pStyle w:val="ARfintablebodyright"/>
              <w:rPr>
                <w:b/>
                <w:bCs/>
                <w:lang w:eastAsia="en-AU"/>
              </w:rPr>
            </w:pPr>
            <w:r w:rsidRPr="00AB62BD">
              <w:rPr>
                <w:rStyle w:val="Strong"/>
              </w:rPr>
              <w:t>94.2</w:t>
            </w:r>
          </w:p>
        </w:tc>
      </w:tr>
      <w:tr w:rsidR="00C232A3" w:rsidRPr="00AB62BD" w:rsidTr="00C232A3">
        <w:trPr>
          <w:cantSplit/>
        </w:trPr>
        <w:tc>
          <w:tcPr>
            <w:tcW w:w="4251" w:type="dxa"/>
          </w:tcPr>
          <w:p w:rsidR="00C232A3" w:rsidRPr="00AB62BD" w:rsidRDefault="00C232A3" w:rsidP="00C232A3">
            <w:pPr>
              <w:pStyle w:val="ARfintablebody"/>
              <w:rPr>
                <w:bCs/>
                <w:lang w:eastAsia="en-AU"/>
              </w:rPr>
            </w:pPr>
            <w:r w:rsidRPr="00AB62BD">
              <w:rPr>
                <w:rStyle w:val="Strong"/>
              </w:rPr>
              <w:t>Net carrying amount of property, plant and equipment</w:t>
            </w:r>
          </w:p>
        </w:tc>
        <w:tc>
          <w:tcPr>
            <w:tcW w:w="1020" w:type="dxa"/>
            <w:shd w:val="clear" w:color="auto" w:fill="E7E6E6"/>
          </w:tcPr>
          <w:p w:rsidR="00C232A3" w:rsidRPr="00AB62BD" w:rsidRDefault="00C232A3" w:rsidP="00C232A3">
            <w:pPr>
              <w:pStyle w:val="ARfintablebodyright"/>
              <w:rPr>
                <w:b/>
                <w:bCs/>
                <w:lang w:eastAsia="en-AU"/>
              </w:rPr>
            </w:pPr>
            <w:r>
              <w:rPr>
                <w:rStyle w:val="Strong"/>
              </w:rPr>
              <w:t>1,617.4</w:t>
            </w:r>
          </w:p>
        </w:tc>
        <w:tc>
          <w:tcPr>
            <w:tcW w:w="1020" w:type="dxa"/>
          </w:tcPr>
          <w:p w:rsidR="00C232A3" w:rsidRPr="00AB62BD" w:rsidRDefault="00C232A3" w:rsidP="00C232A3">
            <w:pPr>
              <w:pStyle w:val="ARfintablebodyright"/>
              <w:rPr>
                <w:b/>
                <w:bCs/>
                <w:lang w:eastAsia="en-AU"/>
              </w:rPr>
            </w:pPr>
            <w:r w:rsidRPr="00AB62BD">
              <w:rPr>
                <w:rStyle w:val="Strong"/>
              </w:rPr>
              <w:t>1,523.4</w:t>
            </w:r>
          </w:p>
        </w:tc>
        <w:tc>
          <w:tcPr>
            <w:tcW w:w="1021" w:type="dxa"/>
            <w:shd w:val="clear" w:color="auto" w:fill="E7E6E6"/>
          </w:tcPr>
          <w:p w:rsidR="00C232A3" w:rsidRPr="00AB62BD" w:rsidRDefault="00C232A3" w:rsidP="00C232A3">
            <w:pPr>
              <w:pStyle w:val="ARfintablebodyright"/>
              <w:rPr>
                <w:b/>
                <w:bCs/>
                <w:lang w:eastAsia="en-AU"/>
              </w:rPr>
            </w:pPr>
            <w:r w:rsidRPr="00AB62BD">
              <w:rPr>
                <w:lang w:eastAsia="en-AU"/>
              </w:rPr>
              <w:t>–</w:t>
            </w:r>
          </w:p>
        </w:tc>
        <w:tc>
          <w:tcPr>
            <w:tcW w:w="1021" w:type="dxa"/>
          </w:tcPr>
          <w:p w:rsidR="00C232A3" w:rsidRPr="00AB62BD" w:rsidRDefault="00C232A3" w:rsidP="00C232A3">
            <w:pPr>
              <w:pStyle w:val="ARfintablebodyright"/>
              <w:rPr>
                <w:b/>
                <w:bCs/>
                <w:lang w:eastAsia="en-AU"/>
              </w:rPr>
            </w:pPr>
            <w:r w:rsidRPr="00AB62BD">
              <w:rPr>
                <w:rStyle w:val="Strong"/>
              </w:rPr>
              <w:t>213.7</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24,487.8</w:t>
            </w:r>
          </w:p>
        </w:tc>
        <w:tc>
          <w:tcPr>
            <w:tcW w:w="1021" w:type="dxa"/>
          </w:tcPr>
          <w:p w:rsidR="00C232A3" w:rsidRPr="00AB62BD" w:rsidRDefault="00C232A3" w:rsidP="00C232A3">
            <w:pPr>
              <w:pStyle w:val="ARfintablebodyright"/>
              <w:rPr>
                <w:b/>
                <w:bCs/>
                <w:lang w:eastAsia="en-AU"/>
              </w:rPr>
            </w:pPr>
            <w:r w:rsidRPr="00AB62BD">
              <w:rPr>
                <w:rStyle w:val="Strong"/>
              </w:rPr>
              <w:t>22,932.0</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33.5</w:t>
            </w:r>
          </w:p>
        </w:tc>
        <w:tc>
          <w:tcPr>
            <w:tcW w:w="1021" w:type="dxa"/>
          </w:tcPr>
          <w:p w:rsidR="00C232A3" w:rsidRPr="00AB62BD" w:rsidRDefault="00C232A3" w:rsidP="00C232A3">
            <w:pPr>
              <w:pStyle w:val="ARfintablebodyright"/>
              <w:rPr>
                <w:b/>
                <w:bCs/>
                <w:lang w:eastAsia="en-AU"/>
              </w:rPr>
            </w:pPr>
            <w:r w:rsidRPr="00AB62BD">
              <w:rPr>
                <w:rStyle w:val="Strong"/>
              </w:rPr>
              <w:t>20.5</w:t>
            </w:r>
          </w:p>
        </w:tc>
        <w:tc>
          <w:tcPr>
            <w:tcW w:w="1021" w:type="dxa"/>
            <w:shd w:val="clear" w:color="auto" w:fill="E7E6E6"/>
          </w:tcPr>
          <w:p w:rsidR="00C232A3" w:rsidRPr="00AB62BD" w:rsidRDefault="00C232A3" w:rsidP="00C232A3">
            <w:pPr>
              <w:pStyle w:val="ARfintablebodyright"/>
              <w:rPr>
                <w:b/>
                <w:bCs/>
                <w:lang w:eastAsia="en-AU"/>
              </w:rPr>
            </w:pPr>
            <w:r w:rsidRPr="00AB62BD">
              <w:rPr>
                <w:rStyle w:val="Strong"/>
              </w:rPr>
              <w:t>26,138.7</w:t>
            </w:r>
          </w:p>
        </w:tc>
        <w:tc>
          <w:tcPr>
            <w:tcW w:w="1021" w:type="dxa"/>
          </w:tcPr>
          <w:p w:rsidR="00C232A3" w:rsidRPr="00AB62BD" w:rsidRDefault="00C232A3" w:rsidP="00C232A3">
            <w:pPr>
              <w:pStyle w:val="ARfintablebodyright"/>
              <w:rPr>
                <w:rStyle w:val="Strong"/>
                <w:bCs w:val="0"/>
              </w:rPr>
            </w:pPr>
            <w:r w:rsidRPr="00AB62BD">
              <w:rPr>
                <w:rStyle w:val="Strong"/>
              </w:rPr>
              <w:t>24,689.6</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Property, plant and equipment are classified primarily by the purpose for which the assets are used, according to one of six purpose groups based upon government purpose classifications. All assets within a purpose group are further sub-categorised according to the assets’ nature (</w:t>
      </w:r>
      <w:r>
        <w:t xml:space="preserve">e.g. </w:t>
      </w:r>
      <w:r w:rsidRPr="00AB62BD">
        <w:t>buildings</w:t>
      </w:r>
      <w:r>
        <w:t>, plant and equipment</w:t>
      </w:r>
      <w:r w:rsidRPr="00AB62BD">
        <w:t>), with each sub-category being classified as a separate class of asset for financial reporting purposes.</w:t>
      </w:r>
    </w:p>
    <w:p w:rsidR="00C232A3" w:rsidRPr="00AB62BD" w:rsidRDefault="00C232A3" w:rsidP="00C232A3">
      <w:pPr>
        <w:pStyle w:val="ARfinbody"/>
        <w:rPr>
          <w:lang w:eastAsia="en-AU"/>
        </w:rPr>
      </w:pPr>
    </w:p>
    <w:p w:rsidR="00C232A3" w:rsidRDefault="00C232A3" w:rsidP="00C232A3">
      <w:pPr>
        <w:pStyle w:val="ARfinbody"/>
        <w:rPr>
          <w:lang w:eastAsia="en-AU"/>
        </w:rPr>
        <w:sectPr w:rsidR="00C232A3" w:rsidSect="00C232A3">
          <w:headerReference w:type="even" r:id="rId114"/>
          <w:headerReference w:type="default" r:id="rId115"/>
          <w:endnotePr>
            <w:numFmt w:val="decimal"/>
          </w:endnotePr>
          <w:pgSz w:w="16840" w:h="11900" w:orient="landscape" w:code="9"/>
          <w:pgMar w:top="1418" w:right="1531" w:bottom="851" w:left="851" w:header="794" w:footer="340" w:gutter="0"/>
          <w:cols w:space="454"/>
          <w:docGrid w:linePitch="272"/>
        </w:sectPr>
      </w:pPr>
    </w:p>
    <w:p w:rsidR="00C232A3" w:rsidRPr="00D11896" w:rsidRDefault="00C232A3" w:rsidP="00C232A3">
      <w:pPr>
        <w:pStyle w:val="Heading5"/>
        <w:spacing w:before="0"/>
        <w:rPr>
          <w:rStyle w:val="Strong"/>
        </w:rPr>
      </w:pPr>
      <w:r w:rsidRPr="00D11896">
        <w:rPr>
          <w:rStyle w:val="Strong"/>
        </w:rPr>
        <w:lastRenderedPageBreak/>
        <w:t>5.1.3 Reconciliation of movements in carrying values of property, plant and equipment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119"/>
        <w:gridCol w:w="1304"/>
        <w:gridCol w:w="1304"/>
        <w:gridCol w:w="1304"/>
        <w:gridCol w:w="1304"/>
        <w:gridCol w:w="1304"/>
      </w:tblGrid>
      <w:tr w:rsidR="00C232A3" w:rsidRPr="00AB62BD" w:rsidTr="00C232A3">
        <w:trPr>
          <w:cantSplit/>
          <w:tblHeader/>
        </w:trPr>
        <w:tc>
          <w:tcPr>
            <w:tcW w:w="3119" w:type="dxa"/>
            <w:tcBorders>
              <w:bottom w:val="single" w:sz="4" w:space="0" w:color="auto"/>
            </w:tcBorders>
            <w:vAlign w:val="bottom"/>
          </w:tcPr>
          <w:p w:rsidR="00C232A3" w:rsidRPr="008C7061" w:rsidRDefault="00C232A3" w:rsidP="00C232A3">
            <w:pPr>
              <w:pStyle w:val="ARfintablecolhead"/>
            </w:pPr>
          </w:p>
        </w:tc>
        <w:tc>
          <w:tcPr>
            <w:tcW w:w="1304" w:type="dxa"/>
            <w:tcBorders>
              <w:bottom w:val="single" w:sz="4" w:space="0" w:color="auto"/>
            </w:tcBorders>
            <w:vAlign w:val="bottom"/>
          </w:tcPr>
          <w:p w:rsidR="00C232A3" w:rsidRPr="008C7061" w:rsidRDefault="00C232A3" w:rsidP="00C232A3">
            <w:pPr>
              <w:pStyle w:val="ARfintablecolheadright"/>
            </w:pPr>
            <w:r w:rsidRPr="008C7061">
              <w:t>Land at fair value</w:t>
            </w:r>
          </w:p>
          <w:p w:rsidR="00C232A3" w:rsidRPr="008C7061" w:rsidRDefault="00C232A3" w:rsidP="00C232A3">
            <w:pPr>
              <w:pStyle w:val="ARfintablecolheadright"/>
            </w:pPr>
            <w:r w:rsidRPr="008C7061">
              <w:t>$M</w:t>
            </w:r>
          </w:p>
        </w:tc>
        <w:tc>
          <w:tcPr>
            <w:tcW w:w="1304" w:type="dxa"/>
            <w:tcBorders>
              <w:bottom w:val="single" w:sz="4" w:space="0" w:color="auto"/>
            </w:tcBorders>
            <w:vAlign w:val="bottom"/>
          </w:tcPr>
          <w:p w:rsidR="00C232A3" w:rsidRPr="008C7061" w:rsidRDefault="00C232A3" w:rsidP="00C232A3">
            <w:pPr>
              <w:pStyle w:val="ARfintablecolheadright"/>
            </w:pPr>
            <w:r w:rsidRPr="008C7061">
              <w:t>Buildings at fair value</w:t>
            </w:r>
          </w:p>
          <w:p w:rsidR="00C232A3" w:rsidRPr="008C7061" w:rsidRDefault="00C232A3" w:rsidP="00C232A3">
            <w:pPr>
              <w:pStyle w:val="ARfintablecolheadright"/>
            </w:pPr>
            <w:r w:rsidRPr="008C7061">
              <w:t>$M</w:t>
            </w:r>
          </w:p>
        </w:tc>
        <w:tc>
          <w:tcPr>
            <w:tcW w:w="1304" w:type="dxa"/>
            <w:tcBorders>
              <w:bottom w:val="single" w:sz="4" w:space="0" w:color="auto"/>
            </w:tcBorders>
            <w:vAlign w:val="bottom"/>
          </w:tcPr>
          <w:p w:rsidR="00C232A3" w:rsidRPr="008C7061" w:rsidRDefault="00C232A3" w:rsidP="00C232A3">
            <w:pPr>
              <w:pStyle w:val="ARfintablecolheadright"/>
            </w:pPr>
            <w:r w:rsidRPr="008C7061">
              <w:t>Plant, equipment and vehicles at fair value</w:t>
            </w:r>
          </w:p>
          <w:p w:rsidR="00C232A3" w:rsidRPr="008C7061" w:rsidRDefault="00C232A3" w:rsidP="00C232A3">
            <w:pPr>
              <w:pStyle w:val="ARfintablecolheadright"/>
            </w:pPr>
            <w:r w:rsidRPr="008C7061">
              <w:t>$M</w:t>
            </w:r>
          </w:p>
        </w:tc>
        <w:tc>
          <w:tcPr>
            <w:tcW w:w="1304" w:type="dxa"/>
            <w:tcBorders>
              <w:bottom w:val="single" w:sz="4" w:space="0" w:color="auto"/>
            </w:tcBorders>
            <w:vAlign w:val="bottom"/>
          </w:tcPr>
          <w:p w:rsidR="00C232A3" w:rsidRPr="008C7061" w:rsidRDefault="00C232A3" w:rsidP="00C232A3">
            <w:pPr>
              <w:pStyle w:val="ARfintablecolheadright"/>
            </w:pPr>
            <w:r w:rsidRPr="008C7061">
              <w:t>Assets under construction at cost</w:t>
            </w:r>
          </w:p>
          <w:p w:rsidR="00C232A3" w:rsidRPr="008C7061" w:rsidRDefault="00C232A3" w:rsidP="00C232A3">
            <w:pPr>
              <w:pStyle w:val="ARfintablecolheadright"/>
            </w:pPr>
            <w:r w:rsidRPr="008C7061">
              <w:t>$M</w:t>
            </w:r>
          </w:p>
        </w:tc>
        <w:tc>
          <w:tcPr>
            <w:tcW w:w="1304" w:type="dxa"/>
            <w:tcBorders>
              <w:bottom w:val="single" w:sz="4" w:space="0" w:color="auto"/>
            </w:tcBorders>
            <w:vAlign w:val="bottom"/>
          </w:tcPr>
          <w:p w:rsidR="00C232A3" w:rsidRPr="008C7061" w:rsidRDefault="00C232A3" w:rsidP="00C232A3">
            <w:pPr>
              <w:pStyle w:val="ARfintablecolheadright"/>
            </w:pPr>
            <w:r w:rsidRPr="008C7061">
              <w:t>Total</w:t>
            </w:r>
          </w:p>
          <w:p w:rsidR="00C232A3" w:rsidRPr="008C7061" w:rsidRDefault="00C232A3" w:rsidP="00C232A3">
            <w:pPr>
              <w:pStyle w:val="ARfintablecolheadright"/>
            </w:pPr>
            <w:r w:rsidRPr="008C7061">
              <w:t>$M</w:t>
            </w:r>
          </w:p>
        </w:tc>
      </w:tr>
      <w:tr w:rsidR="00C232A3" w:rsidRPr="00AB62BD" w:rsidTr="00C232A3">
        <w:trPr>
          <w:cantSplit/>
        </w:trPr>
        <w:tc>
          <w:tcPr>
            <w:tcW w:w="3119"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Balance at 1 July 2015</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12,769.3</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9,451.2</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56.8</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70.3</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22,347.5</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contributed from asset transfers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37.4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261.2</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308.6</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Disposals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(58.2)</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(82.1)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(12.2)</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(152.5)</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Net revaluation increments/(decrements)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2,470.8</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2,468.7</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Depreciation and amortisation</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(237.3)</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(258.7)</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Fair value of assets received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8.7</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Fair value of assets given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(6.8)</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Transfer in/(out) of assets under construction</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235.4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(237.3)</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Transfers (to)/from assets held for sale</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(23.7)</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(27.7)</w:t>
            </w:r>
          </w:p>
        </w:tc>
      </w:tr>
      <w:tr w:rsidR="00C232A3" w:rsidRPr="00AB62BD" w:rsidTr="00C232A3">
        <w:trPr>
          <w:cantSplit/>
        </w:trPr>
        <w:tc>
          <w:tcPr>
            <w:tcW w:w="3119"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Transfers to provision for equity reduction</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C232A3">
        <w:trPr>
          <w:cantSplit/>
        </w:trPr>
        <w:tc>
          <w:tcPr>
            <w:tcW w:w="3119" w:type="dxa"/>
            <w:tcBorders>
              <w:bottom w:val="single" w:sz="4" w:space="0" w:color="auto"/>
            </w:tcBorders>
          </w:tcPr>
          <w:p w:rsidR="00C232A3" w:rsidRPr="00AB62BD" w:rsidRDefault="00C232A3" w:rsidP="00C232A3">
            <w:pPr>
              <w:pStyle w:val="ARfintablebody"/>
              <w:rPr>
                <w:bCs/>
                <w:lang w:eastAsia="en-AU"/>
              </w:rPr>
            </w:pPr>
            <w:r w:rsidRPr="00AB62BD">
              <w:rPr>
                <w:rStyle w:val="Strong"/>
              </w:rPr>
              <w:t>Balance at 1 July 2016</w:t>
            </w:r>
          </w:p>
        </w:tc>
        <w:tc>
          <w:tcPr>
            <w:tcW w:w="1304" w:type="dxa"/>
            <w:tcBorders>
              <w:bottom w:val="single" w:sz="4" w:space="0" w:color="auto"/>
            </w:tcBorders>
          </w:tcPr>
          <w:p w:rsidR="00C232A3" w:rsidRPr="00AB62BD" w:rsidRDefault="00C232A3" w:rsidP="00C232A3">
            <w:pPr>
              <w:pStyle w:val="ARfintablebodyright"/>
              <w:rPr>
                <w:bCs/>
                <w:lang w:eastAsia="en-AU"/>
              </w:rPr>
            </w:pPr>
            <w:r w:rsidRPr="00AB62BD">
              <w:rPr>
                <w:rStyle w:val="Strong"/>
              </w:rPr>
              <w:t>15,163.2</w:t>
            </w:r>
          </w:p>
        </w:tc>
        <w:tc>
          <w:tcPr>
            <w:tcW w:w="1304" w:type="dxa"/>
            <w:tcBorders>
              <w:bottom w:val="single" w:sz="4" w:space="0" w:color="auto"/>
            </w:tcBorders>
          </w:tcPr>
          <w:p w:rsidR="00C232A3" w:rsidRPr="00AB62BD" w:rsidRDefault="00C232A3" w:rsidP="00C232A3">
            <w:pPr>
              <w:pStyle w:val="ARfintablebodyright"/>
              <w:rPr>
                <w:bCs/>
                <w:lang w:eastAsia="en-AU"/>
              </w:rPr>
            </w:pPr>
            <w:r w:rsidRPr="00AB62BD">
              <w:rPr>
                <w:rStyle w:val="Strong"/>
              </w:rPr>
              <w:t>9,369.1</w:t>
            </w:r>
          </w:p>
        </w:tc>
        <w:tc>
          <w:tcPr>
            <w:tcW w:w="1304" w:type="dxa"/>
            <w:tcBorders>
              <w:bottom w:val="single" w:sz="4" w:space="0" w:color="auto"/>
            </w:tcBorders>
          </w:tcPr>
          <w:p w:rsidR="00C232A3" w:rsidRPr="00AB62BD" w:rsidRDefault="00C232A3" w:rsidP="00C232A3">
            <w:pPr>
              <w:pStyle w:val="ARfintablebodyright"/>
              <w:rPr>
                <w:bCs/>
                <w:lang w:eastAsia="en-AU"/>
              </w:rPr>
            </w:pPr>
            <w:r w:rsidRPr="00AB62BD">
              <w:rPr>
                <w:rStyle w:val="Strong"/>
              </w:rPr>
              <w:t>63.1</w:t>
            </w:r>
          </w:p>
        </w:tc>
        <w:tc>
          <w:tcPr>
            <w:tcW w:w="1304" w:type="dxa"/>
            <w:tcBorders>
              <w:bottom w:val="single" w:sz="4" w:space="0" w:color="auto"/>
            </w:tcBorders>
          </w:tcPr>
          <w:p w:rsidR="00C232A3" w:rsidRPr="00AB62BD" w:rsidRDefault="00C232A3" w:rsidP="00C232A3">
            <w:pPr>
              <w:pStyle w:val="ARfintablebodyright"/>
              <w:rPr>
                <w:bCs/>
                <w:lang w:eastAsia="en-AU"/>
              </w:rPr>
            </w:pPr>
            <w:r w:rsidRPr="00AB62BD">
              <w:rPr>
                <w:rStyle w:val="Strong"/>
              </w:rPr>
              <w:t>94.2</w:t>
            </w:r>
          </w:p>
        </w:tc>
        <w:tc>
          <w:tcPr>
            <w:tcW w:w="1304" w:type="dxa"/>
            <w:tcBorders>
              <w:bottom w:val="single" w:sz="4" w:space="0" w:color="auto"/>
            </w:tcBorders>
          </w:tcPr>
          <w:p w:rsidR="00C232A3" w:rsidRPr="00AB62BD" w:rsidRDefault="00C232A3" w:rsidP="00C232A3">
            <w:pPr>
              <w:pStyle w:val="ARfintablebodyright"/>
              <w:rPr>
                <w:bCs/>
                <w:lang w:eastAsia="en-AU"/>
              </w:rPr>
            </w:pPr>
            <w:r w:rsidRPr="00AB62BD">
              <w:rPr>
                <w:rStyle w:val="Strong"/>
              </w:rPr>
              <w:t>24,689.6</w:t>
            </w:r>
          </w:p>
        </w:tc>
      </w:tr>
      <w:tr w:rsidR="00C232A3" w:rsidRPr="00AB62BD" w:rsidTr="00C232A3">
        <w:trPr>
          <w:cantSplit/>
        </w:trPr>
        <w:tc>
          <w:tcPr>
            <w:tcW w:w="3119"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contributed from asset transfers</w:t>
            </w: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30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Machinery of Government transfer in/(out)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(86.1)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(120.6)</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(219.7)</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26.8</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269.9</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296.8</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Disposals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(66.2)</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(63.9)</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(140.2)</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Net revaluation increments/(decrements)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1,981.0</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16.0</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1,997.0</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Depreciation and amortisation</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(231.4)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(250.5)</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Fair value of assets received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6.5</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127.1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136.5</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Fair value of assets given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(146.0)</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(63.4)</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(0.2)</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(209.6)</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Transfers in/(out) of assets under construction</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153.7</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(157.8)</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Transfers to provision for equity reduction</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C232A3">
        <w:trPr>
          <w:cantSplit/>
        </w:trPr>
        <w:tc>
          <w:tcPr>
            <w:tcW w:w="311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Transfers (to)/from assets held for sale</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(8.0)</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(8.2)</w:t>
            </w:r>
          </w:p>
        </w:tc>
      </w:tr>
      <w:tr w:rsidR="00C232A3" w:rsidRPr="00AB62BD" w:rsidTr="00C232A3">
        <w:trPr>
          <w:cantSplit/>
        </w:trPr>
        <w:tc>
          <w:tcPr>
            <w:tcW w:w="3119" w:type="dxa"/>
            <w:tcBorders>
              <w:top w:val="single" w:sz="4" w:space="0" w:color="A6A6A6" w:themeColor="background1" w:themeShade="A6"/>
            </w:tcBorders>
          </w:tcPr>
          <w:p w:rsidR="00C232A3" w:rsidRPr="00AB62BD" w:rsidRDefault="00C232A3" w:rsidP="00C232A3">
            <w:pPr>
              <w:pStyle w:val="ARfintablebody"/>
              <w:rPr>
                <w:lang w:eastAsia="en-AU"/>
              </w:rPr>
            </w:pPr>
            <w:r>
              <w:rPr>
                <w:lang w:eastAsia="en-AU"/>
              </w:rPr>
              <w:t>Other changes</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(18.7)</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(131.4)</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(2.8)</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304"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(152.9)</w:t>
            </w:r>
          </w:p>
        </w:tc>
      </w:tr>
      <w:tr w:rsidR="00C232A3" w:rsidRPr="00AB62BD" w:rsidTr="00C232A3">
        <w:trPr>
          <w:cantSplit/>
        </w:trPr>
        <w:tc>
          <w:tcPr>
            <w:tcW w:w="3119" w:type="dxa"/>
          </w:tcPr>
          <w:p w:rsidR="00C232A3" w:rsidRPr="00AB62BD" w:rsidRDefault="00C232A3" w:rsidP="00C232A3">
            <w:pPr>
              <w:pStyle w:val="ARfintablebody"/>
              <w:rPr>
                <w:bCs/>
                <w:lang w:eastAsia="en-AU"/>
              </w:rPr>
            </w:pPr>
            <w:r w:rsidRPr="00AB62BD">
              <w:rPr>
                <w:rStyle w:val="Strong"/>
              </w:rPr>
              <w:t>Balance at 30 June 2017</w:t>
            </w:r>
          </w:p>
        </w:tc>
        <w:tc>
          <w:tcPr>
            <w:tcW w:w="1304" w:type="dxa"/>
          </w:tcPr>
          <w:p w:rsidR="00C232A3" w:rsidRPr="00AB62BD" w:rsidRDefault="00C232A3" w:rsidP="00C232A3">
            <w:pPr>
              <w:pStyle w:val="ARfintablebodyright"/>
              <w:rPr>
                <w:bCs/>
                <w:lang w:eastAsia="en-AU"/>
              </w:rPr>
            </w:pPr>
            <w:r w:rsidRPr="00AB62BD">
              <w:rPr>
                <w:rStyle w:val="Strong"/>
              </w:rPr>
              <w:t>16,839.6</w:t>
            </w:r>
          </w:p>
        </w:tc>
        <w:tc>
          <w:tcPr>
            <w:tcW w:w="1304" w:type="dxa"/>
          </w:tcPr>
          <w:p w:rsidR="00C232A3" w:rsidRPr="00AB62BD" w:rsidRDefault="00C232A3" w:rsidP="00C232A3">
            <w:pPr>
              <w:pStyle w:val="ARfintablebodyright"/>
              <w:rPr>
                <w:bCs/>
                <w:lang w:eastAsia="en-AU"/>
              </w:rPr>
            </w:pPr>
            <w:r w:rsidRPr="00AB62BD">
              <w:rPr>
                <w:rStyle w:val="Strong"/>
              </w:rPr>
              <w:t>9,045.2</w:t>
            </w:r>
          </w:p>
        </w:tc>
        <w:tc>
          <w:tcPr>
            <w:tcW w:w="1304" w:type="dxa"/>
          </w:tcPr>
          <w:p w:rsidR="00C232A3" w:rsidRPr="00AB62BD" w:rsidRDefault="00C232A3" w:rsidP="00C232A3">
            <w:pPr>
              <w:pStyle w:val="ARfintablebodyright"/>
              <w:rPr>
                <w:bCs/>
                <w:lang w:eastAsia="en-AU"/>
              </w:rPr>
            </w:pPr>
            <w:r w:rsidRPr="00AB62BD">
              <w:rPr>
                <w:rStyle w:val="Strong"/>
              </w:rPr>
              <w:t>58.0</w:t>
            </w:r>
          </w:p>
        </w:tc>
        <w:tc>
          <w:tcPr>
            <w:tcW w:w="1304" w:type="dxa"/>
          </w:tcPr>
          <w:p w:rsidR="00C232A3" w:rsidRPr="00AB62BD" w:rsidRDefault="00C232A3" w:rsidP="00C232A3">
            <w:pPr>
              <w:pStyle w:val="ARfintablebodyright"/>
              <w:rPr>
                <w:bCs/>
                <w:lang w:eastAsia="en-AU"/>
              </w:rPr>
            </w:pPr>
            <w:r w:rsidRPr="00AB62BD">
              <w:rPr>
                <w:rStyle w:val="Strong"/>
              </w:rPr>
              <w:t>195.9</w:t>
            </w:r>
          </w:p>
        </w:tc>
        <w:tc>
          <w:tcPr>
            <w:tcW w:w="1304" w:type="dxa"/>
          </w:tcPr>
          <w:p w:rsidR="00C232A3" w:rsidRPr="00AB62BD" w:rsidRDefault="00C232A3" w:rsidP="00C232A3">
            <w:pPr>
              <w:pStyle w:val="ARfintablebodyright"/>
              <w:rPr>
                <w:rStyle w:val="Strong"/>
                <w:bCs w:val="0"/>
              </w:rPr>
            </w:pPr>
            <w:r w:rsidRPr="00AB62BD">
              <w:rPr>
                <w:rStyle w:val="Strong"/>
              </w:rPr>
              <w:t>26,138.7</w:t>
            </w:r>
          </w:p>
        </w:tc>
      </w:tr>
    </w:tbl>
    <w:p w:rsidR="00C232A3" w:rsidRPr="00944045" w:rsidRDefault="00C232A3" w:rsidP="00C232A3">
      <w:pPr>
        <w:pStyle w:val="Heading4"/>
      </w:pPr>
      <w:r w:rsidRPr="00944045">
        <w:t>5.2 Intangible assets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8C7061" w:rsidRDefault="00C232A3" w:rsidP="00C232A3">
            <w:pPr>
              <w:pStyle w:val="ARfintablecolheadright"/>
            </w:pPr>
          </w:p>
        </w:tc>
        <w:tc>
          <w:tcPr>
            <w:tcW w:w="1134" w:type="dxa"/>
            <w:tcBorders>
              <w:bottom w:val="single" w:sz="4" w:space="0" w:color="auto"/>
            </w:tcBorders>
            <w:shd w:val="clear" w:color="auto" w:fill="E7E6E6"/>
            <w:vAlign w:val="bottom"/>
          </w:tcPr>
          <w:p w:rsidR="00C232A3" w:rsidRPr="008C7061" w:rsidRDefault="00C232A3" w:rsidP="00C232A3">
            <w:pPr>
              <w:pStyle w:val="ARfintablecolheadright"/>
            </w:pPr>
            <w:r w:rsidRPr="008C7061">
              <w:t>2017</w:t>
            </w:r>
          </w:p>
          <w:p w:rsidR="00C232A3" w:rsidRPr="008C7061" w:rsidRDefault="00C232A3" w:rsidP="00C232A3">
            <w:pPr>
              <w:pStyle w:val="ARfintablecolheadright"/>
            </w:pPr>
            <w:r w:rsidRPr="008C7061">
              <w:t>$M</w:t>
            </w:r>
          </w:p>
        </w:tc>
        <w:tc>
          <w:tcPr>
            <w:tcW w:w="1134" w:type="dxa"/>
            <w:tcBorders>
              <w:bottom w:val="single" w:sz="4" w:space="0" w:color="auto"/>
            </w:tcBorders>
            <w:vAlign w:val="bottom"/>
          </w:tcPr>
          <w:p w:rsidR="00C232A3" w:rsidRPr="008C7061" w:rsidRDefault="00C232A3" w:rsidP="00C232A3">
            <w:pPr>
              <w:pStyle w:val="ARfintablecolheadright"/>
            </w:pPr>
            <w:r w:rsidRPr="008C7061">
              <w:t>2016</w:t>
            </w:r>
          </w:p>
          <w:p w:rsidR="00C232A3" w:rsidRPr="008C7061" w:rsidRDefault="00C232A3" w:rsidP="00C232A3">
            <w:pPr>
              <w:pStyle w:val="ARfintablecolheadright"/>
            </w:pPr>
            <w:r w:rsidRPr="008C7061">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Gross carrying amount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Opening balance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sidRPr="00AB62BD">
              <w:rPr>
                <w:rStyle w:val="Strong"/>
              </w:rPr>
              <w:t>130.9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118.5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Additions from internal development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Disposals or classified as held for sale</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Closing balance</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146.9</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130.9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Accumulated amortisation and impairment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Opening balance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(37.6)</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Amortisation of intangible produced assets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(24.0)</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Closing balance</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(82.8)</w:t>
            </w:r>
          </w:p>
        </w:tc>
        <w:tc>
          <w:tcPr>
            <w:tcW w:w="1134" w:type="dxa"/>
          </w:tcPr>
          <w:p w:rsidR="00C232A3" w:rsidRPr="00AB62BD" w:rsidRDefault="00C232A3" w:rsidP="00C232A3">
            <w:pPr>
              <w:pStyle w:val="ARfintablebodyright"/>
              <w:rPr>
                <w:b/>
                <w:bCs/>
                <w:lang w:eastAsia="en-AU"/>
              </w:rPr>
            </w:pPr>
            <w:r w:rsidRPr="00AB62BD">
              <w:rPr>
                <w:rStyle w:val="Strong"/>
              </w:rPr>
              <w:t>(61.6)</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Net book value at end of financial year</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64.1</w:t>
            </w:r>
          </w:p>
        </w:tc>
        <w:tc>
          <w:tcPr>
            <w:tcW w:w="1134" w:type="dxa"/>
          </w:tcPr>
          <w:p w:rsidR="00C232A3" w:rsidRPr="00AB62BD" w:rsidRDefault="00C232A3" w:rsidP="00C232A3">
            <w:pPr>
              <w:pStyle w:val="ARfintablebodyright"/>
              <w:rPr>
                <w:rStyle w:val="Strong"/>
                <w:bCs w:val="0"/>
              </w:rPr>
            </w:pPr>
            <w:r w:rsidRPr="00AB62BD">
              <w:rPr>
                <w:rStyle w:val="Strong"/>
              </w:rPr>
              <w:t>69.3</w:t>
            </w:r>
          </w:p>
        </w:tc>
      </w:tr>
    </w:tbl>
    <w:p w:rsidR="00C232A3" w:rsidRDefault="00C232A3" w:rsidP="00C232A3">
      <w:pPr>
        <w:pStyle w:val="ARbody"/>
        <w:rPr>
          <w:sz w:val="19"/>
        </w:rPr>
      </w:pPr>
      <w:r>
        <w:br w:type="page"/>
      </w:r>
    </w:p>
    <w:p w:rsidR="00C232A3" w:rsidRPr="00D11896" w:rsidRDefault="00C232A3" w:rsidP="00C232A3">
      <w:pPr>
        <w:pStyle w:val="Heading5"/>
        <w:rPr>
          <w:rStyle w:val="Strong"/>
        </w:rPr>
      </w:pPr>
      <w:r w:rsidRPr="00D11896">
        <w:rPr>
          <w:rStyle w:val="Strong"/>
        </w:rPr>
        <w:lastRenderedPageBreak/>
        <w:t>Initial recognition</w:t>
      </w:r>
    </w:p>
    <w:p w:rsidR="00C232A3" w:rsidRPr="00AB62BD" w:rsidRDefault="00C232A3" w:rsidP="00C232A3">
      <w:pPr>
        <w:pStyle w:val="ARfinbody"/>
        <w:rPr>
          <w:lang w:eastAsia="en-AU"/>
        </w:rPr>
      </w:pPr>
      <w:r w:rsidRPr="00944045">
        <w:rPr>
          <w:rStyle w:val="Strong"/>
        </w:rPr>
        <w:t>Purchased intangible assets</w:t>
      </w:r>
      <w:r w:rsidRPr="00AB62BD">
        <w:rPr>
          <w:lang w:eastAsia="en-AU"/>
        </w:rPr>
        <w:t xml:space="preserve"> are initially recognised at cost. When the recognition criteria in </w:t>
      </w:r>
      <w:r w:rsidRPr="00AB62BD">
        <w:rPr>
          <w:rStyle w:val="Emphasis"/>
        </w:rPr>
        <w:t>AASB 138 Intangible Assets</w:t>
      </w:r>
      <w:r w:rsidRPr="00AB62BD">
        <w:rPr>
          <w:lang w:eastAsia="en-AU"/>
        </w:rPr>
        <w:t xml:space="preserve"> is met, internally generated intangible assets are recognised at cost.</w:t>
      </w:r>
    </w:p>
    <w:p w:rsidR="00C232A3" w:rsidRPr="00AB62BD" w:rsidRDefault="00C232A3" w:rsidP="00C232A3">
      <w:pPr>
        <w:pStyle w:val="ARfinbody"/>
        <w:rPr>
          <w:lang w:eastAsia="en-AU"/>
        </w:rPr>
      </w:pPr>
      <w:r w:rsidRPr="00AB62BD">
        <w:rPr>
          <w:lang w:eastAsia="en-AU"/>
        </w:rPr>
        <w:t>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rsidR="00C232A3" w:rsidRPr="00AB62BD" w:rsidRDefault="00C232A3" w:rsidP="00C232A3">
      <w:pPr>
        <w:pStyle w:val="ARfinbody"/>
        <w:rPr>
          <w:lang w:eastAsia="en-AU"/>
        </w:rPr>
      </w:pPr>
      <w:r w:rsidRPr="00AB62BD">
        <w:rPr>
          <w:lang w:eastAsia="en-AU"/>
        </w:rPr>
        <w:t>An</w:t>
      </w:r>
      <w:r w:rsidRPr="00AB62BD">
        <w:rPr>
          <w:rStyle w:val="Strong"/>
        </w:rPr>
        <w:t xml:space="preserve"> </w:t>
      </w:r>
      <w:r w:rsidRPr="00944045">
        <w:rPr>
          <w:rStyle w:val="Strong"/>
        </w:rPr>
        <w:t>internally generated intangible asset</w:t>
      </w:r>
      <w:r w:rsidRPr="00AB62BD">
        <w:rPr>
          <w:lang w:eastAsia="en-AU"/>
        </w:rPr>
        <w:t xml:space="preserve"> arising from development (or from the development phase of an internal project) is recognised if, and only if, all of the following are demonstrated:</w:t>
      </w:r>
    </w:p>
    <w:p w:rsidR="00C232A3" w:rsidRPr="00AB62BD" w:rsidRDefault="00C232A3" w:rsidP="00C232A3">
      <w:pPr>
        <w:pStyle w:val="ARfinnumberalpha1"/>
      </w:pPr>
      <w:r w:rsidRPr="00AB62BD">
        <w:t>the technical feasibility of completing the intangible asset so that it will be available for use or sale;</w:t>
      </w:r>
    </w:p>
    <w:p w:rsidR="00C232A3" w:rsidRPr="00AB62BD" w:rsidRDefault="00C232A3" w:rsidP="00C232A3">
      <w:pPr>
        <w:pStyle w:val="ARfinnumberalpha1"/>
      </w:pPr>
      <w:r w:rsidRPr="00AB62BD">
        <w:t>an intention to complete the intangible asset and use or sell it;</w:t>
      </w:r>
    </w:p>
    <w:p w:rsidR="00C232A3" w:rsidRPr="00AB62BD" w:rsidRDefault="00C232A3" w:rsidP="00C232A3">
      <w:pPr>
        <w:pStyle w:val="ARfinnumberalpha1"/>
      </w:pPr>
      <w:r w:rsidRPr="00AB62BD">
        <w:t>the ability to use or sell the intangible asset;</w:t>
      </w:r>
    </w:p>
    <w:p w:rsidR="00C232A3" w:rsidRPr="00AB62BD" w:rsidRDefault="00C232A3" w:rsidP="00C232A3">
      <w:pPr>
        <w:pStyle w:val="ARfinnumberalpha1"/>
      </w:pPr>
      <w:r w:rsidRPr="00AB62BD">
        <w:t>the intangible asset will generate probable future economic benefits;</w:t>
      </w:r>
    </w:p>
    <w:p w:rsidR="00C232A3" w:rsidRPr="00AB62BD" w:rsidRDefault="00C232A3" w:rsidP="00C232A3">
      <w:pPr>
        <w:pStyle w:val="ARfinnumberalpha1"/>
      </w:pPr>
      <w:r w:rsidRPr="00AB62BD">
        <w:t>the availability of adequate technical, financial and other resources to complete the development and to use or sell the intangible asset; and</w:t>
      </w:r>
    </w:p>
    <w:p w:rsidR="00C232A3" w:rsidRPr="00AB62BD" w:rsidRDefault="00C232A3" w:rsidP="00C232A3">
      <w:pPr>
        <w:pStyle w:val="ARfinnumberalpha1"/>
      </w:pPr>
      <w:r w:rsidRPr="00AB62BD">
        <w:t>the ability to measure reliably the expenditure attributable to the intangible asset during its development.</w:t>
      </w:r>
    </w:p>
    <w:p w:rsidR="00C232A3" w:rsidRPr="00D11896" w:rsidRDefault="00C232A3" w:rsidP="00C232A3">
      <w:pPr>
        <w:pStyle w:val="Heading5"/>
        <w:rPr>
          <w:rStyle w:val="Strong"/>
        </w:rPr>
      </w:pPr>
      <w:r w:rsidRPr="00D11896">
        <w:rPr>
          <w:rStyle w:val="Strong"/>
        </w:rPr>
        <w:t>Subsequent measurement</w:t>
      </w:r>
    </w:p>
    <w:p w:rsidR="00C232A3" w:rsidRPr="00AB62BD" w:rsidRDefault="00C232A3" w:rsidP="00C232A3">
      <w:pPr>
        <w:pStyle w:val="ARfinbody"/>
        <w:rPr>
          <w:lang w:eastAsia="en-AU"/>
        </w:rPr>
      </w:pPr>
      <w:r w:rsidRPr="00AB62BD">
        <w:rPr>
          <w:lang w:eastAsia="en-AU"/>
        </w:rPr>
        <w:t>Intangible produced assets with finite useful lives, are amortised as an ‘expense from transactions’ on a straight line basis over their useful lives.</w:t>
      </w:r>
    </w:p>
    <w:p w:rsidR="00C232A3" w:rsidRPr="00D11896" w:rsidRDefault="00C232A3" w:rsidP="00C232A3">
      <w:pPr>
        <w:pStyle w:val="Heading5"/>
        <w:rPr>
          <w:rStyle w:val="Strong"/>
        </w:rPr>
      </w:pPr>
      <w:r w:rsidRPr="00D11896">
        <w:rPr>
          <w:rStyle w:val="Strong"/>
        </w:rPr>
        <w:t>Impairment of intangible assets</w:t>
      </w:r>
    </w:p>
    <w:p w:rsidR="00C232A3" w:rsidRPr="00AB62BD" w:rsidRDefault="00C232A3" w:rsidP="00C232A3">
      <w:pPr>
        <w:pStyle w:val="ARfinbody"/>
        <w:rPr>
          <w:lang w:eastAsia="en-AU"/>
        </w:rPr>
      </w:pPr>
      <w:r w:rsidRPr="00AB62BD">
        <w:rPr>
          <w:lang w:eastAsia="en-AU"/>
        </w:rPr>
        <w:t>Intangible assets with finite useful lives are tested for impairment whenever an indication of impairment is identified.</w:t>
      </w:r>
    </w:p>
    <w:p w:rsidR="00C232A3" w:rsidRPr="00AB62BD" w:rsidRDefault="00C232A3" w:rsidP="00C232A3">
      <w:pPr>
        <w:pStyle w:val="ARfinbody"/>
        <w:rPr>
          <w:lang w:eastAsia="en-AU"/>
        </w:rPr>
      </w:pPr>
      <w:r w:rsidRPr="00AB62BD">
        <w:rPr>
          <w:lang w:eastAsia="en-AU"/>
        </w:rPr>
        <w:t>The policy in connection with testing for impairment is outlined in Note 5.1.1.</w:t>
      </w:r>
    </w:p>
    <w:p w:rsidR="00C232A3" w:rsidRPr="00554900" w:rsidRDefault="00C232A3" w:rsidP="00C232A3">
      <w:pPr>
        <w:pStyle w:val="Heading4"/>
      </w:pPr>
      <w:r w:rsidRPr="00554900">
        <w:t>5.3 Investments accounted for using the equity method</w:t>
      </w:r>
    </w:p>
    <w:p w:rsidR="00C232A3" w:rsidRPr="00AB62BD" w:rsidRDefault="00C232A3" w:rsidP="00C232A3">
      <w:pPr>
        <w:pStyle w:val="ARfinbody"/>
        <w:rPr>
          <w:lang w:eastAsia="en-AU"/>
        </w:rPr>
      </w:pPr>
      <w:r w:rsidRPr="00AB62BD">
        <w:rPr>
          <w:lang w:eastAsia="en-AU"/>
        </w:rPr>
        <w:t>The department has an interest in a joint venture with Monash University in the Australian Regenerative Medical Institute (ARMI). This investment is accounted at cost.</w:t>
      </w:r>
    </w:p>
    <w:p w:rsidR="00C232A3" w:rsidRPr="00D11896" w:rsidRDefault="00C232A3" w:rsidP="00C232A3">
      <w:pPr>
        <w:pStyle w:val="Heading5"/>
        <w:rPr>
          <w:rStyle w:val="Strong"/>
        </w:rPr>
      </w:pPr>
      <w:r w:rsidRPr="00D11896">
        <w:rPr>
          <w:rStyle w:val="Strong"/>
        </w:rPr>
        <w:t>5.3.1 Details of joint venture</w:t>
      </w:r>
    </w:p>
    <w:p w:rsidR="00C232A3" w:rsidRPr="00AB62BD" w:rsidRDefault="00C232A3" w:rsidP="00C232A3">
      <w:pPr>
        <w:pStyle w:val="ARfinbody"/>
        <w:rPr>
          <w:lang w:eastAsia="en-AU"/>
        </w:rPr>
      </w:pPr>
      <w:r w:rsidRPr="00AB62BD">
        <w:rPr>
          <w:lang w:eastAsia="en-AU"/>
        </w:rPr>
        <w:t>ARMI was established to construct and operate a facility which will promote Victoria as a global leader in regenerative medical research, foster and develop existing research collaboration on domestic and overseas projects, and provide a major site for undergraduate and post graduate training programs.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1475"/>
        <w:gridCol w:w="2722"/>
        <w:gridCol w:w="2722"/>
        <w:gridCol w:w="680"/>
        <w:gridCol w:w="680"/>
        <w:gridCol w:w="680"/>
        <w:gridCol w:w="680"/>
      </w:tblGrid>
      <w:tr w:rsidR="00C232A3" w:rsidRPr="00AB62BD" w:rsidTr="00C232A3">
        <w:trPr>
          <w:cantSplit/>
          <w:tblHeader/>
        </w:trPr>
        <w:tc>
          <w:tcPr>
            <w:tcW w:w="1474" w:type="dxa"/>
            <w:vMerge w:val="restart"/>
            <w:vAlign w:val="bottom"/>
          </w:tcPr>
          <w:p w:rsidR="00C232A3" w:rsidRPr="0003228F" w:rsidRDefault="00C232A3" w:rsidP="00C232A3">
            <w:pPr>
              <w:pStyle w:val="ARfintablecolhead"/>
            </w:pPr>
            <w:r w:rsidRPr="0003228F">
              <w:t>Name of entity</w:t>
            </w:r>
          </w:p>
        </w:tc>
        <w:tc>
          <w:tcPr>
            <w:tcW w:w="2722" w:type="dxa"/>
            <w:vMerge w:val="restart"/>
            <w:vAlign w:val="bottom"/>
          </w:tcPr>
          <w:p w:rsidR="00C232A3" w:rsidRPr="0003228F" w:rsidRDefault="00C232A3" w:rsidP="00C232A3">
            <w:pPr>
              <w:pStyle w:val="ARfintablecolhead"/>
            </w:pPr>
            <w:r w:rsidRPr="0003228F">
              <w:t>Country of incorporation</w:t>
            </w:r>
          </w:p>
        </w:tc>
        <w:tc>
          <w:tcPr>
            <w:tcW w:w="2722" w:type="dxa"/>
            <w:vMerge w:val="restart"/>
            <w:vAlign w:val="bottom"/>
          </w:tcPr>
          <w:p w:rsidR="00C232A3" w:rsidRPr="0003228F" w:rsidRDefault="00C232A3" w:rsidP="00C232A3">
            <w:pPr>
              <w:pStyle w:val="ARfintablecolhead"/>
            </w:pPr>
            <w:r w:rsidRPr="0003228F">
              <w:t>Measurement method</w:t>
            </w:r>
          </w:p>
        </w:tc>
        <w:tc>
          <w:tcPr>
            <w:tcW w:w="680" w:type="dxa"/>
            <w:gridSpan w:val="2"/>
            <w:vAlign w:val="bottom"/>
          </w:tcPr>
          <w:p w:rsidR="00C232A3" w:rsidRPr="0003228F" w:rsidRDefault="00C232A3" w:rsidP="00C232A3">
            <w:pPr>
              <w:pStyle w:val="ARfintablecolheadcentre"/>
            </w:pPr>
            <w:r>
              <w:t>Ownership i</w:t>
            </w:r>
            <w:r w:rsidRPr="0003228F">
              <w:t>nterest (%)</w:t>
            </w:r>
          </w:p>
        </w:tc>
        <w:tc>
          <w:tcPr>
            <w:tcW w:w="680" w:type="dxa"/>
            <w:gridSpan w:val="2"/>
            <w:vAlign w:val="bottom"/>
          </w:tcPr>
          <w:p w:rsidR="00C232A3" w:rsidRPr="0003228F" w:rsidRDefault="00C232A3" w:rsidP="00C232A3">
            <w:pPr>
              <w:pStyle w:val="ARfintablecolheadcentre"/>
            </w:pPr>
            <w:r w:rsidRPr="0003228F">
              <w:t>Published fair value ($M)</w:t>
            </w:r>
          </w:p>
        </w:tc>
      </w:tr>
      <w:tr w:rsidR="00C232A3" w:rsidRPr="00AB62BD" w:rsidTr="00C232A3">
        <w:trPr>
          <w:cantSplit/>
          <w:tblHeader/>
        </w:trPr>
        <w:tc>
          <w:tcPr>
            <w:tcW w:w="1474"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2722"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2722"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680" w:type="dxa"/>
            <w:tcBorders>
              <w:bottom w:val="single" w:sz="4" w:space="0" w:color="auto"/>
            </w:tcBorders>
            <w:shd w:val="clear" w:color="auto" w:fill="E7E6E6"/>
            <w:vAlign w:val="bottom"/>
          </w:tcPr>
          <w:p w:rsidR="00C232A3" w:rsidRPr="0003228F" w:rsidRDefault="00C232A3" w:rsidP="00C232A3">
            <w:pPr>
              <w:pStyle w:val="ARfintablecolheadright"/>
            </w:pPr>
            <w:r w:rsidRPr="0003228F">
              <w:t>2017</w:t>
            </w:r>
          </w:p>
        </w:tc>
        <w:tc>
          <w:tcPr>
            <w:tcW w:w="680" w:type="dxa"/>
            <w:tcBorders>
              <w:bottom w:val="single" w:sz="4" w:space="0" w:color="auto"/>
            </w:tcBorders>
            <w:vAlign w:val="bottom"/>
          </w:tcPr>
          <w:p w:rsidR="00C232A3" w:rsidRPr="0003228F" w:rsidRDefault="00C232A3" w:rsidP="00C232A3">
            <w:pPr>
              <w:pStyle w:val="ARfintablecolheadright"/>
            </w:pPr>
            <w:r w:rsidRPr="0003228F">
              <w:t>2016</w:t>
            </w:r>
          </w:p>
        </w:tc>
        <w:tc>
          <w:tcPr>
            <w:tcW w:w="680" w:type="dxa"/>
            <w:tcBorders>
              <w:bottom w:val="single" w:sz="4" w:space="0" w:color="auto"/>
            </w:tcBorders>
            <w:shd w:val="clear" w:color="auto" w:fill="E7E6E6"/>
            <w:vAlign w:val="bottom"/>
          </w:tcPr>
          <w:p w:rsidR="00C232A3" w:rsidRPr="0003228F" w:rsidRDefault="00C232A3" w:rsidP="00C232A3">
            <w:pPr>
              <w:pStyle w:val="ARfintablecolheadright"/>
            </w:pPr>
            <w:r w:rsidRPr="0003228F">
              <w:t>2017</w:t>
            </w:r>
          </w:p>
        </w:tc>
        <w:tc>
          <w:tcPr>
            <w:tcW w:w="680" w:type="dxa"/>
            <w:tcBorders>
              <w:bottom w:val="single" w:sz="4" w:space="0" w:color="auto"/>
            </w:tcBorders>
            <w:vAlign w:val="bottom"/>
          </w:tcPr>
          <w:p w:rsidR="00C232A3" w:rsidRPr="0003228F" w:rsidRDefault="00C232A3" w:rsidP="00C232A3">
            <w:pPr>
              <w:pStyle w:val="ARfintablecolheadright"/>
            </w:pPr>
            <w:r w:rsidRPr="0003228F">
              <w:t>2016</w:t>
            </w:r>
          </w:p>
        </w:tc>
      </w:tr>
      <w:tr w:rsidR="00C232A3" w:rsidRPr="00AB62BD" w:rsidTr="00C232A3">
        <w:trPr>
          <w:cantSplit/>
        </w:trPr>
        <w:tc>
          <w:tcPr>
            <w:tcW w:w="1474"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Joint venture</w:t>
            </w:r>
          </w:p>
        </w:tc>
        <w:tc>
          <w:tcPr>
            <w:tcW w:w="2722"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2722"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p>
        </w:tc>
        <w:tc>
          <w:tcPr>
            <w:tcW w:w="680"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rStyle w:val="Strong"/>
                <w:bCs w:val="0"/>
              </w:rPr>
            </w:pPr>
          </w:p>
        </w:tc>
        <w:tc>
          <w:tcPr>
            <w:tcW w:w="680"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680"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1474"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ARMI</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2722"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Australia</w:t>
            </w:r>
          </w:p>
        </w:tc>
        <w:tc>
          <w:tcPr>
            <w:tcW w:w="2722"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Equity method</w:t>
            </w:r>
          </w:p>
        </w:tc>
        <w:tc>
          <w:tcPr>
            <w:tcW w:w="680" w:type="dxa"/>
            <w:tcBorders>
              <w:top w:val="single" w:sz="4" w:space="0" w:color="A6A6A6" w:themeColor="background1" w:themeShade="A6"/>
            </w:tcBorders>
            <w:shd w:val="clear" w:color="auto" w:fill="E7E6E6"/>
          </w:tcPr>
          <w:p w:rsidR="00C232A3" w:rsidRPr="00C51702" w:rsidRDefault="00C232A3" w:rsidP="00C51702">
            <w:pPr>
              <w:pStyle w:val="ARfintablebodyright"/>
            </w:pPr>
            <w:r w:rsidRPr="00C51702">
              <w:t>20</w:t>
            </w:r>
          </w:p>
        </w:tc>
        <w:tc>
          <w:tcPr>
            <w:tcW w:w="680" w:type="dxa"/>
            <w:tcBorders>
              <w:top w:val="single" w:sz="4" w:space="0" w:color="A6A6A6" w:themeColor="background1" w:themeShade="A6"/>
            </w:tcBorders>
          </w:tcPr>
          <w:p w:rsidR="00C232A3" w:rsidRPr="00C51702" w:rsidRDefault="00C232A3" w:rsidP="00C51702">
            <w:pPr>
              <w:pStyle w:val="ARfintablebodyright"/>
            </w:pPr>
            <w:r w:rsidRPr="00C51702">
              <w:t>20</w:t>
            </w:r>
          </w:p>
        </w:tc>
        <w:tc>
          <w:tcPr>
            <w:tcW w:w="680" w:type="dxa"/>
            <w:tcBorders>
              <w:top w:val="single" w:sz="4" w:space="0" w:color="A6A6A6" w:themeColor="background1" w:themeShade="A6"/>
            </w:tcBorders>
            <w:shd w:val="clear" w:color="auto" w:fill="E7E6E6"/>
          </w:tcPr>
          <w:p w:rsidR="00C232A3" w:rsidRPr="00C51702" w:rsidRDefault="00C232A3" w:rsidP="00C51702">
            <w:pPr>
              <w:pStyle w:val="ARfintablebodyright"/>
            </w:pPr>
            <w:r w:rsidRPr="00C51702">
              <w:t>35.0</w:t>
            </w:r>
          </w:p>
        </w:tc>
        <w:tc>
          <w:tcPr>
            <w:tcW w:w="680" w:type="dxa"/>
            <w:tcBorders>
              <w:top w:val="single" w:sz="4" w:space="0" w:color="A6A6A6" w:themeColor="background1" w:themeShade="A6"/>
            </w:tcBorders>
          </w:tcPr>
          <w:p w:rsidR="00C232A3" w:rsidRPr="00C51702" w:rsidRDefault="00C232A3" w:rsidP="00C51702">
            <w:pPr>
              <w:pStyle w:val="ARfintablebodyright"/>
            </w:pPr>
            <w:r w:rsidRPr="00C51702">
              <w:t>35.0</w:t>
            </w:r>
          </w:p>
        </w:tc>
      </w:tr>
    </w:tbl>
    <w:p w:rsidR="00C232A3" w:rsidRDefault="00C232A3" w:rsidP="00C232A3">
      <w:pPr>
        <w:pStyle w:val="ARfintablefootnote"/>
      </w:pPr>
      <w:r>
        <w:t>Note:</w:t>
      </w:r>
    </w:p>
    <w:p w:rsidR="00C232A3" w:rsidRPr="00AB62BD" w:rsidRDefault="00C232A3" w:rsidP="00C232A3">
      <w:pPr>
        <w:pStyle w:val="ARfintablefootnoteroman"/>
      </w:pPr>
      <w:r w:rsidRPr="00AB62BD">
        <w:t>(</w:t>
      </w:r>
      <w:proofErr w:type="spellStart"/>
      <w:r w:rsidRPr="00AB62BD">
        <w:t>i</w:t>
      </w:r>
      <w:proofErr w:type="spellEnd"/>
      <w:r w:rsidRPr="00AB62BD">
        <w:t>)</w:t>
      </w:r>
      <w:r w:rsidRPr="00AB62BD">
        <w:tab/>
        <w:t>The interest of the department in the joint venture is 20% in accordance with the agreement. The fair value of the ownership interest held by the department is equal to the value of cash invested in the joint venture.</w:t>
      </w:r>
    </w:p>
    <w:p w:rsidR="00C232A3" w:rsidRPr="00657EC0" w:rsidRDefault="00C232A3" w:rsidP="00C232A3">
      <w:pPr>
        <w:pStyle w:val="ARbody"/>
      </w:pPr>
      <w:r w:rsidRPr="00657EC0">
        <w:br w:type="page"/>
      </w:r>
    </w:p>
    <w:p w:rsidR="00C232A3" w:rsidRPr="00554900" w:rsidRDefault="00C232A3" w:rsidP="00C232A3">
      <w:pPr>
        <w:pStyle w:val="Heading3"/>
      </w:pPr>
      <w:bookmarkStart w:id="98" w:name="_Toc493069495"/>
      <w:r w:rsidRPr="00554900">
        <w:lastRenderedPageBreak/>
        <w:t>6. Other assets and liabilities</w:t>
      </w:r>
      <w:bookmarkEnd w:id="98"/>
    </w:p>
    <w:p w:rsidR="00C232A3" w:rsidRPr="00554900" w:rsidRDefault="00C232A3" w:rsidP="00C232A3">
      <w:pPr>
        <w:pStyle w:val="Heading4"/>
      </w:pPr>
      <w:r w:rsidRPr="00554900">
        <w:t>Introduction</w:t>
      </w:r>
    </w:p>
    <w:p w:rsidR="00C232A3" w:rsidRPr="00AB62BD" w:rsidRDefault="00C232A3" w:rsidP="00C232A3">
      <w:pPr>
        <w:pStyle w:val="ARfinbody"/>
        <w:rPr>
          <w:lang w:eastAsia="en-AU"/>
        </w:rPr>
      </w:pPr>
      <w:r w:rsidRPr="00AB62BD">
        <w:rPr>
          <w:lang w:eastAsia="en-AU"/>
        </w:rPr>
        <w:t>This section sets out those assets and liabilities that arose from the department’s controlled operations.</w:t>
      </w:r>
    </w:p>
    <w:p w:rsidR="00C232A3" w:rsidRPr="00554900" w:rsidRDefault="00C232A3" w:rsidP="00C232A3">
      <w:pPr>
        <w:pStyle w:val="Heading4"/>
      </w:pPr>
      <w:r w:rsidRPr="00554900">
        <w:t>Structure</w:t>
      </w:r>
    </w:p>
    <w:p w:rsidR="00C232A3" w:rsidRPr="00AB62BD" w:rsidRDefault="00C232A3" w:rsidP="00C232A3">
      <w:pPr>
        <w:pStyle w:val="ARfinstructure1"/>
      </w:pPr>
      <w:r>
        <w:t>6.1</w:t>
      </w:r>
      <w:r>
        <w:tab/>
      </w:r>
      <w:r w:rsidRPr="00AB62BD">
        <w:t>Receivables</w:t>
      </w:r>
    </w:p>
    <w:p w:rsidR="00C232A3" w:rsidRPr="00AB62BD" w:rsidRDefault="00C232A3" w:rsidP="00C232A3">
      <w:pPr>
        <w:pStyle w:val="ARfinstructure2"/>
      </w:pPr>
      <w:r w:rsidRPr="00AB62BD">
        <w:t>6.1.1</w:t>
      </w:r>
      <w:r>
        <w:tab/>
      </w:r>
      <w:r w:rsidRPr="00AB62BD">
        <w:t>Movement in the provision for doubtful debt</w:t>
      </w:r>
    </w:p>
    <w:p w:rsidR="00C232A3" w:rsidRPr="00AB62BD" w:rsidRDefault="00C232A3" w:rsidP="00C232A3">
      <w:pPr>
        <w:pStyle w:val="ARfinstructure2"/>
      </w:pPr>
      <w:r>
        <w:t>6.1.2</w:t>
      </w:r>
      <w:r>
        <w:tab/>
      </w:r>
      <w:r w:rsidRPr="00AB62BD">
        <w:t>Ageing analysis of contractual receivables</w:t>
      </w:r>
    </w:p>
    <w:p w:rsidR="00C232A3" w:rsidRPr="00AB62BD" w:rsidRDefault="00C232A3" w:rsidP="00C232A3">
      <w:pPr>
        <w:pStyle w:val="ARfinstructure1"/>
      </w:pPr>
      <w:r>
        <w:t>6.2</w:t>
      </w:r>
      <w:r>
        <w:tab/>
      </w:r>
      <w:r w:rsidRPr="00AB62BD">
        <w:t>Loans</w:t>
      </w:r>
    </w:p>
    <w:p w:rsidR="00C232A3" w:rsidRPr="00AB62BD" w:rsidRDefault="00C232A3" w:rsidP="00C232A3">
      <w:pPr>
        <w:pStyle w:val="ARfinstructure2"/>
      </w:pPr>
      <w:r w:rsidRPr="00AB62BD">
        <w:t>6.2.1</w:t>
      </w:r>
      <w:r>
        <w:tab/>
      </w:r>
      <w:r w:rsidRPr="00AB62BD">
        <w:t>Movement in the provision for doubtful contractual loans</w:t>
      </w:r>
    </w:p>
    <w:p w:rsidR="00C232A3" w:rsidRPr="00AB62BD" w:rsidRDefault="00C232A3" w:rsidP="00C232A3">
      <w:pPr>
        <w:pStyle w:val="ARfinstructure2"/>
      </w:pPr>
      <w:r>
        <w:t>6.2.2</w:t>
      </w:r>
      <w:r>
        <w:tab/>
      </w:r>
      <w:r w:rsidRPr="00AB62BD">
        <w:t>Ageing analysis of contractual loans</w:t>
      </w:r>
    </w:p>
    <w:p w:rsidR="00C232A3" w:rsidRPr="00AB62BD" w:rsidRDefault="00C232A3" w:rsidP="00C232A3">
      <w:pPr>
        <w:pStyle w:val="ARfinstructure1"/>
      </w:pPr>
      <w:r>
        <w:t>6.3</w:t>
      </w:r>
      <w:r>
        <w:tab/>
      </w:r>
      <w:r w:rsidRPr="00AB62BD">
        <w:t>Prepayments</w:t>
      </w:r>
    </w:p>
    <w:p w:rsidR="00C232A3" w:rsidRPr="00AB62BD" w:rsidRDefault="00C232A3" w:rsidP="00C232A3">
      <w:pPr>
        <w:pStyle w:val="ARfinstructure1"/>
      </w:pPr>
      <w:r>
        <w:t>6.4</w:t>
      </w:r>
      <w:r>
        <w:tab/>
      </w:r>
      <w:r w:rsidRPr="00AB62BD">
        <w:t>Payables</w:t>
      </w:r>
    </w:p>
    <w:p w:rsidR="00C232A3" w:rsidRPr="00AB62BD" w:rsidRDefault="00C232A3" w:rsidP="00C232A3">
      <w:pPr>
        <w:pStyle w:val="ARfinstructure2"/>
      </w:pPr>
      <w:r w:rsidRPr="00AB62BD">
        <w:t>6.4.1</w:t>
      </w:r>
      <w:r>
        <w:tab/>
      </w:r>
      <w:r w:rsidRPr="00AB62BD">
        <w:t>Maturity analysis of contractual payables</w:t>
      </w:r>
    </w:p>
    <w:p w:rsidR="00C232A3" w:rsidRPr="00AB62BD" w:rsidRDefault="00C232A3" w:rsidP="00C232A3">
      <w:pPr>
        <w:pStyle w:val="ARfinstructure1"/>
      </w:pPr>
      <w:r>
        <w:t>6.5</w:t>
      </w:r>
      <w:r>
        <w:tab/>
      </w:r>
      <w:r w:rsidRPr="00AB62BD">
        <w:t>Other provisions</w:t>
      </w:r>
    </w:p>
    <w:p w:rsidR="00C232A3" w:rsidRPr="00AB62BD" w:rsidRDefault="00C232A3" w:rsidP="00C232A3">
      <w:pPr>
        <w:pStyle w:val="ARfinstructure2"/>
      </w:pPr>
      <w:r>
        <w:t>6.5.1</w:t>
      </w:r>
      <w:r>
        <w:tab/>
      </w:r>
      <w:r w:rsidRPr="00AB62BD">
        <w:t>Reconciliation of movements in other provisions</w:t>
      </w:r>
    </w:p>
    <w:p w:rsidR="00C232A3" w:rsidRPr="00554900" w:rsidRDefault="00C232A3" w:rsidP="00C232A3">
      <w:pPr>
        <w:pStyle w:val="Heading4"/>
      </w:pPr>
      <w:r w:rsidRPr="00554900">
        <w:t>6.1 Receivables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740F95" w:rsidRDefault="00C232A3" w:rsidP="00C232A3">
            <w:pPr>
              <w:pStyle w:val="ARfintablecolhead"/>
            </w:pPr>
          </w:p>
        </w:tc>
        <w:tc>
          <w:tcPr>
            <w:tcW w:w="1134" w:type="dxa"/>
            <w:tcBorders>
              <w:bottom w:val="single" w:sz="4" w:space="0" w:color="auto"/>
            </w:tcBorders>
            <w:shd w:val="clear" w:color="auto" w:fill="E7E6E6"/>
            <w:vAlign w:val="bottom"/>
          </w:tcPr>
          <w:p w:rsidR="00C232A3" w:rsidRPr="00740F95" w:rsidRDefault="00C232A3" w:rsidP="00C232A3">
            <w:pPr>
              <w:pStyle w:val="ARfintablecolheadright"/>
            </w:pPr>
            <w:r w:rsidRPr="00740F95">
              <w:t>2017</w:t>
            </w:r>
          </w:p>
          <w:p w:rsidR="00C232A3" w:rsidRPr="00740F95" w:rsidRDefault="00C232A3" w:rsidP="00C232A3">
            <w:pPr>
              <w:pStyle w:val="ARfintablecolheadright"/>
            </w:pPr>
            <w:r w:rsidRPr="00740F95">
              <w:t>$M</w:t>
            </w:r>
          </w:p>
        </w:tc>
        <w:tc>
          <w:tcPr>
            <w:tcW w:w="1134" w:type="dxa"/>
            <w:tcBorders>
              <w:bottom w:val="single" w:sz="4" w:space="0" w:color="auto"/>
            </w:tcBorders>
            <w:vAlign w:val="bottom"/>
          </w:tcPr>
          <w:p w:rsidR="00C232A3" w:rsidRPr="00740F95" w:rsidRDefault="00C232A3" w:rsidP="00C232A3">
            <w:pPr>
              <w:pStyle w:val="ARfintablecolheadright"/>
            </w:pPr>
            <w:r w:rsidRPr="00740F95">
              <w:t>2016</w:t>
            </w:r>
          </w:p>
          <w:p w:rsidR="00C232A3" w:rsidRPr="00740F95" w:rsidRDefault="00C232A3" w:rsidP="00C232A3">
            <w:pPr>
              <w:pStyle w:val="ARfintablecolheadright"/>
            </w:pPr>
            <w:r w:rsidRPr="00740F95">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Current receivables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i/>
                <w:iCs/>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Tenants in arrears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99.1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62.8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Less provision for doubtful contractual 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Cs/>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Cs/>
                <w:lang w:eastAsia="en-AU"/>
              </w:rPr>
            </w:pPr>
            <w:r w:rsidRPr="00AB62BD">
              <w:rPr>
                <w:rStyle w:val="Strong"/>
              </w:rPr>
              <w:t>107.5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69.7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Statutory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Amounts owing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965.4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949.9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GST input tax credit recoverable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49.1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36.8</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bCs/>
                <w:lang w:eastAsia="en-AU"/>
              </w:rPr>
            </w:pPr>
            <w:r w:rsidRPr="00AB62BD">
              <w:rPr>
                <w:rStyle w:val="Strong"/>
              </w:rPr>
              <w:t>1,014.5</w:t>
            </w:r>
          </w:p>
        </w:tc>
        <w:tc>
          <w:tcPr>
            <w:tcW w:w="1134" w:type="dxa"/>
            <w:tcBorders>
              <w:top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986.8</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current receivables</w:t>
            </w:r>
          </w:p>
        </w:tc>
        <w:tc>
          <w:tcPr>
            <w:tcW w:w="1134" w:type="dxa"/>
            <w:tcBorders>
              <w:bottom w:val="single" w:sz="4" w:space="0" w:color="auto"/>
            </w:tcBorders>
            <w:shd w:val="clear" w:color="auto" w:fill="E7E6E6"/>
          </w:tcPr>
          <w:p w:rsidR="00C232A3" w:rsidRPr="00AB62BD" w:rsidRDefault="00C232A3" w:rsidP="00C232A3">
            <w:pPr>
              <w:pStyle w:val="ARfintablebodyright"/>
              <w:rPr>
                <w:bCs/>
                <w:lang w:eastAsia="en-AU"/>
              </w:rPr>
            </w:pPr>
            <w:r w:rsidRPr="00AB62BD">
              <w:rPr>
                <w:rStyle w:val="Strong"/>
              </w:rPr>
              <w:t>1,122.0</w:t>
            </w:r>
          </w:p>
        </w:tc>
        <w:tc>
          <w:tcPr>
            <w:tcW w:w="1134" w:type="dxa"/>
            <w:tcBorders>
              <w:bottom w:val="single" w:sz="4" w:space="0" w:color="auto"/>
            </w:tcBorders>
          </w:tcPr>
          <w:p w:rsidR="00C232A3" w:rsidRPr="00AB62BD" w:rsidRDefault="00C232A3" w:rsidP="00C232A3">
            <w:pPr>
              <w:pStyle w:val="ARfintablebodyright"/>
              <w:rPr>
                <w:bCs/>
                <w:lang w:eastAsia="en-AU"/>
              </w:rPr>
            </w:pPr>
            <w:r w:rsidRPr="00AB62BD">
              <w:rPr>
                <w:rStyle w:val="Strong"/>
              </w:rPr>
              <w:t>1,056.4</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Non-current receivables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Cs/>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i/>
                <w:iCs/>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i/>
                <w:iCs/>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Tenants in arrears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Less provision for doubtful contractual 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i/>
                <w:iCs/>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bCs/>
                <w:lang w:eastAsia="en-AU"/>
              </w:rPr>
            </w:pPr>
            <w:r w:rsidRPr="00AB62BD">
              <w:rPr>
                <w:rStyle w:val="Strong"/>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0.3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Statutory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Amounts owing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1,571.0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1,614.3</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bCs/>
                <w:lang w:eastAsia="en-AU"/>
              </w:rPr>
            </w:pP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bCs/>
                <w:lang w:eastAsia="en-AU"/>
              </w:rPr>
            </w:pPr>
            <w:r w:rsidRPr="00AB62BD">
              <w:rPr>
                <w:rStyle w:val="Strong"/>
              </w:rPr>
              <w:t>1,571.0</w:t>
            </w:r>
          </w:p>
        </w:tc>
        <w:tc>
          <w:tcPr>
            <w:tcW w:w="1134" w:type="dxa"/>
            <w:tcBorders>
              <w:top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1,614.3</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non-current receivables</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1,571.1</w:t>
            </w:r>
          </w:p>
        </w:tc>
        <w:tc>
          <w:tcPr>
            <w:tcW w:w="1134" w:type="dxa"/>
          </w:tcPr>
          <w:p w:rsidR="00C232A3" w:rsidRPr="00AB62BD" w:rsidRDefault="00C232A3" w:rsidP="00C232A3">
            <w:pPr>
              <w:pStyle w:val="ARfintablebodyright"/>
              <w:rPr>
                <w:bCs/>
                <w:lang w:eastAsia="en-AU"/>
              </w:rPr>
            </w:pPr>
            <w:r w:rsidRPr="00AB62BD">
              <w:rPr>
                <w:rStyle w:val="Strong"/>
              </w:rPr>
              <w:t>1,614.6</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receivables</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2,693.1</w:t>
            </w:r>
          </w:p>
        </w:tc>
        <w:tc>
          <w:tcPr>
            <w:tcW w:w="1134" w:type="dxa"/>
          </w:tcPr>
          <w:p w:rsidR="00C232A3" w:rsidRPr="00AB62BD" w:rsidRDefault="00C232A3" w:rsidP="00C232A3">
            <w:pPr>
              <w:pStyle w:val="ARfintablebodyright"/>
              <w:rPr>
                <w:rStyle w:val="Strong"/>
                <w:bCs w:val="0"/>
              </w:rPr>
            </w:pPr>
            <w:r w:rsidRPr="00AB62BD">
              <w:rPr>
                <w:rStyle w:val="Strong"/>
              </w:rPr>
              <w:t>2,671.0</w:t>
            </w:r>
          </w:p>
        </w:tc>
      </w:tr>
    </w:tbl>
    <w:p w:rsidR="00C232A3" w:rsidRPr="00AB62BD" w:rsidRDefault="00C232A3" w:rsidP="00C232A3">
      <w:pPr>
        <w:pStyle w:val="ARfinbodyaftertable"/>
      </w:pPr>
      <w:r w:rsidRPr="00554900">
        <w:rPr>
          <w:rStyle w:val="Strong"/>
        </w:rPr>
        <w:t>Contractual receivables</w:t>
      </w:r>
      <w:r w:rsidRPr="00AB62BD">
        <w:t xml:space="preserve"> are classified as financial instruments and categorised as ‘loans and receivables’. They are initially recognised at fair value plus any directly attributable transaction costs. Subsequent to initial measurement they are measured at amortised cost using the effective interest method, less any impairment.</w:t>
      </w:r>
    </w:p>
    <w:p w:rsidR="00C232A3" w:rsidRPr="00AB62BD" w:rsidRDefault="00C232A3" w:rsidP="00C232A3">
      <w:pPr>
        <w:pStyle w:val="ARfinbody"/>
        <w:rPr>
          <w:lang w:eastAsia="en-AU"/>
        </w:rPr>
      </w:pPr>
      <w:r w:rsidRPr="00554900">
        <w:rPr>
          <w:rStyle w:val="Strong"/>
        </w:rPr>
        <w:t>Statutory receivables</w:t>
      </w:r>
      <w:r w:rsidRPr="00AB62BD">
        <w:rPr>
          <w:lang w:eastAsia="en-AU"/>
        </w:rPr>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w:t>
      </w:r>
      <w:r>
        <w:rPr>
          <w:lang w:eastAsia="en-AU"/>
        </w:rPr>
        <w:t>c</w:t>
      </w:r>
      <w:r w:rsidRPr="00AB62BD">
        <w:rPr>
          <w:lang w:eastAsia="en-AU"/>
        </w:rPr>
        <w:t xml:space="preserve">onsolidated </w:t>
      </w:r>
      <w:r>
        <w:rPr>
          <w:lang w:eastAsia="en-AU"/>
        </w:rPr>
        <w:t>f</w:t>
      </w:r>
      <w:r w:rsidRPr="00AB62BD">
        <w:rPr>
          <w:lang w:eastAsia="en-AU"/>
        </w:rPr>
        <w:t>und as the commitments fall due.</w:t>
      </w:r>
    </w:p>
    <w:p w:rsidR="00C232A3" w:rsidRDefault="00C232A3" w:rsidP="00C232A3">
      <w:pPr>
        <w:pStyle w:val="ARbody"/>
        <w:rPr>
          <w:sz w:val="19"/>
        </w:rPr>
      </w:pPr>
      <w:r>
        <w:br w:type="page"/>
      </w:r>
    </w:p>
    <w:p w:rsidR="00C232A3" w:rsidRPr="00D11896" w:rsidRDefault="00C232A3" w:rsidP="00C232A3">
      <w:pPr>
        <w:pStyle w:val="Heading5"/>
        <w:rPr>
          <w:rStyle w:val="Strong"/>
        </w:rPr>
      </w:pPr>
      <w:r w:rsidRPr="00D11896">
        <w:rPr>
          <w:rStyle w:val="Strong"/>
        </w:rPr>
        <w:lastRenderedPageBreak/>
        <w:t>6.1.1 Movement in the provision for doubtful debts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C232A3" w:rsidRPr="00AB62BD" w:rsidTr="005C1ACD">
        <w:trPr>
          <w:cantSplit/>
          <w:tblHeader/>
        </w:trPr>
        <w:tc>
          <w:tcPr>
            <w:tcW w:w="7371" w:type="dxa"/>
            <w:tcBorders>
              <w:bottom w:val="single" w:sz="4" w:space="0" w:color="auto"/>
            </w:tcBorders>
            <w:vAlign w:val="bottom"/>
          </w:tcPr>
          <w:p w:rsidR="00C232A3" w:rsidRPr="00740F95" w:rsidRDefault="00C232A3" w:rsidP="00C232A3">
            <w:pPr>
              <w:pStyle w:val="ARfintablecolheadright"/>
            </w:pPr>
          </w:p>
        </w:tc>
        <w:tc>
          <w:tcPr>
            <w:tcW w:w="1134" w:type="dxa"/>
            <w:tcBorders>
              <w:bottom w:val="single" w:sz="4" w:space="0" w:color="auto"/>
            </w:tcBorders>
            <w:shd w:val="clear" w:color="auto" w:fill="E7E6E6"/>
            <w:vAlign w:val="bottom"/>
          </w:tcPr>
          <w:p w:rsidR="00C232A3" w:rsidRPr="00740F95" w:rsidRDefault="00C232A3" w:rsidP="00C232A3">
            <w:pPr>
              <w:pStyle w:val="ARfintablecolheadright"/>
            </w:pPr>
            <w:r w:rsidRPr="00740F95">
              <w:t>2017</w:t>
            </w:r>
          </w:p>
          <w:p w:rsidR="00C232A3" w:rsidRPr="00740F95" w:rsidRDefault="00C232A3" w:rsidP="00C232A3">
            <w:pPr>
              <w:pStyle w:val="ARfintablecolheadright"/>
            </w:pPr>
            <w:r w:rsidRPr="00740F95">
              <w:t>$M</w:t>
            </w:r>
          </w:p>
        </w:tc>
        <w:tc>
          <w:tcPr>
            <w:tcW w:w="1134" w:type="dxa"/>
            <w:tcBorders>
              <w:bottom w:val="single" w:sz="4" w:space="0" w:color="auto"/>
            </w:tcBorders>
            <w:vAlign w:val="bottom"/>
          </w:tcPr>
          <w:p w:rsidR="00C232A3" w:rsidRPr="00740F95" w:rsidRDefault="00C232A3" w:rsidP="00C232A3">
            <w:pPr>
              <w:pStyle w:val="ARfintablecolheadright"/>
            </w:pPr>
            <w:r w:rsidRPr="00740F95">
              <w:t>2016</w:t>
            </w:r>
          </w:p>
          <w:p w:rsidR="00C232A3" w:rsidRPr="00740F95" w:rsidRDefault="00C232A3" w:rsidP="00C232A3">
            <w:pPr>
              <w:pStyle w:val="ARfintablecolheadright"/>
            </w:pPr>
            <w:r w:rsidRPr="00740F95">
              <w:t>$M</w:t>
            </w:r>
          </w:p>
        </w:tc>
      </w:tr>
      <w:tr w:rsidR="00C232A3" w:rsidRPr="00AB62BD" w:rsidTr="005C1ACD">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Balance at beginning of the year</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Cs/>
                <w:lang w:eastAsia="en-AU"/>
              </w:rPr>
            </w:pPr>
            <w:r w:rsidRPr="00AB62BD">
              <w:rPr>
                <w:rStyle w:val="Strong"/>
              </w:rPr>
              <w:t>(5.6)</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(6.7)</w:t>
            </w:r>
          </w:p>
        </w:tc>
      </w:tr>
      <w:tr w:rsidR="00C232A3" w:rsidRPr="00AB62BD" w:rsidTr="005C1ACD">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lang w:eastAsia="en-AU"/>
              </w:rPr>
              <w:t>Increase in provision recognised in the net result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5C1ACD">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Reversal of provision of receivables written off during the year as uncollectible</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w:t>
            </w:r>
          </w:p>
        </w:tc>
      </w:tr>
      <w:tr w:rsidR="00C232A3" w:rsidRPr="00AB62BD" w:rsidTr="005C1ACD">
        <w:trPr>
          <w:cantSplit/>
        </w:trPr>
        <w:tc>
          <w:tcPr>
            <w:tcW w:w="7371" w:type="dxa"/>
          </w:tcPr>
          <w:p w:rsidR="00C232A3" w:rsidRPr="00AB62BD" w:rsidRDefault="00C232A3" w:rsidP="00C232A3">
            <w:pPr>
              <w:pStyle w:val="ARfintablebody"/>
              <w:rPr>
                <w:bCs/>
                <w:lang w:eastAsia="en-AU"/>
              </w:rPr>
            </w:pPr>
            <w:r w:rsidRPr="00AB62BD">
              <w:rPr>
                <w:rStyle w:val="Strong"/>
              </w:rPr>
              <w:t>Balance at the end of the year</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(4.4)</w:t>
            </w:r>
          </w:p>
        </w:tc>
        <w:tc>
          <w:tcPr>
            <w:tcW w:w="1134" w:type="dxa"/>
          </w:tcPr>
          <w:p w:rsidR="00C232A3" w:rsidRPr="00AB62BD" w:rsidRDefault="00C232A3" w:rsidP="00C232A3">
            <w:pPr>
              <w:pStyle w:val="ARfintablebodyright"/>
              <w:rPr>
                <w:rStyle w:val="Strong"/>
                <w:bCs w:val="0"/>
              </w:rPr>
            </w:pPr>
            <w:r w:rsidRPr="00AB62BD">
              <w:rPr>
                <w:rStyle w:val="Strong"/>
              </w:rPr>
              <w:t>(5.6)</w:t>
            </w:r>
          </w:p>
        </w:tc>
      </w:tr>
    </w:tbl>
    <w:p w:rsidR="00C232A3" w:rsidRPr="00AB62BD" w:rsidRDefault="00C232A3" w:rsidP="00C232A3">
      <w:pPr>
        <w:pStyle w:val="ARfinbodyaftertable"/>
      </w:pPr>
      <w:r w:rsidRPr="000917D5">
        <w:rPr>
          <w:rStyle w:val="Strong"/>
        </w:rPr>
        <w:t>Doubtful debts:</w:t>
      </w:r>
      <w:r w:rsidRPr="00AB62BD">
        <w:t xml:space="preserve"> Receivables are assessed for bad and doubtful debts on a regular basis. The majority of debts are housing rental debtors. Due to the nature of the debt, long</w:t>
      </w:r>
      <w:r>
        <w:t>-</w:t>
      </w:r>
      <w:r w:rsidRPr="00AB62BD">
        <w:t>term payment plans have been implemented.</w:t>
      </w:r>
    </w:p>
    <w:p w:rsidR="00C232A3" w:rsidRPr="00AB62BD" w:rsidRDefault="00C232A3" w:rsidP="00C232A3">
      <w:pPr>
        <w:pStyle w:val="ARfinbody"/>
        <w:rPr>
          <w:lang w:eastAsia="en-AU"/>
        </w:rPr>
      </w:pPr>
      <w:r w:rsidRPr="00AB62BD">
        <w:rPr>
          <w:lang w:eastAsia="en-AU"/>
        </w:rPr>
        <w:t xml:space="preserve">A provision for doubtful receivables is recognised when there is objective evidence that the debts may not be collected and bad debts are written off when identified. In assessing impairment of statutory (non-contractual) financial assets, which are not financial instruments, professional judgement is applied in assessing materiality using estimates, averages and other computational methods in accordance with </w:t>
      </w:r>
      <w:r w:rsidRPr="00AB62BD">
        <w:rPr>
          <w:rStyle w:val="Emphasis"/>
        </w:rPr>
        <w:t>AASB 136 Impairment of Assets</w:t>
      </w:r>
      <w:r w:rsidRPr="00AB62BD">
        <w:rPr>
          <w:lang w:eastAsia="en-AU"/>
        </w:rPr>
        <w:t>.</w:t>
      </w:r>
    </w:p>
    <w:p w:rsidR="00C232A3" w:rsidRPr="00AB62BD" w:rsidRDefault="00C232A3" w:rsidP="00C232A3">
      <w:pPr>
        <w:pStyle w:val="ARfinbody"/>
        <w:rPr>
          <w:lang w:eastAsia="en-AU"/>
        </w:rPr>
      </w:pPr>
      <w:r w:rsidRPr="00AB62BD">
        <w:rPr>
          <w:lang w:eastAsia="en-AU"/>
        </w:rPr>
        <w:t>A provision is made for estimated irrecoverable amounts from the sale of goods when there is objective evidence that an individual receivable is impaired. The increase in the provision for the year is recognised in the net result.</w:t>
      </w:r>
    </w:p>
    <w:p w:rsidR="00C232A3" w:rsidRPr="00AB62BD" w:rsidRDefault="00C232A3" w:rsidP="00C232A3">
      <w:pPr>
        <w:pStyle w:val="ARfinbody"/>
        <w:rPr>
          <w:lang w:eastAsia="en-AU"/>
        </w:rPr>
      </w:pPr>
      <w:r w:rsidRPr="00AB62BD">
        <w:rPr>
          <w:lang w:eastAsia="en-AU"/>
        </w:rPr>
        <w:t>Bad debts considered as written off by mutual consent are classified as a transaction expense. Bad debts not written off, but included in the provision for doubtful debts, are classified as ‘other eco</w:t>
      </w:r>
      <w:r>
        <w:rPr>
          <w:lang w:eastAsia="en-AU"/>
        </w:rPr>
        <w:t>nomic flows’ in the net result.</w:t>
      </w:r>
    </w:p>
    <w:p w:rsidR="00C232A3" w:rsidRDefault="00C232A3" w:rsidP="00C232A3">
      <w:pPr>
        <w:pStyle w:val="ARfinbody"/>
        <w:rPr>
          <w:rStyle w:val="Strong"/>
          <w:rFonts w:cs="Arial"/>
          <w:bCs w:val="0"/>
        </w:rPr>
        <w:sectPr w:rsidR="00C232A3" w:rsidSect="00C232A3">
          <w:headerReference w:type="even" r:id="rId116"/>
          <w:headerReference w:type="default" r:id="rId117"/>
          <w:footerReference w:type="even" r:id="rId118"/>
          <w:footerReference w:type="default" r:id="rId119"/>
          <w:headerReference w:type="first" r:id="rId120"/>
          <w:footerReference w:type="first" r:id="rId121"/>
          <w:endnotePr>
            <w:numFmt w:val="decimal"/>
          </w:endnotePr>
          <w:pgSz w:w="11900" w:h="16840" w:code="9"/>
          <w:pgMar w:top="1531" w:right="851" w:bottom="680" w:left="1418" w:header="510" w:footer="340" w:gutter="0"/>
          <w:cols w:space="454"/>
        </w:sectPr>
      </w:pPr>
    </w:p>
    <w:p w:rsidR="00C232A3" w:rsidRPr="00D11896" w:rsidRDefault="00C232A3" w:rsidP="00C232A3">
      <w:pPr>
        <w:pStyle w:val="Heading5"/>
        <w:spacing w:before="0"/>
        <w:rPr>
          <w:rStyle w:val="Strong"/>
        </w:rPr>
      </w:pPr>
      <w:r w:rsidRPr="00D11896">
        <w:rPr>
          <w:rStyle w:val="Strong"/>
        </w:rPr>
        <w:lastRenderedPageBreak/>
        <w:t>6.1.2 Ageing analysis of contractual receivables</w:t>
      </w:r>
    </w:p>
    <w:tbl>
      <w:tblPr>
        <w:tblW w:w="1446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253"/>
        <w:gridCol w:w="1701"/>
        <w:gridCol w:w="1702"/>
        <w:gridCol w:w="1702"/>
        <w:gridCol w:w="1702"/>
        <w:gridCol w:w="1702"/>
        <w:gridCol w:w="1702"/>
      </w:tblGrid>
      <w:tr w:rsidR="00C232A3" w:rsidRPr="00AB62BD" w:rsidTr="00C232A3">
        <w:trPr>
          <w:cantSplit/>
          <w:tblHeader/>
        </w:trPr>
        <w:tc>
          <w:tcPr>
            <w:tcW w:w="3769" w:type="dxa"/>
            <w:vMerge w:val="restart"/>
            <w:vAlign w:val="bottom"/>
          </w:tcPr>
          <w:p w:rsidR="00C232A3" w:rsidRPr="00740F95" w:rsidRDefault="00C232A3" w:rsidP="00C232A3">
            <w:pPr>
              <w:pStyle w:val="ARfintablecolheadright"/>
            </w:pPr>
          </w:p>
        </w:tc>
        <w:tc>
          <w:tcPr>
            <w:tcW w:w="1701" w:type="dxa"/>
            <w:vMerge w:val="restart"/>
            <w:vAlign w:val="bottom"/>
          </w:tcPr>
          <w:p w:rsidR="00C232A3" w:rsidRPr="00740F95" w:rsidRDefault="00C232A3" w:rsidP="00C232A3">
            <w:pPr>
              <w:pStyle w:val="ARfintablecolheadright"/>
            </w:pPr>
            <w:r w:rsidRPr="00740F95">
              <w:t>Carrying amount</w:t>
            </w:r>
          </w:p>
          <w:p w:rsidR="00C232A3" w:rsidRPr="00740F95" w:rsidRDefault="00C232A3" w:rsidP="00C232A3">
            <w:pPr>
              <w:pStyle w:val="ARfintablecolheadright"/>
            </w:pPr>
            <w:r w:rsidRPr="00740F95">
              <w:t>$M</w:t>
            </w:r>
          </w:p>
        </w:tc>
        <w:tc>
          <w:tcPr>
            <w:tcW w:w="1701" w:type="dxa"/>
            <w:vMerge w:val="restart"/>
            <w:vAlign w:val="bottom"/>
          </w:tcPr>
          <w:p w:rsidR="00C232A3" w:rsidRPr="00740F95" w:rsidRDefault="00C232A3" w:rsidP="00C232A3">
            <w:pPr>
              <w:pStyle w:val="ARfintablecolheadright"/>
            </w:pPr>
            <w:r w:rsidRPr="00740F95">
              <w:t>Not past due and not impaired</w:t>
            </w:r>
            <w:r>
              <w:t xml:space="preserve"> </w:t>
            </w:r>
            <w:r w:rsidRPr="000812B4">
              <w:rPr>
                <w:rStyle w:val="Superscriptbold"/>
              </w:rPr>
              <w:t>(</w:t>
            </w:r>
            <w:proofErr w:type="spellStart"/>
            <w:r w:rsidRPr="000812B4">
              <w:rPr>
                <w:rStyle w:val="Superscriptbold"/>
              </w:rPr>
              <w:t>i</w:t>
            </w:r>
            <w:proofErr w:type="spellEnd"/>
            <w:r w:rsidRPr="000812B4">
              <w:rPr>
                <w:rStyle w:val="Superscriptbold"/>
              </w:rPr>
              <w:t>)</w:t>
            </w:r>
          </w:p>
          <w:p w:rsidR="00C232A3" w:rsidRPr="00740F95" w:rsidRDefault="00C232A3" w:rsidP="00C232A3">
            <w:pPr>
              <w:pStyle w:val="ARfintablecolheadright"/>
            </w:pPr>
            <w:r w:rsidRPr="00740F95">
              <w:t>$M</w:t>
            </w:r>
          </w:p>
        </w:tc>
        <w:tc>
          <w:tcPr>
            <w:tcW w:w="1701" w:type="dxa"/>
            <w:gridSpan w:val="4"/>
            <w:vAlign w:val="bottom"/>
          </w:tcPr>
          <w:p w:rsidR="00C232A3" w:rsidRPr="004B7A78" w:rsidRDefault="00C232A3" w:rsidP="00C232A3">
            <w:pPr>
              <w:pStyle w:val="ARfintablecolheadcentre"/>
            </w:pPr>
            <w:r w:rsidRPr="004B7A78">
              <w:t>Past due but not impaired</w:t>
            </w:r>
          </w:p>
        </w:tc>
      </w:tr>
      <w:tr w:rsidR="00C232A3" w:rsidRPr="00AB62BD" w:rsidTr="00C232A3">
        <w:trPr>
          <w:cantSplit/>
          <w:tblHeader/>
        </w:trPr>
        <w:tc>
          <w:tcPr>
            <w:tcW w:w="3769"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701"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701"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701" w:type="dxa"/>
            <w:tcBorders>
              <w:bottom w:val="single" w:sz="4" w:space="0" w:color="auto"/>
            </w:tcBorders>
            <w:vAlign w:val="bottom"/>
          </w:tcPr>
          <w:p w:rsidR="00C232A3" w:rsidRPr="004B7A78" w:rsidRDefault="00C232A3" w:rsidP="00C232A3">
            <w:pPr>
              <w:pStyle w:val="ARfintablecolheadright"/>
            </w:pPr>
            <w:r w:rsidRPr="004B7A78">
              <w:t>Less than 1 month</w:t>
            </w:r>
          </w:p>
          <w:p w:rsidR="00C232A3" w:rsidRPr="004B7A78" w:rsidRDefault="00C232A3" w:rsidP="00C232A3">
            <w:pPr>
              <w:pStyle w:val="ARfintablecolheadright"/>
            </w:pPr>
            <w:r w:rsidRPr="004B7A78">
              <w:t>$M</w:t>
            </w:r>
          </w:p>
        </w:tc>
        <w:tc>
          <w:tcPr>
            <w:tcW w:w="1701" w:type="dxa"/>
            <w:tcBorders>
              <w:bottom w:val="single" w:sz="4" w:space="0" w:color="auto"/>
            </w:tcBorders>
            <w:vAlign w:val="bottom"/>
          </w:tcPr>
          <w:p w:rsidR="00C232A3" w:rsidRPr="004B7A78" w:rsidRDefault="00C232A3" w:rsidP="00C232A3">
            <w:pPr>
              <w:pStyle w:val="ARfintablecolheadright"/>
            </w:pPr>
            <w:r w:rsidRPr="004B7A78">
              <w:t>1–3 months</w:t>
            </w:r>
          </w:p>
          <w:p w:rsidR="00C232A3" w:rsidRPr="004B7A78" w:rsidRDefault="00C232A3" w:rsidP="00C232A3">
            <w:pPr>
              <w:pStyle w:val="ARfintablecolheadright"/>
            </w:pPr>
            <w:r w:rsidRPr="004B7A78">
              <w:t>$M</w:t>
            </w:r>
          </w:p>
        </w:tc>
        <w:tc>
          <w:tcPr>
            <w:tcW w:w="1701" w:type="dxa"/>
            <w:tcBorders>
              <w:bottom w:val="single" w:sz="4" w:space="0" w:color="auto"/>
            </w:tcBorders>
            <w:vAlign w:val="bottom"/>
          </w:tcPr>
          <w:p w:rsidR="00C232A3" w:rsidRPr="004B7A78" w:rsidRDefault="00C232A3" w:rsidP="00C232A3">
            <w:pPr>
              <w:pStyle w:val="ARfintablecolheadright"/>
            </w:pPr>
            <w:r w:rsidRPr="004B7A78">
              <w:t>3 months – 1 year</w:t>
            </w:r>
          </w:p>
          <w:p w:rsidR="00C232A3" w:rsidRPr="004B7A78" w:rsidRDefault="00C232A3" w:rsidP="00C232A3">
            <w:pPr>
              <w:pStyle w:val="ARfintablecolheadright"/>
            </w:pPr>
            <w:r w:rsidRPr="004B7A78">
              <w:t>$M</w:t>
            </w:r>
          </w:p>
        </w:tc>
        <w:tc>
          <w:tcPr>
            <w:tcW w:w="1701" w:type="dxa"/>
            <w:tcBorders>
              <w:bottom w:val="single" w:sz="4" w:space="0" w:color="auto"/>
            </w:tcBorders>
            <w:vAlign w:val="bottom"/>
          </w:tcPr>
          <w:p w:rsidR="00C232A3" w:rsidRPr="004B7A78" w:rsidRDefault="00C232A3" w:rsidP="00C232A3">
            <w:pPr>
              <w:pStyle w:val="ARfintablecolheadright"/>
            </w:pPr>
            <w:r w:rsidRPr="004B7A78">
              <w:t>1–5 years</w:t>
            </w:r>
          </w:p>
          <w:p w:rsidR="00C232A3" w:rsidRPr="004B7A78" w:rsidRDefault="00C232A3" w:rsidP="00C232A3">
            <w:pPr>
              <w:pStyle w:val="ARfintablecolheadright"/>
            </w:pPr>
            <w:r w:rsidRPr="004B7A78">
              <w:t>$M</w:t>
            </w:r>
          </w:p>
        </w:tc>
      </w:tr>
      <w:tr w:rsidR="00C232A3" w:rsidRPr="00AB62BD" w:rsidTr="00C232A3">
        <w:trPr>
          <w:cantSplit/>
        </w:trPr>
        <w:tc>
          <w:tcPr>
            <w:tcW w:w="4253"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rStyle w:val="Strong"/>
              </w:rPr>
              <w:t>2017</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25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Receivables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107.7</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45.9</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45.8</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4.6</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5.4</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6.1</w:t>
            </w:r>
          </w:p>
        </w:tc>
      </w:tr>
      <w:tr w:rsidR="00C232A3" w:rsidRPr="00AB62BD" w:rsidTr="00C232A3">
        <w:trPr>
          <w:cantSplit/>
        </w:trPr>
        <w:tc>
          <w:tcPr>
            <w:tcW w:w="425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w:t>
            </w:r>
          </w:p>
        </w:tc>
        <w:tc>
          <w:tcPr>
            <w:tcW w:w="1701" w:type="dxa"/>
            <w:tcBorders>
              <w:bottom w:val="single" w:sz="4" w:space="0" w:color="auto"/>
            </w:tcBorders>
          </w:tcPr>
          <w:p w:rsidR="00C232A3" w:rsidRPr="00AB62BD" w:rsidRDefault="00C232A3" w:rsidP="00C232A3">
            <w:pPr>
              <w:pStyle w:val="ARfintablebodyright"/>
              <w:rPr>
                <w:b/>
                <w:bCs/>
                <w:lang w:eastAsia="en-AU"/>
              </w:rPr>
            </w:pPr>
            <w:r>
              <w:rPr>
                <w:rStyle w:val="Strong"/>
              </w:rPr>
              <w:t>107.7</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45.9</w:t>
            </w:r>
          </w:p>
        </w:tc>
        <w:tc>
          <w:tcPr>
            <w:tcW w:w="1701" w:type="dxa"/>
            <w:tcBorders>
              <w:bottom w:val="single" w:sz="4" w:space="0" w:color="auto"/>
            </w:tcBorders>
          </w:tcPr>
          <w:p w:rsidR="00C232A3" w:rsidRPr="00AB62BD" w:rsidRDefault="00C232A3" w:rsidP="00C232A3">
            <w:pPr>
              <w:pStyle w:val="ARfintablebodyright"/>
              <w:rPr>
                <w:b/>
                <w:bCs/>
                <w:lang w:eastAsia="en-AU"/>
              </w:rPr>
            </w:pPr>
            <w:r>
              <w:rPr>
                <w:rStyle w:val="Strong"/>
              </w:rPr>
              <w:t>45.8</w:t>
            </w:r>
          </w:p>
        </w:tc>
        <w:tc>
          <w:tcPr>
            <w:tcW w:w="1701" w:type="dxa"/>
            <w:tcBorders>
              <w:bottom w:val="single" w:sz="4" w:space="0" w:color="auto"/>
            </w:tcBorders>
          </w:tcPr>
          <w:p w:rsidR="00C232A3" w:rsidRPr="00AB62BD" w:rsidRDefault="00C232A3" w:rsidP="00C232A3">
            <w:pPr>
              <w:pStyle w:val="ARfintablebodyright"/>
              <w:rPr>
                <w:b/>
                <w:bCs/>
                <w:lang w:eastAsia="en-AU"/>
              </w:rPr>
            </w:pPr>
            <w:r>
              <w:rPr>
                <w:rStyle w:val="Strong"/>
              </w:rPr>
              <w:t>4.6</w:t>
            </w:r>
          </w:p>
        </w:tc>
        <w:tc>
          <w:tcPr>
            <w:tcW w:w="1701" w:type="dxa"/>
            <w:tcBorders>
              <w:bottom w:val="single" w:sz="4" w:space="0" w:color="auto"/>
            </w:tcBorders>
          </w:tcPr>
          <w:p w:rsidR="00C232A3" w:rsidRPr="00AB62BD" w:rsidRDefault="00C232A3" w:rsidP="00C232A3">
            <w:pPr>
              <w:pStyle w:val="ARfintablebodyright"/>
              <w:rPr>
                <w:b/>
                <w:bCs/>
                <w:lang w:eastAsia="en-AU"/>
              </w:rPr>
            </w:pPr>
            <w:r>
              <w:rPr>
                <w:rStyle w:val="Strong"/>
              </w:rPr>
              <w:t>5.4</w:t>
            </w:r>
          </w:p>
        </w:tc>
        <w:tc>
          <w:tcPr>
            <w:tcW w:w="1701" w:type="dxa"/>
            <w:tcBorders>
              <w:bottom w:val="single" w:sz="4" w:space="0" w:color="auto"/>
            </w:tcBorders>
          </w:tcPr>
          <w:p w:rsidR="00C232A3" w:rsidRPr="00AB62BD" w:rsidRDefault="00C232A3" w:rsidP="00C232A3">
            <w:pPr>
              <w:pStyle w:val="ARfintablebodyright"/>
              <w:rPr>
                <w:b/>
                <w:bCs/>
                <w:lang w:eastAsia="en-AU"/>
              </w:rPr>
            </w:pPr>
            <w:r>
              <w:rPr>
                <w:rStyle w:val="Strong"/>
              </w:rPr>
              <w:t>6.1</w:t>
            </w:r>
          </w:p>
        </w:tc>
      </w:tr>
      <w:tr w:rsidR="00C232A3" w:rsidRPr="00AB62BD" w:rsidTr="00C232A3">
        <w:trPr>
          <w:cantSplit/>
        </w:trPr>
        <w:tc>
          <w:tcPr>
            <w:tcW w:w="4253"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2016</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425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Receivables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69.9</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42.3</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5.2</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5.3</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8.9</w:t>
            </w:r>
          </w:p>
        </w:tc>
      </w:tr>
      <w:tr w:rsidR="00C232A3" w:rsidRPr="00AB62BD" w:rsidTr="00C232A3">
        <w:trPr>
          <w:cantSplit/>
        </w:trPr>
        <w:tc>
          <w:tcPr>
            <w:tcW w:w="4253" w:type="dxa"/>
          </w:tcPr>
          <w:p w:rsidR="00C232A3" w:rsidRPr="00AB62BD" w:rsidRDefault="00C232A3" w:rsidP="00C232A3">
            <w:pPr>
              <w:pStyle w:val="ARfintablebody"/>
              <w:rPr>
                <w:bCs/>
                <w:lang w:eastAsia="en-AU"/>
              </w:rPr>
            </w:pPr>
            <w:r w:rsidRPr="00AB62BD">
              <w:rPr>
                <w:rStyle w:val="Strong"/>
              </w:rPr>
              <w:t>Total</w:t>
            </w:r>
          </w:p>
        </w:tc>
        <w:tc>
          <w:tcPr>
            <w:tcW w:w="1701" w:type="dxa"/>
          </w:tcPr>
          <w:p w:rsidR="00C232A3" w:rsidRPr="00AB62BD" w:rsidRDefault="00C232A3" w:rsidP="00C232A3">
            <w:pPr>
              <w:pStyle w:val="ARfintablebodyright"/>
              <w:rPr>
                <w:b/>
                <w:bCs/>
                <w:lang w:eastAsia="en-AU"/>
              </w:rPr>
            </w:pPr>
            <w:r>
              <w:rPr>
                <w:rStyle w:val="Strong"/>
              </w:rPr>
              <w:t>69.9</w:t>
            </w:r>
          </w:p>
        </w:tc>
        <w:tc>
          <w:tcPr>
            <w:tcW w:w="1701" w:type="dxa"/>
          </w:tcPr>
          <w:p w:rsidR="00C232A3" w:rsidRPr="00AB62BD" w:rsidRDefault="00C232A3" w:rsidP="00C232A3">
            <w:pPr>
              <w:pStyle w:val="ARfintablebodyright"/>
              <w:rPr>
                <w:b/>
                <w:bCs/>
                <w:lang w:eastAsia="en-AU"/>
              </w:rPr>
            </w:pPr>
            <w:r w:rsidRPr="00AB62BD">
              <w:rPr>
                <w:rStyle w:val="Strong"/>
              </w:rPr>
              <w:t>42.3</w:t>
            </w:r>
          </w:p>
        </w:tc>
        <w:tc>
          <w:tcPr>
            <w:tcW w:w="1701" w:type="dxa"/>
          </w:tcPr>
          <w:p w:rsidR="00C232A3" w:rsidRPr="00AB62BD" w:rsidRDefault="00C232A3" w:rsidP="00C232A3">
            <w:pPr>
              <w:pStyle w:val="ARfintablebodyright"/>
              <w:rPr>
                <w:b/>
                <w:bCs/>
                <w:lang w:eastAsia="en-AU"/>
              </w:rPr>
            </w:pPr>
            <w:r w:rsidRPr="00AB62BD">
              <w:rPr>
                <w:rStyle w:val="Strong"/>
              </w:rPr>
              <w:t>5.2</w:t>
            </w:r>
          </w:p>
        </w:tc>
        <w:tc>
          <w:tcPr>
            <w:tcW w:w="1701" w:type="dxa"/>
          </w:tcPr>
          <w:p w:rsidR="00C232A3" w:rsidRPr="00AB62BD" w:rsidRDefault="00C232A3" w:rsidP="00C232A3">
            <w:pPr>
              <w:pStyle w:val="ARfintablebodyright"/>
              <w:rPr>
                <w:b/>
                <w:bCs/>
                <w:lang w:eastAsia="en-AU"/>
              </w:rPr>
            </w:pPr>
            <w:r w:rsidRPr="00AB62BD">
              <w:rPr>
                <w:rStyle w:val="Strong"/>
              </w:rPr>
              <w:t>5.3</w:t>
            </w:r>
          </w:p>
        </w:tc>
        <w:tc>
          <w:tcPr>
            <w:tcW w:w="1701" w:type="dxa"/>
          </w:tcPr>
          <w:p w:rsidR="00C232A3" w:rsidRPr="00AB62BD" w:rsidRDefault="00C232A3" w:rsidP="00C232A3">
            <w:pPr>
              <w:pStyle w:val="ARfintablebodyright"/>
              <w:rPr>
                <w:b/>
                <w:bCs/>
                <w:lang w:eastAsia="en-AU"/>
              </w:rPr>
            </w:pPr>
            <w:r w:rsidRPr="00AB62BD">
              <w:rPr>
                <w:rStyle w:val="Strong"/>
              </w:rPr>
              <w:t>8.3</w:t>
            </w:r>
          </w:p>
        </w:tc>
        <w:tc>
          <w:tcPr>
            <w:tcW w:w="1701" w:type="dxa"/>
          </w:tcPr>
          <w:p w:rsidR="00C232A3" w:rsidRPr="00AB62BD" w:rsidRDefault="00C232A3" w:rsidP="00C232A3">
            <w:pPr>
              <w:pStyle w:val="ARfintablebodyright"/>
              <w:rPr>
                <w:b/>
                <w:bCs/>
                <w:lang w:eastAsia="en-AU"/>
              </w:rPr>
            </w:pPr>
            <w:r w:rsidRPr="00AB62BD">
              <w:rPr>
                <w:rStyle w:val="Strong"/>
              </w:rPr>
              <w:t>8.9</w:t>
            </w:r>
          </w:p>
        </w:tc>
      </w:tr>
    </w:tbl>
    <w:p w:rsidR="00C232A3" w:rsidRPr="00AB62BD" w:rsidRDefault="00C232A3" w:rsidP="00C232A3">
      <w:pPr>
        <w:pStyle w:val="ARfintablefootnote"/>
      </w:pPr>
      <w:r w:rsidRPr="00AB62BD">
        <w:t>Note:</w:t>
      </w:r>
    </w:p>
    <w:p w:rsidR="00C232A3" w:rsidRPr="00AB62BD" w:rsidRDefault="00C232A3" w:rsidP="00C232A3">
      <w:pPr>
        <w:pStyle w:val="ARfintablefootnoteroman"/>
      </w:pPr>
      <w:r>
        <w:t>(</w:t>
      </w:r>
      <w:proofErr w:type="spellStart"/>
      <w:r>
        <w:t>i</w:t>
      </w:r>
      <w:proofErr w:type="spellEnd"/>
      <w:r>
        <w:t>)</w:t>
      </w:r>
      <w:r>
        <w:tab/>
      </w:r>
      <w:r w:rsidRPr="00AB62BD">
        <w:t>The amounts disclosed here includes repayments of borrowings that are not scheduled to be repaid in the next 12 months.</w:t>
      </w:r>
    </w:p>
    <w:p w:rsidR="00C232A3" w:rsidRPr="00AB62BD" w:rsidRDefault="00C232A3" w:rsidP="00C232A3">
      <w:pPr>
        <w:pStyle w:val="ARfinbodyaftertable"/>
      </w:pPr>
      <w:r w:rsidRPr="00AB62BD">
        <w:t>The average credit period for receivables is 30 days. There are no material financial assets which are individually determined to be impaired. Currently the department does not hold any collateral as security nor credit enhancements relating to any of its financial assets. There are no financial assets that have had their terms renegotiated so as to prevent them from being past due or impaired, and they are stated at the</w:t>
      </w:r>
      <w:r>
        <w:t xml:space="preserve"> carrying amounts as indicated.</w:t>
      </w:r>
    </w:p>
    <w:p w:rsidR="00C232A3" w:rsidRDefault="00C232A3" w:rsidP="00C232A3">
      <w:pPr>
        <w:pStyle w:val="ARfinbody"/>
        <w:rPr>
          <w:lang w:eastAsia="en-AU"/>
        </w:rPr>
        <w:sectPr w:rsidR="00C232A3" w:rsidSect="00C232A3">
          <w:headerReference w:type="even" r:id="rId122"/>
          <w:headerReference w:type="default" r:id="rId123"/>
          <w:endnotePr>
            <w:numFmt w:val="decimal"/>
          </w:endnotePr>
          <w:pgSz w:w="16840" w:h="11900" w:orient="landscape" w:code="9"/>
          <w:pgMar w:top="1418" w:right="1531" w:bottom="851" w:left="851" w:header="794" w:footer="340" w:gutter="0"/>
          <w:cols w:space="454"/>
          <w:docGrid w:linePitch="272"/>
        </w:sectPr>
      </w:pPr>
    </w:p>
    <w:p w:rsidR="00C232A3" w:rsidRPr="00554900" w:rsidRDefault="00C232A3" w:rsidP="00C232A3">
      <w:pPr>
        <w:pStyle w:val="Heading4"/>
        <w:spacing w:before="0"/>
      </w:pPr>
      <w:r w:rsidRPr="00554900">
        <w:lastRenderedPageBreak/>
        <w:t>6.2 Loans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EC380B" w:rsidRDefault="00C232A3" w:rsidP="00C232A3">
            <w:pPr>
              <w:pStyle w:val="ARfintablecolheadright"/>
            </w:pPr>
          </w:p>
        </w:tc>
        <w:tc>
          <w:tcPr>
            <w:tcW w:w="1134" w:type="dxa"/>
            <w:tcBorders>
              <w:bottom w:val="single" w:sz="4" w:space="0" w:color="auto"/>
            </w:tcBorders>
            <w:shd w:val="clear" w:color="auto" w:fill="E7E6E6"/>
            <w:vAlign w:val="bottom"/>
          </w:tcPr>
          <w:p w:rsidR="00C232A3" w:rsidRPr="00EC380B" w:rsidRDefault="00C232A3" w:rsidP="00C232A3">
            <w:pPr>
              <w:pStyle w:val="ARfintablecolheadright"/>
            </w:pPr>
            <w:r w:rsidRPr="00EC380B">
              <w:t>2017</w:t>
            </w:r>
          </w:p>
          <w:p w:rsidR="00C232A3" w:rsidRPr="00EC380B" w:rsidRDefault="00C232A3" w:rsidP="00C232A3">
            <w:pPr>
              <w:pStyle w:val="ARfintablecolheadright"/>
            </w:pPr>
            <w:r w:rsidRPr="00EC380B">
              <w:t>$M</w:t>
            </w:r>
          </w:p>
        </w:tc>
        <w:tc>
          <w:tcPr>
            <w:tcW w:w="1134" w:type="dxa"/>
            <w:tcBorders>
              <w:bottom w:val="single" w:sz="4" w:space="0" w:color="auto"/>
            </w:tcBorders>
            <w:vAlign w:val="bottom"/>
          </w:tcPr>
          <w:p w:rsidR="00C232A3" w:rsidRPr="00EC380B" w:rsidRDefault="00C232A3" w:rsidP="00C232A3">
            <w:pPr>
              <w:pStyle w:val="ARfintablecolheadright"/>
            </w:pPr>
            <w:r w:rsidRPr="00EC380B">
              <w:t>2016</w:t>
            </w:r>
          </w:p>
          <w:p w:rsidR="00C232A3" w:rsidRPr="00EC380B" w:rsidRDefault="00C232A3" w:rsidP="00C232A3">
            <w:pPr>
              <w:pStyle w:val="ARfintablecolheadright"/>
            </w:pPr>
            <w:r w:rsidRPr="00EC380B">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 xml:space="preserve">Current loans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i/>
                <w:iCs/>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i/>
                <w:iCs/>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Indexed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Variable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Pr>
                <w:lang w:eastAsia="en-AU"/>
              </w:rPr>
              <w:t>Other loans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7.1</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current loans</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r w:rsidRPr="00AB62BD">
              <w:rPr>
                <w:rStyle w:val="Strong"/>
              </w:rPr>
              <w:t>19.1</w:t>
            </w:r>
          </w:p>
        </w:tc>
        <w:tc>
          <w:tcPr>
            <w:tcW w:w="1134" w:type="dxa"/>
            <w:tcBorders>
              <w:bottom w:val="single" w:sz="4" w:space="0" w:color="auto"/>
            </w:tcBorders>
          </w:tcPr>
          <w:p w:rsidR="00C232A3" w:rsidRPr="00AB62BD" w:rsidRDefault="00C232A3" w:rsidP="00C232A3">
            <w:pPr>
              <w:pStyle w:val="ARfintablebodyright"/>
              <w:rPr>
                <w:lang w:eastAsia="en-AU"/>
              </w:rPr>
            </w:pPr>
            <w:r w:rsidRPr="00AB62BD">
              <w:rPr>
                <w:rStyle w:val="Strong"/>
              </w:rPr>
              <w:t>18.4</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Non-current loans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Indexed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8.0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Community housing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Pr>
                <w:lang w:eastAsia="en-AU"/>
              </w:rPr>
              <w:t>Other loans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32.1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33.3</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 xml:space="preserve">Total non-current loans </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r w:rsidRPr="00AB62BD">
              <w:rPr>
                <w:rStyle w:val="Strong"/>
              </w:rPr>
              <w:t>61.9</w:t>
            </w:r>
          </w:p>
        </w:tc>
        <w:tc>
          <w:tcPr>
            <w:tcW w:w="1134" w:type="dxa"/>
            <w:tcBorders>
              <w:bottom w:val="single" w:sz="4" w:space="0" w:color="auto"/>
            </w:tcBorders>
          </w:tcPr>
          <w:p w:rsidR="00C232A3" w:rsidRPr="00AB62BD" w:rsidRDefault="00C232A3" w:rsidP="00C232A3">
            <w:pPr>
              <w:pStyle w:val="ARfintablebodyright"/>
              <w:rPr>
                <w:lang w:eastAsia="en-AU"/>
              </w:rPr>
            </w:pPr>
            <w:r w:rsidRPr="00AB62BD">
              <w:rPr>
                <w:rStyle w:val="Strong"/>
              </w:rPr>
              <w:t>64.9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Less provision for return of equity</w:t>
            </w:r>
          </w:p>
        </w:tc>
        <w:tc>
          <w:tcPr>
            <w:tcW w:w="1134" w:type="dxa"/>
            <w:tcBorders>
              <w:top w:val="single" w:sz="4" w:space="0" w:color="auto"/>
              <w:bottom w:val="single" w:sz="4" w:space="0" w:color="A6A6A6" w:themeColor="background1" w:themeShade="A6"/>
            </w:tcBorders>
            <w:shd w:val="clear" w:color="auto" w:fill="E7E6E6"/>
          </w:tcPr>
          <w:p w:rsidR="00C232A3" w:rsidRPr="00B5354B" w:rsidRDefault="00C232A3" w:rsidP="00C232A3">
            <w:pPr>
              <w:pStyle w:val="ARfintablebodyright"/>
              <w:rPr>
                <w:rStyle w:val="Strong"/>
              </w:rPr>
            </w:pPr>
            <w:r w:rsidRPr="00B5354B">
              <w:rPr>
                <w:rStyle w:val="Strong"/>
              </w:rPr>
              <w:t>(0.1)</w:t>
            </w:r>
          </w:p>
        </w:tc>
        <w:tc>
          <w:tcPr>
            <w:tcW w:w="1134" w:type="dxa"/>
            <w:tcBorders>
              <w:top w:val="single" w:sz="4" w:space="0" w:color="auto"/>
              <w:bottom w:val="single" w:sz="4" w:space="0" w:color="A6A6A6" w:themeColor="background1" w:themeShade="A6"/>
            </w:tcBorders>
          </w:tcPr>
          <w:p w:rsidR="00C232A3" w:rsidRPr="00B5354B" w:rsidRDefault="00C232A3" w:rsidP="00C232A3">
            <w:pPr>
              <w:pStyle w:val="ARfintablebodyright"/>
              <w:rPr>
                <w:rStyle w:val="Strong"/>
              </w:rPr>
            </w:pPr>
            <w:r w:rsidRPr="00B5354B">
              <w:rPr>
                <w:rStyle w:val="Strong"/>
              </w:rPr>
              <w:t>(0.1)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Less provision for doubtful contractual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7371"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Indexed interest home loans</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(0.2)</w:t>
            </w:r>
          </w:p>
        </w:tc>
      </w:tr>
      <w:tr w:rsidR="00C232A3" w:rsidRPr="00AB62BD" w:rsidTr="00C232A3">
        <w:trPr>
          <w:cantSplit/>
        </w:trPr>
        <w:tc>
          <w:tcPr>
            <w:tcW w:w="7371" w:type="dxa"/>
            <w:tcBorders>
              <w:top w:val="single" w:sz="4" w:space="0" w:color="auto"/>
            </w:tcBorders>
          </w:tcPr>
          <w:p w:rsidR="00C232A3" w:rsidRPr="00B56AFE" w:rsidRDefault="00C232A3" w:rsidP="00C232A3">
            <w:pPr>
              <w:pStyle w:val="ARfintablebody"/>
              <w:rPr>
                <w:rStyle w:val="Strong"/>
              </w:rPr>
            </w:pPr>
            <w:r w:rsidRPr="00B56AFE">
              <w:rPr>
                <w:rStyle w:val="Strong"/>
              </w:rPr>
              <w:t>Total provision for doubtful contractual loans</w:t>
            </w:r>
          </w:p>
        </w:tc>
        <w:tc>
          <w:tcPr>
            <w:tcW w:w="1134" w:type="dxa"/>
            <w:tcBorders>
              <w:top w:val="single" w:sz="4" w:space="0" w:color="auto"/>
            </w:tcBorders>
            <w:shd w:val="clear" w:color="auto" w:fill="E7E6E6"/>
          </w:tcPr>
          <w:p w:rsidR="00C232A3" w:rsidRPr="00B56AFE" w:rsidRDefault="00C232A3" w:rsidP="00C232A3">
            <w:pPr>
              <w:pStyle w:val="ARfintablebodyright"/>
              <w:rPr>
                <w:rStyle w:val="Strong"/>
              </w:rPr>
            </w:pPr>
            <w:r w:rsidRPr="00B56AFE">
              <w:rPr>
                <w:rStyle w:val="Strong"/>
              </w:rPr>
              <w:t>(0.3)</w:t>
            </w:r>
          </w:p>
        </w:tc>
        <w:tc>
          <w:tcPr>
            <w:tcW w:w="1134" w:type="dxa"/>
            <w:tcBorders>
              <w:top w:val="single" w:sz="4" w:space="0" w:color="auto"/>
            </w:tcBorders>
          </w:tcPr>
          <w:p w:rsidR="00C232A3" w:rsidRPr="00B56AFE" w:rsidRDefault="00C232A3" w:rsidP="00C232A3">
            <w:pPr>
              <w:pStyle w:val="ARfintablebodyright"/>
              <w:rPr>
                <w:rStyle w:val="Strong"/>
              </w:rPr>
            </w:pPr>
            <w:r w:rsidRPr="00B56AFE">
              <w:rPr>
                <w:rStyle w:val="Strong"/>
              </w:rPr>
              <w:t>(0.3)</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 xml:space="preserve">Total loans </w:t>
            </w:r>
          </w:p>
        </w:tc>
        <w:tc>
          <w:tcPr>
            <w:tcW w:w="1134" w:type="dxa"/>
            <w:shd w:val="clear" w:color="auto" w:fill="E7E6E6"/>
          </w:tcPr>
          <w:p w:rsidR="00C232A3" w:rsidRPr="00AB62BD" w:rsidRDefault="00C232A3" w:rsidP="00C232A3">
            <w:pPr>
              <w:pStyle w:val="ARfintablebodyright"/>
              <w:rPr>
                <w:lang w:eastAsia="en-AU"/>
              </w:rPr>
            </w:pPr>
            <w:r w:rsidRPr="00AB62BD">
              <w:rPr>
                <w:rStyle w:val="Strong"/>
              </w:rPr>
              <w:t>80.7</w:t>
            </w:r>
          </w:p>
        </w:tc>
        <w:tc>
          <w:tcPr>
            <w:tcW w:w="1134" w:type="dxa"/>
          </w:tcPr>
          <w:p w:rsidR="00C232A3" w:rsidRPr="00AB62BD" w:rsidRDefault="00C232A3" w:rsidP="00C232A3">
            <w:pPr>
              <w:pStyle w:val="ARfintablebodyright"/>
              <w:rPr>
                <w:rStyle w:val="Strong"/>
                <w:bCs w:val="0"/>
              </w:rPr>
            </w:pPr>
            <w:r w:rsidRPr="00AB62BD">
              <w:rPr>
                <w:rStyle w:val="Strong"/>
              </w:rPr>
              <w:t>82.9</w:t>
            </w:r>
          </w:p>
        </w:tc>
      </w:tr>
    </w:tbl>
    <w:p w:rsidR="00C232A3" w:rsidRPr="00AB62BD" w:rsidRDefault="00C232A3" w:rsidP="00C232A3">
      <w:pPr>
        <w:pStyle w:val="ARfinbodyaftertable"/>
      </w:pPr>
      <w:r w:rsidRPr="00AB62BD">
        <w:t>The department has housing related loans and loans to health agencies. The majority of housing loans are secured by a registered mortgage. However</w:t>
      </w:r>
      <w:r>
        <w:t>,</w:t>
      </w:r>
      <w:r w:rsidRPr="00AB62BD">
        <w:t xml:space="preserve"> there are a small number of loans that are on terms in contracts of sale. The title remains in the name of the vendor, Director of Housing as successor in title to the Housing Commission, until the amount owing under the contract of sale is paid in full. Some mortgage relief and home renovation loans are subject to an unregistered mortgage with a caveat on the title noting the Director of Housing as having an interest in the property. The current Home Renovation Service loan program does not require security for loans of $10,000 or less.</w:t>
      </w:r>
    </w:p>
    <w:p w:rsidR="00C232A3" w:rsidRPr="00AB62BD" w:rsidRDefault="00C232A3" w:rsidP="00C232A3">
      <w:pPr>
        <w:pStyle w:val="ARfinbody"/>
        <w:rPr>
          <w:lang w:eastAsia="en-AU"/>
        </w:rPr>
      </w:pPr>
      <w:r w:rsidRPr="00AB62BD">
        <w:rPr>
          <w:lang w:eastAsia="en-AU"/>
        </w:rPr>
        <w:t>Loans are initially recognised at fair value plus any directly attributable transaction costs. Subsequent to initial measurement they are measured at amortised cost using the effective interest method, less any impairment.</w:t>
      </w:r>
    </w:p>
    <w:p w:rsidR="00C232A3" w:rsidRPr="00AB62BD" w:rsidRDefault="00C232A3" w:rsidP="00C232A3">
      <w:pPr>
        <w:pStyle w:val="ARfinbody"/>
        <w:rPr>
          <w:lang w:eastAsia="en-AU"/>
        </w:rPr>
      </w:pPr>
      <w:r w:rsidRPr="00554900">
        <w:rPr>
          <w:rStyle w:val="Strong"/>
        </w:rPr>
        <w:t>Defaults and breaches:</w:t>
      </w:r>
      <w:r w:rsidRPr="00AB62BD">
        <w:rPr>
          <w:lang w:eastAsia="en-AU"/>
        </w:rPr>
        <w:t xml:space="preserve"> During the current and prior year, there were no defaults and breaches o</w:t>
      </w:r>
      <w:r>
        <w:rPr>
          <w:lang w:eastAsia="en-AU"/>
        </w:rPr>
        <w:t>n</w:t>
      </w:r>
      <w:r w:rsidRPr="00AB62BD">
        <w:rPr>
          <w:lang w:eastAsia="en-AU"/>
        </w:rPr>
        <w:t xml:space="preserve"> any of the loans.</w:t>
      </w:r>
    </w:p>
    <w:p w:rsidR="00C232A3" w:rsidRPr="00D11896" w:rsidRDefault="00C232A3" w:rsidP="00C232A3">
      <w:pPr>
        <w:pStyle w:val="Heading5"/>
        <w:rPr>
          <w:rStyle w:val="Strong"/>
        </w:rPr>
      </w:pPr>
      <w:r w:rsidRPr="00D11896">
        <w:rPr>
          <w:rStyle w:val="Strong"/>
        </w:rPr>
        <w:t>6.2.1 Movement in the provision for doubtful contractual loans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7A27C7" w:rsidRDefault="00C232A3" w:rsidP="00C232A3">
            <w:pPr>
              <w:pStyle w:val="ARfintablecolheadright"/>
            </w:pPr>
          </w:p>
        </w:tc>
        <w:tc>
          <w:tcPr>
            <w:tcW w:w="1134" w:type="dxa"/>
            <w:tcBorders>
              <w:bottom w:val="single" w:sz="4" w:space="0" w:color="auto"/>
            </w:tcBorders>
            <w:shd w:val="clear" w:color="auto" w:fill="E7E6E6"/>
            <w:vAlign w:val="bottom"/>
          </w:tcPr>
          <w:p w:rsidR="00C232A3" w:rsidRPr="007A27C7" w:rsidRDefault="00C232A3" w:rsidP="00C232A3">
            <w:pPr>
              <w:pStyle w:val="ARfintablecolheadright"/>
            </w:pPr>
            <w:r w:rsidRPr="007A27C7">
              <w:t>2017</w:t>
            </w:r>
          </w:p>
          <w:p w:rsidR="00C232A3" w:rsidRPr="007A27C7" w:rsidRDefault="00C232A3" w:rsidP="00C232A3">
            <w:pPr>
              <w:pStyle w:val="ARfintablecolheadright"/>
            </w:pPr>
            <w:r w:rsidRPr="007A27C7">
              <w:t>$M</w:t>
            </w:r>
          </w:p>
        </w:tc>
        <w:tc>
          <w:tcPr>
            <w:tcW w:w="1134" w:type="dxa"/>
            <w:tcBorders>
              <w:bottom w:val="single" w:sz="4" w:space="0" w:color="auto"/>
            </w:tcBorders>
            <w:vAlign w:val="bottom"/>
          </w:tcPr>
          <w:p w:rsidR="00C232A3" w:rsidRPr="007A27C7" w:rsidRDefault="00C232A3" w:rsidP="00C232A3">
            <w:pPr>
              <w:pStyle w:val="ARfintablecolheadright"/>
            </w:pPr>
            <w:r w:rsidRPr="007A27C7">
              <w:t>2016</w:t>
            </w:r>
          </w:p>
          <w:p w:rsidR="00C232A3" w:rsidRPr="007A27C7" w:rsidRDefault="00C232A3" w:rsidP="00C232A3">
            <w:pPr>
              <w:pStyle w:val="ARfintablecolheadright"/>
            </w:pPr>
            <w:r w:rsidRPr="007A27C7">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Balance at the beginning of the year</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rStyle w:val="Strong"/>
                <w:bCs w:val="0"/>
              </w:rPr>
            </w:pPr>
            <w:r w:rsidRPr="00AB62BD">
              <w:rPr>
                <w:rStyle w:val="Strong"/>
              </w:rPr>
              <w:t>(0.3)</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rStyle w:val="Strong"/>
                <w:bCs w:val="0"/>
              </w:rPr>
            </w:pPr>
            <w:r w:rsidRPr="00AB62BD">
              <w:rPr>
                <w:rStyle w:val="Strong"/>
              </w:rPr>
              <w:t>(0.4)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(Increase)/decrease in allowance recognised in net result</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Pr>
          <w:p w:rsidR="00C232A3" w:rsidRPr="00AB62BD" w:rsidRDefault="00C232A3" w:rsidP="00C232A3">
            <w:pPr>
              <w:pStyle w:val="ARfintablebody"/>
              <w:rPr>
                <w:rStyle w:val="Strong"/>
                <w:bCs w:val="0"/>
              </w:rPr>
            </w:pPr>
            <w:r w:rsidRPr="00AB62BD">
              <w:rPr>
                <w:rStyle w:val="Strong"/>
              </w:rPr>
              <w:t>Balance at the end of the year</w:t>
            </w:r>
          </w:p>
        </w:tc>
        <w:tc>
          <w:tcPr>
            <w:tcW w:w="1134" w:type="dxa"/>
            <w:shd w:val="clear" w:color="auto" w:fill="E7E6E6"/>
          </w:tcPr>
          <w:p w:rsidR="00C232A3" w:rsidRPr="00AB62BD" w:rsidRDefault="00C232A3" w:rsidP="00C232A3">
            <w:pPr>
              <w:pStyle w:val="ARfintablebodyright"/>
              <w:rPr>
                <w:rStyle w:val="Strong"/>
                <w:bCs w:val="0"/>
              </w:rPr>
            </w:pPr>
            <w:r w:rsidRPr="00AB62BD">
              <w:rPr>
                <w:rStyle w:val="Strong"/>
              </w:rPr>
              <w:t>(0.3)</w:t>
            </w:r>
          </w:p>
        </w:tc>
        <w:tc>
          <w:tcPr>
            <w:tcW w:w="1134" w:type="dxa"/>
          </w:tcPr>
          <w:p w:rsidR="00C232A3" w:rsidRPr="00AB62BD" w:rsidRDefault="00C232A3" w:rsidP="00C232A3">
            <w:pPr>
              <w:pStyle w:val="ARfintablebodyright"/>
              <w:rPr>
                <w:rStyle w:val="Strong"/>
                <w:bCs w:val="0"/>
              </w:rPr>
            </w:pPr>
            <w:r w:rsidRPr="00AB62BD">
              <w:rPr>
                <w:rStyle w:val="Strong"/>
              </w:rPr>
              <w:t>(0.3)</w:t>
            </w:r>
          </w:p>
        </w:tc>
      </w:tr>
    </w:tbl>
    <w:p w:rsidR="00C232A3" w:rsidRPr="00AB62BD" w:rsidRDefault="00C232A3" w:rsidP="00C232A3">
      <w:pPr>
        <w:pStyle w:val="ARfinbodyaftertable"/>
      </w:pPr>
      <w:r w:rsidRPr="00AB62BD">
        <w:t>Loans are assessed for bad and doubtful debts on a regular basis.</w:t>
      </w:r>
    </w:p>
    <w:p w:rsidR="00C232A3" w:rsidRPr="00AB62BD" w:rsidRDefault="00C232A3" w:rsidP="00C232A3">
      <w:pPr>
        <w:pStyle w:val="ARfinbody"/>
        <w:rPr>
          <w:lang w:eastAsia="en-AU"/>
        </w:rPr>
      </w:pPr>
      <w:r w:rsidRPr="00AB62BD">
        <w:rPr>
          <w:lang w:eastAsia="en-AU"/>
        </w:rPr>
        <w:t>A provision for doubtful contractual loans is recognised when there is objective evidence that the debts may not be collected and bad debts a</w:t>
      </w:r>
      <w:r>
        <w:rPr>
          <w:lang w:eastAsia="en-AU"/>
        </w:rPr>
        <w:t>re written off when identified.</w:t>
      </w:r>
    </w:p>
    <w:p w:rsidR="00C232A3" w:rsidRDefault="00C232A3" w:rsidP="00C232A3">
      <w:pPr>
        <w:pStyle w:val="ARfinbody"/>
        <w:rPr>
          <w:rStyle w:val="Strong"/>
          <w:rFonts w:cs="Arial"/>
          <w:bCs w:val="0"/>
        </w:rPr>
        <w:sectPr w:rsidR="00C232A3" w:rsidSect="00C232A3">
          <w:headerReference w:type="even" r:id="rId124"/>
          <w:headerReference w:type="default" r:id="rId125"/>
          <w:footerReference w:type="even" r:id="rId126"/>
          <w:footerReference w:type="default" r:id="rId127"/>
          <w:headerReference w:type="first" r:id="rId128"/>
          <w:footerReference w:type="first" r:id="rId129"/>
          <w:endnotePr>
            <w:numFmt w:val="decimal"/>
          </w:endnotePr>
          <w:pgSz w:w="11900" w:h="16840" w:code="9"/>
          <w:pgMar w:top="1531" w:right="851" w:bottom="680" w:left="1418" w:header="510" w:footer="340" w:gutter="0"/>
          <w:cols w:space="454"/>
        </w:sectPr>
      </w:pPr>
    </w:p>
    <w:p w:rsidR="00C232A3" w:rsidRPr="00D11896" w:rsidRDefault="00C232A3" w:rsidP="00C232A3">
      <w:pPr>
        <w:pStyle w:val="Heading5"/>
        <w:spacing w:before="0"/>
        <w:rPr>
          <w:rStyle w:val="Strong"/>
        </w:rPr>
      </w:pPr>
      <w:r w:rsidRPr="00D11896">
        <w:rPr>
          <w:rStyle w:val="Strong"/>
        </w:rPr>
        <w:lastRenderedPageBreak/>
        <w:t>6.2.2 Ageing analysis of contractual loans</w:t>
      </w:r>
    </w:p>
    <w:tbl>
      <w:tblPr>
        <w:tblW w:w="1446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253"/>
        <w:gridCol w:w="1701"/>
        <w:gridCol w:w="1702"/>
        <w:gridCol w:w="1702"/>
        <w:gridCol w:w="1702"/>
        <w:gridCol w:w="1702"/>
        <w:gridCol w:w="1702"/>
      </w:tblGrid>
      <w:tr w:rsidR="00C232A3" w:rsidRPr="00AB62BD" w:rsidTr="00C232A3">
        <w:trPr>
          <w:cantSplit/>
          <w:tblHeader/>
        </w:trPr>
        <w:tc>
          <w:tcPr>
            <w:tcW w:w="3344" w:type="dxa"/>
            <w:vMerge w:val="restart"/>
            <w:vAlign w:val="bottom"/>
          </w:tcPr>
          <w:p w:rsidR="00C232A3" w:rsidRPr="00AB62BD" w:rsidRDefault="00C232A3" w:rsidP="00C232A3">
            <w:pPr>
              <w:autoSpaceDE w:val="0"/>
              <w:autoSpaceDN w:val="0"/>
              <w:adjustRightInd w:val="0"/>
              <w:spacing w:beforeLines="40" w:before="96" w:afterLines="20" w:after="48"/>
              <w:rPr>
                <w:rFonts w:cs="Arial"/>
                <w:color w:val="000000"/>
                <w:sz w:val="16"/>
                <w:szCs w:val="16"/>
                <w:lang w:eastAsia="en-AU"/>
              </w:rPr>
            </w:pPr>
          </w:p>
        </w:tc>
        <w:tc>
          <w:tcPr>
            <w:tcW w:w="1701" w:type="dxa"/>
            <w:vMerge w:val="restart"/>
            <w:vAlign w:val="bottom"/>
          </w:tcPr>
          <w:p w:rsidR="00C232A3" w:rsidRPr="008174C7" w:rsidRDefault="00C232A3" w:rsidP="00C232A3">
            <w:pPr>
              <w:pStyle w:val="ARfintablecolheadright"/>
            </w:pPr>
            <w:r w:rsidRPr="008174C7">
              <w:t>Carrying amount</w:t>
            </w:r>
          </w:p>
          <w:p w:rsidR="00C232A3" w:rsidRPr="008174C7" w:rsidRDefault="00C232A3" w:rsidP="00C232A3">
            <w:pPr>
              <w:pStyle w:val="ARfintablecolheadright"/>
            </w:pPr>
            <w:r w:rsidRPr="008174C7">
              <w:t>$M</w:t>
            </w:r>
          </w:p>
        </w:tc>
        <w:tc>
          <w:tcPr>
            <w:tcW w:w="1701" w:type="dxa"/>
            <w:vMerge w:val="restart"/>
            <w:vAlign w:val="bottom"/>
          </w:tcPr>
          <w:p w:rsidR="00C232A3" w:rsidRPr="008174C7" w:rsidRDefault="00C232A3" w:rsidP="00C232A3">
            <w:pPr>
              <w:pStyle w:val="ARfintablecolheadright"/>
            </w:pPr>
            <w:r w:rsidRPr="008174C7">
              <w:t>Not past due and not impaired</w:t>
            </w:r>
          </w:p>
          <w:p w:rsidR="00C232A3" w:rsidRPr="008174C7" w:rsidRDefault="00C232A3" w:rsidP="00C232A3">
            <w:pPr>
              <w:pStyle w:val="ARfintablecolheadright"/>
            </w:pPr>
            <w:r w:rsidRPr="008174C7">
              <w:t>$M</w:t>
            </w:r>
          </w:p>
        </w:tc>
        <w:tc>
          <w:tcPr>
            <w:tcW w:w="1701" w:type="dxa"/>
            <w:gridSpan w:val="4"/>
            <w:vAlign w:val="bottom"/>
          </w:tcPr>
          <w:p w:rsidR="00C232A3" w:rsidRPr="008174C7" w:rsidRDefault="00C232A3" w:rsidP="00C232A3">
            <w:pPr>
              <w:pStyle w:val="ARfintablecolheadcentre"/>
            </w:pPr>
            <w:r w:rsidRPr="008174C7">
              <w:t>Past due but not impaired</w:t>
            </w:r>
          </w:p>
        </w:tc>
      </w:tr>
      <w:tr w:rsidR="00C232A3" w:rsidRPr="00AB62BD" w:rsidTr="00C232A3">
        <w:trPr>
          <w:cantSplit/>
          <w:tblHeader/>
        </w:trPr>
        <w:tc>
          <w:tcPr>
            <w:tcW w:w="3344"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center"/>
              <w:rPr>
                <w:rFonts w:cs="Arial"/>
                <w:b/>
                <w:bCs/>
                <w:color w:val="000000"/>
                <w:sz w:val="16"/>
                <w:szCs w:val="16"/>
                <w:lang w:eastAsia="en-AU"/>
              </w:rPr>
            </w:pPr>
          </w:p>
        </w:tc>
        <w:tc>
          <w:tcPr>
            <w:tcW w:w="1701"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701"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701" w:type="dxa"/>
            <w:tcBorders>
              <w:bottom w:val="single" w:sz="4" w:space="0" w:color="auto"/>
            </w:tcBorders>
            <w:vAlign w:val="bottom"/>
          </w:tcPr>
          <w:p w:rsidR="00C232A3" w:rsidRPr="008174C7" w:rsidRDefault="00C232A3" w:rsidP="00C232A3">
            <w:pPr>
              <w:pStyle w:val="ARfintablecolheadright"/>
            </w:pPr>
            <w:r w:rsidRPr="008174C7">
              <w:t>Less than 1 month</w:t>
            </w:r>
          </w:p>
          <w:p w:rsidR="00C232A3" w:rsidRPr="008174C7" w:rsidRDefault="00C232A3" w:rsidP="00C232A3">
            <w:pPr>
              <w:pStyle w:val="ARfintablecolheadright"/>
            </w:pPr>
            <w:r w:rsidRPr="008174C7">
              <w:t>$M</w:t>
            </w:r>
          </w:p>
        </w:tc>
        <w:tc>
          <w:tcPr>
            <w:tcW w:w="1701" w:type="dxa"/>
            <w:tcBorders>
              <w:bottom w:val="single" w:sz="4" w:space="0" w:color="auto"/>
            </w:tcBorders>
            <w:vAlign w:val="bottom"/>
          </w:tcPr>
          <w:p w:rsidR="00C232A3" w:rsidRPr="008174C7" w:rsidRDefault="00C232A3" w:rsidP="00C232A3">
            <w:pPr>
              <w:pStyle w:val="ARfintablecolheadright"/>
            </w:pPr>
            <w:r w:rsidRPr="008174C7">
              <w:t>1–3 months</w:t>
            </w:r>
          </w:p>
          <w:p w:rsidR="00C232A3" w:rsidRPr="008174C7" w:rsidRDefault="00C232A3" w:rsidP="00C232A3">
            <w:pPr>
              <w:pStyle w:val="ARfintablecolheadright"/>
            </w:pPr>
            <w:r w:rsidRPr="008174C7">
              <w:t>$M</w:t>
            </w:r>
          </w:p>
        </w:tc>
        <w:tc>
          <w:tcPr>
            <w:tcW w:w="1701" w:type="dxa"/>
            <w:tcBorders>
              <w:bottom w:val="single" w:sz="4" w:space="0" w:color="auto"/>
            </w:tcBorders>
            <w:vAlign w:val="bottom"/>
          </w:tcPr>
          <w:p w:rsidR="00C232A3" w:rsidRPr="008174C7" w:rsidRDefault="00C232A3" w:rsidP="00C232A3">
            <w:pPr>
              <w:pStyle w:val="ARfintablecolheadright"/>
            </w:pPr>
            <w:r w:rsidRPr="008174C7">
              <w:t>3 months – 1 year</w:t>
            </w:r>
          </w:p>
          <w:p w:rsidR="00C232A3" w:rsidRPr="008174C7" w:rsidRDefault="00C232A3" w:rsidP="00C232A3">
            <w:pPr>
              <w:pStyle w:val="ARfintablecolheadright"/>
            </w:pPr>
            <w:r w:rsidRPr="008174C7">
              <w:t>$M</w:t>
            </w:r>
          </w:p>
        </w:tc>
        <w:tc>
          <w:tcPr>
            <w:tcW w:w="1701" w:type="dxa"/>
            <w:tcBorders>
              <w:bottom w:val="single" w:sz="4" w:space="0" w:color="auto"/>
            </w:tcBorders>
            <w:vAlign w:val="bottom"/>
          </w:tcPr>
          <w:p w:rsidR="00C232A3" w:rsidRPr="008174C7" w:rsidRDefault="00C232A3" w:rsidP="00C232A3">
            <w:pPr>
              <w:pStyle w:val="ARfintablecolheadright"/>
            </w:pPr>
            <w:r w:rsidRPr="008174C7">
              <w:t>1–5 years</w:t>
            </w:r>
          </w:p>
          <w:p w:rsidR="00C232A3" w:rsidRPr="008174C7" w:rsidRDefault="00C232A3" w:rsidP="00C232A3">
            <w:pPr>
              <w:pStyle w:val="ARfintablecolheadright"/>
            </w:pPr>
            <w:r w:rsidRPr="008174C7">
              <w:t>$M</w:t>
            </w:r>
          </w:p>
        </w:tc>
      </w:tr>
      <w:tr w:rsidR="00C232A3" w:rsidRPr="00AB62BD" w:rsidTr="00C232A3">
        <w:trPr>
          <w:cantSplit/>
        </w:trPr>
        <w:tc>
          <w:tcPr>
            <w:tcW w:w="4253"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rStyle w:val="Strong"/>
              </w:rPr>
              <w:t>2017</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25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Loans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80.7</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72.2</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8.4</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r>
      <w:tr w:rsidR="00C232A3" w:rsidRPr="00AB62BD" w:rsidTr="00C232A3">
        <w:trPr>
          <w:cantSplit/>
        </w:trPr>
        <w:tc>
          <w:tcPr>
            <w:tcW w:w="425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w:t>
            </w:r>
          </w:p>
        </w:tc>
        <w:tc>
          <w:tcPr>
            <w:tcW w:w="1701" w:type="dxa"/>
            <w:tcBorders>
              <w:bottom w:val="single" w:sz="4" w:space="0" w:color="auto"/>
            </w:tcBorders>
          </w:tcPr>
          <w:p w:rsidR="00C232A3" w:rsidRPr="00AB62BD" w:rsidRDefault="00C232A3" w:rsidP="00C232A3">
            <w:pPr>
              <w:pStyle w:val="ARfintablebodyright"/>
              <w:rPr>
                <w:b/>
                <w:bCs/>
                <w:lang w:eastAsia="en-AU"/>
              </w:rPr>
            </w:pPr>
            <w:r>
              <w:rPr>
                <w:rStyle w:val="Strong"/>
              </w:rPr>
              <w:t>80.7</w:t>
            </w:r>
          </w:p>
        </w:tc>
        <w:tc>
          <w:tcPr>
            <w:tcW w:w="1701" w:type="dxa"/>
            <w:tcBorders>
              <w:bottom w:val="single" w:sz="4" w:space="0" w:color="auto"/>
            </w:tcBorders>
          </w:tcPr>
          <w:p w:rsidR="00C232A3" w:rsidRPr="00AB62BD" w:rsidRDefault="00C232A3" w:rsidP="00C232A3">
            <w:pPr>
              <w:pStyle w:val="ARfintablebodyright"/>
              <w:rPr>
                <w:b/>
                <w:bCs/>
                <w:lang w:eastAsia="en-AU"/>
              </w:rPr>
            </w:pPr>
            <w:r>
              <w:rPr>
                <w:rStyle w:val="Strong"/>
              </w:rPr>
              <w:t>72.2</w:t>
            </w:r>
          </w:p>
        </w:tc>
        <w:tc>
          <w:tcPr>
            <w:tcW w:w="1701" w:type="dxa"/>
            <w:tcBorders>
              <w:bottom w:val="single" w:sz="4" w:space="0" w:color="auto"/>
            </w:tcBorders>
          </w:tcPr>
          <w:p w:rsidR="00C232A3" w:rsidRPr="00B56AFE" w:rsidRDefault="00C232A3" w:rsidP="00C232A3">
            <w:pPr>
              <w:pStyle w:val="ARfintablebodyright"/>
              <w:rPr>
                <w:rStyle w:val="Strong"/>
              </w:rPr>
            </w:pPr>
            <w:r w:rsidRPr="00B56AFE">
              <w:rPr>
                <w:rStyle w:val="Strong"/>
              </w:rPr>
              <w:t>–</w:t>
            </w:r>
          </w:p>
        </w:tc>
        <w:tc>
          <w:tcPr>
            <w:tcW w:w="1701" w:type="dxa"/>
            <w:tcBorders>
              <w:bottom w:val="single" w:sz="4" w:space="0" w:color="auto"/>
            </w:tcBorders>
          </w:tcPr>
          <w:p w:rsidR="00C232A3" w:rsidRPr="00B56AFE" w:rsidRDefault="00C232A3" w:rsidP="00C232A3">
            <w:pPr>
              <w:pStyle w:val="ARfintablebodyright"/>
              <w:rPr>
                <w:rStyle w:val="Strong"/>
              </w:rPr>
            </w:pPr>
            <w:r w:rsidRPr="00B56AFE">
              <w:rPr>
                <w:rStyle w:val="Strong"/>
              </w:rPr>
              <w:t>–</w:t>
            </w:r>
          </w:p>
        </w:tc>
        <w:tc>
          <w:tcPr>
            <w:tcW w:w="1701" w:type="dxa"/>
            <w:tcBorders>
              <w:bottom w:val="single" w:sz="4" w:space="0" w:color="auto"/>
            </w:tcBorders>
          </w:tcPr>
          <w:p w:rsidR="00C232A3" w:rsidRPr="00B56AFE" w:rsidRDefault="00C232A3" w:rsidP="00C232A3">
            <w:pPr>
              <w:pStyle w:val="ARfintablebodyright"/>
              <w:rPr>
                <w:rStyle w:val="Strong"/>
              </w:rPr>
            </w:pPr>
            <w:r w:rsidRPr="00B56AFE">
              <w:rPr>
                <w:rStyle w:val="Strong"/>
              </w:rPr>
              <w:t>8.4</w:t>
            </w:r>
          </w:p>
        </w:tc>
        <w:tc>
          <w:tcPr>
            <w:tcW w:w="1701" w:type="dxa"/>
            <w:tcBorders>
              <w:bottom w:val="single" w:sz="4" w:space="0" w:color="auto"/>
            </w:tcBorders>
          </w:tcPr>
          <w:p w:rsidR="00C232A3" w:rsidRPr="00B56AFE" w:rsidRDefault="00C232A3" w:rsidP="00C232A3">
            <w:pPr>
              <w:pStyle w:val="ARfintablebodyright"/>
              <w:rPr>
                <w:rStyle w:val="Strong"/>
              </w:rPr>
            </w:pPr>
            <w:r w:rsidRPr="00B56AFE">
              <w:rPr>
                <w:rStyle w:val="Strong"/>
              </w:rPr>
              <w:t>–</w:t>
            </w:r>
          </w:p>
        </w:tc>
      </w:tr>
      <w:tr w:rsidR="00C232A3" w:rsidRPr="00AB62BD" w:rsidTr="00C232A3">
        <w:trPr>
          <w:cantSplit/>
        </w:trPr>
        <w:tc>
          <w:tcPr>
            <w:tcW w:w="4253" w:type="dxa"/>
            <w:tcBorders>
              <w:top w:val="single" w:sz="4" w:space="0" w:color="auto"/>
              <w:bottom w:val="single" w:sz="4" w:space="0" w:color="A6A6A6" w:themeColor="background1" w:themeShade="A6"/>
            </w:tcBorders>
          </w:tcPr>
          <w:p w:rsidR="00C232A3" w:rsidRPr="00AB62BD" w:rsidRDefault="00C232A3" w:rsidP="00C232A3">
            <w:pPr>
              <w:pStyle w:val="ARfintablebody"/>
              <w:tabs>
                <w:tab w:val="left" w:pos="720"/>
              </w:tabs>
              <w:rPr>
                <w:bCs/>
                <w:lang w:eastAsia="en-AU"/>
              </w:rPr>
            </w:pPr>
            <w:r w:rsidRPr="00AB62BD">
              <w:rPr>
                <w:rStyle w:val="Strong"/>
              </w:rPr>
              <w:t>2016</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425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Loans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82.9</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45.6</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29.8</w:t>
            </w:r>
          </w:p>
        </w:tc>
      </w:tr>
      <w:tr w:rsidR="00C232A3" w:rsidRPr="00AB62BD" w:rsidTr="00C232A3">
        <w:trPr>
          <w:cantSplit/>
        </w:trPr>
        <w:tc>
          <w:tcPr>
            <w:tcW w:w="4253" w:type="dxa"/>
          </w:tcPr>
          <w:p w:rsidR="00C232A3" w:rsidRPr="00AB62BD" w:rsidRDefault="00C232A3" w:rsidP="00C232A3">
            <w:pPr>
              <w:pStyle w:val="ARfintablebody"/>
              <w:rPr>
                <w:bCs/>
                <w:lang w:eastAsia="en-AU"/>
              </w:rPr>
            </w:pPr>
            <w:r w:rsidRPr="00AB62BD">
              <w:rPr>
                <w:rStyle w:val="Strong"/>
              </w:rPr>
              <w:t>Total</w:t>
            </w:r>
          </w:p>
        </w:tc>
        <w:tc>
          <w:tcPr>
            <w:tcW w:w="1701" w:type="dxa"/>
          </w:tcPr>
          <w:p w:rsidR="00C232A3" w:rsidRPr="00AB62BD" w:rsidRDefault="00C232A3" w:rsidP="00C232A3">
            <w:pPr>
              <w:pStyle w:val="ARfintablebodyright"/>
              <w:rPr>
                <w:b/>
                <w:bCs/>
                <w:lang w:eastAsia="en-AU"/>
              </w:rPr>
            </w:pPr>
            <w:r>
              <w:rPr>
                <w:rStyle w:val="Strong"/>
              </w:rPr>
              <w:t>82.9</w:t>
            </w:r>
          </w:p>
        </w:tc>
        <w:tc>
          <w:tcPr>
            <w:tcW w:w="1701" w:type="dxa"/>
          </w:tcPr>
          <w:p w:rsidR="00C232A3" w:rsidRPr="00AB62BD" w:rsidRDefault="00C232A3" w:rsidP="00C232A3">
            <w:pPr>
              <w:pStyle w:val="ARfintablebodyright"/>
              <w:rPr>
                <w:b/>
                <w:bCs/>
                <w:lang w:eastAsia="en-AU"/>
              </w:rPr>
            </w:pPr>
            <w:r w:rsidRPr="00AB62BD">
              <w:rPr>
                <w:rStyle w:val="Strong"/>
              </w:rPr>
              <w:t>45.6</w:t>
            </w:r>
          </w:p>
        </w:tc>
        <w:tc>
          <w:tcPr>
            <w:tcW w:w="1701" w:type="dxa"/>
          </w:tcPr>
          <w:p w:rsidR="00C232A3" w:rsidRPr="00AB62BD" w:rsidRDefault="00C232A3" w:rsidP="00C232A3">
            <w:pPr>
              <w:pStyle w:val="ARfintablebodyright"/>
              <w:rPr>
                <w:b/>
                <w:bCs/>
                <w:lang w:eastAsia="en-AU"/>
              </w:rPr>
            </w:pPr>
            <w:r w:rsidRPr="00AB62BD">
              <w:rPr>
                <w:rStyle w:val="Strong"/>
              </w:rPr>
              <w:t>–</w:t>
            </w:r>
          </w:p>
        </w:tc>
        <w:tc>
          <w:tcPr>
            <w:tcW w:w="1701" w:type="dxa"/>
          </w:tcPr>
          <w:p w:rsidR="00C232A3" w:rsidRPr="00AB62BD" w:rsidRDefault="00C232A3" w:rsidP="00C232A3">
            <w:pPr>
              <w:pStyle w:val="ARfintablebodyright"/>
              <w:rPr>
                <w:b/>
                <w:bCs/>
                <w:lang w:eastAsia="en-AU"/>
              </w:rPr>
            </w:pPr>
            <w:r w:rsidRPr="00AB62BD">
              <w:rPr>
                <w:rStyle w:val="Strong"/>
              </w:rPr>
              <w:t>–</w:t>
            </w:r>
          </w:p>
        </w:tc>
        <w:tc>
          <w:tcPr>
            <w:tcW w:w="1701" w:type="dxa"/>
          </w:tcPr>
          <w:p w:rsidR="00C232A3" w:rsidRPr="00AB62BD" w:rsidRDefault="00C232A3" w:rsidP="00C232A3">
            <w:pPr>
              <w:pStyle w:val="ARfintablebodyright"/>
              <w:rPr>
                <w:b/>
                <w:bCs/>
                <w:lang w:eastAsia="en-AU"/>
              </w:rPr>
            </w:pPr>
            <w:r w:rsidRPr="00AB62BD">
              <w:rPr>
                <w:rStyle w:val="Strong"/>
              </w:rPr>
              <w:t>7.5</w:t>
            </w:r>
          </w:p>
        </w:tc>
        <w:tc>
          <w:tcPr>
            <w:tcW w:w="1701" w:type="dxa"/>
          </w:tcPr>
          <w:p w:rsidR="00C232A3" w:rsidRPr="00AB62BD" w:rsidRDefault="00C232A3" w:rsidP="00C232A3">
            <w:pPr>
              <w:pStyle w:val="ARfintablebodyright"/>
              <w:rPr>
                <w:b/>
                <w:bCs/>
                <w:lang w:eastAsia="en-AU"/>
              </w:rPr>
            </w:pPr>
            <w:r w:rsidRPr="00AB62BD">
              <w:rPr>
                <w:rStyle w:val="Strong"/>
              </w:rPr>
              <w:t>29.8</w:t>
            </w:r>
          </w:p>
        </w:tc>
      </w:tr>
    </w:tbl>
    <w:p w:rsidR="00C232A3" w:rsidRPr="00AB62BD" w:rsidRDefault="00C232A3" w:rsidP="00C232A3">
      <w:pPr>
        <w:pStyle w:val="ARfinbody"/>
        <w:rPr>
          <w:lang w:eastAsia="en-AU"/>
        </w:rPr>
      </w:pPr>
    </w:p>
    <w:p w:rsidR="00C232A3" w:rsidRDefault="00C232A3" w:rsidP="00C232A3">
      <w:pPr>
        <w:pStyle w:val="ARfinbody"/>
        <w:rPr>
          <w:lang w:eastAsia="en-AU"/>
        </w:rPr>
        <w:sectPr w:rsidR="00C232A3" w:rsidSect="00C232A3">
          <w:headerReference w:type="even" r:id="rId130"/>
          <w:headerReference w:type="default" r:id="rId131"/>
          <w:endnotePr>
            <w:numFmt w:val="decimal"/>
          </w:endnotePr>
          <w:pgSz w:w="16840" w:h="11900" w:orient="landscape" w:code="9"/>
          <w:pgMar w:top="1418" w:right="1531" w:bottom="851" w:left="851" w:header="794" w:footer="340" w:gutter="0"/>
          <w:cols w:space="454"/>
          <w:docGrid w:linePitch="272"/>
        </w:sectPr>
      </w:pPr>
    </w:p>
    <w:p w:rsidR="00C232A3" w:rsidRPr="00554900" w:rsidRDefault="00C232A3" w:rsidP="00C232A3">
      <w:pPr>
        <w:pStyle w:val="Heading4"/>
        <w:spacing w:before="0"/>
      </w:pPr>
      <w:r w:rsidRPr="00554900">
        <w:lastRenderedPageBreak/>
        <w:t>6.3 Prepayments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134" w:type="dxa"/>
            <w:shd w:val="clear" w:color="auto" w:fill="E7E6E6"/>
            <w:vAlign w:val="bottom"/>
          </w:tcPr>
          <w:p w:rsidR="00C232A3" w:rsidRPr="00341D68" w:rsidRDefault="00C232A3" w:rsidP="00C232A3">
            <w:pPr>
              <w:pStyle w:val="ARfintablecolheadright"/>
            </w:pPr>
            <w:r w:rsidRPr="00341D68">
              <w:t>2017</w:t>
            </w:r>
          </w:p>
          <w:p w:rsidR="00C232A3" w:rsidRPr="00341D68" w:rsidRDefault="00C232A3" w:rsidP="00C232A3">
            <w:pPr>
              <w:pStyle w:val="ARfintablecolheadright"/>
            </w:pPr>
            <w:r w:rsidRPr="00341D68">
              <w:t>$M</w:t>
            </w:r>
          </w:p>
        </w:tc>
        <w:tc>
          <w:tcPr>
            <w:tcW w:w="1134" w:type="dxa"/>
            <w:vAlign w:val="bottom"/>
          </w:tcPr>
          <w:p w:rsidR="00C232A3" w:rsidRPr="00341D68" w:rsidRDefault="00C232A3" w:rsidP="00C232A3">
            <w:pPr>
              <w:pStyle w:val="ARfintablecolheadright"/>
            </w:pPr>
            <w:r w:rsidRPr="00341D68">
              <w:t>2016</w:t>
            </w:r>
          </w:p>
          <w:p w:rsidR="00C232A3" w:rsidRPr="00341D68" w:rsidRDefault="00C232A3" w:rsidP="00C232A3">
            <w:pPr>
              <w:pStyle w:val="ARfintablecolheadright"/>
            </w:pPr>
            <w:r w:rsidRPr="00341D68">
              <w:t>$M</w:t>
            </w:r>
          </w:p>
        </w:tc>
      </w:tr>
      <w:tr w:rsidR="00C232A3" w:rsidRPr="00AB62BD" w:rsidTr="00C232A3">
        <w:trPr>
          <w:cantSplit/>
        </w:trPr>
        <w:tc>
          <w:tcPr>
            <w:tcW w:w="7371" w:type="dxa"/>
          </w:tcPr>
          <w:p w:rsidR="00C232A3" w:rsidRPr="00AB62BD" w:rsidRDefault="00C232A3" w:rsidP="00C232A3">
            <w:pPr>
              <w:pStyle w:val="ARfintablebody"/>
              <w:rPr>
                <w:lang w:eastAsia="en-AU"/>
              </w:rPr>
            </w:pPr>
            <w:r w:rsidRPr="00AB62BD">
              <w:rPr>
                <w:lang w:eastAsia="en-AU"/>
              </w:rPr>
              <w:t>Prepayments</w:t>
            </w:r>
          </w:p>
        </w:tc>
        <w:tc>
          <w:tcPr>
            <w:tcW w:w="1134" w:type="dxa"/>
            <w:shd w:val="clear" w:color="auto" w:fill="E7E6E6"/>
          </w:tcPr>
          <w:p w:rsidR="00C232A3" w:rsidRPr="00AB62BD" w:rsidRDefault="00C232A3" w:rsidP="00C232A3">
            <w:pPr>
              <w:pStyle w:val="ARfintablebodyright"/>
              <w:rPr>
                <w:lang w:eastAsia="en-AU"/>
              </w:rPr>
            </w:pPr>
            <w:r w:rsidRPr="00AB62BD">
              <w:rPr>
                <w:lang w:eastAsia="en-AU"/>
              </w:rPr>
              <w:t>14.1</w:t>
            </w:r>
          </w:p>
        </w:tc>
        <w:tc>
          <w:tcPr>
            <w:tcW w:w="1134" w:type="dxa"/>
          </w:tcPr>
          <w:p w:rsidR="00C232A3" w:rsidRPr="00AB62BD" w:rsidRDefault="00C232A3" w:rsidP="00C232A3">
            <w:pPr>
              <w:pStyle w:val="ARfintablebodyright"/>
              <w:rPr>
                <w:lang w:eastAsia="en-AU"/>
              </w:rPr>
            </w:pPr>
            <w:r w:rsidRPr="00AB62BD">
              <w:rPr>
                <w:lang w:eastAsia="en-AU"/>
              </w:rPr>
              <w:t>11.4</w:t>
            </w:r>
          </w:p>
        </w:tc>
      </w:tr>
    </w:tbl>
    <w:p w:rsidR="00C232A3" w:rsidRPr="00AB62BD" w:rsidRDefault="00C232A3" w:rsidP="00C232A3">
      <w:pPr>
        <w:pStyle w:val="ARfinbodyaftertable"/>
      </w:pPr>
      <w:r w:rsidRPr="00AB62BD">
        <w:t>Prepayments represent payments in advance of receipt of goods and services or that part of expenditure made in one accounting period covering a term extending beyond that period.</w:t>
      </w:r>
    </w:p>
    <w:p w:rsidR="00C232A3" w:rsidRPr="00554900" w:rsidRDefault="00C232A3" w:rsidP="00C232A3">
      <w:pPr>
        <w:pStyle w:val="Heading4"/>
      </w:pPr>
      <w:r w:rsidRPr="00554900">
        <w:t>6.4 Payables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341D68" w:rsidRDefault="00C232A3" w:rsidP="00C232A3">
            <w:pPr>
              <w:pStyle w:val="ARfintablecolheadright"/>
            </w:pPr>
          </w:p>
        </w:tc>
        <w:tc>
          <w:tcPr>
            <w:tcW w:w="1134" w:type="dxa"/>
            <w:tcBorders>
              <w:bottom w:val="single" w:sz="4" w:space="0" w:color="auto"/>
            </w:tcBorders>
            <w:shd w:val="clear" w:color="auto" w:fill="E7E6E6"/>
            <w:vAlign w:val="bottom"/>
          </w:tcPr>
          <w:p w:rsidR="00C232A3" w:rsidRPr="00341D68" w:rsidRDefault="00C232A3" w:rsidP="00C232A3">
            <w:pPr>
              <w:pStyle w:val="ARfintablecolheadright"/>
            </w:pPr>
            <w:r w:rsidRPr="00341D68">
              <w:t>2017</w:t>
            </w:r>
          </w:p>
          <w:p w:rsidR="00C232A3" w:rsidRPr="00341D68" w:rsidRDefault="00C232A3" w:rsidP="00C232A3">
            <w:pPr>
              <w:pStyle w:val="ARfintablecolheadright"/>
            </w:pPr>
            <w:r w:rsidRPr="00341D68">
              <w:t>$M</w:t>
            </w:r>
          </w:p>
        </w:tc>
        <w:tc>
          <w:tcPr>
            <w:tcW w:w="1134" w:type="dxa"/>
            <w:tcBorders>
              <w:bottom w:val="single" w:sz="4" w:space="0" w:color="auto"/>
            </w:tcBorders>
            <w:vAlign w:val="bottom"/>
          </w:tcPr>
          <w:p w:rsidR="00C232A3" w:rsidRPr="00341D68" w:rsidRDefault="00C232A3" w:rsidP="00C232A3">
            <w:pPr>
              <w:pStyle w:val="ARfintablecolheadright"/>
            </w:pPr>
            <w:r w:rsidRPr="00341D68">
              <w:t>2016</w:t>
            </w:r>
          </w:p>
          <w:p w:rsidR="00C232A3" w:rsidRPr="00341D68" w:rsidRDefault="00C232A3" w:rsidP="00C232A3">
            <w:pPr>
              <w:pStyle w:val="ARfintablecolheadright"/>
            </w:pPr>
            <w:r w:rsidRPr="00341D68">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Current payables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Statutory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FBT </w:t>
            </w:r>
            <w:r>
              <w:rPr>
                <w:lang w:eastAsia="en-AU"/>
              </w:rPr>
              <w:t>payable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Employee benefits payable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20.7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Supplies and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66.7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59.9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Amounts payable to government agencies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393.8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244.8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Concession payments to pensioners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114.5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114.7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Tenants in advance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24.2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works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27.8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22.6</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21.3</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42.6</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current payables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670.5</w:t>
            </w:r>
          </w:p>
        </w:tc>
        <w:tc>
          <w:tcPr>
            <w:tcW w:w="1134" w:type="dxa"/>
            <w:tcBorders>
              <w:bottom w:val="single" w:sz="4" w:space="0" w:color="auto"/>
            </w:tcBorders>
          </w:tcPr>
          <w:p w:rsidR="00C232A3" w:rsidRPr="00AB62BD" w:rsidRDefault="00C232A3" w:rsidP="00C232A3">
            <w:pPr>
              <w:pStyle w:val="ARfintablebodyright"/>
              <w:rPr>
                <w:rStyle w:val="Strong"/>
                <w:bCs w:val="0"/>
              </w:rPr>
            </w:pPr>
            <w:r w:rsidRPr="00AB62BD">
              <w:rPr>
                <w:rStyle w:val="Strong"/>
              </w:rPr>
              <w:t>516.4</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Non-current payables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Emphasis"/>
                <w:iCs w:val="0"/>
              </w:rPr>
            </w:pPr>
            <w:r w:rsidRPr="00AB62B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Amounts payable to government agencies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537.3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437.9</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0.8</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non-current payables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538.1</w:t>
            </w:r>
          </w:p>
        </w:tc>
        <w:tc>
          <w:tcPr>
            <w:tcW w:w="1134" w:type="dxa"/>
          </w:tcPr>
          <w:p w:rsidR="00C232A3" w:rsidRPr="00AB62BD" w:rsidRDefault="00C232A3" w:rsidP="00C232A3">
            <w:pPr>
              <w:pStyle w:val="ARfintablebodyright"/>
              <w:rPr>
                <w:rStyle w:val="Strong"/>
                <w:bCs w:val="0"/>
              </w:rPr>
            </w:pPr>
            <w:r w:rsidRPr="00AB62BD">
              <w:rPr>
                <w:rStyle w:val="Strong"/>
              </w:rPr>
              <w:t>438.6</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payables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1,208.6</w:t>
            </w:r>
          </w:p>
        </w:tc>
        <w:tc>
          <w:tcPr>
            <w:tcW w:w="1134" w:type="dxa"/>
          </w:tcPr>
          <w:p w:rsidR="00C232A3" w:rsidRPr="00AB62BD" w:rsidRDefault="00C232A3" w:rsidP="00C232A3">
            <w:pPr>
              <w:pStyle w:val="ARfintablebodyright"/>
              <w:rPr>
                <w:rStyle w:val="Strong"/>
                <w:bCs w:val="0"/>
              </w:rPr>
            </w:pPr>
            <w:r w:rsidRPr="00AB62BD">
              <w:rPr>
                <w:rStyle w:val="Strong"/>
              </w:rPr>
              <w:t>955.0</w:t>
            </w:r>
          </w:p>
        </w:tc>
      </w:tr>
    </w:tbl>
    <w:p w:rsidR="00C232A3" w:rsidRPr="00AB62BD" w:rsidRDefault="00C232A3" w:rsidP="00C232A3">
      <w:pPr>
        <w:pStyle w:val="ARfinbodyaftertable"/>
      </w:pPr>
      <w:r w:rsidRPr="00AB62BD">
        <w:t>Payables consist of:</w:t>
      </w:r>
    </w:p>
    <w:p w:rsidR="00C232A3" w:rsidRPr="00AB62BD" w:rsidRDefault="00C232A3" w:rsidP="00C232A3">
      <w:pPr>
        <w:pStyle w:val="ARfinbullet1"/>
        <w:rPr>
          <w:lang w:eastAsia="en-AU"/>
        </w:rPr>
      </w:pPr>
      <w:r w:rsidRPr="00554900">
        <w:rPr>
          <w:rStyle w:val="Strong"/>
        </w:rPr>
        <w:t>contractual payables</w:t>
      </w:r>
      <w:r w:rsidRPr="00554900">
        <w:t>,</w:t>
      </w:r>
      <w:r w:rsidRPr="00AB62BD">
        <w:rPr>
          <w:lang w:eastAsia="en-AU"/>
        </w:rPr>
        <w:t xml:space="preserve"> classified as financial instruments and measured at amortised cost. Accounts payable represent liabilities for goods and services provided to the department prior to the end of the reporting period that are unpaid; and</w:t>
      </w:r>
    </w:p>
    <w:p w:rsidR="00C232A3" w:rsidRPr="00AB62BD" w:rsidRDefault="00C232A3" w:rsidP="00C232A3">
      <w:pPr>
        <w:pStyle w:val="ARfinbullet1"/>
        <w:rPr>
          <w:lang w:eastAsia="en-AU"/>
        </w:rPr>
      </w:pPr>
      <w:r w:rsidRPr="00554900">
        <w:rPr>
          <w:rStyle w:val="Strong"/>
        </w:rPr>
        <w:t>statutory payables</w:t>
      </w:r>
      <w:r w:rsidRPr="00554900">
        <w:t>,</w:t>
      </w:r>
      <w:r w:rsidRPr="00AB62BD">
        <w:rPr>
          <w:lang w:eastAsia="en-AU"/>
        </w:rPr>
        <w:t xml:space="preserve"> that are recognised and measured similarly to contractual payables, but are not classified as financial instruments and are not included in financial liabilities at amortised cost, because they do not arise from a contract.</w:t>
      </w:r>
    </w:p>
    <w:p w:rsidR="00C232A3" w:rsidRPr="00AB62BD" w:rsidRDefault="00C232A3" w:rsidP="00C232A3">
      <w:pPr>
        <w:pStyle w:val="ARfinbody"/>
        <w:rPr>
          <w:lang w:eastAsia="en-AU"/>
        </w:rPr>
      </w:pPr>
      <w:r w:rsidRPr="00AB62BD">
        <w:rPr>
          <w:lang w:eastAsia="en-AU"/>
        </w:rPr>
        <w:t>Payables for supplies and services have an average credit period of 30 days.</w:t>
      </w:r>
    </w:p>
    <w:p w:rsidR="00C232A3" w:rsidRPr="00AB62BD" w:rsidRDefault="00C232A3" w:rsidP="00C232A3">
      <w:pPr>
        <w:pStyle w:val="ARfinbody"/>
        <w:rPr>
          <w:lang w:eastAsia="en-AU"/>
        </w:rPr>
      </w:pPr>
      <w:r w:rsidRPr="00AB62BD">
        <w:rPr>
          <w:lang w:eastAsia="en-AU"/>
        </w:rPr>
        <w:t>The terms and conditions of amounts payable to the government and agencies vary according to the particular agreements and as they are not legislative payables, they are not classified as financial instruments.</w:t>
      </w:r>
    </w:p>
    <w:p w:rsidR="00C232A3" w:rsidRPr="00AB62BD" w:rsidRDefault="00C232A3" w:rsidP="00C232A3">
      <w:pPr>
        <w:pStyle w:val="ARfinbody"/>
        <w:rPr>
          <w:lang w:eastAsia="en-AU"/>
        </w:rPr>
      </w:pPr>
      <w:r w:rsidRPr="00AB62BD">
        <w:rPr>
          <w:lang w:eastAsia="en-AU"/>
        </w:rPr>
        <w:t>The value of loans and other amounts guaranteed by the Treasurer is discl</w:t>
      </w:r>
      <w:r>
        <w:rPr>
          <w:lang w:eastAsia="en-AU"/>
        </w:rPr>
        <w:t>osed as contingent liabilities.</w:t>
      </w:r>
    </w:p>
    <w:p w:rsidR="00C232A3" w:rsidRDefault="00C232A3" w:rsidP="00C232A3">
      <w:pPr>
        <w:pStyle w:val="ARfinbody"/>
        <w:rPr>
          <w:rStyle w:val="Strong"/>
          <w:rFonts w:cs="Arial"/>
          <w:bCs w:val="0"/>
        </w:rPr>
        <w:sectPr w:rsidR="00C232A3" w:rsidSect="00C232A3">
          <w:headerReference w:type="even" r:id="rId132"/>
          <w:headerReference w:type="default" r:id="rId133"/>
          <w:footerReference w:type="even" r:id="rId134"/>
          <w:footerReference w:type="default" r:id="rId135"/>
          <w:headerReference w:type="first" r:id="rId136"/>
          <w:footerReference w:type="first" r:id="rId137"/>
          <w:endnotePr>
            <w:numFmt w:val="decimal"/>
          </w:endnotePr>
          <w:pgSz w:w="11900" w:h="16840" w:code="9"/>
          <w:pgMar w:top="1531" w:right="851" w:bottom="680" w:left="1418" w:header="510" w:footer="340" w:gutter="0"/>
          <w:cols w:space="454"/>
        </w:sectPr>
      </w:pPr>
    </w:p>
    <w:p w:rsidR="00C232A3" w:rsidRPr="00554900" w:rsidRDefault="00C232A3" w:rsidP="00C232A3">
      <w:pPr>
        <w:pStyle w:val="Heading5"/>
        <w:spacing w:before="0"/>
      </w:pPr>
      <w:r w:rsidRPr="00D11896">
        <w:rPr>
          <w:rStyle w:val="Strong"/>
        </w:rPr>
        <w:lastRenderedPageBreak/>
        <w:t xml:space="preserve">6.4.1 Maturity analysis of contractual payables </w:t>
      </w:r>
      <w:r w:rsidRPr="00D11896">
        <w:rPr>
          <w:rStyle w:val="Superscriptbold"/>
        </w:rPr>
        <w:t>(</w:t>
      </w:r>
      <w:proofErr w:type="spellStart"/>
      <w:r w:rsidRPr="00D11896">
        <w:rPr>
          <w:rStyle w:val="Superscriptbold"/>
        </w:rPr>
        <w:t>i</w:t>
      </w:r>
      <w:proofErr w:type="spellEnd"/>
      <w:r w:rsidRPr="00D11896">
        <w:rPr>
          <w:rStyle w:val="Superscriptbold"/>
        </w:rPr>
        <w:t>)</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331"/>
        <w:gridCol w:w="1589"/>
        <w:gridCol w:w="1589"/>
        <w:gridCol w:w="1590"/>
        <w:gridCol w:w="1590"/>
        <w:gridCol w:w="1590"/>
        <w:gridCol w:w="1590"/>
        <w:gridCol w:w="1590"/>
      </w:tblGrid>
      <w:tr w:rsidR="00A0657D" w:rsidRPr="00AB62BD" w:rsidTr="00A0657D">
        <w:trPr>
          <w:cantSplit/>
          <w:tblHeader/>
        </w:trPr>
        <w:tc>
          <w:tcPr>
            <w:tcW w:w="3002" w:type="dxa"/>
            <w:vMerge w:val="restart"/>
            <w:vAlign w:val="bottom"/>
          </w:tcPr>
          <w:p w:rsidR="00A0657D" w:rsidRPr="00AB62BD" w:rsidRDefault="00A0657D" w:rsidP="00C232A3">
            <w:pPr>
              <w:autoSpaceDE w:val="0"/>
              <w:autoSpaceDN w:val="0"/>
              <w:adjustRightInd w:val="0"/>
              <w:spacing w:beforeLines="40" w:before="96" w:afterLines="20" w:after="48"/>
              <w:rPr>
                <w:rFonts w:cs="Arial"/>
                <w:b/>
                <w:bCs/>
                <w:color w:val="000000"/>
                <w:sz w:val="16"/>
                <w:szCs w:val="16"/>
                <w:lang w:eastAsia="en-AU"/>
              </w:rPr>
            </w:pPr>
          </w:p>
        </w:tc>
        <w:tc>
          <w:tcPr>
            <w:tcW w:w="1432" w:type="dxa"/>
            <w:vMerge w:val="restart"/>
            <w:vAlign w:val="bottom"/>
          </w:tcPr>
          <w:p w:rsidR="00A0657D" w:rsidRPr="002810C7" w:rsidRDefault="00A0657D" w:rsidP="00C232A3">
            <w:pPr>
              <w:pStyle w:val="ARfintablecolheadright"/>
            </w:pPr>
            <w:r w:rsidRPr="002810C7">
              <w:t>Carrying amount</w:t>
            </w:r>
          </w:p>
          <w:p w:rsidR="00A0657D" w:rsidRPr="002810C7" w:rsidRDefault="00A0657D" w:rsidP="00C232A3">
            <w:pPr>
              <w:pStyle w:val="ARfintablecolheadright"/>
            </w:pPr>
            <w:r w:rsidRPr="002810C7">
              <w:t>$M</w:t>
            </w:r>
          </w:p>
        </w:tc>
        <w:tc>
          <w:tcPr>
            <w:tcW w:w="1432" w:type="dxa"/>
            <w:vMerge w:val="restart"/>
            <w:vAlign w:val="bottom"/>
          </w:tcPr>
          <w:p w:rsidR="00A0657D" w:rsidRPr="002810C7" w:rsidRDefault="003367A4" w:rsidP="00C232A3">
            <w:pPr>
              <w:pStyle w:val="ARfintablecolheadright"/>
            </w:pPr>
            <w:proofErr w:type="spellStart"/>
            <w:r>
              <w:t>w</w:t>
            </w:r>
            <w:r w:rsidR="00A0657D" w:rsidRPr="002810C7">
              <w:t>Nominal</w:t>
            </w:r>
            <w:proofErr w:type="spellEnd"/>
            <w:r w:rsidR="00A0657D" w:rsidRPr="002810C7">
              <w:t xml:space="preserve"> amount</w:t>
            </w:r>
          </w:p>
          <w:p w:rsidR="00A0657D" w:rsidRPr="002810C7" w:rsidRDefault="00A0657D" w:rsidP="00C232A3">
            <w:pPr>
              <w:pStyle w:val="ARfintablecolheadright"/>
            </w:pPr>
            <w:r w:rsidRPr="002810C7">
              <w:t>$M</w:t>
            </w:r>
          </w:p>
        </w:tc>
        <w:tc>
          <w:tcPr>
            <w:tcW w:w="7160" w:type="dxa"/>
            <w:gridSpan w:val="5"/>
            <w:vAlign w:val="bottom"/>
          </w:tcPr>
          <w:p w:rsidR="00A0657D" w:rsidRPr="002810C7" w:rsidRDefault="00A0657D" w:rsidP="00C232A3">
            <w:pPr>
              <w:pStyle w:val="ARfintablecolheadcentre"/>
            </w:pPr>
            <w:r w:rsidRPr="002810C7">
              <w:t>Maturity dates</w:t>
            </w:r>
          </w:p>
        </w:tc>
      </w:tr>
      <w:tr w:rsidR="00A0657D" w:rsidRPr="00AB62BD" w:rsidTr="00A0657D">
        <w:trPr>
          <w:cantSplit/>
          <w:tblHeader/>
        </w:trPr>
        <w:tc>
          <w:tcPr>
            <w:tcW w:w="3002" w:type="dxa"/>
            <w:vMerge/>
            <w:tcBorders>
              <w:bottom w:val="single" w:sz="4" w:space="0" w:color="auto"/>
            </w:tcBorders>
            <w:vAlign w:val="bottom"/>
          </w:tcPr>
          <w:p w:rsidR="00A0657D" w:rsidRPr="00AB62BD" w:rsidRDefault="00A0657D" w:rsidP="00C232A3">
            <w:pPr>
              <w:autoSpaceDE w:val="0"/>
              <w:autoSpaceDN w:val="0"/>
              <w:adjustRightInd w:val="0"/>
              <w:spacing w:beforeLines="40" w:before="96" w:afterLines="20" w:after="48"/>
              <w:rPr>
                <w:rFonts w:cs="Arial"/>
                <w:b/>
                <w:bCs/>
                <w:color w:val="000000"/>
                <w:sz w:val="16"/>
                <w:szCs w:val="16"/>
                <w:lang w:eastAsia="en-AU"/>
              </w:rPr>
            </w:pPr>
          </w:p>
        </w:tc>
        <w:tc>
          <w:tcPr>
            <w:tcW w:w="1432" w:type="dxa"/>
            <w:vMerge/>
            <w:tcBorders>
              <w:bottom w:val="single" w:sz="4" w:space="0" w:color="auto"/>
            </w:tcBorders>
            <w:vAlign w:val="bottom"/>
          </w:tcPr>
          <w:p w:rsidR="00A0657D" w:rsidRPr="00AB62BD" w:rsidRDefault="00A0657D" w:rsidP="00C232A3">
            <w:pPr>
              <w:autoSpaceDE w:val="0"/>
              <w:autoSpaceDN w:val="0"/>
              <w:adjustRightInd w:val="0"/>
              <w:spacing w:beforeLines="40" w:before="96" w:afterLines="20" w:after="48"/>
              <w:jc w:val="right"/>
              <w:rPr>
                <w:rFonts w:cs="Arial"/>
                <w:b/>
                <w:bCs/>
                <w:color w:val="000000"/>
                <w:sz w:val="16"/>
                <w:szCs w:val="16"/>
                <w:lang w:eastAsia="en-AU"/>
              </w:rPr>
            </w:pPr>
          </w:p>
        </w:tc>
        <w:tc>
          <w:tcPr>
            <w:tcW w:w="1432" w:type="dxa"/>
            <w:vMerge/>
            <w:tcBorders>
              <w:bottom w:val="single" w:sz="4" w:space="0" w:color="auto"/>
            </w:tcBorders>
            <w:vAlign w:val="bottom"/>
          </w:tcPr>
          <w:p w:rsidR="00A0657D" w:rsidRPr="00AB62BD" w:rsidRDefault="00A0657D" w:rsidP="00C232A3">
            <w:pPr>
              <w:autoSpaceDE w:val="0"/>
              <w:autoSpaceDN w:val="0"/>
              <w:adjustRightInd w:val="0"/>
              <w:spacing w:beforeLines="40" w:before="96" w:afterLines="20" w:after="48"/>
              <w:jc w:val="right"/>
              <w:rPr>
                <w:rFonts w:cs="Arial"/>
                <w:b/>
                <w:bCs/>
                <w:color w:val="000000"/>
                <w:sz w:val="16"/>
                <w:szCs w:val="16"/>
                <w:lang w:eastAsia="en-AU"/>
              </w:rPr>
            </w:pPr>
          </w:p>
        </w:tc>
        <w:tc>
          <w:tcPr>
            <w:tcW w:w="1432" w:type="dxa"/>
            <w:tcBorders>
              <w:bottom w:val="single" w:sz="4" w:space="0" w:color="auto"/>
            </w:tcBorders>
            <w:vAlign w:val="bottom"/>
          </w:tcPr>
          <w:p w:rsidR="00A0657D" w:rsidRPr="002810C7" w:rsidRDefault="00A0657D" w:rsidP="00C232A3">
            <w:pPr>
              <w:pStyle w:val="ARfintablecolheadright"/>
            </w:pPr>
            <w:r w:rsidRPr="002810C7">
              <w:t>Less than 1 month</w:t>
            </w:r>
          </w:p>
          <w:p w:rsidR="00A0657D" w:rsidRPr="002810C7" w:rsidRDefault="00A0657D" w:rsidP="00C232A3">
            <w:pPr>
              <w:pStyle w:val="ARfintablecolheadright"/>
            </w:pPr>
            <w:r w:rsidRPr="002810C7">
              <w:t>$M</w:t>
            </w:r>
          </w:p>
        </w:tc>
        <w:tc>
          <w:tcPr>
            <w:tcW w:w="1432" w:type="dxa"/>
            <w:tcBorders>
              <w:bottom w:val="single" w:sz="4" w:space="0" w:color="auto"/>
            </w:tcBorders>
            <w:vAlign w:val="bottom"/>
          </w:tcPr>
          <w:p w:rsidR="00A0657D" w:rsidRPr="002810C7" w:rsidRDefault="00A0657D" w:rsidP="00C232A3">
            <w:pPr>
              <w:pStyle w:val="ARfintablecolheadright"/>
            </w:pPr>
            <w:r w:rsidRPr="002810C7">
              <w:t>1–3 months</w:t>
            </w:r>
          </w:p>
          <w:p w:rsidR="00A0657D" w:rsidRPr="002810C7" w:rsidRDefault="00A0657D" w:rsidP="00C232A3">
            <w:pPr>
              <w:pStyle w:val="ARfintablecolheadright"/>
            </w:pPr>
            <w:r w:rsidRPr="002810C7">
              <w:t>$M</w:t>
            </w:r>
          </w:p>
        </w:tc>
        <w:tc>
          <w:tcPr>
            <w:tcW w:w="1432" w:type="dxa"/>
            <w:tcBorders>
              <w:bottom w:val="single" w:sz="4" w:space="0" w:color="auto"/>
            </w:tcBorders>
            <w:vAlign w:val="bottom"/>
          </w:tcPr>
          <w:p w:rsidR="00A0657D" w:rsidRPr="002810C7" w:rsidRDefault="00A0657D" w:rsidP="00C232A3">
            <w:pPr>
              <w:pStyle w:val="ARfintablecolheadright"/>
            </w:pPr>
            <w:r w:rsidRPr="002810C7">
              <w:t>3 months – 1 year</w:t>
            </w:r>
          </w:p>
          <w:p w:rsidR="00A0657D" w:rsidRPr="002810C7" w:rsidRDefault="00A0657D" w:rsidP="00C232A3">
            <w:pPr>
              <w:pStyle w:val="ARfintablecolheadright"/>
            </w:pPr>
            <w:r w:rsidRPr="002810C7">
              <w:t>$M</w:t>
            </w:r>
          </w:p>
        </w:tc>
        <w:tc>
          <w:tcPr>
            <w:tcW w:w="1432" w:type="dxa"/>
            <w:tcBorders>
              <w:bottom w:val="single" w:sz="4" w:space="0" w:color="auto"/>
            </w:tcBorders>
            <w:vAlign w:val="bottom"/>
          </w:tcPr>
          <w:p w:rsidR="00A0657D" w:rsidRPr="002810C7" w:rsidRDefault="00A0657D" w:rsidP="00C232A3">
            <w:pPr>
              <w:pStyle w:val="ARfintablecolheadright"/>
            </w:pPr>
            <w:r w:rsidRPr="002810C7">
              <w:t>1–5 years</w:t>
            </w:r>
          </w:p>
          <w:p w:rsidR="00A0657D" w:rsidRPr="002810C7" w:rsidRDefault="00A0657D" w:rsidP="00C232A3">
            <w:pPr>
              <w:pStyle w:val="ARfintablecolheadright"/>
            </w:pPr>
            <w:r w:rsidRPr="002810C7">
              <w:t>$M</w:t>
            </w:r>
          </w:p>
        </w:tc>
        <w:tc>
          <w:tcPr>
            <w:tcW w:w="1432" w:type="dxa"/>
            <w:tcBorders>
              <w:bottom w:val="single" w:sz="4" w:space="0" w:color="auto"/>
            </w:tcBorders>
            <w:vAlign w:val="bottom"/>
          </w:tcPr>
          <w:p w:rsidR="00A0657D" w:rsidRPr="002810C7" w:rsidRDefault="00A0657D" w:rsidP="00C232A3">
            <w:pPr>
              <w:pStyle w:val="ARfintablecolheadright"/>
            </w:pPr>
            <w:r w:rsidRPr="002810C7">
              <w:t>5+ years</w:t>
            </w:r>
          </w:p>
          <w:p w:rsidR="00A0657D" w:rsidRPr="002810C7" w:rsidRDefault="00A0657D" w:rsidP="00C232A3">
            <w:pPr>
              <w:pStyle w:val="ARfintablecolheadright"/>
            </w:pPr>
            <w:r w:rsidRPr="002810C7">
              <w:t>$M</w:t>
            </w:r>
          </w:p>
        </w:tc>
      </w:tr>
      <w:tr w:rsidR="00A0657D" w:rsidRPr="00AB62BD" w:rsidTr="00A0657D">
        <w:trPr>
          <w:cantSplit/>
        </w:trPr>
        <w:tc>
          <w:tcPr>
            <w:tcW w:w="3002" w:type="dxa"/>
            <w:tcBorders>
              <w:top w:val="single" w:sz="4" w:space="0" w:color="auto"/>
              <w:bottom w:val="single" w:sz="4" w:space="0" w:color="A6A6A6" w:themeColor="background1" w:themeShade="A6"/>
            </w:tcBorders>
          </w:tcPr>
          <w:p w:rsidR="00A0657D" w:rsidRPr="00AB62BD" w:rsidRDefault="00A0657D" w:rsidP="00C232A3">
            <w:pPr>
              <w:pStyle w:val="ARfintablebody"/>
              <w:rPr>
                <w:lang w:eastAsia="en-AU"/>
              </w:rPr>
            </w:pPr>
            <w:r w:rsidRPr="00AB62BD">
              <w:rPr>
                <w:rStyle w:val="Strong"/>
              </w:rPr>
              <w:t>2017</w:t>
            </w: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r>
      <w:tr w:rsidR="00A0657D" w:rsidRPr="00AB62BD" w:rsidTr="00A0657D">
        <w:trPr>
          <w:cantSplit/>
        </w:trPr>
        <w:tc>
          <w:tcPr>
            <w:tcW w:w="3002" w:type="dxa"/>
            <w:tcBorders>
              <w:top w:val="single" w:sz="4" w:space="0" w:color="A6A6A6" w:themeColor="background1" w:themeShade="A6"/>
            </w:tcBorders>
          </w:tcPr>
          <w:p w:rsidR="00A0657D" w:rsidRPr="00AB62BD" w:rsidRDefault="00A0657D" w:rsidP="00C232A3">
            <w:pPr>
              <w:pStyle w:val="ARfintablebody"/>
              <w:rPr>
                <w:lang w:eastAsia="en-AU"/>
              </w:rPr>
            </w:pPr>
            <w:r w:rsidRPr="00AB62BD">
              <w:rPr>
                <w:lang w:eastAsia="en-AU"/>
              </w:rPr>
              <w:t>Payables</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1,207.1</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1,207.1</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526.7</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62.1</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78.8</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Pr>
                <w:lang w:eastAsia="en-AU"/>
              </w:rPr>
              <w:t>48.7</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Pr>
                <w:lang w:eastAsia="en-AU"/>
              </w:rPr>
              <w:t>490.8</w:t>
            </w:r>
          </w:p>
        </w:tc>
      </w:tr>
      <w:tr w:rsidR="00A0657D" w:rsidRPr="00AB62BD" w:rsidTr="00A0657D">
        <w:trPr>
          <w:cantSplit/>
        </w:trPr>
        <w:tc>
          <w:tcPr>
            <w:tcW w:w="3002" w:type="dxa"/>
            <w:tcBorders>
              <w:bottom w:val="single" w:sz="4" w:space="0" w:color="auto"/>
            </w:tcBorders>
          </w:tcPr>
          <w:p w:rsidR="00A0657D" w:rsidRPr="00AB62BD" w:rsidRDefault="00A0657D" w:rsidP="00C232A3">
            <w:pPr>
              <w:pStyle w:val="ARfintablebody"/>
              <w:rPr>
                <w:bCs/>
                <w:lang w:eastAsia="en-AU"/>
              </w:rPr>
            </w:pPr>
            <w:r w:rsidRPr="00AB62BD">
              <w:rPr>
                <w:rStyle w:val="Strong"/>
              </w:rPr>
              <w:t>Total</w:t>
            </w:r>
          </w:p>
        </w:tc>
        <w:tc>
          <w:tcPr>
            <w:tcW w:w="1432" w:type="dxa"/>
            <w:tcBorders>
              <w:bottom w:val="single" w:sz="4" w:space="0" w:color="auto"/>
            </w:tcBorders>
          </w:tcPr>
          <w:p w:rsidR="00A0657D" w:rsidRPr="00AB62BD" w:rsidRDefault="00A0657D" w:rsidP="00C232A3">
            <w:pPr>
              <w:pStyle w:val="ARfintablebodyright"/>
              <w:rPr>
                <w:b/>
                <w:bCs/>
                <w:lang w:eastAsia="en-AU"/>
              </w:rPr>
            </w:pPr>
            <w:r w:rsidRPr="00AB62BD">
              <w:rPr>
                <w:rStyle w:val="Strong"/>
              </w:rPr>
              <w:t>1,207.1</w:t>
            </w:r>
          </w:p>
        </w:tc>
        <w:tc>
          <w:tcPr>
            <w:tcW w:w="1432" w:type="dxa"/>
            <w:tcBorders>
              <w:bottom w:val="single" w:sz="4" w:space="0" w:color="auto"/>
            </w:tcBorders>
          </w:tcPr>
          <w:p w:rsidR="00A0657D" w:rsidRPr="00AB62BD" w:rsidRDefault="00A0657D" w:rsidP="00C232A3">
            <w:pPr>
              <w:pStyle w:val="ARfintablebodyright"/>
              <w:rPr>
                <w:b/>
                <w:bCs/>
                <w:lang w:eastAsia="en-AU"/>
              </w:rPr>
            </w:pPr>
            <w:r w:rsidRPr="00AB62BD">
              <w:rPr>
                <w:rStyle w:val="Strong"/>
              </w:rPr>
              <w:t>1,207.1</w:t>
            </w:r>
          </w:p>
        </w:tc>
        <w:tc>
          <w:tcPr>
            <w:tcW w:w="1432" w:type="dxa"/>
            <w:tcBorders>
              <w:bottom w:val="single" w:sz="4" w:space="0" w:color="auto"/>
            </w:tcBorders>
          </w:tcPr>
          <w:p w:rsidR="00A0657D" w:rsidRPr="00AB62BD" w:rsidRDefault="00A0657D" w:rsidP="00C232A3">
            <w:pPr>
              <w:pStyle w:val="ARfintablebodyright"/>
              <w:rPr>
                <w:b/>
                <w:bCs/>
                <w:lang w:eastAsia="en-AU"/>
              </w:rPr>
            </w:pPr>
            <w:r w:rsidRPr="00AB62BD">
              <w:rPr>
                <w:rStyle w:val="Strong"/>
              </w:rPr>
              <w:t>526.7</w:t>
            </w:r>
          </w:p>
        </w:tc>
        <w:tc>
          <w:tcPr>
            <w:tcW w:w="1432" w:type="dxa"/>
            <w:tcBorders>
              <w:bottom w:val="single" w:sz="4" w:space="0" w:color="auto"/>
            </w:tcBorders>
          </w:tcPr>
          <w:p w:rsidR="00A0657D" w:rsidRPr="00AB62BD" w:rsidRDefault="00A0657D" w:rsidP="00C232A3">
            <w:pPr>
              <w:pStyle w:val="ARfintablebodyright"/>
              <w:rPr>
                <w:b/>
                <w:bCs/>
                <w:lang w:eastAsia="en-AU"/>
              </w:rPr>
            </w:pPr>
            <w:r w:rsidRPr="00AB62BD">
              <w:rPr>
                <w:rStyle w:val="Strong"/>
              </w:rPr>
              <w:t>62.1</w:t>
            </w:r>
          </w:p>
        </w:tc>
        <w:tc>
          <w:tcPr>
            <w:tcW w:w="1432" w:type="dxa"/>
            <w:tcBorders>
              <w:bottom w:val="single" w:sz="4" w:space="0" w:color="auto"/>
            </w:tcBorders>
          </w:tcPr>
          <w:p w:rsidR="00A0657D" w:rsidRPr="00AB62BD" w:rsidRDefault="00A0657D" w:rsidP="00C232A3">
            <w:pPr>
              <w:pStyle w:val="ARfintablebodyright"/>
              <w:rPr>
                <w:b/>
                <w:bCs/>
                <w:lang w:eastAsia="en-AU"/>
              </w:rPr>
            </w:pPr>
            <w:r w:rsidRPr="00AB62BD">
              <w:rPr>
                <w:rStyle w:val="Strong"/>
              </w:rPr>
              <w:t>78.8</w:t>
            </w:r>
          </w:p>
        </w:tc>
        <w:tc>
          <w:tcPr>
            <w:tcW w:w="1432" w:type="dxa"/>
            <w:tcBorders>
              <w:bottom w:val="single" w:sz="4" w:space="0" w:color="auto"/>
            </w:tcBorders>
          </w:tcPr>
          <w:p w:rsidR="00A0657D" w:rsidRPr="00AB62BD" w:rsidRDefault="00A0657D" w:rsidP="00C232A3">
            <w:pPr>
              <w:pStyle w:val="ARfintablebodyright"/>
              <w:rPr>
                <w:b/>
                <w:bCs/>
                <w:lang w:eastAsia="en-AU"/>
              </w:rPr>
            </w:pPr>
            <w:r>
              <w:rPr>
                <w:rStyle w:val="Strong"/>
              </w:rPr>
              <w:t>48.7</w:t>
            </w:r>
          </w:p>
        </w:tc>
        <w:tc>
          <w:tcPr>
            <w:tcW w:w="1432" w:type="dxa"/>
            <w:tcBorders>
              <w:bottom w:val="single" w:sz="4" w:space="0" w:color="auto"/>
            </w:tcBorders>
          </w:tcPr>
          <w:p w:rsidR="00A0657D" w:rsidRPr="00AB62BD" w:rsidRDefault="00A0657D" w:rsidP="00C232A3">
            <w:pPr>
              <w:pStyle w:val="ARfintablebodyright"/>
              <w:rPr>
                <w:b/>
                <w:bCs/>
                <w:lang w:eastAsia="en-AU"/>
              </w:rPr>
            </w:pPr>
            <w:r>
              <w:rPr>
                <w:rStyle w:val="Strong"/>
              </w:rPr>
              <w:t>490.8</w:t>
            </w:r>
          </w:p>
        </w:tc>
      </w:tr>
      <w:tr w:rsidR="00A0657D" w:rsidRPr="00AB62BD" w:rsidTr="00A0657D">
        <w:trPr>
          <w:cantSplit/>
        </w:trPr>
        <w:tc>
          <w:tcPr>
            <w:tcW w:w="3002" w:type="dxa"/>
            <w:tcBorders>
              <w:top w:val="single" w:sz="4" w:space="0" w:color="auto"/>
              <w:bottom w:val="single" w:sz="4" w:space="0" w:color="A6A6A6" w:themeColor="background1" w:themeShade="A6"/>
            </w:tcBorders>
          </w:tcPr>
          <w:p w:rsidR="00A0657D" w:rsidRPr="00AB62BD" w:rsidRDefault="00A0657D" w:rsidP="00C232A3">
            <w:pPr>
              <w:pStyle w:val="ARfintablebody"/>
              <w:rPr>
                <w:bCs/>
                <w:lang w:eastAsia="en-AU"/>
              </w:rPr>
            </w:pPr>
            <w:r w:rsidRPr="00AB62BD">
              <w:rPr>
                <w:rStyle w:val="Strong"/>
              </w:rPr>
              <w:t>2016</w:t>
            </w: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rStyle w:val="Strong"/>
                <w:bCs w:val="0"/>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c>
          <w:tcPr>
            <w:tcW w:w="1432" w:type="dxa"/>
            <w:tcBorders>
              <w:top w:val="single" w:sz="4" w:space="0" w:color="auto"/>
              <w:bottom w:val="single" w:sz="4" w:space="0" w:color="A6A6A6" w:themeColor="background1" w:themeShade="A6"/>
            </w:tcBorders>
          </w:tcPr>
          <w:p w:rsidR="00A0657D" w:rsidRPr="00AB62BD" w:rsidRDefault="00A0657D" w:rsidP="00C232A3">
            <w:pPr>
              <w:pStyle w:val="ARfintablebodyright"/>
              <w:rPr>
                <w:lang w:eastAsia="en-AU"/>
              </w:rPr>
            </w:pPr>
          </w:p>
        </w:tc>
      </w:tr>
      <w:tr w:rsidR="00A0657D" w:rsidRPr="00AB62BD" w:rsidTr="00A0657D">
        <w:trPr>
          <w:cantSplit/>
        </w:trPr>
        <w:tc>
          <w:tcPr>
            <w:tcW w:w="3002" w:type="dxa"/>
            <w:tcBorders>
              <w:top w:val="single" w:sz="4" w:space="0" w:color="A6A6A6" w:themeColor="background1" w:themeShade="A6"/>
            </w:tcBorders>
          </w:tcPr>
          <w:p w:rsidR="00A0657D" w:rsidRPr="00AB62BD" w:rsidRDefault="00A0657D" w:rsidP="00C232A3">
            <w:pPr>
              <w:pStyle w:val="ARfintablebody"/>
              <w:rPr>
                <w:lang w:eastAsia="en-AU"/>
              </w:rPr>
            </w:pPr>
            <w:r w:rsidRPr="00AB62BD">
              <w:rPr>
                <w:lang w:eastAsia="en-AU"/>
              </w:rPr>
              <w:t>Payables</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954.2</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954.2</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382.2</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14.4</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119.2</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438.5</w:t>
            </w:r>
          </w:p>
        </w:tc>
        <w:tc>
          <w:tcPr>
            <w:tcW w:w="1432" w:type="dxa"/>
            <w:tcBorders>
              <w:top w:val="single" w:sz="4" w:space="0" w:color="A6A6A6" w:themeColor="background1" w:themeShade="A6"/>
            </w:tcBorders>
          </w:tcPr>
          <w:p w:rsidR="00A0657D" w:rsidRPr="00AB62BD" w:rsidRDefault="00A0657D" w:rsidP="00C232A3">
            <w:pPr>
              <w:pStyle w:val="ARfintablebodyright"/>
              <w:rPr>
                <w:lang w:eastAsia="en-AU"/>
              </w:rPr>
            </w:pPr>
            <w:r w:rsidRPr="00AB62BD">
              <w:rPr>
                <w:lang w:eastAsia="en-AU"/>
              </w:rPr>
              <w:t>(0.1)</w:t>
            </w:r>
          </w:p>
        </w:tc>
      </w:tr>
      <w:tr w:rsidR="00A0657D" w:rsidRPr="00AB62BD" w:rsidTr="00A0657D">
        <w:trPr>
          <w:cantSplit/>
        </w:trPr>
        <w:tc>
          <w:tcPr>
            <w:tcW w:w="3002" w:type="dxa"/>
          </w:tcPr>
          <w:p w:rsidR="00A0657D" w:rsidRPr="00AB62BD" w:rsidRDefault="00A0657D" w:rsidP="00C232A3">
            <w:pPr>
              <w:pStyle w:val="ARfintablebody"/>
              <w:rPr>
                <w:bCs/>
                <w:lang w:eastAsia="en-AU"/>
              </w:rPr>
            </w:pPr>
            <w:r w:rsidRPr="00AB62BD">
              <w:rPr>
                <w:rStyle w:val="Strong"/>
              </w:rPr>
              <w:t>Total</w:t>
            </w:r>
          </w:p>
        </w:tc>
        <w:tc>
          <w:tcPr>
            <w:tcW w:w="1432" w:type="dxa"/>
          </w:tcPr>
          <w:p w:rsidR="00A0657D" w:rsidRPr="00AB62BD" w:rsidRDefault="00A0657D" w:rsidP="00C232A3">
            <w:pPr>
              <w:pStyle w:val="ARfintablebodyright"/>
              <w:rPr>
                <w:b/>
                <w:bCs/>
                <w:lang w:eastAsia="en-AU"/>
              </w:rPr>
            </w:pPr>
            <w:r w:rsidRPr="00AB62BD">
              <w:rPr>
                <w:rStyle w:val="Strong"/>
              </w:rPr>
              <w:t>954.2</w:t>
            </w:r>
          </w:p>
        </w:tc>
        <w:tc>
          <w:tcPr>
            <w:tcW w:w="1432" w:type="dxa"/>
          </w:tcPr>
          <w:p w:rsidR="00A0657D" w:rsidRPr="00AB62BD" w:rsidRDefault="00A0657D" w:rsidP="00C232A3">
            <w:pPr>
              <w:pStyle w:val="ARfintablebodyright"/>
              <w:rPr>
                <w:b/>
                <w:bCs/>
                <w:lang w:eastAsia="en-AU"/>
              </w:rPr>
            </w:pPr>
            <w:r w:rsidRPr="00AB62BD">
              <w:rPr>
                <w:rStyle w:val="Strong"/>
              </w:rPr>
              <w:t>954.2</w:t>
            </w:r>
          </w:p>
        </w:tc>
        <w:tc>
          <w:tcPr>
            <w:tcW w:w="1432" w:type="dxa"/>
          </w:tcPr>
          <w:p w:rsidR="00A0657D" w:rsidRPr="00AB62BD" w:rsidRDefault="00A0657D" w:rsidP="00C232A3">
            <w:pPr>
              <w:pStyle w:val="ARfintablebodyright"/>
              <w:rPr>
                <w:b/>
                <w:bCs/>
                <w:lang w:eastAsia="en-AU"/>
              </w:rPr>
            </w:pPr>
            <w:r w:rsidRPr="00AB62BD">
              <w:rPr>
                <w:rStyle w:val="Strong"/>
              </w:rPr>
              <w:t>382.2</w:t>
            </w:r>
          </w:p>
        </w:tc>
        <w:tc>
          <w:tcPr>
            <w:tcW w:w="1432" w:type="dxa"/>
          </w:tcPr>
          <w:p w:rsidR="00A0657D" w:rsidRPr="00AB62BD" w:rsidRDefault="00A0657D" w:rsidP="00C232A3">
            <w:pPr>
              <w:pStyle w:val="ARfintablebodyright"/>
              <w:rPr>
                <w:b/>
                <w:bCs/>
                <w:lang w:eastAsia="en-AU"/>
              </w:rPr>
            </w:pPr>
            <w:r w:rsidRPr="00AB62BD">
              <w:rPr>
                <w:rStyle w:val="Strong"/>
              </w:rPr>
              <w:t>14.4</w:t>
            </w:r>
          </w:p>
        </w:tc>
        <w:tc>
          <w:tcPr>
            <w:tcW w:w="1432" w:type="dxa"/>
          </w:tcPr>
          <w:p w:rsidR="00A0657D" w:rsidRPr="00AB62BD" w:rsidRDefault="00A0657D" w:rsidP="00C232A3">
            <w:pPr>
              <w:pStyle w:val="ARfintablebodyright"/>
              <w:rPr>
                <w:b/>
                <w:bCs/>
                <w:lang w:eastAsia="en-AU"/>
              </w:rPr>
            </w:pPr>
            <w:r w:rsidRPr="00AB62BD">
              <w:rPr>
                <w:rStyle w:val="Strong"/>
              </w:rPr>
              <w:t>119.2</w:t>
            </w:r>
          </w:p>
        </w:tc>
        <w:tc>
          <w:tcPr>
            <w:tcW w:w="1432" w:type="dxa"/>
          </w:tcPr>
          <w:p w:rsidR="00A0657D" w:rsidRPr="00AB62BD" w:rsidRDefault="00A0657D" w:rsidP="00C232A3">
            <w:pPr>
              <w:pStyle w:val="ARfintablebodyright"/>
              <w:rPr>
                <w:b/>
                <w:bCs/>
                <w:lang w:eastAsia="en-AU"/>
              </w:rPr>
            </w:pPr>
            <w:r w:rsidRPr="00AB62BD">
              <w:rPr>
                <w:rStyle w:val="Strong"/>
              </w:rPr>
              <w:t>438.5</w:t>
            </w:r>
          </w:p>
        </w:tc>
        <w:tc>
          <w:tcPr>
            <w:tcW w:w="1432" w:type="dxa"/>
          </w:tcPr>
          <w:p w:rsidR="00A0657D" w:rsidRPr="00AB62BD" w:rsidRDefault="00A0657D" w:rsidP="00C232A3">
            <w:pPr>
              <w:pStyle w:val="ARfintablebodyright"/>
              <w:rPr>
                <w:rStyle w:val="Strong"/>
                <w:bCs w:val="0"/>
              </w:rPr>
            </w:pPr>
            <w:r w:rsidRPr="00AB62BD">
              <w:rPr>
                <w:rStyle w:val="Strong"/>
              </w:rPr>
              <w:t>(0.1)</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Maturity analysis is presented using the contr</w:t>
      </w:r>
      <w:r>
        <w:t>actual undiscounted cash flows.</w:t>
      </w:r>
    </w:p>
    <w:p w:rsidR="00C232A3" w:rsidRDefault="00C232A3" w:rsidP="00C232A3">
      <w:pPr>
        <w:pStyle w:val="ARfinbody"/>
        <w:rPr>
          <w:lang w:eastAsia="en-AU"/>
        </w:rPr>
        <w:sectPr w:rsidR="00C232A3" w:rsidSect="00C232A3">
          <w:headerReference w:type="even" r:id="rId138"/>
          <w:headerReference w:type="default" r:id="rId139"/>
          <w:endnotePr>
            <w:numFmt w:val="decimal"/>
          </w:endnotePr>
          <w:pgSz w:w="16840" w:h="11900" w:orient="landscape" w:code="9"/>
          <w:pgMar w:top="1418" w:right="1531" w:bottom="851" w:left="851" w:header="794" w:footer="340" w:gutter="0"/>
          <w:cols w:space="454"/>
          <w:docGrid w:linePitch="272"/>
        </w:sectPr>
      </w:pPr>
    </w:p>
    <w:p w:rsidR="00C232A3" w:rsidRPr="00554900" w:rsidRDefault="00C232A3" w:rsidP="00C232A3">
      <w:pPr>
        <w:pStyle w:val="Heading4"/>
        <w:spacing w:before="0"/>
      </w:pPr>
      <w:r w:rsidRPr="00554900">
        <w:lastRenderedPageBreak/>
        <w:t>6.5 Other provisions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C003B4" w:rsidRDefault="00C232A3" w:rsidP="00C232A3">
            <w:pPr>
              <w:pStyle w:val="ARfintablecolheadright"/>
            </w:pPr>
          </w:p>
        </w:tc>
        <w:tc>
          <w:tcPr>
            <w:tcW w:w="1134" w:type="dxa"/>
            <w:tcBorders>
              <w:bottom w:val="single" w:sz="4" w:space="0" w:color="auto"/>
            </w:tcBorders>
            <w:shd w:val="clear" w:color="auto" w:fill="E7E6E6"/>
            <w:vAlign w:val="bottom"/>
          </w:tcPr>
          <w:p w:rsidR="00C232A3" w:rsidRPr="00C003B4" w:rsidRDefault="00C232A3" w:rsidP="00C232A3">
            <w:pPr>
              <w:pStyle w:val="ARfintablecolheadright"/>
            </w:pPr>
            <w:r w:rsidRPr="00C003B4">
              <w:t>2017</w:t>
            </w:r>
          </w:p>
          <w:p w:rsidR="00C232A3" w:rsidRPr="00C003B4" w:rsidRDefault="00C232A3" w:rsidP="00C232A3">
            <w:pPr>
              <w:pStyle w:val="ARfintablecolheadright"/>
            </w:pPr>
            <w:r w:rsidRPr="00C003B4">
              <w:t>$M</w:t>
            </w:r>
          </w:p>
        </w:tc>
        <w:tc>
          <w:tcPr>
            <w:tcW w:w="1134" w:type="dxa"/>
            <w:tcBorders>
              <w:bottom w:val="single" w:sz="4" w:space="0" w:color="auto"/>
            </w:tcBorders>
            <w:vAlign w:val="bottom"/>
          </w:tcPr>
          <w:p w:rsidR="00C232A3" w:rsidRPr="00C003B4" w:rsidRDefault="00C232A3" w:rsidP="00C232A3">
            <w:pPr>
              <w:pStyle w:val="ARfintablecolheadright"/>
            </w:pPr>
            <w:r w:rsidRPr="00C003B4">
              <w:t>2016</w:t>
            </w:r>
          </w:p>
          <w:p w:rsidR="00C232A3" w:rsidRPr="00C003B4" w:rsidRDefault="00C232A3" w:rsidP="00C232A3">
            <w:pPr>
              <w:pStyle w:val="ARfintablecolheadright"/>
            </w:pPr>
            <w:r w:rsidRPr="00C003B4">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Current provisions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54.8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48.7</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Make-good provision</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current provisions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54.9</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48.8</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Non-current provisions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33.1</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Make-good provision</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non-current provisions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30.1</w:t>
            </w:r>
          </w:p>
        </w:tc>
        <w:tc>
          <w:tcPr>
            <w:tcW w:w="1134" w:type="dxa"/>
          </w:tcPr>
          <w:p w:rsidR="00C232A3" w:rsidRPr="00AB62BD" w:rsidRDefault="00C232A3" w:rsidP="00C232A3">
            <w:pPr>
              <w:pStyle w:val="ARfintablebodyright"/>
              <w:rPr>
                <w:b/>
                <w:bCs/>
                <w:lang w:eastAsia="en-AU"/>
              </w:rPr>
            </w:pPr>
            <w:r w:rsidRPr="00AB62BD">
              <w:rPr>
                <w:rStyle w:val="Strong"/>
              </w:rPr>
              <w:t>33.7</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other provisions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85.1</w:t>
            </w:r>
          </w:p>
        </w:tc>
        <w:tc>
          <w:tcPr>
            <w:tcW w:w="1134" w:type="dxa"/>
          </w:tcPr>
          <w:p w:rsidR="00C232A3" w:rsidRPr="00AB62BD" w:rsidRDefault="00C232A3" w:rsidP="00C232A3">
            <w:pPr>
              <w:pStyle w:val="ARfintablebodyright"/>
              <w:rPr>
                <w:rStyle w:val="Strong"/>
                <w:bCs w:val="0"/>
              </w:rPr>
            </w:pPr>
            <w:r w:rsidRPr="00AB62BD">
              <w:rPr>
                <w:rStyle w:val="Strong"/>
              </w:rPr>
              <w:t>82.5</w:t>
            </w:r>
          </w:p>
        </w:tc>
      </w:tr>
    </w:tbl>
    <w:p w:rsidR="00C232A3" w:rsidRPr="00AB62BD" w:rsidRDefault="00C232A3" w:rsidP="00C232A3">
      <w:pPr>
        <w:pStyle w:val="ARfinbodyaftertable"/>
      </w:pPr>
      <w:r w:rsidRPr="00AB62BD">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rsidR="00C232A3" w:rsidRPr="00AB62BD" w:rsidRDefault="00C232A3" w:rsidP="00C232A3">
      <w:pPr>
        <w:pStyle w:val="ARfinbody"/>
        <w:rPr>
          <w:lang w:eastAsia="en-AU"/>
        </w:rPr>
      </w:pPr>
      <w:r w:rsidRPr="00AB62BD">
        <w:rPr>
          <w:lang w:eastAsia="en-AU"/>
        </w:rPr>
        <w:t>Where a provision is measured using the cash flows estimated to settle the present obligation, its carrying amount is the present value of those cash flows, using a discount rate that reflects the time value of money and risks specific to the provision.</w:t>
      </w:r>
    </w:p>
    <w:p w:rsidR="00C232A3" w:rsidRPr="00D11896" w:rsidRDefault="00C232A3" w:rsidP="00C232A3">
      <w:pPr>
        <w:pStyle w:val="Heading5"/>
        <w:rPr>
          <w:rStyle w:val="Strong"/>
        </w:rPr>
      </w:pPr>
      <w:r w:rsidRPr="00D11896">
        <w:rPr>
          <w:rStyle w:val="Strong"/>
        </w:rPr>
        <w:t>6.5.1 Reconciliation of movements in other provisions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237"/>
        <w:gridCol w:w="1134"/>
        <w:gridCol w:w="1134"/>
        <w:gridCol w:w="1134"/>
      </w:tblGrid>
      <w:tr w:rsidR="00C232A3" w:rsidRPr="00AB62BD" w:rsidTr="00C232A3">
        <w:trPr>
          <w:cantSplit/>
          <w:tblHeader/>
        </w:trPr>
        <w:tc>
          <w:tcPr>
            <w:tcW w:w="6237" w:type="dxa"/>
            <w:tcBorders>
              <w:bottom w:val="single" w:sz="4" w:space="0" w:color="auto"/>
            </w:tcBorders>
            <w:vAlign w:val="bottom"/>
          </w:tcPr>
          <w:p w:rsidR="00C232A3" w:rsidRPr="005637D5" w:rsidRDefault="00C232A3" w:rsidP="00C232A3">
            <w:pPr>
              <w:pStyle w:val="ARfintablecolheadright"/>
            </w:pPr>
          </w:p>
        </w:tc>
        <w:tc>
          <w:tcPr>
            <w:tcW w:w="1134" w:type="dxa"/>
            <w:tcBorders>
              <w:bottom w:val="single" w:sz="4" w:space="0" w:color="auto"/>
            </w:tcBorders>
            <w:vAlign w:val="bottom"/>
          </w:tcPr>
          <w:p w:rsidR="00C232A3" w:rsidRPr="005637D5" w:rsidRDefault="00C232A3" w:rsidP="00C232A3">
            <w:pPr>
              <w:pStyle w:val="ARfintablecolheadright"/>
            </w:pPr>
            <w:r w:rsidRPr="005637D5">
              <w:t>Make-good</w:t>
            </w:r>
          </w:p>
          <w:p w:rsidR="00C232A3" w:rsidRPr="005637D5" w:rsidRDefault="00C232A3" w:rsidP="00C232A3">
            <w:pPr>
              <w:pStyle w:val="ARfintablecolheadright"/>
            </w:pPr>
            <w:r w:rsidRPr="005637D5">
              <w:t>2017</w:t>
            </w:r>
          </w:p>
          <w:p w:rsidR="00C232A3" w:rsidRPr="005637D5" w:rsidRDefault="00C232A3" w:rsidP="00C232A3">
            <w:pPr>
              <w:pStyle w:val="ARfintablecolheadright"/>
            </w:pPr>
            <w:r w:rsidRPr="005637D5">
              <w:t>$M</w:t>
            </w:r>
          </w:p>
        </w:tc>
        <w:tc>
          <w:tcPr>
            <w:tcW w:w="1134" w:type="dxa"/>
            <w:tcBorders>
              <w:bottom w:val="single" w:sz="4" w:space="0" w:color="auto"/>
            </w:tcBorders>
            <w:vAlign w:val="bottom"/>
          </w:tcPr>
          <w:p w:rsidR="00C232A3" w:rsidRPr="005637D5" w:rsidRDefault="00C232A3" w:rsidP="00C232A3">
            <w:pPr>
              <w:pStyle w:val="ARfintablecolheadright"/>
            </w:pPr>
            <w:r w:rsidRPr="005637D5">
              <w:t>Insurance claims</w:t>
            </w:r>
          </w:p>
          <w:p w:rsidR="00C232A3" w:rsidRPr="005637D5" w:rsidRDefault="00C232A3" w:rsidP="00C232A3">
            <w:pPr>
              <w:pStyle w:val="ARfintablecolheadright"/>
            </w:pPr>
            <w:r w:rsidRPr="005637D5">
              <w:t>2017</w:t>
            </w:r>
          </w:p>
          <w:p w:rsidR="00C232A3" w:rsidRPr="005637D5" w:rsidRDefault="00C232A3" w:rsidP="00C232A3">
            <w:pPr>
              <w:pStyle w:val="ARfintablecolheadright"/>
            </w:pPr>
            <w:r w:rsidRPr="005637D5">
              <w:t>$M</w:t>
            </w:r>
          </w:p>
        </w:tc>
        <w:tc>
          <w:tcPr>
            <w:tcW w:w="1134" w:type="dxa"/>
            <w:tcBorders>
              <w:bottom w:val="single" w:sz="4" w:space="0" w:color="auto"/>
            </w:tcBorders>
            <w:vAlign w:val="bottom"/>
          </w:tcPr>
          <w:p w:rsidR="00C232A3" w:rsidRPr="005637D5" w:rsidRDefault="00C232A3" w:rsidP="00C232A3">
            <w:pPr>
              <w:pStyle w:val="ARfintablecolheadright"/>
            </w:pPr>
            <w:r w:rsidRPr="005637D5">
              <w:t>Total</w:t>
            </w:r>
          </w:p>
          <w:p w:rsidR="00C232A3" w:rsidRPr="005637D5" w:rsidRDefault="00C232A3" w:rsidP="00C232A3">
            <w:pPr>
              <w:pStyle w:val="ARfintablecolheadright"/>
            </w:pPr>
            <w:r w:rsidRPr="005637D5">
              <w:t>2017</w:t>
            </w:r>
          </w:p>
          <w:p w:rsidR="00C232A3" w:rsidRPr="005637D5" w:rsidRDefault="00C232A3" w:rsidP="00C232A3">
            <w:pPr>
              <w:pStyle w:val="ARfintablecolheadright"/>
            </w:pPr>
            <w:r w:rsidRPr="005637D5">
              <w:t>$M</w:t>
            </w:r>
          </w:p>
        </w:tc>
      </w:tr>
      <w:tr w:rsidR="00C232A3" w:rsidRPr="00AB62BD" w:rsidTr="00C232A3">
        <w:trPr>
          <w:cantSplit/>
        </w:trPr>
        <w:tc>
          <w:tcPr>
            <w:tcW w:w="6237"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Opening balance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81.8</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82.5</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Additional provisions recognised</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Reductions arising from payments/claims handling expenses/other sacrifices of future economic benefits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(28.3)</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Actuarial revaluations of insurance claims liability inclusive of risk margin</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29.6</w:t>
            </w:r>
          </w:p>
        </w:tc>
      </w:tr>
      <w:tr w:rsidR="00C232A3" w:rsidRPr="00AB62BD" w:rsidTr="00C232A3">
        <w:trPr>
          <w:cantSplit/>
        </w:trPr>
        <w:tc>
          <w:tcPr>
            <w:tcW w:w="6237"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Unwind of discount and effect of changes in the discount rate</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r>
      <w:tr w:rsidR="00C232A3" w:rsidRPr="00AB62BD" w:rsidTr="00C232A3">
        <w:trPr>
          <w:cantSplit/>
        </w:trPr>
        <w:tc>
          <w:tcPr>
            <w:tcW w:w="6237" w:type="dxa"/>
          </w:tcPr>
          <w:p w:rsidR="00C232A3" w:rsidRPr="00AB62BD" w:rsidRDefault="00C232A3" w:rsidP="00C232A3">
            <w:pPr>
              <w:pStyle w:val="ARfintablebody"/>
              <w:rPr>
                <w:bCs/>
                <w:lang w:eastAsia="en-AU"/>
              </w:rPr>
            </w:pPr>
            <w:r w:rsidRPr="00AB62BD">
              <w:rPr>
                <w:rStyle w:val="Strong"/>
              </w:rPr>
              <w:t>Closing balance</w:t>
            </w:r>
          </w:p>
        </w:tc>
        <w:tc>
          <w:tcPr>
            <w:tcW w:w="1134" w:type="dxa"/>
          </w:tcPr>
          <w:p w:rsidR="00C232A3" w:rsidRPr="00AB62BD" w:rsidRDefault="00C232A3" w:rsidP="00C232A3">
            <w:pPr>
              <w:pStyle w:val="ARfintablebodyright"/>
              <w:rPr>
                <w:b/>
                <w:bCs/>
                <w:lang w:eastAsia="en-AU"/>
              </w:rPr>
            </w:pPr>
            <w:r w:rsidRPr="00AB62BD">
              <w:rPr>
                <w:rStyle w:val="Strong"/>
              </w:rPr>
              <w:t>1.2</w:t>
            </w:r>
          </w:p>
        </w:tc>
        <w:tc>
          <w:tcPr>
            <w:tcW w:w="1134" w:type="dxa"/>
          </w:tcPr>
          <w:p w:rsidR="00C232A3" w:rsidRPr="00AB62BD" w:rsidRDefault="00C232A3" w:rsidP="00C232A3">
            <w:pPr>
              <w:pStyle w:val="ARfintablebodyright"/>
              <w:rPr>
                <w:b/>
                <w:bCs/>
                <w:lang w:eastAsia="en-AU"/>
              </w:rPr>
            </w:pPr>
            <w:r w:rsidRPr="00AB62BD">
              <w:rPr>
                <w:rStyle w:val="Strong"/>
              </w:rPr>
              <w:t>83.8</w:t>
            </w:r>
          </w:p>
        </w:tc>
        <w:tc>
          <w:tcPr>
            <w:tcW w:w="1134" w:type="dxa"/>
          </w:tcPr>
          <w:p w:rsidR="00C232A3" w:rsidRPr="00AB62BD" w:rsidRDefault="00C232A3" w:rsidP="00C232A3">
            <w:pPr>
              <w:pStyle w:val="ARfintablebodyright"/>
              <w:rPr>
                <w:rStyle w:val="Strong"/>
                <w:bCs w:val="0"/>
              </w:rPr>
            </w:pPr>
            <w:r w:rsidRPr="00AB62BD">
              <w:rPr>
                <w:rStyle w:val="Strong"/>
              </w:rPr>
              <w:t>85.1</w:t>
            </w:r>
          </w:p>
        </w:tc>
      </w:tr>
    </w:tbl>
    <w:p w:rsidR="00C232A3" w:rsidRPr="00AB62BD" w:rsidRDefault="00C232A3" w:rsidP="00C232A3">
      <w:pPr>
        <w:pStyle w:val="ARfinbodyaftertable"/>
      </w:pPr>
      <w:r w:rsidRPr="00AB62BD">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C232A3" w:rsidRPr="00AB62BD" w:rsidRDefault="00C232A3" w:rsidP="00C232A3">
      <w:pPr>
        <w:pStyle w:val="ARfinbody"/>
        <w:rPr>
          <w:lang w:eastAsia="en-AU"/>
        </w:rPr>
      </w:pPr>
      <w:r w:rsidRPr="00AB62BD">
        <w:rPr>
          <w:lang w:eastAsia="en-AU"/>
        </w:rPr>
        <w:t xml:space="preserve">The </w:t>
      </w:r>
      <w:r w:rsidRPr="000917D5">
        <w:rPr>
          <w:rStyle w:val="Strong"/>
        </w:rPr>
        <w:t>make-good</w:t>
      </w:r>
      <w:r w:rsidRPr="00AB62BD">
        <w:rPr>
          <w:rStyle w:val="Strong"/>
        </w:rPr>
        <w:t xml:space="preserve"> </w:t>
      </w:r>
      <w:r w:rsidRPr="00AB62BD">
        <w:rPr>
          <w:lang w:eastAsia="en-AU"/>
        </w:rPr>
        <w:t xml:space="preserve">provision is recognised in accordance with the lease agreement over the building facilities. The </w:t>
      </w:r>
      <w:r>
        <w:rPr>
          <w:lang w:eastAsia="en-AU"/>
        </w:rPr>
        <w:t>d</w:t>
      </w:r>
      <w:r w:rsidRPr="00AB62BD">
        <w:rPr>
          <w:lang w:eastAsia="en-AU"/>
        </w:rPr>
        <w:t>epartment must remove any leasehold improvements from the leased building and restore the premises to its original condition at the end of the lease term.</w:t>
      </w:r>
    </w:p>
    <w:p w:rsidR="00C232A3" w:rsidRPr="00AB62BD" w:rsidRDefault="00C232A3" w:rsidP="00C232A3">
      <w:pPr>
        <w:pStyle w:val="ARfinbody"/>
        <w:rPr>
          <w:lang w:eastAsia="en-AU"/>
        </w:rPr>
      </w:pPr>
      <w:r w:rsidRPr="000917D5">
        <w:rPr>
          <w:rStyle w:val="Strong"/>
        </w:rPr>
        <w:t>Insurance claims:</w:t>
      </w:r>
      <w:r w:rsidRPr="00AB62BD">
        <w:rPr>
          <w:lang w:eastAsia="en-AU"/>
        </w:rPr>
        <w:t xml:space="preserve">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Australia’s professional standard PS300. The estimation of outstanding claims liabilities is based on actuarial modelling including analysis of claims experience, loss trends, risk exposure data and industry data.</w:t>
      </w:r>
    </w:p>
    <w:p w:rsidR="00C232A3" w:rsidRPr="0002289A" w:rsidRDefault="00C232A3" w:rsidP="00C232A3">
      <w:pPr>
        <w:pStyle w:val="ARbody"/>
      </w:pPr>
      <w:r w:rsidRPr="0002289A">
        <w:br w:type="page"/>
      </w:r>
    </w:p>
    <w:p w:rsidR="00C232A3" w:rsidRPr="001F53B1" w:rsidRDefault="00C232A3" w:rsidP="00C232A3">
      <w:pPr>
        <w:pStyle w:val="Heading3"/>
      </w:pPr>
      <w:bookmarkStart w:id="99" w:name="_Toc493069496"/>
      <w:r w:rsidRPr="001F53B1">
        <w:lastRenderedPageBreak/>
        <w:t>7. How we financed our operations</w:t>
      </w:r>
      <w:bookmarkEnd w:id="99"/>
    </w:p>
    <w:p w:rsidR="00C232A3" w:rsidRPr="001F53B1" w:rsidRDefault="00C232A3" w:rsidP="00C232A3">
      <w:pPr>
        <w:pStyle w:val="Heading4"/>
      </w:pPr>
      <w:r w:rsidRPr="001F53B1">
        <w:t>Introduction</w:t>
      </w:r>
    </w:p>
    <w:p w:rsidR="00C232A3" w:rsidRPr="00AB62BD" w:rsidRDefault="00C232A3" w:rsidP="00C232A3">
      <w:pPr>
        <w:pStyle w:val="ARfinbody"/>
        <w:rPr>
          <w:lang w:eastAsia="en-AU"/>
        </w:rPr>
      </w:pPr>
      <w:r w:rsidRPr="00AB62BD">
        <w:rPr>
          <w:lang w:eastAsia="en-AU"/>
        </w:rPr>
        <w:t>This section provides information on the sources of finance utilised by the department during its operations, along with interest expenses (the cost of borrowings) and other information related to financing activities of the department.</w:t>
      </w:r>
    </w:p>
    <w:p w:rsidR="00C232A3" w:rsidRPr="00AB62BD" w:rsidRDefault="00C232A3" w:rsidP="00C232A3">
      <w:pPr>
        <w:pStyle w:val="ARfinbody"/>
        <w:rPr>
          <w:lang w:eastAsia="en-AU"/>
        </w:rPr>
      </w:pPr>
      <w:r w:rsidRPr="00AB62BD">
        <w:rPr>
          <w:lang w:eastAsia="en-AU"/>
        </w:rPr>
        <w:t xml:space="preserve">This section includes disclosures of balances that are financial instruments (such as borrowings and cash balances). </w:t>
      </w:r>
      <w:r>
        <w:rPr>
          <w:lang w:eastAsia="en-AU"/>
        </w:rPr>
        <w:t>Note</w:t>
      </w:r>
      <w:r w:rsidRPr="00AB62BD">
        <w:rPr>
          <w:lang w:eastAsia="en-AU"/>
        </w:rPr>
        <w:t xml:space="preserve"> 8.2 </w:t>
      </w:r>
      <w:r w:rsidR="00E410F3">
        <w:rPr>
          <w:lang w:eastAsia="en-AU"/>
        </w:rPr>
        <w:br/>
      </w:r>
      <w:r w:rsidRPr="00AB62BD">
        <w:rPr>
          <w:lang w:eastAsia="en-AU"/>
        </w:rPr>
        <w:t>and 8.3 provide additional, specific financial instrument disclosures.</w:t>
      </w:r>
    </w:p>
    <w:p w:rsidR="00C232A3" w:rsidRPr="001F53B1" w:rsidRDefault="00C232A3" w:rsidP="00C232A3">
      <w:pPr>
        <w:pStyle w:val="Heading4"/>
      </w:pPr>
      <w:r w:rsidRPr="001F53B1">
        <w:t>Structure</w:t>
      </w:r>
    </w:p>
    <w:p w:rsidR="00C232A3" w:rsidRPr="00AB62BD" w:rsidRDefault="00C232A3" w:rsidP="00C232A3">
      <w:pPr>
        <w:pStyle w:val="ARfinstructure1"/>
      </w:pPr>
      <w:r>
        <w:t>7.1</w:t>
      </w:r>
      <w:r>
        <w:tab/>
      </w:r>
      <w:r w:rsidRPr="00AB62BD">
        <w:t>Borrowings</w:t>
      </w:r>
    </w:p>
    <w:p w:rsidR="00C232A3" w:rsidRPr="00AB62BD" w:rsidRDefault="00C232A3" w:rsidP="00C232A3">
      <w:pPr>
        <w:pStyle w:val="ARfinstructure2"/>
      </w:pPr>
      <w:r w:rsidRPr="00AB62BD">
        <w:t>7.1.1</w:t>
      </w:r>
      <w:r>
        <w:tab/>
      </w:r>
      <w:r w:rsidRPr="00AB62BD">
        <w:t>Maturity analysis of borrowings</w:t>
      </w:r>
    </w:p>
    <w:p w:rsidR="00C232A3" w:rsidRPr="00AB62BD" w:rsidRDefault="00C232A3" w:rsidP="00C232A3">
      <w:pPr>
        <w:pStyle w:val="ARfinstructure2"/>
      </w:pPr>
      <w:r>
        <w:t>7.1.2</w:t>
      </w:r>
      <w:r>
        <w:tab/>
      </w:r>
      <w:r w:rsidRPr="00AB62BD">
        <w:t>Interest expense</w:t>
      </w:r>
    </w:p>
    <w:p w:rsidR="00C232A3" w:rsidRPr="00AB62BD" w:rsidRDefault="00C232A3" w:rsidP="00C232A3">
      <w:pPr>
        <w:pStyle w:val="ARfinstructure1"/>
      </w:pPr>
      <w:r>
        <w:t>7.2</w:t>
      </w:r>
      <w:r>
        <w:tab/>
      </w:r>
      <w:r w:rsidRPr="00AB62BD">
        <w:t>Leases</w:t>
      </w:r>
    </w:p>
    <w:p w:rsidR="00C232A3" w:rsidRPr="00AB62BD" w:rsidRDefault="00C232A3" w:rsidP="00C232A3">
      <w:pPr>
        <w:pStyle w:val="ARfinstructure2"/>
      </w:pPr>
      <w:r w:rsidRPr="00AB62BD">
        <w:t>7.2.1</w:t>
      </w:r>
      <w:r>
        <w:tab/>
      </w:r>
      <w:r w:rsidRPr="00AB62BD">
        <w:t>Finance lease liabilities</w:t>
      </w:r>
    </w:p>
    <w:p w:rsidR="00C232A3" w:rsidRPr="00AB62BD" w:rsidRDefault="00C232A3" w:rsidP="00C232A3">
      <w:pPr>
        <w:pStyle w:val="ARfinstructure1"/>
      </w:pPr>
      <w:r>
        <w:t>7.3</w:t>
      </w:r>
      <w:r>
        <w:tab/>
      </w:r>
      <w:r w:rsidRPr="00AB62BD">
        <w:t>Cash flow information and balances</w:t>
      </w:r>
    </w:p>
    <w:p w:rsidR="00C232A3" w:rsidRPr="00AB62BD" w:rsidRDefault="00C232A3" w:rsidP="00C232A3">
      <w:pPr>
        <w:pStyle w:val="ARfinstructure2"/>
      </w:pPr>
      <w:r w:rsidRPr="00AB62BD">
        <w:t>7.3.1</w:t>
      </w:r>
      <w:r>
        <w:tab/>
      </w:r>
      <w:r w:rsidRPr="00AB62BD">
        <w:t>Reconciliation of net result to cash flow from operating activities</w:t>
      </w:r>
    </w:p>
    <w:p w:rsidR="00C232A3" w:rsidRPr="00AB62BD" w:rsidRDefault="00C232A3" w:rsidP="00C232A3">
      <w:pPr>
        <w:pStyle w:val="ARfinstructure1"/>
      </w:pPr>
      <w:r>
        <w:t>7.4</w:t>
      </w:r>
      <w:r>
        <w:tab/>
      </w:r>
      <w:r w:rsidRPr="00AB62BD">
        <w:t>Trust account balances</w:t>
      </w:r>
    </w:p>
    <w:p w:rsidR="00C232A3" w:rsidRPr="00AB62BD" w:rsidRDefault="00C232A3" w:rsidP="00C232A3">
      <w:pPr>
        <w:pStyle w:val="ARfinstructure1"/>
      </w:pPr>
      <w:r>
        <w:t>7.5</w:t>
      </w:r>
      <w:r>
        <w:tab/>
      </w:r>
      <w:r w:rsidRPr="00AB62BD">
        <w:t>Commitments for expenditure</w:t>
      </w:r>
    </w:p>
    <w:p w:rsidR="00C232A3" w:rsidRPr="00AB62BD" w:rsidRDefault="00C232A3" w:rsidP="00C232A3">
      <w:pPr>
        <w:pStyle w:val="ARfinstructure2"/>
      </w:pPr>
      <w:r w:rsidRPr="00AB62BD">
        <w:t>7.5.1</w:t>
      </w:r>
      <w:r>
        <w:tab/>
      </w:r>
      <w:r w:rsidRPr="00AB62BD">
        <w:t>Total commitments payable</w:t>
      </w:r>
    </w:p>
    <w:p w:rsidR="00C232A3" w:rsidRPr="00AB62BD" w:rsidRDefault="00C232A3" w:rsidP="00C232A3">
      <w:pPr>
        <w:pStyle w:val="ARfinstructure2"/>
      </w:pPr>
      <w:r>
        <w:t>7.5.2</w:t>
      </w:r>
      <w:r>
        <w:tab/>
      </w:r>
      <w:r w:rsidRPr="00AB62BD">
        <w:t>Public Private Partnership commitments</w:t>
      </w:r>
    </w:p>
    <w:p w:rsidR="00C232A3" w:rsidRPr="00AB62BD" w:rsidRDefault="00C232A3" w:rsidP="00C232A3">
      <w:pPr>
        <w:pStyle w:val="ARfinstructure2"/>
      </w:pPr>
      <w:r>
        <w:t>7.5.3</w:t>
      </w:r>
      <w:r>
        <w:tab/>
      </w:r>
      <w:r w:rsidRPr="00AB62BD">
        <w:t>Commitments other than Public Private Partnerships</w:t>
      </w:r>
    </w:p>
    <w:p w:rsidR="00C232A3" w:rsidRPr="001F53B1" w:rsidRDefault="00C232A3" w:rsidP="00C232A3">
      <w:pPr>
        <w:pStyle w:val="Heading4"/>
      </w:pPr>
      <w:r w:rsidRPr="001F53B1">
        <w:t>7.1 Borrowings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5637D5" w:rsidRDefault="00C232A3" w:rsidP="00C232A3">
            <w:pPr>
              <w:pStyle w:val="ARfintablecolheadright"/>
            </w:pPr>
          </w:p>
        </w:tc>
        <w:tc>
          <w:tcPr>
            <w:tcW w:w="1134" w:type="dxa"/>
            <w:tcBorders>
              <w:bottom w:val="single" w:sz="4" w:space="0" w:color="auto"/>
            </w:tcBorders>
            <w:shd w:val="clear" w:color="auto" w:fill="E7E6E6"/>
            <w:vAlign w:val="bottom"/>
          </w:tcPr>
          <w:p w:rsidR="00C232A3" w:rsidRPr="005637D5" w:rsidRDefault="00C232A3" w:rsidP="00C232A3">
            <w:pPr>
              <w:pStyle w:val="ARfintablecolheadright"/>
            </w:pPr>
            <w:r w:rsidRPr="005637D5">
              <w:t>2017</w:t>
            </w:r>
          </w:p>
          <w:p w:rsidR="00C232A3" w:rsidRPr="005637D5" w:rsidRDefault="00C232A3" w:rsidP="00C232A3">
            <w:pPr>
              <w:pStyle w:val="ARfintablecolheadright"/>
            </w:pPr>
            <w:r w:rsidRPr="005637D5">
              <w:t>$M</w:t>
            </w:r>
          </w:p>
        </w:tc>
        <w:tc>
          <w:tcPr>
            <w:tcW w:w="1134" w:type="dxa"/>
            <w:tcBorders>
              <w:bottom w:val="single" w:sz="4" w:space="0" w:color="auto"/>
            </w:tcBorders>
            <w:vAlign w:val="bottom"/>
          </w:tcPr>
          <w:p w:rsidR="00C232A3" w:rsidRPr="005637D5" w:rsidRDefault="00C232A3" w:rsidP="00C232A3">
            <w:pPr>
              <w:pStyle w:val="ARfintablecolheadright"/>
            </w:pPr>
            <w:r w:rsidRPr="005637D5">
              <w:t>2016</w:t>
            </w:r>
          </w:p>
          <w:p w:rsidR="00C232A3" w:rsidRPr="005637D5" w:rsidRDefault="00C232A3" w:rsidP="00C232A3">
            <w:pPr>
              <w:pStyle w:val="ARfintablecolheadright"/>
            </w:pPr>
            <w:r w:rsidRPr="005637D5">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Current borrowings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Advances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48.0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41.7</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Finance lease liabilities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23.3</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current borrowings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71.3</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64.7</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Non-current borrowings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Advances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Finance lease liabilities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21.8</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25.8</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non-current borrowings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35.2</w:t>
            </w:r>
          </w:p>
        </w:tc>
        <w:tc>
          <w:tcPr>
            <w:tcW w:w="1134" w:type="dxa"/>
          </w:tcPr>
          <w:p w:rsidR="00C232A3" w:rsidRPr="00AB62BD" w:rsidRDefault="00C232A3" w:rsidP="00C232A3">
            <w:pPr>
              <w:pStyle w:val="ARfintablebodyright"/>
              <w:rPr>
                <w:b/>
                <w:bCs/>
                <w:lang w:eastAsia="en-AU"/>
              </w:rPr>
            </w:pPr>
            <w:r w:rsidRPr="00AB62BD">
              <w:rPr>
                <w:rStyle w:val="Strong"/>
              </w:rPr>
              <w:t>39.2</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borrowings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106.5</w:t>
            </w:r>
          </w:p>
        </w:tc>
        <w:tc>
          <w:tcPr>
            <w:tcW w:w="1134" w:type="dxa"/>
          </w:tcPr>
          <w:p w:rsidR="00C232A3" w:rsidRPr="00AB62BD" w:rsidRDefault="00C232A3" w:rsidP="00C232A3">
            <w:pPr>
              <w:pStyle w:val="ARfintablebodyright"/>
              <w:rPr>
                <w:rStyle w:val="Strong"/>
                <w:bCs w:val="0"/>
              </w:rPr>
            </w:pPr>
            <w:r w:rsidRPr="00AB62BD">
              <w:rPr>
                <w:rStyle w:val="Strong"/>
              </w:rPr>
              <w:t>103.9</w:t>
            </w:r>
          </w:p>
        </w:tc>
      </w:tr>
    </w:tbl>
    <w:p w:rsidR="00C232A3" w:rsidRPr="00AB62BD" w:rsidRDefault="00C232A3" w:rsidP="00C232A3">
      <w:pPr>
        <w:pStyle w:val="ARfinbodyaftertable"/>
      </w:pPr>
      <w:r w:rsidRPr="00AB62BD">
        <w:t>Borrowings are classified as financial instruments. All interest 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profit or loss’, or financial liabilities at ‘amortised cost’. The classification depends on the nature and purpose of the interest bearing liabilities. The department determines the classification of interest bearing liabilities at initial recognition.</w:t>
      </w:r>
    </w:p>
    <w:p w:rsidR="00C232A3" w:rsidRPr="00AB62BD" w:rsidRDefault="00C232A3" w:rsidP="00C232A3">
      <w:pPr>
        <w:pStyle w:val="ARfinbody"/>
        <w:rPr>
          <w:lang w:eastAsia="en-AU"/>
        </w:rPr>
      </w:pPr>
      <w:r w:rsidRPr="001F53B1">
        <w:rPr>
          <w:rStyle w:val="Strong"/>
        </w:rPr>
        <w:t>Defaults and breaches:</w:t>
      </w:r>
      <w:r w:rsidRPr="00AB62BD">
        <w:rPr>
          <w:lang w:eastAsia="en-AU"/>
        </w:rPr>
        <w:t xml:space="preserve"> During the current and previous financial year, there were no defaults or breaches of required conditions, in relation to any of the borrowings.</w:t>
      </w:r>
    </w:p>
    <w:p w:rsidR="00C232A3" w:rsidRPr="00AB62BD" w:rsidRDefault="00C232A3" w:rsidP="00C232A3">
      <w:pPr>
        <w:pStyle w:val="ARfinbody"/>
        <w:rPr>
          <w:lang w:eastAsia="en-AU"/>
        </w:rPr>
      </w:pPr>
      <w:r w:rsidRPr="001F53B1">
        <w:rPr>
          <w:rStyle w:val="Strong"/>
        </w:rPr>
        <w:t>Advances from Victorian Government</w:t>
      </w:r>
      <w:r w:rsidRPr="00AB62BD">
        <w:rPr>
          <w:lang w:eastAsia="en-AU"/>
        </w:rPr>
        <w:t xml:space="preserve"> are advances from the Department of Treasury and Finance. These advances are non-interest bearing.</w:t>
      </w:r>
    </w:p>
    <w:p w:rsidR="00C232A3" w:rsidRPr="00AB62BD" w:rsidRDefault="00C232A3" w:rsidP="00C232A3">
      <w:pPr>
        <w:pStyle w:val="ARfinbody"/>
        <w:rPr>
          <w:lang w:eastAsia="en-AU"/>
        </w:rPr>
      </w:pPr>
      <w:r w:rsidRPr="001F53B1">
        <w:rPr>
          <w:rStyle w:val="Strong"/>
        </w:rPr>
        <w:t>Finance lease liabilities</w:t>
      </w:r>
      <w:r w:rsidRPr="00AB62BD">
        <w:rPr>
          <w:lang w:eastAsia="en-AU"/>
        </w:rPr>
        <w:t xml:space="preserve"> are secured by the assets leased. Finance leases are effectively secured as the rights to the leased assets revert to the lessor in the event of default.</w:t>
      </w:r>
    </w:p>
    <w:p w:rsidR="00C232A3" w:rsidRDefault="00C232A3" w:rsidP="00C232A3">
      <w:pPr>
        <w:pStyle w:val="ARfinbody"/>
        <w:rPr>
          <w:rStyle w:val="Strong"/>
          <w:rFonts w:cs="Arial"/>
          <w:bCs w:val="0"/>
        </w:rPr>
        <w:sectPr w:rsidR="00C232A3" w:rsidSect="00C232A3">
          <w:headerReference w:type="even" r:id="rId140"/>
          <w:headerReference w:type="default" r:id="rId141"/>
          <w:footerReference w:type="even" r:id="rId142"/>
          <w:footerReference w:type="default" r:id="rId143"/>
          <w:headerReference w:type="first" r:id="rId144"/>
          <w:footerReference w:type="first" r:id="rId145"/>
          <w:endnotePr>
            <w:numFmt w:val="decimal"/>
          </w:endnotePr>
          <w:pgSz w:w="11900" w:h="16840" w:code="9"/>
          <w:pgMar w:top="1531" w:right="851" w:bottom="680" w:left="1418" w:header="510" w:footer="340" w:gutter="0"/>
          <w:cols w:space="454"/>
        </w:sectPr>
      </w:pPr>
    </w:p>
    <w:p w:rsidR="00C232A3" w:rsidRPr="00D11896" w:rsidRDefault="00C232A3" w:rsidP="00C232A3">
      <w:pPr>
        <w:pStyle w:val="Heading5"/>
        <w:spacing w:before="0"/>
        <w:rPr>
          <w:rStyle w:val="Strong"/>
        </w:rPr>
      </w:pPr>
      <w:r w:rsidRPr="00D11896">
        <w:rPr>
          <w:rStyle w:val="Strong"/>
        </w:rPr>
        <w:lastRenderedPageBreak/>
        <w:t>7.1.1 Maturity analysis of borrowings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355"/>
        <w:gridCol w:w="1584"/>
        <w:gridCol w:w="1585"/>
        <w:gridCol w:w="1587"/>
        <w:gridCol w:w="1587"/>
        <w:gridCol w:w="1587"/>
        <w:gridCol w:w="1587"/>
        <w:gridCol w:w="1587"/>
      </w:tblGrid>
      <w:tr w:rsidR="00C232A3" w:rsidRPr="00AB62BD" w:rsidTr="00C232A3">
        <w:trPr>
          <w:cantSplit/>
          <w:tblHeader/>
        </w:trPr>
        <w:tc>
          <w:tcPr>
            <w:tcW w:w="3356" w:type="dxa"/>
            <w:vMerge w:val="restart"/>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585" w:type="dxa"/>
            <w:vMerge w:val="restart"/>
            <w:vAlign w:val="bottom"/>
          </w:tcPr>
          <w:p w:rsidR="00C232A3" w:rsidRPr="00500286" w:rsidRDefault="00C232A3" w:rsidP="00C232A3">
            <w:pPr>
              <w:pStyle w:val="ARfintablecolheadright"/>
            </w:pPr>
            <w:r w:rsidRPr="00500286">
              <w:t>Carrying amount</w:t>
            </w:r>
          </w:p>
          <w:p w:rsidR="00C232A3" w:rsidRPr="00500286" w:rsidRDefault="00C232A3" w:rsidP="00C232A3">
            <w:pPr>
              <w:pStyle w:val="ARfintablecolheadright"/>
            </w:pPr>
            <w:r w:rsidRPr="00500286">
              <w:t>$M</w:t>
            </w:r>
          </w:p>
        </w:tc>
        <w:tc>
          <w:tcPr>
            <w:tcW w:w="1586" w:type="dxa"/>
            <w:vMerge w:val="restart"/>
            <w:vAlign w:val="bottom"/>
          </w:tcPr>
          <w:p w:rsidR="00C232A3" w:rsidRPr="00500286" w:rsidRDefault="00C232A3" w:rsidP="00C232A3">
            <w:pPr>
              <w:pStyle w:val="ARfintablecolheadright"/>
            </w:pPr>
            <w:r w:rsidRPr="00500286">
              <w:t>Nominal amount</w:t>
            </w:r>
          </w:p>
          <w:p w:rsidR="00C232A3" w:rsidRPr="00500286" w:rsidRDefault="00C232A3" w:rsidP="00C232A3">
            <w:pPr>
              <w:pStyle w:val="ARfintablecolheadright"/>
            </w:pPr>
            <w:r w:rsidRPr="00500286">
              <w:t>$M</w:t>
            </w:r>
          </w:p>
        </w:tc>
        <w:tc>
          <w:tcPr>
            <w:tcW w:w="1588" w:type="dxa"/>
            <w:gridSpan w:val="5"/>
            <w:vAlign w:val="bottom"/>
          </w:tcPr>
          <w:p w:rsidR="00C232A3" w:rsidRPr="00500286" w:rsidRDefault="00C232A3" w:rsidP="00C232A3">
            <w:pPr>
              <w:pStyle w:val="ARfintablecolheadcentre"/>
            </w:pPr>
            <w:r w:rsidRPr="00500286">
              <w:t>Maturity dates</w:t>
            </w:r>
          </w:p>
        </w:tc>
      </w:tr>
      <w:tr w:rsidR="00C232A3" w:rsidRPr="00AB62BD" w:rsidTr="00C232A3">
        <w:trPr>
          <w:cantSplit/>
          <w:tblHeader/>
        </w:trPr>
        <w:tc>
          <w:tcPr>
            <w:tcW w:w="3356"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585"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586"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588" w:type="dxa"/>
            <w:tcBorders>
              <w:bottom w:val="single" w:sz="4" w:space="0" w:color="auto"/>
            </w:tcBorders>
            <w:vAlign w:val="bottom"/>
          </w:tcPr>
          <w:p w:rsidR="00C232A3" w:rsidRPr="00500286" w:rsidRDefault="00C232A3" w:rsidP="00C232A3">
            <w:pPr>
              <w:pStyle w:val="ARfintablecolheadright"/>
            </w:pPr>
            <w:r w:rsidRPr="00500286">
              <w:t>Less than 1 month</w:t>
            </w:r>
          </w:p>
          <w:p w:rsidR="00C232A3" w:rsidRPr="00500286" w:rsidRDefault="00C232A3" w:rsidP="00C232A3">
            <w:pPr>
              <w:pStyle w:val="ARfintablecolheadright"/>
            </w:pPr>
            <w:r w:rsidRPr="00500286">
              <w:t>$M</w:t>
            </w:r>
          </w:p>
        </w:tc>
        <w:tc>
          <w:tcPr>
            <w:tcW w:w="1588" w:type="dxa"/>
            <w:tcBorders>
              <w:bottom w:val="single" w:sz="4" w:space="0" w:color="auto"/>
            </w:tcBorders>
            <w:vAlign w:val="bottom"/>
          </w:tcPr>
          <w:p w:rsidR="00C232A3" w:rsidRPr="00500286" w:rsidRDefault="00C232A3" w:rsidP="00C232A3">
            <w:pPr>
              <w:pStyle w:val="ARfintablecolheadright"/>
            </w:pPr>
            <w:r w:rsidRPr="00500286">
              <w:t>1–3 months</w:t>
            </w:r>
          </w:p>
          <w:p w:rsidR="00C232A3" w:rsidRPr="00500286" w:rsidRDefault="00C232A3" w:rsidP="00C232A3">
            <w:pPr>
              <w:pStyle w:val="ARfintablecolheadright"/>
            </w:pPr>
            <w:r w:rsidRPr="00500286">
              <w:t>$M</w:t>
            </w:r>
          </w:p>
        </w:tc>
        <w:tc>
          <w:tcPr>
            <w:tcW w:w="1588" w:type="dxa"/>
            <w:tcBorders>
              <w:bottom w:val="single" w:sz="4" w:space="0" w:color="auto"/>
            </w:tcBorders>
            <w:vAlign w:val="bottom"/>
          </w:tcPr>
          <w:p w:rsidR="00C232A3" w:rsidRPr="00500286" w:rsidRDefault="00C232A3" w:rsidP="00C232A3">
            <w:pPr>
              <w:pStyle w:val="ARfintablecolheadright"/>
            </w:pPr>
            <w:r w:rsidRPr="00500286">
              <w:t>3 months – 1 year</w:t>
            </w:r>
          </w:p>
          <w:p w:rsidR="00C232A3" w:rsidRPr="00500286" w:rsidRDefault="00C232A3" w:rsidP="00C232A3">
            <w:pPr>
              <w:pStyle w:val="ARfintablecolheadright"/>
            </w:pPr>
            <w:r w:rsidRPr="00500286">
              <w:t>$M</w:t>
            </w:r>
          </w:p>
        </w:tc>
        <w:tc>
          <w:tcPr>
            <w:tcW w:w="1588" w:type="dxa"/>
            <w:tcBorders>
              <w:bottom w:val="single" w:sz="4" w:space="0" w:color="auto"/>
            </w:tcBorders>
            <w:vAlign w:val="bottom"/>
          </w:tcPr>
          <w:p w:rsidR="00C232A3" w:rsidRPr="00500286" w:rsidRDefault="00C232A3" w:rsidP="00C232A3">
            <w:pPr>
              <w:pStyle w:val="ARfintablecolheadright"/>
            </w:pPr>
            <w:r w:rsidRPr="00500286">
              <w:t>1–5 years</w:t>
            </w:r>
          </w:p>
          <w:p w:rsidR="00C232A3" w:rsidRPr="00500286" w:rsidRDefault="00C232A3" w:rsidP="00C232A3">
            <w:pPr>
              <w:pStyle w:val="ARfintablecolheadright"/>
            </w:pPr>
            <w:r w:rsidRPr="00500286">
              <w:t>$M</w:t>
            </w:r>
          </w:p>
        </w:tc>
        <w:tc>
          <w:tcPr>
            <w:tcW w:w="1588" w:type="dxa"/>
            <w:tcBorders>
              <w:bottom w:val="single" w:sz="4" w:space="0" w:color="auto"/>
            </w:tcBorders>
            <w:vAlign w:val="bottom"/>
          </w:tcPr>
          <w:p w:rsidR="00C232A3" w:rsidRPr="00500286" w:rsidRDefault="00C232A3" w:rsidP="00C232A3">
            <w:pPr>
              <w:pStyle w:val="ARfintablecolheadright"/>
            </w:pPr>
            <w:r w:rsidRPr="00500286">
              <w:t>5+ years</w:t>
            </w:r>
          </w:p>
          <w:p w:rsidR="00C232A3" w:rsidRPr="00500286" w:rsidRDefault="00C232A3" w:rsidP="00C232A3">
            <w:pPr>
              <w:pStyle w:val="ARfintablecolheadright"/>
            </w:pPr>
            <w:r w:rsidRPr="00500286">
              <w:t>$M</w:t>
            </w:r>
          </w:p>
        </w:tc>
      </w:tr>
      <w:tr w:rsidR="00C232A3" w:rsidRPr="00AB62BD" w:rsidTr="00C232A3">
        <w:trPr>
          <w:cantSplit/>
        </w:trPr>
        <w:tc>
          <w:tcPr>
            <w:tcW w:w="3356"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rStyle w:val="Strong"/>
              </w:rPr>
              <w:t>2017</w:t>
            </w:r>
          </w:p>
        </w:tc>
        <w:tc>
          <w:tcPr>
            <w:tcW w:w="1585"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3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Advances from Victorian Government</w:t>
            </w:r>
          </w:p>
        </w:tc>
        <w:tc>
          <w:tcPr>
            <w:tcW w:w="15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61.3</w:t>
            </w:r>
          </w:p>
        </w:tc>
        <w:tc>
          <w:tcPr>
            <w:tcW w:w="15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61.3</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41.7</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0.7</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11.0</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7.9</w:t>
            </w:r>
          </w:p>
        </w:tc>
      </w:tr>
      <w:tr w:rsidR="00C232A3" w:rsidRPr="00AB62BD" w:rsidTr="00C232A3">
        <w:trPr>
          <w:cantSplit/>
        </w:trPr>
        <w:tc>
          <w:tcPr>
            <w:tcW w:w="335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Finance lease liabilities</w:t>
            </w:r>
          </w:p>
        </w:tc>
        <w:tc>
          <w:tcPr>
            <w:tcW w:w="1585"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45.1</w:t>
            </w:r>
          </w:p>
        </w:tc>
        <w:tc>
          <w:tcPr>
            <w:tcW w:w="1586"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46.7</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16.3</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22.3</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3356"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w:t>
            </w:r>
          </w:p>
        </w:tc>
        <w:tc>
          <w:tcPr>
            <w:tcW w:w="1585"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106.4</w:t>
            </w:r>
          </w:p>
        </w:tc>
        <w:tc>
          <w:tcPr>
            <w:tcW w:w="1586"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108.0</w:t>
            </w:r>
          </w:p>
        </w:tc>
        <w:tc>
          <w:tcPr>
            <w:tcW w:w="1588" w:type="dxa"/>
            <w:tcBorders>
              <w:bottom w:val="single" w:sz="4" w:space="0" w:color="auto"/>
            </w:tcBorders>
          </w:tcPr>
          <w:p w:rsidR="00C232A3" w:rsidRPr="00AB62BD" w:rsidRDefault="00C232A3" w:rsidP="00C232A3">
            <w:pPr>
              <w:pStyle w:val="ARfintablebodyright"/>
              <w:rPr>
                <w:b/>
                <w:bCs/>
                <w:lang w:eastAsia="en-AU"/>
              </w:rPr>
            </w:pPr>
            <w:r>
              <w:rPr>
                <w:rStyle w:val="Strong"/>
              </w:rPr>
              <w:t>46.5</w:t>
            </w:r>
          </w:p>
        </w:tc>
        <w:tc>
          <w:tcPr>
            <w:tcW w:w="1588"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3.3</w:t>
            </w:r>
          </w:p>
        </w:tc>
        <w:tc>
          <w:tcPr>
            <w:tcW w:w="1588" w:type="dxa"/>
            <w:tcBorders>
              <w:bottom w:val="single" w:sz="4" w:space="0" w:color="auto"/>
            </w:tcBorders>
          </w:tcPr>
          <w:p w:rsidR="00C232A3" w:rsidRPr="00AB62BD" w:rsidRDefault="00C232A3" w:rsidP="00C232A3">
            <w:pPr>
              <w:pStyle w:val="ARfintablebodyright"/>
              <w:rPr>
                <w:b/>
                <w:bCs/>
                <w:lang w:eastAsia="en-AU"/>
              </w:rPr>
            </w:pPr>
            <w:r>
              <w:rPr>
                <w:rStyle w:val="Strong"/>
              </w:rPr>
              <w:t>17.0</w:t>
            </w:r>
          </w:p>
        </w:tc>
        <w:tc>
          <w:tcPr>
            <w:tcW w:w="1588" w:type="dxa"/>
            <w:tcBorders>
              <w:bottom w:val="single" w:sz="4" w:space="0" w:color="auto"/>
            </w:tcBorders>
          </w:tcPr>
          <w:p w:rsidR="00C232A3" w:rsidRPr="00AB62BD" w:rsidRDefault="00C232A3" w:rsidP="00C232A3">
            <w:pPr>
              <w:pStyle w:val="ARfintablebodyright"/>
              <w:rPr>
                <w:b/>
                <w:bCs/>
                <w:lang w:eastAsia="en-AU"/>
              </w:rPr>
            </w:pPr>
            <w:r>
              <w:rPr>
                <w:rStyle w:val="Strong"/>
              </w:rPr>
              <w:t>33.3</w:t>
            </w:r>
          </w:p>
        </w:tc>
        <w:tc>
          <w:tcPr>
            <w:tcW w:w="1588" w:type="dxa"/>
            <w:tcBorders>
              <w:bottom w:val="single" w:sz="4" w:space="0" w:color="auto"/>
            </w:tcBorders>
          </w:tcPr>
          <w:p w:rsidR="00C232A3" w:rsidRPr="00AB62BD" w:rsidRDefault="00C232A3" w:rsidP="00C232A3">
            <w:pPr>
              <w:pStyle w:val="ARfintablebodyright"/>
              <w:rPr>
                <w:b/>
                <w:bCs/>
                <w:lang w:eastAsia="en-AU"/>
              </w:rPr>
            </w:pPr>
            <w:r>
              <w:rPr>
                <w:rStyle w:val="Strong"/>
              </w:rPr>
              <w:t>7.9</w:t>
            </w:r>
          </w:p>
        </w:tc>
      </w:tr>
      <w:tr w:rsidR="00C232A3" w:rsidRPr="00AB62BD" w:rsidTr="00C232A3">
        <w:trPr>
          <w:cantSplit/>
        </w:trPr>
        <w:tc>
          <w:tcPr>
            <w:tcW w:w="3356"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2016</w:t>
            </w:r>
          </w:p>
        </w:tc>
        <w:tc>
          <w:tcPr>
            <w:tcW w:w="1585" w:type="dxa"/>
            <w:tcBorders>
              <w:top w:val="single" w:sz="4" w:space="0" w:color="auto"/>
              <w:bottom w:val="single" w:sz="4" w:space="0" w:color="A6A6A6" w:themeColor="background1" w:themeShade="A6"/>
            </w:tcBorders>
          </w:tcPr>
          <w:p w:rsidR="00C232A3" w:rsidRPr="00AB62BD" w:rsidRDefault="00C232A3" w:rsidP="00C232A3">
            <w:pPr>
              <w:pStyle w:val="ARfintablebodyright"/>
              <w:rPr>
                <w:rStyle w:val="Strong"/>
                <w:bCs w:val="0"/>
              </w:rPr>
            </w:pPr>
          </w:p>
        </w:tc>
        <w:tc>
          <w:tcPr>
            <w:tcW w:w="1586"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58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35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Advances from Victorian Government</w:t>
            </w:r>
          </w:p>
        </w:tc>
        <w:tc>
          <w:tcPr>
            <w:tcW w:w="158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55.1</w:t>
            </w:r>
          </w:p>
        </w:tc>
        <w:tc>
          <w:tcPr>
            <w:tcW w:w="15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55.1</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33.7</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15.3</w:t>
            </w:r>
          </w:p>
        </w:tc>
        <w:tc>
          <w:tcPr>
            <w:tcW w:w="158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6.1</w:t>
            </w:r>
          </w:p>
        </w:tc>
      </w:tr>
      <w:tr w:rsidR="00C232A3" w:rsidRPr="00AB62BD" w:rsidTr="00C232A3">
        <w:trPr>
          <w:cantSplit/>
        </w:trPr>
        <w:tc>
          <w:tcPr>
            <w:tcW w:w="335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Finance lease liabilities</w:t>
            </w:r>
          </w:p>
        </w:tc>
        <w:tc>
          <w:tcPr>
            <w:tcW w:w="1585"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48.8</w:t>
            </w:r>
          </w:p>
        </w:tc>
        <w:tc>
          <w:tcPr>
            <w:tcW w:w="1586"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51.1</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4.3</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17.0</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26.6</w:t>
            </w:r>
          </w:p>
        </w:tc>
        <w:tc>
          <w:tcPr>
            <w:tcW w:w="158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3356" w:type="dxa"/>
          </w:tcPr>
          <w:p w:rsidR="00C232A3" w:rsidRPr="00AB62BD" w:rsidRDefault="00C232A3" w:rsidP="00C232A3">
            <w:pPr>
              <w:pStyle w:val="ARfintablebody"/>
              <w:rPr>
                <w:bCs/>
                <w:lang w:eastAsia="en-AU"/>
              </w:rPr>
            </w:pPr>
            <w:r w:rsidRPr="00AB62BD">
              <w:rPr>
                <w:rStyle w:val="Strong"/>
              </w:rPr>
              <w:t>Total</w:t>
            </w:r>
          </w:p>
        </w:tc>
        <w:tc>
          <w:tcPr>
            <w:tcW w:w="1585" w:type="dxa"/>
          </w:tcPr>
          <w:p w:rsidR="00C232A3" w:rsidRPr="00AB62BD" w:rsidRDefault="00C232A3" w:rsidP="00C232A3">
            <w:pPr>
              <w:pStyle w:val="ARfintablebodyright"/>
              <w:rPr>
                <w:b/>
                <w:bCs/>
                <w:lang w:eastAsia="en-AU"/>
              </w:rPr>
            </w:pPr>
            <w:r w:rsidRPr="00AB62BD">
              <w:rPr>
                <w:rStyle w:val="Strong"/>
              </w:rPr>
              <w:t>103.9</w:t>
            </w:r>
          </w:p>
        </w:tc>
        <w:tc>
          <w:tcPr>
            <w:tcW w:w="1586" w:type="dxa"/>
          </w:tcPr>
          <w:p w:rsidR="00C232A3" w:rsidRPr="00AB62BD" w:rsidRDefault="00C232A3" w:rsidP="00C232A3">
            <w:pPr>
              <w:pStyle w:val="ARfintablebodyright"/>
              <w:rPr>
                <w:b/>
                <w:bCs/>
                <w:lang w:eastAsia="en-AU"/>
              </w:rPr>
            </w:pPr>
            <w:r w:rsidRPr="00AB62BD">
              <w:rPr>
                <w:rStyle w:val="Strong"/>
              </w:rPr>
              <w:t>106.2</w:t>
            </w:r>
          </w:p>
        </w:tc>
        <w:tc>
          <w:tcPr>
            <w:tcW w:w="1588" w:type="dxa"/>
          </w:tcPr>
          <w:p w:rsidR="00C232A3" w:rsidRPr="00AB62BD" w:rsidRDefault="00C232A3" w:rsidP="00C232A3">
            <w:pPr>
              <w:pStyle w:val="ARfintablebodyright"/>
              <w:rPr>
                <w:b/>
                <w:bCs/>
                <w:lang w:eastAsia="en-AU"/>
              </w:rPr>
            </w:pPr>
            <w:r w:rsidRPr="00AB62BD">
              <w:rPr>
                <w:rStyle w:val="Strong"/>
              </w:rPr>
              <w:t>38.0</w:t>
            </w:r>
          </w:p>
        </w:tc>
        <w:tc>
          <w:tcPr>
            <w:tcW w:w="1588" w:type="dxa"/>
          </w:tcPr>
          <w:p w:rsidR="00C232A3" w:rsidRPr="00AB62BD" w:rsidRDefault="00C232A3" w:rsidP="00C232A3">
            <w:pPr>
              <w:pStyle w:val="ARfintablebodyright"/>
              <w:rPr>
                <w:b/>
                <w:bCs/>
                <w:lang w:eastAsia="en-AU"/>
              </w:rPr>
            </w:pPr>
            <w:r w:rsidRPr="00AB62BD">
              <w:rPr>
                <w:rStyle w:val="Strong"/>
              </w:rPr>
              <w:t>3.2</w:t>
            </w:r>
          </w:p>
        </w:tc>
        <w:tc>
          <w:tcPr>
            <w:tcW w:w="1588" w:type="dxa"/>
          </w:tcPr>
          <w:p w:rsidR="00C232A3" w:rsidRPr="00AB62BD" w:rsidRDefault="00C232A3" w:rsidP="00C232A3">
            <w:pPr>
              <w:pStyle w:val="ARfintablebodyright"/>
              <w:rPr>
                <w:b/>
                <w:bCs/>
                <w:lang w:eastAsia="en-AU"/>
              </w:rPr>
            </w:pPr>
            <w:r w:rsidRPr="00AB62BD">
              <w:rPr>
                <w:rStyle w:val="Strong"/>
              </w:rPr>
              <w:t>17.0</w:t>
            </w:r>
          </w:p>
        </w:tc>
        <w:tc>
          <w:tcPr>
            <w:tcW w:w="1588" w:type="dxa"/>
          </w:tcPr>
          <w:p w:rsidR="00C232A3" w:rsidRPr="00AB62BD" w:rsidRDefault="00C232A3" w:rsidP="00C232A3">
            <w:pPr>
              <w:pStyle w:val="ARfintablebodyright"/>
              <w:rPr>
                <w:b/>
                <w:bCs/>
                <w:lang w:eastAsia="en-AU"/>
              </w:rPr>
            </w:pPr>
            <w:r>
              <w:rPr>
                <w:rStyle w:val="Strong"/>
              </w:rPr>
              <w:t>41.9</w:t>
            </w:r>
          </w:p>
        </w:tc>
        <w:tc>
          <w:tcPr>
            <w:tcW w:w="1588" w:type="dxa"/>
          </w:tcPr>
          <w:p w:rsidR="00C232A3" w:rsidRPr="00AB62BD" w:rsidRDefault="00C232A3" w:rsidP="00C232A3">
            <w:pPr>
              <w:pStyle w:val="ARfintablebodyright"/>
              <w:rPr>
                <w:rStyle w:val="Strong"/>
                <w:bCs w:val="0"/>
              </w:rPr>
            </w:pPr>
            <w:r>
              <w:rPr>
                <w:rStyle w:val="Strong"/>
              </w:rPr>
              <w:t>6.1</w:t>
            </w:r>
          </w:p>
        </w:tc>
      </w:tr>
    </w:tbl>
    <w:p w:rsidR="00C232A3" w:rsidRPr="00AB62BD" w:rsidRDefault="00C232A3" w:rsidP="00C232A3">
      <w:pPr>
        <w:pStyle w:val="ARfinbody"/>
        <w:rPr>
          <w:lang w:eastAsia="en-AU"/>
        </w:rPr>
      </w:pPr>
    </w:p>
    <w:p w:rsidR="00C232A3" w:rsidRDefault="00C232A3" w:rsidP="00C232A3">
      <w:pPr>
        <w:pStyle w:val="ARfinbody"/>
        <w:rPr>
          <w:lang w:eastAsia="en-AU"/>
        </w:rPr>
        <w:sectPr w:rsidR="00C232A3" w:rsidSect="00C232A3">
          <w:headerReference w:type="even" r:id="rId146"/>
          <w:headerReference w:type="default" r:id="rId147"/>
          <w:endnotePr>
            <w:numFmt w:val="decimal"/>
          </w:endnotePr>
          <w:pgSz w:w="16840" w:h="11900" w:orient="landscape" w:code="9"/>
          <w:pgMar w:top="1418" w:right="1531" w:bottom="851" w:left="851" w:header="794" w:footer="340" w:gutter="0"/>
          <w:cols w:space="454"/>
          <w:docGrid w:linePitch="272"/>
        </w:sectPr>
      </w:pPr>
    </w:p>
    <w:p w:rsidR="00C232A3" w:rsidRPr="00D11896" w:rsidRDefault="00C232A3" w:rsidP="00C232A3">
      <w:pPr>
        <w:pStyle w:val="Heading5"/>
        <w:spacing w:before="0"/>
        <w:rPr>
          <w:rStyle w:val="Strong"/>
        </w:rPr>
      </w:pPr>
      <w:r w:rsidRPr="00D11896">
        <w:rPr>
          <w:rStyle w:val="Strong"/>
        </w:rPr>
        <w:lastRenderedPageBreak/>
        <w:t>7.1.2 Interest expense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D25650" w:rsidRDefault="00C232A3" w:rsidP="00C232A3">
            <w:pPr>
              <w:pStyle w:val="ARfintablecolheadright"/>
            </w:pPr>
          </w:p>
        </w:tc>
        <w:tc>
          <w:tcPr>
            <w:tcW w:w="1134" w:type="dxa"/>
            <w:tcBorders>
              <w:bottom w:val="single" w:sz="4" w:space="0" w:color="auto"/>
            </w:tcBorders>
            <w:shd w:val="clear" w:color="auto" w:fill="E7E6E6"/>
            <w:vAlign w:val="bottom"/>
          </w:tcPr>
          <w:p w:rsidR="00C232A3" w:rsidRPr="00D25650" w:rsidRDefault="00C232A3" w:rsidP="00C232A3">
            <w:pPr>
              <w:pStyle w:val="ARfintablecolheadright"/>
            </w:pPr>
            <w:r w:rsidRPr="00D25650">
              <w:t>2017</w:t>
            </w:r>
          </w:p>
          <w:p w:rsidR="00C232A3" w:rsidRPr="00D25650" w:rsidRDefault="00C232A3" w:rsidP="00C232A3">
            <w:pPr>
              <w:pStyle w:val="ARfintablecolheadright"/>
            </w:pPr>
            <w:r w:rsidRPr="00D25650">
              <w:t>$M</w:t>
            </w:r>
          </w:p>
        </w:tc>
        <w:tc>
          <w:tcPr>
            <w:tcW w:w="1134" w:type="dxa"/>
            <w:tcBorders>
              <w:bottom w:val="single" w:sz="4" w:space="0" w:color="auto"/>
            </w:tcBorders>
            <w:vAlign w:val="bottom"/>
          </w:tcPr>
          <w:p w:rsidR="00C232A3" w:rsidRPr="00D25650" w:rsidRDefault="00C232A3" w:rsidP="00C232A3">
            <w:pPr>
              <w:pStyle w:val="ARfintablecolheadright"/>
            </w:pPr>
            <w:r w:rsidRPr="00D25650">
              <w:t>2016</w:t>
            </w:r>
          </w:p>
          <w:p w:rsidR="00C232A3" w:rsidRPr="00D25650" w:rsidRDefault="00C232A3" w:rsidP="00C232A3">
            <w:pPr>
              <w:pStyle w:val="ARfintablecolheadright"/>
            </w:pPr>
            <w:r w:rsidRPr="00D25650">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Finance lease costs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0.9</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on borrowings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 xml:space="preserve">Total interest expense </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1.1</w:t>
            </w:r>
          </w:p>
        </w:tc>
        <w:tc>
          <w:tcPr>
            <w:tcW w:w="1134" w:type="dxa"/>
          </w:tcPr>
          <w:p w:rsidR="00C232A3" w:rsidRPr="00AB62BD" w:rsidRDefault="00C232A3" w:rsidP="00C232A3">
            <w:pPr>
              <w:pStyle w:val="ARfintablebodyright"/>
              <w:rPr>
                <w:rStyle w:val="Strong"/>
                <w:bCs w:val="0"/>
              </w:rPr>
            </w:pPr>
            <w:r w:rsidRPr="00AB62BD">
              <w:rPr>
                <w:rStyle w:val="Strong"/>
              </w:rPr>
              <w:t>0.3</w:t>
            </w:r>
          </w:p>
        </w:tc>
      </w:tr>
    </w:tbl>
    <w:p w:rsidR="00C232A3" w:rsidRPr="00AB62BD" w:rsidRDefault="00C232A3" w:rsidP="00C232A3">
      <w:pPr>
        <w:pStyle w:val="ARfinbodyaftertable"/>
      </w:pPr>
      <w:r w:rsidRPr="00AB62BD">
        <w:t>‘Interest expense’ includes costs incurred in connection with the borrowing of funds and includes interest on bank overdrafts and short term and long term borrowings, amortisation of discounts or premiums relating to borrowings and interest component of finance leases repayments.</w:t>
      </w:r>
    </w:p>
    <w:p w:rsidR="00C232A3" w:rsidRPr="00AB62BD" w:rsidRDefault="00C232A3" w:rsidP="00C232A3">
      <w:pPr>
        <w:pStyle w:val="ARfinbody"/>
        <w:rPr>
          <w:lang w:eastAsia="en-AU"/>
        </w:rPr>
      </w:pPr>
      <w:r w:rsidRPr="00AB62BD">
        <w:rPr>
          <w:lang w:eastAsia="en-AU"/>
        </w:rPr>
        <w:t>Interest expense is recognised in the period in which it is incurred.</w:t>
      </w:r>
    </w:p>
    <w:p w:rsidR="00C232A3" w:rsidRPr="00AB62BD" w:rsidRDefault="00C232A3" w:rsidP="00C232A3">
      <w:pPr>
        <w:pStyle w:val="ARfinbody"/>
        <w:rPr>
          <w:lang w:eastAsia="en-AU"/>
        </w:rPr>
      </w:pPr>
      <w:r w:rsidRPr="00AB62BD">
        <w:rPr>
          <w:lang w:eastAsia="en-AU"/>
        </w:rPr>
        <w:t>The department recognises borrowing costs immediately as an expense, even where they are directly attributable to the acquisition, construction or production of a qualifying asset.</w:t>
      </w:r>
    </w:p>
    <w:p w:rsidR="00C232A3" w:rsidRPr="001F53B1" w:rsidRDefault="00C232A3" w:rsidP="00C232A3">
      <w:pPr>
        <w:pStyle w:val="Heading4"/>
      </w:pPr>
      <w:r w:rsidRPr="001F53B1">
        <w:t>7.2 Leases</w:t>
      </w:r>
    </w:p>
    <w:p w:rsidR="00C232A3" w:rsidRPr="00D11896" w:rsidRDefault="00C232A3" w:rsidP="00C232A3">
      <w:pPr>
        <w:pStyle w:val="Heading5"/>
        <w:rPr>
          <w:rStyle w:val="Strong"/>
        </w:rPr>
      </w:pPr>
      <w:r w:rsidRPr="00D11896">
        <w:rPr>
          <w:rStyle w:val="Strong"/>
        </w:rPr>
        <w:t>7.2.1 Finance lease liabilities (department as lessee)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C232A3" w:rsidRPr="00AB62BD" w:rsidTr="00B059F2">
        <w:trPr>
          <w:cantSplit/>
          <w:tblHeader/>
        </w:trPr>
        <w:tc>
          <w:tcPr>
            <w:tcW w:w="5103" w:type="dxa"/>
            <w:tcBorders>
              <w:bottom w:val="single" w:sz="4" w:space="0" w:color="auto"/>
            </w:tcBorders>
            <w:shd w:val="clear" w:color="auto" w:fill="auto"/>
            <w:vAlign w:val="bottom"/>
          </w:tcPr>
          <w:p w:rsidR="00C232A3" w:rsidRPr="00091693" w:rsidRDefault="00C232A3" w:rsidP="00C232A3">
            <w:pPr>
              <w:pStyle w:val="ARfintablecolheadright"/>
            </w:pPr>
          </w:p>
        </w:tc>
        <w:tc>
          <w:tcPr>
            <w:tcW w:w="2268" w:type="dxa"/>
            <w:gridSpan w:val="2"/>
            <w:tcBorders>
              <w:bottom w:val="single" w:sz="4" w:space="0" w:color="auto"/>
            </w:tcBorders>
            <w:shd w:val="clear" w:color="auto" w:fill="auto"/>
            <w:vAlign w:val="bottom"/>
          </w:tcPr>
          <w:p w:rsidR="00C232A3" w:rsidRPr="00091693" w:rsidRDefault="00C232A3" w:rsidP="00C232A3">
            <w:pPr>
              <w:pStyle w:val="ARfintablecolheadcentre"/>
            </w:pPr>
            <w:r>
              <w:t xml:space="preserve">Minimum future lease payments </w:t>
            </w:r>
            <w:r w:rsidRPr="00B56AFE">
              <w:rPr>
                <w:rStyle w:val="Superscriptbold"/>
              </w:rPr>
              <w:t>(</w:t>
            </w:r>
            <w:proofErr w:type="spellStart"/>
            <w:r w:rsidRPr="00B56AFE">
              <w:rPr>
                <w:rStyle w:val="Superscriptbold"/>
              </w:rPr>
              <w:t>i</w:t>
            </w:r>
            <w:proofErr w:type="spellEnd"/>
            <w:r w:rsidRPr="00B56AFE">
              <w:rPr>
                <w:rStyle w:val="Superscriptbold"/>
              </w:rPr>
              <w:t>)</w:t>
            </w:r>
          </w:p>
        </w:tc>
        <w:tc>
          <w:tcPr>
            <w:tcW w:w="2268" w:type="dxa"/>
            <w:gridSpan w:val="2"/>
            <w:tcBorders>
              <w:bottom w:val="single" w:sz="4" w:space="0" w:color="auto"/>
            </w:tcBorders>
            <w:shd w:val="clear" w:color="auto" w:fill="auto"/>
            <w:vAlign w:val="bottom"/>
          </w:tcPr>
          <w:p w:rsidR="00C232A3" w:rsidRPr="00091693" w:rsidRDefault="00C232A3" w:rsidP="00C232A3">
            <w:pPr>
              <w:pStyle w:val="ARfintablecolheadcentre"/>
            </w:pPr>
            <w:r>
              <w:t>Present value of minimum future lease payments</w:t>
            </w:r>
          </w:p>
        </w:tc>
      </w:tr>
      <w:tr w:rsidR="00C232A3" w:rsidRPr="00AB62BD" w:rsidTr="00C232A3">
        <w:trPr>
          <w:cantSplit/>
          <w:tblHeader/>
        </w:trPr>
        <w:tc>
          <w:tcPr>
            <w:tcW w:w="5103" w:type="dxa"/>
            <w:tcBorders>
              <w:bottom w:val="single" w:sz="4" w:space="0" w:color="auto"/>
            </w:tcBorders>
            <w:vAlign w:val="bottom"/>
          </w:tcPr>
          <w:p w:rsidR="00C232A3" w:rsidRPr="00091693" w:rsidRDefault="00C232A3" w:rsidP="00C232A3">
            <w:pPr>
              <w:pStyle w:val="ARfintablecolheadright"/>
            </w:pPr>
          </w:p>
        </w:tc>
        <w:tc>
          <w:tcPr>
            <w:tcW w:w="1134" w:type="dxa"/>
            <w:tcBorders>
              <w:bottom w:val="single" w:sz="4" w:space="0" w:color="auto"/>
            </w:tcBorders>
            <w:shd w:val="clear" w:color="auto" w:fill="E7E6E6"/>
            <w:vAlign w:val="bottom"/>
          </w:tcPr>
          <w:p w:rsidR="00C232A3" w:rsidRPr="00091693" w:rsidRDefault="00C232A3" w:rsidP="00C232A3">
            <w:pPr>
              <w:pStyle w:val="ARfintablecolheadright"/>
            </w:pPr>
            <w:r w:rsidRPr="00091693">
              <w:t>2017</w:t>
            </w:r>
          </w:p>
          <w:p w:rsidR="00C232A3" w:rsidRPr="00091693" w:rsidRDefault="00C232A3" w:rsidP="00C232A3">
            <w:pPr>
              <w:pStyle w:val="ARfintablecolheadright"/>
            </w:pPr>
            <w:r w:rsidRPr="00091693">
              <w:t>$M</w:t>
            </w:r>
          </w:p>
        </w:tc>
        <w:tc>
          <w:tcPr>
            <w:tcW w:w="1134" w:type="dxa"/>
            <w:tcBorders>
              <w:bottom w:val="single" w:sz="4" w:space="0" w:color="auto"/>
            </w:tcBorders>
            <w:vAlign w:val="bottom"/>
          </w:tcPr>
          <w:p w:rsidR="00C232A3" w:rsidRPr="00091693" w:rsidRDefault="00C232A3" w:rsidP="00C232A3">
            <w:pPr>
              <w:pStyle w:val="ARfintablecolheadright"/>
            </w:pPr>
            <w:r w:rsidRPr="00091693">
              <w:t>2016</w:t>
            </w:r>
          </w:p>
          <w:p w:rsidR="00C232A3" w:rsidRPr="00091693" w:rsidRDefault="00C232A3" w:rsidP="00C232A3">
            <w:pPr>
              <w:pStyle w:val="ARfintablecolheadright"/>
            </w:pPr>
            <w:r w:rsidRPr="00091693">
              <w:t>$M</w:t>
            </w:r>
          </w:p>
        </w:tc>
        <w:tc>
          <w:tcPr>
            <w:tcW w:w="1134" w:type="dxa"/>
            <w:tcBorders>
              <w:bottom w:val="single" w:sz="4" w:space="0" w:color="auto"/>
            </w:tcBorders>
            <w:shd w:val="clear" w:color="auto" w:fill="E7E6E6"/>
            <w:vAlign w:val="bottom"/>
          </w:tcPr>
          <w:p w:rsidR="00C232A3" w:rsidRPr="00091693" w:rsidRDefault="00C232A3" w:rsidP="00C232A3">
            <w:pPr>
              <w:pStyle w:val="ARfintablecolheadright"/>
            </w:pPr>
            <w:r w:rsidRPr="00091693">
              <w:t>2017</w:t>
            </w:r>
          </w:p>
          <w:p w:rsidR="00C232A3" w:rsidRPr="00091693" w:rsidRDefault="00C232A3" w:rsidP="00C232A3">
            <w:pPr>
              <w:pStyle w:val="ARfintablecolheadright"/>
            </w:pPr>
            <w:r w:rsidRPr="00091693">
              <w:t>$M</w:t>
            </w:r>
          </w:p>
        </w:tc>
        <w:tc>
          <w:tcPr>
            <w:tcW w:w="1134" w:type="dxa"/>
            <w:tcBorders>
              <w:bottom w:val="single" w:sz="4" w:space="0" w:color="auto"/>
            </w:tcBorders>
            <w:vAlign w:val="bottom"/>
          </w:tcPr>
          <w:p w:rsidR="00C232A3" w:rsidRPr="00091693" w:rsidRDefault="00C232A3" w:rsidP="00C232A3">
            <w:pPr>
              <w:pStyle w:val="ARfintablecolheadright"/>
            </w:pPr>
            <w:r w:rsidRPr="00091693">
              <w:t>2016</w:t>
            </w:r>
          </w:p>
          <w:p w:rsidR="00C232A3" w:rsidRPr="00091693" w:rsidRDefault="00C232A3" w:rsidP="00C232A3">
            <w:pPr>
              <w:pStyle w:val="ARfintablecolheadright"/>
            </w:pPr>
            <w:r w:rsidRPr="00091693">
              <w:t>$M</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Finance lease liabilities payable</w:t>
            </w:r>
            <w:r w:rsidRPr="000812B4">
              <w:rPr>
                <w:rStyle w:val="Superscriptbold"/>
              </w:rPr>
              <w:t xml:space="preserve"> (ii)</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Not longer</w:t>
            </w:r>
            <w:proofErr w:type="spellEnd"/>
            <w:r w:rsidRPr="00AB62BD">
              <w:rPr>
                <w:lang w:eastAsia="en-AU"/>
              </w:rPr>
              <w:t xml:space="preserve"> than one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24.5</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w:t>
            </w: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one year but not longer than five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22.3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26.6</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25.8</w:t>
            </w:r>
          </w:p>
        </w:tc>
      </w:tr>
      <w:tr w:rsidR="00C232A3" w:rsidRPr="00AB62BD" w:rsidTr="00C232A3">
        <w:trPr>
          <w:cantSplit/>
        </w:trPr>
        <w:tc>
          <w:tcPr>
            <w:tcW w:w="5103" w:type="dxa"/>
            <w:tcBorders>
              <w:top w:val="single" w:sz="4" w:space="0" w:color="A6A6A6" w:themeColor="background1" w:themeShade="A6"/>
              <w:bottom w:val="single" w:sz="4" w:space="0" w:color="auto"/>
            </w:tcBorders>
          </w:tcPr>
          <w:p w:rsidR="00C232A3" w:rsidRPr="00AB62BD" w:rsidRDefault="00C232A3" w:rsidP="00C232A3">
            <w:pPr>
              <w:pStyle w:val="ARfintablebody"/>
              <w:rPr>
                <w:lang w:eastAsia="en-AU"/>
              </w:rPr>
            </w:pPr>
            <w:r w:rsidRPr="00AB62BD">
              <w:rPr>
                <w:lang w:eastAsia="en-AU"/>
              </w:rPr>
              <w:t>Longer than five years</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uto"/>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top w:val="single" w:sz="4" w:space="0" w:color="auto"/>
              <w:bottom w:val="single" w:sz="4" w:space="0" w:color="auto"/>
            </w:tcBorders>
          </w:tcPr>
          <w:p w:rsidR="00C232A3" w:rsidRPr="00AB62BD" w:rsidRDefault="00C232A3" w:rsidP="00C232A3">
            <w:pPr>
              <w:pStyle w:val="ARfintablebody"/>
              <w:rPr>
                <w:bCs/>
                <w:lang w:eastAsia="en-AU"/>
              </w:rPr>
            </w:pPr>
            <w:r w:rsidRPr="00AB62BD">
              <w:rPr>
                <w:rStyle w:val="Strong"/>
              </w:rPr>
              <w:t>Minimum future lease liabilities payable</w:t>
            </w:r>
          </w:p>
        </w:tc>
        <w:tc>
          <w:tcPr>
            <w:tcW w:w="1134" w:type="dxa"/>
            <w:tcBorders>
              <w:top w:val="single" w:sz="4" w:space="0" w:color="auto"/>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46.7</w:t>
            </w:r>
          </w:p>
        </w:tc>
        <w:tc>
          <w:tcPr>
            <w:tcW w:w="1134" w:type="dxa"/>
            <w:tcBorders>
              <w:top w:val="single" w:sz="4" w:space="0" w:color="auto"/>
              <w:bottom w:val="single" w:sz="4" w:space="0" w:color="auto"/>
            </w:tcBorders>
          </w:tcPr>
          <w:p w:rsidR="00C232A3" w:rsidRPr="00AB62BD" w:rsidRDefault="00C232A3" w:rsidP="00C232A3">
            <w:pPr>
              <w:pStyle w:val="ARfintablebodyright"/>
              <w:rPr>
                <w:b/>
                <w:bCs/>
                <w:lang w:eastAsia="en-AU"/>
              </w:rPr>
            </w:pPr>
            <w:r w:rsidRPr="00AB62BD">
              <w:rPr>
                <w:rStyle w:val="Strong"/>
              </w:rPr>
              <w:t>51.1</w:t>
            </w:r>
          </w:p>
        </w:tc>
        <w:tc>
          <w:tcPr>
            <w:tcW w:w="1134" w:type="dxa"/>
            <w:tcBorders>
              <w:top w:val="single" w:sz="4" w:space="0" w:color="auto"/>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45.1</w:t>
            </w:r>
          </w:p>
        </w:tc>
        <w:tc>
          <w:tcPr>
            <w:tcW w:w="1134" w:type="dxa"/>
            <w:tcBorders>
              <w:top w:val="single" w:sz="4" w:space="0" w:color="auto"/>
              <w:bottom w:val="single" w:sz="4" w:space="0" w:color="auto"/>
            </w:tcBorders>
          </w:tcPr>
          <w:p w:rsidR="00C232A3" w:rsidRPr="00AB62BD" w:rsidRDefault="00C232A3" w:rsidP="00C232A3">
            <w:pPr>
              <w:pStyle w:val="ARfintablebodyright"/>
              <w:rPr>
                <w:b/>
                <w:bCs/>
                <w:lang w:eastAsia="en-AU"/>
              </w:rPr>
            </w:pPr>
            <w:r w:rsidRPr="00AB62BD">
              <w:rPr>
                <w:rStyle w:val="Strong"/>
              </w:rPr>
              <w:t>48.8</w:t>
            </w:r>
          </w:p>
        </w:tc>
      </w:tr>
      <w:tr w:rsidR="00C232A3" w:rsidRPr="00AB62BD" w:rsidTr="00C232A3">
        <w:trPr>
          <w:cantSplit/>
        </w:trPr>
        <w:tc>
          <w:tcPr>
            <w:tcW w:w="5103" w:type="dxa"/>
            <w:tcBorders>
              <w:top w:val="single" w:sz="4" w:space="0" w:color="auto"/>
              <w:bottom w:val="single" w:sz="4" w:space="0" w:color="auto"/>
            </w:tcBorders>
          </w:tcPr>
          <w:p w:rsidR="00C232A3" w:rsidRPr="00AB62BD" w:rsidRDefault="00C232A3" w:rsidP="00C232A3">
            <w:pPr>
              <w:pStyle w:val="ARfintablebody"/>
              <w:rPr>
                <w:lang w:eastAsia="en-AU"/>
              </w:rPr>
            </w:pPr>
            <w:r w:rsidRPr="00AB62BD">
              <w:rPr>
                <w:lang w:eastAsia="en-AU"/>
              </w:rPr>
              <w:t>Less future finance charges</w:t>
            </w:r>
          </w:p>
        </w:tc>
        <w:tc>
          <w:tcPr>
            <w:tcW w:w="1134" w:type="dxa"/>
            <w:tcBorders>
              <w:top w:val="single" w:sz="4" w:space="0" w:color="auto"/>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(1.6)</w:t>
            </w:r>
          </w:p>
        </w:tc>
        <w:tc>
          <w:tcPr>
            <w:tcW w:w="1134" w:type="dxa"/>
            <w:tcBorders>
              <w:top w:val="single" w:sz="4" w:space="0" w:color="auto"/>
              <w:bottom w:val="single" w:sz="4" w:space="0" w:color="auto"/>
            </w:tcBorders>
          </w:tcPr>
          <w:p w:rsidR="00C232A3" w:rsidRPr="00AB62BD" w:rsidRDefault="00C232A3" w:rsidP="00C232A3">
            <w:pPr>
              <w:pStyle w:val="ARfintablebodyright"/>
              <w:rPr>
                <w:lang w:eastAsia="en-AU"/>
              </w:rPr>
            </w:pPr>
            <w:r w:rsidRPr="00AB62BD">
              <w:rPr>
                <w:lang w:eastAsia="en-AU"/>
              </w:rPr>
              <w:t>(2.2)</w:t>
            </w:r>
          </w:p>
        </w:tc>
        <w:tc>
          <w:tcPr>
            <w:tcW w:w="1134" w:type="dxa"/>
            <w:tcBorders>
              <w:top w:val="single" w:sz="4" w:space="0" w:color="auto"/>
              <w:bottom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uto"/>
              <w:bottom w:val="single" w:sz="4" w:space="0" w:color="auto"/>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top w:val="single" w:sz="4" w:space="0" w:color="auto"/>
              <w:bottom w:val="single" w:sz="4" w:space="0" w:color="auto"/>
            </w:tcBorders>
          </w:tcPr>
          <w:p w:rsidR="00C232A3" w:rsidRPr="00AB62BD" w:rsidRDefault="00C232A3" w:rsidP="00C232A3">
            <w:pPr>
              <w:pStyle w:val="ARfintablebody"/>
              <w:rPr>
                <w:bCs/>
                <w:lang w:eastAsia="en-AU"/>
              </w:rPr>
            </w:pPr>
            <w:r w:rsidRPr="00AB62BD">
              <w:rPr>
                <w:rStyle w:val="Strong"/>
              </w:rPr>
              <w:t>Present value of minimum lease payments</w:t>
            </w:r>
          </w:p>
        </w:tc>
        <w:tc>
          <w:tcPr>
            <w:tcW w:w="1134" w:type="dxa"/>
            <w:tcBorders>
              <w:top w:val="single" w:sz="4" w:space="0" w:color="auto"/>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45.1</w:t>
            </w:r>
          </w:p>
        </w:tc>
        <w:tc>
          <w:tcPr>
            <w:tcW w:w="1134" w:type="dxa"/>
            <w:tcBorders>
              <w:top w:val="single" w:sz="4" w:space="0" w:color="auto"/>
              <w:bottom w:val="single" w:sz="4" w:space="0" w:color="auto"/>
            </w:tcBorders>
          </w:tcPr>
          <w:p w:rsidR="00C232A3" w:rsidRPr="00AB62BD" w:rsidRDefault="00C232A3" w:rsidP="00C232A3">
            <w:pPr>
              <w:pStyle w:val="ARfintablebodyright"/>
              <w:rPr>
                <w:b/>
                <w:bCs/>
                <w:lang w:eastAsia="en-AU"/>
              </w:rPr>
            </w:pPr>
            <w:r w:rsidRPr="00AB62BD">
              <w:rPr>
                <w:rStyle w:val="Strong"/>
              </w:rPr>
              <w:t>48.8</w:t>
            </w:r>
          </w:p>
        </w:tc>
        <w:tc>
          <w:tcPr>
            <w:tcW w:w="1134" w:type="dxa"/>
            <w:tcBorders>
              <w:top w:val="single" w:sz="4" w:space="0" w:color="auto"/>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45.1</w:t>
            </w:r>
          </w:p>
        </w:tc>
        <w:tc>
          <w:tcPr>
            <w:tcW w:w="1134" w:type="dxa"/>
            <w:tcBorders>
              <w:top w:val="single" w:sz="4" w:space="0" w:color="auto"/>
              <w:bottom w:val="single" w:sz="4" w:space="0" w:color="auto"/>
            </w:tcBorders>
          </w:tcPr>
          <w:p w:rsidR="00C232A3" w:rsidRPr="00AB62BD" w:rsidRDefault="00C232A3" w:rsidP="00C232A3">
            <w:pPr>
              <w:pStyle w:val="ARfintablebodyright"/>
              <w:rPr>
                <w:b/>
                <w:bCs/>
                <w:lang w:eastAsia="en-AU"/>
              </w:rPr>
            </w:pPr>
            <w:r w:rsidRPr="00AB62BD">
              <w:rPr>
                <w:rStyle w:val="Strong"/>
              </w:rPr>
              <w:t>48.8</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Included in the financial statements as: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Current borrowings lease liabilities (Note 7.1)</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Non-current borrowings lease liabilities (Note 7.1)</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21.8</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25.8</w:t>
            </w:r>
          </w:p>
        </w:tc>
      </w:tr>
      <w:tr w:rsidR="00C232A3" w:rsidRPr="00AB62BD" w:rsidTr="00C232A3">
        <w:trPr>
          <w:cantSplit/>
        </w:trPr>
        <w:tc>
          <w:tcPr>
            <w:tcW w:w="5103" w:type="dxa"/>
          </w:tcPr>
          <w:p w:rsidR="00C232A3" w:rsidRPr="00AB62BD" w:rsidRDefault="00C232A3" w:rsidP="00C232A3">
            <w:pPr>
              <w:pStyle w:val="ARfintablebody"/>
              <w:rPr>
                <w:bCs/>
                <w:lang w:eastAsia="en-AU"/>
              </w:rPr>
            </w:pPr>
            <w:r w:rsidRPr="00AB62BD">
              <w:rPr>
                <w:rStyle w:val="Strong"/>
              </w:rPr>
              <w:t xml:space="preserve">Total </w:t>
            </w:r>
            <w:r>
              <w:rPr>
                <w:rStyle w:val="Strong"/>
              </w:rPr>
              <w:t>f</w:t>
            </w:r>
            <w:r w:rsidRPr="00AB62BD">
              <w:rPr>
                <w:rStyle w:val="Strong"/>
              </w:rPr>
              <w:t>inance lease liabilities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45.1</w:t>
            </w:r>
          </w:p>
        </w:tc>
        <w:tc>
          <w:tcPr>
            <w:tcW w:w="1134" w:type="dxa"/>
          </w:tcPr>
          <w:p w:rsidR="00C232A3" w:rsidRPr="00AB62BD" w:rsidRDefault="00C232A3" w:rsidP="00C232A3">
            <w:pPr>
              <w:pStyle w:val="ARfintablebodyright"/>
              <w:rPr>
                <w:rStyle w:val="Strong"/>
                <w:bCs w:val="0"/>
              </w:rPr>
            </w:pPr>
            <w:r w:rsidRPr="00AB62BD">
              <w:rPr>
                <w:rStyle w:val="Strong"/>
              </w:rPr>
              <w:t>48.8</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rsidRPr="00AB62BD">
        <w:t>(</w:t>
      </w:r>
      <w:proofErr w:type="spellStart"/>
      <w:r w:rsidRPr="00AB62BD">
        <w:t>i</w:t>
      </w:r>
      <w:proofErr w:type="spellEnd"/>
      <w:r w:rsidRPr="00AB62BD">
        <w:t>)</w:t>
      </w:r>
      <w:r>
        <w:tab/>
      </w:r>
      <w:r w:rsidRPr="00AB62BD">
        <w:t>Minimum future lease payments include the aggregate of all base payments and any guaranteed residual.</w:t>
      </w:r>
    </w:p>
    <w:p w:rsidR="00C232A3" w:rsidRPr="00AB62BD" w:rsidRDefault="00C232A3" w:rsidP="00C232A3">
      <w:pPr>
        <w:pStyle w:val="ARfintablefootnoteroman"/>
      </w:pPr>
      <w:r>
        <w:t>(ii)</w:t>
      </w:r>
      <w:r>
        <w:tab/>
      </w:r>
      <w:r w:rsidRPr="00AB62BD">
        <w:t>Finance lease liabilities include obligations that are recognised in the balance sheet; the future payments related to operating and lease commitments are disclosed in Note 7.5.</w:t>
      </w:r>
    </w:p>
    <w:p w:rsidR="00C232A3" w:rsidRPr="00AB62BD" w:rsidRDefault="00C232A3" w:rsidP="00C232A3">
      <w:pPr>
        <w:pStyle w:val="ARfinbodyaftertable"/>
      </w:pPr>
      <w:r w:rsidRPr="00AB62BD">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w:t>
      </w:r>
    </w:p>
    <w:p w:rsidR="00C232A3" w:rsidRPr="00AB62BD" w:rsidRDefault="00C232A3" w:rsidP="00C232A3">
      <w:pPr>
        <w:pStyle w:val="ARfinbody"/>
        <w:rPr>
          <w:lang w:eastAsia="en-AU"/>
        </w:rPr>
      </w:pPr>
      <w:r w:rsidRPr="00AB62BD">
        <w:rPr>
          <w:lang w:eastAsia="en-AU"/>
        </w:rPr>
        <w:t>Refer to Note 5.1.2 Motor vehicles under finance lease for assets pledged as security.</w:t>
      </w:r>
    </w:p>
    <w:p w:rsidR="00C232A3" w:rsidRPr="00AB62BD" w:rsidRDefault="00C232A3" w:rsidP="00C232A3">
      <w:pPr>
        <w:pStyle w:val="ARfinbody"/>
        <w:rPr>
          <w:lang w:eastAsia="en-AU"/>
        </w:rPr>
      </w:pPr>
      <w:r w:rsidRPr="00AB62BD">
        <w:rPr>
          <w:lang w:eastAsia="en-AU"/>
        </w:rPr>
        <w:t>Contingent rentals associated with finance leases are recognised as an expense in the period in which they are incurred.</w:t>
      </w:r>
    </w:p>
    <w:p w:rsidR="00C232A3" w:rsidRPr="001F53B1" w:rsidRDefault="00C232A3" w:rsidP="00C232A3">
      <w:pPr>
        <w:pStyle w:val="Heading4"/>
      </w:pPr>
      <w:r w:rsidRPr="001F53B1">
        <w:t>7.3 Cash flow information and balances</w:t>
      </w:r>
    </w:p>
    <w:p w:rsidR="00C232A3" w:rsidRPr="00AB62BD" w:rsidRDefault="00C232A3" w:rsidP="00C232A3">
      <w:pPr>
        <w:pStyle w:val="ARfinbody"/>
        <w:rPr>
          <w:lang w:eastAsia="en-AU"/>
        </w:rPr>
      </w:pPr>
      <w:r w:rsidRPr="00AB62BD">
        <w:rPr>
          <w:lang w:eastAsia="en-AU"/>
        </w:rPr>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077520" w:rsidRDefault="00C232A3" w:rsidP="00C232A3">
            <w:pPr>
              <w:pStyle w:val="ARfintablecolhead"/>
            </w:pPr>
            <w:r w:rsidRPr="00077520">
              <w:t>Total cash and deposits disclosed in the balance sheet</w:t>
            </w:r>
          </w:p>
        </w:tc>
        <w:tc>
          <w:tcPr>
            <w:tcW w:w="1134" w:type="dxa"/>
            <w:tcBorders>
              <w:bottom w:val="single" w:sz="4" w:space="0" w:color="auto"/>
            </w:tcBorders>
            <w:shd w:val="clear" w:color="auto" w:fill="E7E6E6"/>
            <w:vAlign w:val="bottom"/>
          </w:tcPr>
          <w:p w:rsidR="00C232A3" w:rsidRPr="00077520" w:rsidRDefault="00C232A3" w:rsidP="00C232A3">
            <w:pPr>
              <w:pStyle w:val="ARfintablecolheadright"/>
            </w:pPr>
            <w:r w:rsidRPr="00077520">
              <w:t>2017</w:t>
            </w:r>
          </w:p>
          <w:p w:rsidR="00C232A3" w:rsidRPr="00077520" w:rsidRDefault="00C232A3" w:rsidP="00C232A3">
            <w:pPr>
              <w:pStyle w:val="ARfintablecolheadright"/>
            </w:pPr>
            <w:r w:rsidRPr="00077520">
              <w:t>$M</w:t>
            </w:r>
          </w:p>
        </w:tc>
        <w:tc>
          <w:tcPr>
            <w:tcW w:w="1134" w:type="dxa"/>
            <w:tcBorders>
              <w:bottom w:val="single" w:sz="4" w:space="0" w:color="auto"/>
            </w:tcBorders>
            <w:vAlign w:val="bottom"/>
          </w:tcPr>
          <w:p w:rsidR="00C232A3" w:rsidRPr="00077520" w:rsidRDefault="00C232A3" w:rsidP="00C232A3">
            <w:pPr>
              <w:pStyle w:val="ARfintablecolheadright"/>
            </w:pPr>
            <w:r w:rsidRPr="00077520">
              <w:t>2016</w:t>
            </w:r>
          </w:p>
          <w:p w:rsidR="00C232A3" w:rsidRPr="00077520" w:rsidRDefault="00C232A3" w:rsidP="00C232A3">
            <w:pPr>
              <w:pStyle w:val="ARfintablecolheadright"/>
            </w:pPr>
            <w:r w:rsidRPr="00077520">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Short term deposits</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46.4</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62.6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Cash at bank</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23.3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Funds held in trust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314.4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141.0</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advances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(0.4)</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Balance as per cash flow statement</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383.7</w:t>
            </w:r>
          </w:p>
        </w:tc>
        <w:tc>
          <w:tcPr>
            <w:tcW w:w="1134" w:type="dxa"/>
          </w:tcPr>
          <w:p w:rsidR="00C232A3" w:rsidRPr="00AB62BD" w:rsidRDefault="00C232A3" w:rsidP="00C232A3">
            <w:pPr>
              <w:pStyle w:val="ARfintablebodyright"/>
              <w:rPr>
                <w:rStyle w:val="Strong"/>
                <w:bCs w:val="0"/>
              </w:rPr>
            </w:pPr>
            <w:r w:rsidRPr="00AB62BD">
              <w:rPr>
                <w:rStyle w:val="Strong"/>
              </w:rPr>
              <w:t>230.8</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 xml:space="preserve">Cash and short-term deposits are committed to a number of significant projects and are expected to be expensed in </w:t>
      </w:r>
      <w:r>
        <w:t>2017–18 (as disclosed in Note </w:t>
      </w:r>
      <w:r w:rsidRPr="00AB62BD">
        <w:t>7.5).</w:t>
      </w:r>
    </w:p>
    <w:p w:rsidR="00B059F2" w:rsidRPr="00B059F2" w:rsidRDefault="00B059F2" w:rsidP="00B059F2">
      <w:pPr>
        <w:pStyle w:val="ARbody"/>
      </w:pPr>
      <w:r w:rsidRPr="00B059F2">
        <w:br w:type="page"/>
      </w:r>
    </w:p>
    <w:p w:rsidR="00C232A3" w:rsidRPr="00AB62BD" w:rsidRDefault="00C232A3" w:rsidP="00C232A3">
      <w:pPr>
        <w:pStyle w:val="ARfinbodyaftertable"/>
      </w:pPr>
      <w:r w:rsidRPr="00AB62BD">
        <w:lastRenderedPageBreak/>
        <w:t>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w:t>
      </w:r>
    </w:p>
    <w:p w:rsidR="00C232A3" w:rsidRPr="001F53B1" w:rsidRDefault="00C232A3" w:rsidP="00C232A3">
      <w:pPr>
        <w:pStyle w:val="Heading5"/>
      </w:pPr>
      <w:r w:rsidRPr="00D11896">
        <w:rPr>
          <w:rStyle w:val="Strong"/>
        </w:rPr>
        <w:t>7.3.1 Reconciliation of net result for the period to net cash flows from operating activities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134" w:type="dxa"/>
            <w:tcBorders>
              <w:bottom w:val="single" w:sz="4" w:space="0" w:color="auto"/>
            </w:tcBorders>
            <w:shd w:val="clear" w:color="auto" w:fill="E7E6E6"/>
            <w:vAlign w:val="bottom"/>
          </w:tcPr>
          <w:p w:rsidR="00C232A3" w:rsidRPr="00077520" w:rsidRDefault="00C232A3" w:rsidP="00C232A3">
            <w:pPr>
              <w:pStyle w:val="ARfintablecolheadright"/>
            </w:pPr>
            <w:r w:rsidRPr="00077520">
              <w:t>2017</w:t>
            </w:r>
          </w:p>
          <w:p w:rsidR="00C232A3" w:rsidRPr="00077520" w:rsidRDefault="00C232A3" w:rsidP="00C232A3">
            <w:pPr>
              <w:pStyle w:val="ARfintablecolheadright"/>
            </w:pPr>
            <w:r w:rsidRPr="00077520">
              <w:t>$M</w:t>
            </w:r>
          </w:p>
        </w:tc>
        <w:tc>
          <w:tcPr>
            <w:tcW w:w="1134" w:type="dxa"/>
            <w:tcBorders>
              <w:bottom w:val="single" w:sz="4" w:space="0" w:color="auto"/>
            </w:tcBorders>
            <w:vAlign w:val="bottom"/>
          </w:tcPr>
          <w:p w:rsidR="00C232A3" w:rsidRPr="00077520" w:rsidRDefault="00C232A3" w:rsidP="00C232A3">
            <w:pPr>
              <w:pStyle w:val="ARfintablecolheadright"/>
            </w:pPr>
            <w:r w:rsidRPr="00077520">
              <w:t>2016</w:t>
            </w:r>
          </w:p>
          <w:p w:rsidR="00C232A3" w:rsidRPr="00077520" w:rsidRDefault="00C232A3" w:rsidP="00C232A3">
            <w:pPr>
              <w:pStyle w:val="ARfintablecolheadright"/>
            </w:pPr>
            <w:r w:rsidRPr="00077520">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 xml:space="preserve">Net result for the period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Cs/>
                <w:lang w:eastAsia="en-AU"/>
              </w:rPr>
            </w:pPr>
            <w:r w:rsidRPr="00AB62BD">
              <w:rPr>
                <w:rStyle w:val="Strong"/>
              </w:rPr>
              <w:t>(266.3)</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Cs/>
                <w:lang w:eastAsia="en-AU"/>
              </w:rPr>
            </w:pPr>
            <w:r w:rsidRPr="00AB62BD">
              <w:rPr>
                <w:rStyle w:val="Strong"/>
              </w:rPr>
              <w:t>601.5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Non-cash movements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(Gain)/loss on sale of non-financial assets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Depreciation and amortisation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269.8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280.7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Interest on borrowings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Change in net market values of VMIA liability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33.2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38.5</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Other income from investing activities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(314.8)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roofErr w:type="spellStart"/>
            <w:r w:rsidRPr="00AB62BD">
              <w:rPr>
                <w:lang w:eastAsia="en-AU"/>
              </w:rPr>
              <w:t>Remeasurement</w:t>
            </w:r>
            <w:proofErr w:type="spellEnd"/>
            <w:r w:rsidRPr="00AB62BD">
              <w:rPr>
                <w:lang w:eastAsia="en-AU"/>
              </w:rPr>
              <w:t xml:space="preserve"> of superannuation defined benefit plans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Net gain/(loss) on financial assets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Other gains or losses from other economic flows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22.1</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Resources (received)/provided free of charge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73.0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Movements in assets and liabilities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(Increase)/decrease in receivables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(63.0)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(574.0)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(Increase)/decrease in prepayments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Increase/(decrease) in payables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294.1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237.0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Increase/(decrease) in provisions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(28.3)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(Increase)/decrease in inventories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0.7</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Pr>
                <w:lang w:eastAsia="en-AU"/>
              </w:rPr>
              <w:t>I</w:t>
            </w:r>
            <w:r w:rsidRPr="00AB62BD">
              <w:rPr>
                <w:lang w:eastAsia="en-AU"/>
              </w:rPr>
              <w:t xml:space="preserve">ncrease/(decrease) in income in advance </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(38.0)</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 xml:space="preserve">Net cash flows from/(used in) operating activities </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315.1</w:t>
            </w:r>
          </w:p>
        </w:tc>
        <w:tc>
          <w:tcPr>
            <w:tcW w:w="1134" w:type="dxa"/>
          </w:tcPr>
          <w:p w:rsidR="00C232A3" w:rsidRPr="00AB62BD" w:rsidRDefault="00C232A3" w:rsidP="00C232A3">
            <w:pPr>
              <w:pStyle w:val="ARfintablebodyright"/>
              <w:rPr>
                <w:rStyle w:val="Strong"/>
                <w:bCs w:val="0"/>
              </w:rPr>
            </w:pPr>
            <w:r w:rsidRPr="00AB62BD">
              <w:rPr>
                <w:rStyle w:val="Strong"/>
              </w:rPr>
              <w:t>255.3</w:t>
            </w:r>
          </w:p>
        </w:tc>
      </w:tr>
    </w:tbl>
    <w:p w:rsidR="00C232A3" w:rsidRPr="00AB62BD" w:rsidRDefault="00C232A3" w:rsidP="00C232A3">
      <w:pPr>
        <w:pStyle w:val="ARfinbody"/>
        <w:rPr>
          <w:lang w:eastAsia="en-AU"/>
        </w:rPr>
      </w:pPr>
    </w:p>
    <w:p w:rsidR="00C232A3" w:rsidRDefault="00C232A3" w:rsidP="00C232A3">
      <w:pPr>
        <w:pStyle w:val="ARfinbody"/>
        <w:rPr>
          <w:rStyle w:val="Strong"/>
          <w:rFonts w:cs="Arial"/>
          <w:bCs w:val="0"/>
        </w:rPr>
        <w:sectPr w:rsidR="00C232A3" w:rsidSect="00C232A3">
          <w:headerReference w:type="even" r:id="rId148"/>
          <w:headerReference w:type="default" r:id="rId149"/>
          <w:footerReference w:type="even" r:id="rId150"/>
          <w:footerReference w:type="default" r:id="rId151"/>
          <w:headerReference w:type="first" r:id="rId152"/>
          <w:footerReference w:type="first" r:id="rId153"/>
          <w:endnotePr>
            <w:numFmt w:val="decimal"/>
          </w:endnotePr>
          <w:pgSz w:w="11900" w:h="16840" w:code="9"/>
          <w:pgMar w:top="1531" w:right="851" w:bottom="680" w:left="1418" w:header="510" w:footer="340" w:gutter="0"/>
          <w:cols w:space="454"/>
        </w:sectPr>
      </w:pPr>
    </w:p>
    <w:p w:rsidR="00C232A3" w:rsidRPr="001F53B1" w:rsidRDefault="00C232A3" w:rsidP="000F7961">
      <w:pPr>
        <w:pStyle w:val="Heading4"/>
        <w:spacing w:before="0"/>
      </w:pPr>
      <w:r w:rsidRPr="001F53B1">
        <w:lastRenderedPageBreak/>
        <w:t>7.4 Trust account balances</w:t>
      </w:r>
    </w:p>
    <w:p w:rsidR="00C232A3" w:rsidRPr="00AB62BD" w:rsidRDefault="00C232A3" w:rsidP="00C232A3">
      <w:pPr>
        <w:pStyle w:val="ARfinbody"/>
        <w:rPr>
          <w:lang w:eastAsia="en-AU"/>
        </w:rPr>
      </w:pPr>
      <w:r w:rsidRPr="00AB62BD">
        <w:rPr>
          <w:lang w:eastAsia="en-AU"/>
        </w:rPr>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w:t>
      </w:r>
    </w:p>
    <w:p w:rsidR="00C232A3" w:rsidRPr="00AB62BD" w:rsidRDefault="00C232A3" w:rsidP="00C232A3">
      <w:pPr>
        <w:pStyle w:val="ARfinbody"/>
        <w:rPr>
          <w:lang w:eastAsia="en-AU"/>
        </w:rPr>
      </w:pPr>
      <w:r w:rsidRPr="00AB62BD">
        <w:rPr>
          <w:lang w:eastAsia="en-AU"/>
        </w:rPr>
        <w:t>Any earnings on the funds held pending distribution are also applied to the trust funds under management as appropriate.</w:t>
      </w:r>
    </w:p>
    <w:p w:rsidR="00C232A3" w:rsidRPr="00AB62BD" w:rsidRDefault="00C232A3" w:rsidP="00C232A3">
      <w:pPr>
        <w:pStyle w:val="ARfinbody"/>
        <w:rPr>
          <w:lang w:eastAsia="en-AU"/>
        </w:rPr>
      </w:pPr>
      <w:r w:rsidRPr="00AB62BD">
        <w:rPr>
          <w:lang w:eastAsia="en-AU"/>
        </w:rPr>
        <w:t xml:space="preserve">The following is a listing of trust account balances relating to trust accounts controlled and administered by the department. During </w:t>
      </w:r>
      <w:r>
        <w:rPr>
          <w:lang w:eastAsia="en-AU"/>
        </w:rPr>
        <w:t>2016–17</w:t>
      </w:r>
      <w:r w:rsidRPr="00AB62BD">
        <w:rPr>
          <w:lang w:eastAsia="en-AU"/>
        </w:rPr>
        <w:t>, the Minister for Finance approved the creation of the National Disability Insurance Scheme trust account and the Inter-departmental Transfer Trust, there were no trust accounts closed.</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74"/>
        <w:gridCol w:w="908"/>
        <w:gridCol w:w="907"/>
        <w:gridCol w:w="907"/>
        <w:gridCol w:w="907"/>
        <w:gridCol w:w="907"/>
        <w:gridCol w:w="907"/>
        <w:gridCol w:w="907"/>
        <w:gridCol w:w="907"/>
        <w:gridCol w:w="907"/>
        <w:gridCol w:w="907"/>
        <w:gridCol w:w="907"/>
        <w:gridCol w:w="907"/>
      </w:tblGrid>
      <w:tr w:rsidR="00C232A3" w:rsidRPr="00AB62BD" w:rsidTr="00EB4DAE">
        <w:trPr>
          <w:cantSplit/>
          <w:tblHeader/>
        </w:trPr>
        <w:tc>
          <w:tcPr>
            <w:tcW w:w="3572" w:type="dxa"/>
            <w:vMerge w:val="restart"/>
            <w:vAlign w:val="bottom"/>
          </w:tcPr>
          <w:p w:rsidR="00C232A3" w:rsidRPr="009D1685" w:rsidRDefault="00C232A3" w:rsidP="00C232A3">
            <w:pPr>
              <w:autoSpaceDE w:val="0"/>
              <w:autoSpaceDN w:val="0"/>
              <w:adjustRightInd w:val="0"/>
              <w:spacing w:beforeLines="40" w:before="96" w:afterLines="20" w:after="48"/>
              <w:rPr>
                <w:rFonts w:cs="Arial"/>
                <w:color w:val="000000"/>
                <w:sz w:val="15"/>
                <w:szCs w:val="15"/>
                <w:lang w:eastAsia="en-AU"/>
              </w:rPr>
            </w:pPr>
          </w:p>
        </w:tc>
        <w:tc>
          <w:tcPr>
            <w:tcW w:w="907" w:type="dxa"/>
            <w:gridSpan w:val="6"/>
            <w:tcBorders>
              <w:bottom w:val="single" w:sz="4" w:space="0" w:color="auto"/>
            </w:tcBorders>
            <w:shd w:val="clear" w:color="auto" w:fill="E7E6E6"/>
            <w:vAlign w:val="bottom"/>
          </w:tcPr>
          <w:p w:rsidR="00C232A3" w:rsidRPr="009D1685" w:rsidRDefault="00C232A3" w:rsidP="00C232A3">
            <w:pPr>
              <w:pStyle w:val="ARfintablecolheadcentre"/>
              <w:rPr>
                <w:sz w:val="15"/>
                <w:szCs w:val="15"/>
              </w:rPr>
            </w:pPr>
            <w:r w:rsidRPr="009D1685">
              <w:rPr>
                <w:sz w:val="15"/>
                <w:szCs w:val="15"/>
              </w:rPr>
              <w:t>2017</w:t>
            </w:r>
          </w:p>
        </w:tc>
        <w:tc>
          <w:tcPr>
            <w:tcW w:w="907" w:type="dxa"/>
            <w:gridSpan w:val="6"/>
            <w:vAlign w:val="bottom"/>
          </w:tcPr>
          <w:p w:rsidR="00C232A3" w:rsidRPr="009D1685" w:rsidRDefault="00C232A3" w:rsidP="00C232A3">
            <w:pPr>
              <w:pStyle w:val="ARfintablecolheadcentre"/>
              <w:rPr>
                <w:sz w:val="15"/>
                <w:szCs w:val="15"/>
              </w:rPr>
            </w:pPr>
            <w:r w:rsidRPr="009D1685">
              <w:rPr>
                <w:sz w:val="15"/>
                <w:szCs w:val="15"/>
              </w:rPr>
              <w:t>2016</w:t>
            </w:r>
          </w:p>
        </w:tc>
      </w:tr>
      <w:tr w:rsidR="00C232A3" w:rsidRPr="00AB62BD" w:rsidTr="00EB4DAE">
        <w:trPr>
          <w:cantSplit/>
          <w:tblHeader/>
        </w:trPr>
        <w:tc>
          <w:tcPr>
            <w:tcW w:w="3572" w:type="dxa"/>
            <w:vMerge/>
            <w:tcBorders>
              <w:bottom w:val="single" w:sz="4" w:space="0" w:color="auto"/>
            </w:tcBorders>
            <w:vAlign w:val="bottom"/>
          </w:tcPr>
          <w:p w:rsidR="00C232A3" w:rsidRPr="009D1685" w:rsidRDefault="00C232A3" w:rsidP="00C232A3">
            <w:pPr>
              <w:autoSpaceDE w:val="0"/>
              <w:autoSpaceDN w:val="0"/>
              <w:adjustRightInd w:val="0"/>
              <w:spacing w:beforeLines="40" w:before="96" w:afterLines="20" w:after="48"/>
              <w:jc w:val="right"/>
              <w:rPr>
                <w:rFonts w:cs="Arial"/>
                <w:color w:val="000000"/>
                <w:sz w:val="15"/>
                <w:szCs w:val="15"/>
                <w:lang w:eastAsia="en-AU"/>
              </w:rPr>
            </w:pPr>
          </w:p>
        </w:tc>
        <w:tc>
          <w:tcPr>
            <w:tcW w:w="907" w:type="dxa"/>
            <w:tcBorders>
              <w:top w:val="single" w:sz="4" w:space="0" w:color="auto"/>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Opening balance as at 1 July 2016 trust account balance</w:t>
            </w:r>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Machin</w:t>
            </w:r>
            <w:r>
              <w:rPr>
                <w:sz w:val="15"/>
                <w:szCs w:val="15"/>
              </w:rPr>
              <w:t>-</w:t>
            </w:r>
            <w:proofErr w:type="spellStart"/>
            <w:r w:rsidRPr="009D1685">
              <w:rPr>
                <w:sz w:val="15"/>
                <w:szCs w:val="15"/>
              </w:rPr>
              <w:t>ery</w:t>
            </w:r>
            <w:proofErr w:type="spellEnd"/>
            <w:r w:rsidRPr="009D1685">
              <w:rPr>
                <w:sz w:val="15"/>
                <w:szCs w:val="15"/>
              </w:rPr>
              <w:t xml:space="preserve"> of Govern</w:t>
            </w:r>
            <w:r>
              <w:rPr>
                <w:sz w:val="15"/>
                <w:szCs w:val="15"/>
              </w:rPr>
              <w:t>-</w:t>
            </w:r>
            <w:proofErr w:type="spellStart"/>
            <w:r w:rsidRPr="009D1685">
              <w:rPr>
                <w:sz w:val="15"/>
                <w:szCs w:val="15"/>
              </w:rPr>
              <w:t>ment</w:t>
            </w:r>
            <w:proofErr w:type="spellEnd"/>
            <w:r w:rsidRPr="009D1685">
              <w:rPr>
                <w:sz w:val="15"/>
                <w:szCs w:val="15"/>
              </w:rPr>
              <w:t xml:space="preserve"> transfer out</w:t>
            </w:r>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Total receipts</w:t>
            </w:r>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Total pay</w:t>
            </w:r>
            <w:r>
              <w:rPr>
                <w:sz w:val="15"/>
                <w:szCs w:val="15"/>
              </w:rPr>
              <w:t>-</w:t>
            </w:r>
            <w:proofErr w:type="spellStart"/>
            <w:r w:rsidRPr="009D1685">
              <w:rPr>
                <w:sz w:val="15"/>
                <w:szCs w:val="15"/>
              </w:rPr>
              <w:t>ments</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Non-Cash Move</w:t>
            </w:r>
            <w:r>
              <w:rPr>
                <w:sz w:val="15"/>
                <w:szCs w:val="15"/>
              </w:rPr>
              <w:t>-</w:t>
            </w:r>
            <w:proofErr w:type="spellStart"/>
            <w:r w:rsidRPr="009D1685">
              <w:rPr>
                <w:sz w:val="15"/>
                <w:szCs w:val="15"/>
              </w:rPr>
              <w:t>ment</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Closing balance as at 30 June 2017 trust account balance</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Op</w:t>
            </w:r>
            <w:r>
              <w:rPr>
                <w:sz w:val="15"/>
                <w:szCs w:val="15"/>
              </w:rPr>
              <w:t xml:space="preserve">ening balance as at 1 July 2015 </w:t>
            </w:r>
            <w:r w:rsidRPr="009D1685">
              <w:rPr>
                <w:sz w:val="15"/>
                <w:szCs w:val="15"/>
              </w:rPr>
              <w:t>trust account balance</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Machin</w:t>
            </w:r>
            <w:r>
              <w:rPr>
                <w:sz w:val="15"/>
                <w:szCs w:val="15"/>
              </w:rPr>
              <w:t>-</w:t>
            </w:r>
            <w:proofErr w:type="spellStart"/>
            <w:r w:rsidRPr="009D1685">
              <w:rPr>
                <w:sz w:val="15"/>
                <w:szCs w:val="15"/>
              </w:rPr>
              <w:t>ery</w:t>
            </w:r>
            <w:proofErr w:type="spellEnd"/>
            <w:r w:rsidRPr="009D1685">
              <w:rPr>
                <w:sz w:val="15"/>
                <w:szCs w:val="15"/>
              </w:rPr>
              <w:t xml:space="preserve"> of Govern</w:t>
            </w:r>
            <w:r>
              <w:rPr>
                <w:sz w:val="15"/>
                <w:szCs w:val="15"/>
              </w:rPr>
              <w:t>-</w:t>
            </w:r>
            <w:proofErr w:type="spellStart"/>
            <w:r w:rsidRPr="009D1685">
              <w:rPr>
                <w:sz w:val="15"/>
                <w:szCs w:val="15"/>
              </w:rPr>
              <w:t>ment</w:t>
            </w:r>
            <w:proofErr w:type="spellEnd"/>
            <w:r w:rsidRPr="009D1685">
              <w:rPr>
                <w:sz w:val="15"/>
                <w:szCs w:val="15"/>
              </w:rPr>
              <w:t xml:space="preserve"> transfer in</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Total receipts</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Total pay</w:t>
            </w:r>
            <w:r>
              <w:rPr>
                <w:sz w:val="15"/>
                <w:szCs w:val="15"/>
              </w:rPr>
              <w:t>-</w:t>
            </w:r>
            <w:proofErr w:type="spellStart"/>
            <w:r w:rsidRPr="009D1685">
              <w:rPr>
                <w:sz w:val="15"/>
                <w:szCs w:val="15"/>
              </w:rPr>
              <w:t>ments</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Non-Cash Move</w:t>
            </w:r>
            <w:r>
              <w:rPr>
                <w:sz w:val="15"/>
                <w:szCs w:val="15"/>
              </w:rPr>
              <w:t>-</w:t>
            </w:r>
            <w:proofErr w:type="spellStart"/>
            <w:r w:rsidRPr="009D1685">
              <w:rPr>
                <w:sz w:val="15"/>
                <w:szCs w:val="15"/>
              </w:rPr>
              <w:t>ment</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Closing balance as at 30 June 2016 trust account balance</w:t>
            </w:r>
          </w:p>
          <w:p w:rsidR="00C232A3" w:rsidRPr="009D1685" w:rsidRDefault="00C232A3" w:rsidP="00C232A3">
            <w:pPr>
              <w:pStyle w:val="ARfintablecolheadright"/>
              <w:rPr>
                <w:sz w:val="15"/>
                <w:szCs w:val="15"/>
              </w:rPr>
            </w:pPr>
            <w:r w:rsidRPr="009D1685">
              <w:rPr>
                <w:sz w:val="15"/>
                <w:szCs w:val="15"/>
              </w:rPr>
              <w:t>$M</w:t>
            </w:r>
          </w:p>
        </w:tc>
      </w:tr>
      <w:tr w:rsidR="00C232A3" w:rsidRPr="00AB62BD" w:rsidTr="00EB4DAE">
        <w:trPr>
          <w:cantSplit/>
        </w:trPr>
        <w:tc>
          <w:tcPr>
            <w:tcW w:w="3572" w:type="dxa"/>
            <w:tcBorders>
              <w:top w:val="single" w:sz="4" w:space="0" w:color="auto"/>
              <w:bottom w:val="single" w:sz="4" w:space="0" w:color="A6A6A6" w:themeColor="background1" w:themeShade="A6"/>
            </w:tcBorders>
          </w:tcPr>
          <w:p w:rsidR="00C232A3" w:rsidRPr="009D1685" w:rsidRDefault="00C232A3" w:rsidP="00C232A3">
            <w:pPr>
              <w:pStyle w:val="ARfintablebody"/>
              <w:rPr>
                <w:bCs/>
                <w:sz w:val="15"/>
                <w:szCs w:val="15"/>
                <w:lang w:eastAsia="en-AU"/>
              </w:rPr>
            </w:pPr>
            <w:r w:rsidRPr="009D1685">
              <w:rPr>
                <w:rStyle w:val="Strong"/>
                <w:sz w:val="15"/>
                <w:szCs w:val="15"/>
              </w:rPr>
              <w:t>Controlled trusts</w:t>
            </w:r>
          </w:p>
        </w:tc>
        <w:tc>
          <w:tcPr>
            <w:tcW w:w="907" w:type="dxa"/>
            <w:tcBorders>
              <w:top w:val="single" w:sz="4" w:space="0" w:color="auto"/>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p>
        </w:tc>
        <w:tc>
          <w:tcPr>
            <w:tcW w:w="907" w:type="dxa"/>
            <w:tcBorders>
              <w:top w:val="single" w:sz="4" w:space="0" w:color="auto"/>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rStyle w:val="Strong"/>
                <w:bCs w:val="0"/>
                <w:sz w:val="15"/>
                <w:szCs w:val="15"/>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sz w:val="15"/>
                <w:szCs w:val="15"/>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sz w:val="15"/>
                <w:szCs w:val="15"/>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sz w:val="15"/>
                <w:szCs w:val="15"/>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sz w:val="15"/>
                <w:szCs w:val="15"/>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bCs/>
                <w:sz w:val="15"/>
                <w:szCs w:val="15"/>
                <w:lang w:eastAsia="en-AU"/>
              </w:rPr>
            </w:pP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Casey Hospital Escrow Account</w:t>
            </w:r>
          </w:p>
          <w:p w:rsidR="00C232A3" w:rsidRPr="009D1685" w:rsidRDefault="00C232A3" w:rsidP="00C232A3">
            <w:pPr>
              <w:pStyle w:val="ARfintablebody"/>
              <w:rPr>
                <w:bCs/>
                <w:sz w:val="15"/>
                <w:szCs w:val="15"/>
                <w:lang w:eastAsia="en-AU"/>
              </w:rPr>
            </w:pPr>
            <w:r w:rsidRPr="009D1685">
              <w:rPr>
                <w:sz w:val="15"/>
                <w:szCs w:val="15"/>
                <w:lang w:eastAsia="en-AU"/>
              </w:rPr>
              <w:t>This trust was established to manage and control payments to the contractor for the completion of the Casey Hospital refurbishment.</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3.2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(1.6)</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1.6</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4.0</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(0.7)</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3.2</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Health State Managed Fund</w:t>
            </w:r>
          </w:p>
          <w:p w:rsidR="00C232A3" w:rsidRPr="009D1685" w:rsidRDefault="00C232A3" w:rsidP="00C232A3">
            <w:pPr>
              <w:pStyle w:val="ARfintablebody"/>
              <w:rPr>
                <w:bCs/>
                <w:sz w:val="15"/>
                <w:szCs w:val="15"/>
                <w:lang w:eastAsia="en-AU"/>
              </w:rPr>
            </w:pPr>
            <w:r w:rsidRPr="009D1685">
              <w:rPr>
                <w:sz w:val="15"/>
                <w:szCs w:val="15"/>
                <w:lang w:eastAsia="en-AU"/>
              </w:rPr>
              <w:t xml:space="preserve">This trust was established under the Health </w:t>
            </w:r>
            <w:r w:rsidRPr="009D1685">
              <w:rPr>
                <w:rStyle w:val="Emphasis"/>
                <w:sz w:val="15"/>
                <w:szCs w:val="15"/>
              </w:rPr>
              <w:t>(Commonwealth State Funding Arrangements) Act 2012 No. 40 of 2012</w:t>
            </w:r>
            <w:r w:rsidRPr="009D1685">
              <w:rPr>
                <w:sz w:val="15"/>
                <w:szCs w:val="15"/>
                <w:lang w:eastAsia="en-AU"/>
              </w:rPr>
              <w:t xml:space="preserve"> for the purpose of receiving funding for block grants, teaching, training and research.</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1,199.4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1,197.2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2.2</w:t>
            </w:r>
          </w:p>
        </w:tc>
        <w:tc>
          <w:tcPr>
            <w:tcW w:w="907" w:type="dxa"/>
            <w:tcBorders>
              <w:top w:val="single" w:sz="4" w:space="0" w:color="A6A6A6" w:themeColor="background1" w:themeShade="A6"/>
              <w:bottom w:val="single" w:sz="4" w:space="0" w:color="A6A6A6" w:themeColor="background1" w:themeShade="A6"/>
            </w:tcBorders>
          </w:tcPr>
          <w:p w:rsidR="00C232A3" w:rsidRPr="009F4B04" w:rsidRDefault="00C232A3" w:rsidP="00C232A3">
            <w:pPr>
              <w:pStyle w:val="ARfintablebodyright"/>
              <w:rPr>
                <w:rStyle w:val="Strong"/>
              </w:rPr>
            </w:pPr>
            <w:r w:rsidRPr="009F4B04">
              <w:rPr>
                <w:rStyle w:val="Strong"/>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1,102.8</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1,102.6</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(0.2)</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Hospital and Charities Fund</w:t>
            </w:r>
          </w:p>
          <w:p w:rsidR="00C232A3" w:rsidRPr="009D1685" w:rsidRDefault="00C232A3" w:rsidP="00C232A3">
            <w:pPr>
              <w:pStyle w:val="ARfintablebody"/>
              <w:rPr>
                <w:bCs/>
                <w:sz w:val="15"/>
                <w:szCs w:val="15"/>
                <w:lang w:eastAsia="en-AU"/>
              </w:rPr>
            </w:pPr>
            <w:r w:rsidRPr="009D1685">
              <w:rPr>
                <w:sz w:val="15"/>
                <w:szCs w:val="15"/>
                <w:lang w:eastAsia="en-AU"/>
              </w:rPr>
              <w:t xml:space="preserve">This account was established under the </w:t>
            </w:r>
            <w:r w:rsidRPr="009D1685">
              <w:rPr>
                <w:rStyle w:val="Emphasis"/>
                <w:sz w:val="15"/>
                <w:szCs w:val="15"/>
              </w:rPr>
              <w:t>Health Services Act 1988</w:t>
            </w:r>
            <w:r w:rsidRPr="009D1685">
              <w:rPr>
                <w:sz w:val="15"/>
                <w:szCs w:val="15"/>
                <w:lang w:eastAsia="en-AU"/>
              </w:rPr>
              <w:t xml:space="preserve"> to record funding for health service agencies. Monies are paid into the fund from the Gambling Regulation Act No. 114 of 2003, </w:t>
            </w:r>
            <w:r w:rsidRPr="009D1685">
              <w:rPr>
                <w:rStyle w:val="Emphasis"/>
                <w:sz w:val="15"/>
                <w:szCs w:val="15"/>
              </w:rPr>
              <w:t xml:space="preserve">Casino Control Act No. 47 of 1991 </w:t>
            </w:r>
            <w:r w:rsidRPr="009D1685">
              <w:rPr>
                <w:sz w:val="15"/>
                <w:szCs w:val="15"/>
                <w:lang w:eastAsia="en-AU"/>
              </w:rPr>
              <w:t>and S</w:t>
            </w:r>
            <w:r w:rsidRPr="009D1685">
              <w:rPr>
                <w:iCs/>
                <w:sz w:val="15"/>
                <w:szCs w:val="15"/>
                <w:lang w:eastAsia="en-AU"/>
              </w:rPr>
              <w:t xml:space="preserve">ec. 10 of the </w:t>
            </w:r>
            <w:r w:rsidRPr="009D1685">
              <w:rPr>
                <w:rStyle w:val="Emphasis"/>
                <w:sz w:val="15"/>
                <w:szCs w:val="15"/>
              </w:rPr>
              <w:t>Financial Management Act 1994.</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55.0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1,515.8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1,339.7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(35.5)</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195.7</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88.1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6,181.4</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6,189.7</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(24.8)</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55.0</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Intellectually Handicapped Children’s Amenities Fund</w:t>
            </w:r>
          </w:p>
          <w:p w:rsidR="00C232A3" w:rsidRPr="009D1685" w:rsidRDefault="00C232A3" w:rsidP="00C232A3">
            <w:pPr>
              <w:pStyle w:val="ARfintablebody"/>
              <w:rPr>
                <w:sz w:val="15"/>
                <w:szCs w:val="15"/>
                <w:lang w:eastAsia="en-AU"/>
              </w:rPr>
            </w:pPr>
            <w:r w:rsidRPr="009D1685">
              <w:rPr>
                <w:rStyle w:val="Emphasis"/>
                <w:sz w:val="15"/>
                <w:szCs w:val="15"/>
              </w:rPr>
              <w:t xml:space="preserve">Intellectually Disabled Persons Act 1986 </w:t>
            </w:r>
            <w:r w:rsidRPr="009D1685">
              <w:rPr>
                <w:sz w:val="15"/>
                <w:szCs w:val="15"/>
                <w:lang w:eastAsia="en-AU"/>
              </w:rPr>
              <w:t xml:space="preserve">repealed by the </w:t>
            </w:r>
            <w:r w:rsidRPr="009D1685">
              <w:rPr>
                <w:rStyle w:val="Emphasis"/>
                <w:sz w:val="15"/>
                <w:szCs w:val="15"/>
              </w:rPr>
              <w:t>Disability Act 2006.</w:t>
            </w:r>
          </w:p>
          <w:p w:rsidR="00C232A3" w:rsidRPr="009D1685" w:rsidRDefault="00C232A3" w:rsidP="00C232A3">
            <w:pPr>
              <w:pStyle w:val="ARfintablebody"/>
              <w:rPr>
                <w:bCs/>
                <w:sz w:val="15"/>
                <w:szCs w:val="15"/>
                <w:lang w:eastAsia="en-AU"/>
              </w:rPr>
            </w:pPr>
            <w:r w:rsidRPr="009D1685">
              <w:rPr>
                <w:sz w:val="15"/>
                <w:szCs w:val="15"/>
                <w:lang w:eastAsia="en-AU"/>
              </w:rPr>
              <w:t>To meet the cost of the provision of amenities for children under the age of 16 years in the care of the department.</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0.1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0.1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0.1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0.1</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Mental Hospital’s Fund</w:t>
            </w:r>
          </w:p>
          <w:p w:rsidR="00C232A3" w:rsidRPr="009D1685" w:rsidRDefault="00C232A3" w:rsidP="00C232A3">
            <w:pPr>
              <w:pStyle w:val="ARfintablebody"/>
              <w:rPr>
                <w:sz w:val="15"/>
                <w:szCs w:val="15"/>
                <w:lang w:eastAsia="en-AU"/>
              </w:rPr>
            </w:pPr>
            <w:r w:rsidRPr="009D1685">
              <w:rPr>
                <w:rStyle w:val="Emphasis"/>
                <w:sz w:val="15"/>
                <w:szCs w:val="15"/>
              </w:rPr>
              <w:t>Gaming Regulation Act 2003.</w:t>
            </w:r>
          </w:p>
          <w:p w:rsidR="00C232A3" w:rsidRPr="009D1685" w:rsidRDefault="00C232A3" w:rsidP="00C232A3">
            <w:pPr>
              <w:pStyle w:val="ARfintablebody"/>
              <w:rPr>
                <w:bCs/>
                <w:sz w:val="15"/>
                <w:szCs w:val="15"/>
                <w:lang w:eastAsia="en-AU"/>
              </w:rPr>
            </w:pPr>
            <w:r w:rsidRPr="009D1685">
              <w:rPr>
                <w:sz w:val="15"/>
                <w:szCs w:val="15"/>
                <w:lang w:eastAsia="en-AU"/>
              </w:rPr>
              <w:t xml:space="preserve">For the establishment and maintenance of mental health services and residential institutions and facilities; for the administration of the </w:t>
            </w:r>
            <w:r w:rsidRPr="009D1685">
              <w:rPr>
                <w:rStyle w:val="Emphasis"/>
                <w:sz w:val="15"/>
                <w:szCs w:val="15"/>
              </w:rPr>
              <w:t>Mental Health Act 1986</w:t>
            </w:r>
            <w:r w:rsidRPr="009D1685">
              <w:rPr>
                <w:sz w:val="15"/>
                <w:szCs w:val="15"/>
                <w:lang w:eastAsia="en-AU"/>
              </w:rPr>
              <w:t xml:space="preserve">; for the administration of the </w:t>
            </w:r>
            <w:r w:rsidRPr="009D1685">
              <w:rPr>
                <w:rStyle w:val="Emphasis"/>
                <w:sz w:val="15"/>
                <w:szCs w:val="15"/>
              </w:rPr>
              <w:t>Disability Act 2006</w:t>
            </w: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2.1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63.9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63.9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2.1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2.1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63.9</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63.9</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2.1</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lastRenderedPageBreak/>
              <w:t>Public Health Fund</w:t>
            </w:r>
          </w:p>
          <w:p w:rsidR="00C232A3" w:rsidRPr="009D1685" w:rsidRDefault="00C232A3" w:rsidP="00C232A3">
            <w:pPr>
              <w:pStyle w:val="ARfintablebody"/>
              <w:rPr>
                <w:bCs/>
                <w:sz w:val="15"/>
                <w:szCs w:val="15"/>
                <w:lang w:eastAsia="en-AU"/>
              </w:rPr>
            </w:pPr>
            <w:r w:rsidRPr="009D1685">
              <w:rPr>
                <w:sz w:val="15"/>
                <w:szCs w:val="15"/>
                <w:lang w:eastAsia="en-AU"/>
              </w:rPr>
              <w:t xml:space="preserve">This trust was established by the Minister for Finance in accordance with the National Health Reform Agreement to </w:t>
            </w:r>
            <w:r>
              <w:rPr>
                <w:sz w:val="15"/>
                <w:szCs w:val="15"/>
                <w:lang w:eastAsia="en-AU"/>
              </w:rPr>
              <w:t>allow the Department of Health and</w:t>
            </w:r>
            <w:r w:rsidRPr="009D1685">
              <w:rPr>
                <w:sz w:val="15"/>
                <w:szCs w:val="15"/>
                <w:lang w:eastAsia="en-AU"/>
              </w:rPr>
              <w:t xml:space="preserve"> Human Services to access public health funding contributions paid by the Commonwealth through the National Health Funding Pool and apply this funding to deliver public health activities managed by the State.</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3.9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138.5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138.7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(2.7)</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1.0</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5.1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127.3</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125.9</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(2.5)</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3.9</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State Development Special Projects Trust Account</w:t>
            </w:r>
          </w:p>
          <w:p w:rsidR="00C232A3" w:rsidRPr="009D1685" w:rsidRDefault="00C232A3" w:rsidP="00C232A3">
            <w:pPr>
              <w:pStyle w:val="ARfintablebody"/>
              <w:rPr>
                <w:bCs/>
                <w:sz w:val="15"/>
                <w:szCs w:val="15"/>
                <w:lang w:eastAsia="en-AU"/>
              </w:rPr>
            </w:pPr>
            <w:r w:rsidRPr="009D1685">
              <w:rPr>
                <w:sz w:val="15"/>
                <w:szCs w:val="15"/>
                <w:lang w:eastAsia="en-AU"/>
              </w:rPr>
              <w:t xml:space="preserve">Established under the </w:t>
            </w:r>
            <w:r w:rsidRPr="009D1685">
              <w:rPr>
                <w:rStyle w:val="Emphasis"/>
                <w:sz w:val="15"/>
                <w:szCs w:val="15"/>
              </w:rPr>
              <w:t>Financial Management Act 1994</w:t>
            </w:r>
            <w:r w:rsidRPr="009D1685">
              <w:rPr>
                <w:sz w:val="15"/>
                <w:szCs w:val="15"/>
                <w:lang w:eastAsia="en-AU"/>
              </w:rPr>
              <w:t xml:space="preserve"> to assist in facilitating, encouraging, promoting and carrying out activities leading to a balanced economic development of the state.</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2.0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13.7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11.4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(0.6)</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3.7</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2.7</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27.0</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27.6</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2.0</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Treasury Trust</w:t>
            </w:r>
          </w:p>
          <w:p w:rsidR="00C232A3" w:rsidRPr="009D1685" w:rsidRDefault="00C232A3" w:rsidP="00C232A3">
            <w:pPr>
              <w:pStyle w:val="ARfintablebody"/>
              <w:rPr>
                <w:bCs/>
                <w:sz w:val="15"/>
                <w:szCs w:val="15"/>
                <w:lang w:eastAsia="en-AU"/>
              </w:rPr>
            </w:pPr>
            <w:r w:rsidRPr="009D1685">
              <w:rPr>
                <w:sz w:val="15"/>
                <w:szCs w:val="15"/>
                <w:lang w:eastAsia="en-AU"/>
              </w:rPr>
              <w:t>To record the receipt and disbursement of unclaimed monies and other funds held in trust.</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58.1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(0.3)</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42.7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32.0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(6.7)</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61.7</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49.1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105.4</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95.9</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(0.4)</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58.1</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Inter-departmental Transfer Trust</w:t>
            </w:r>
          </w:p>
          <w:p w:rsidR="00C232A3" w:rsidRPr="009D1685" w:rsidRDefault="00C232A3" w:rsidP="00C232A3">
            <w:pPr>
              <w:pStyle w:val="ARfintablebody"/>
              <w:rPr>
                <w:bCs/>
                <w:sz w:val="15"/>
                <w:szCs w:val="15"/>
                <w:lang w:eastAsia="en-AU"/>
              </w:rPr>
            </w:pPr>
            <w:r w:rsidRPr="009D1685">
              <w:rPr>
                <w:sz w:val="15"/>
                <w:szCs w:val="15"/>
                <w:lang w:eastAsia="en-AU"/>
              </w:rPr>
              <w:t xml:space="preserve">The trust was established under section 19 of the </w:t>
            </w:r>
            <w:r w:rsidRPr="003C60F5">
              <w:rPr>
                <w:i/>
                <w:sz w:val="15"/>
                <w:szCs w:val="15"/>
                <w:lang w:eastAsia="en-AU"/>
              </w:rPr>
              <w:t>Financial Management Act 1994</w:t>
            </w:r>
            <w:r w:rsidRPr="009D1685">
              <w:rPr>
                <w:sz w:val="15"/>
                <w:szCs w:val="15"/>
                <w:lang w:eastAsia="en-AU"/>
              </w:rPr>
              <w:t xml:space="preserve"> by the Minister for Finance to record inter-departmental transfers when no other trust arrangement exists.</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103.7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83.1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3.8</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24.4</w:t>
            </w:r>
          </w:p>
        </w:tc>
        <w:tc>
          <w:tcPr>
            <w:tcW w:w="907" w:type="dxa"/>
            <w:tcBorders>
              <w:top w:val="single" w:sz="4" w:space="0" w:color="A6A6A6" w:themeColor="background1" w:themeShade="A6"/>
              <w:bottom w:val="single" w:sz="4" w:space="0" w:color="A6A6A6" w:themeColor="background1" w:themeShade="A6"/>
            </w:tcBorders>
          </w:tcPr>
          <w:p w:rsidR="00C232A3" w:rsidRPr="009F4B04" w:rsidRDefault="00C232A3" w:rsidP="00C232A3">
            <w:pPr>
              <w:pStyle w:val="ARfintablebodyright"/>
              <w:rPr>
                <w:rStyle w:val="Strong"/>
              </w:rPr>
            </w:pPr>
            <w:r w:rsidRPr="009F4B04">
              <w:rPr>
                <w:rStyle w:val="Strong"/>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F4B04" w:rsidRDefault="00C232A3" w:rsidP="00C232A3">
            <w:pPr>
              <w:pStyle w:val="ARfintablebodyright"/>
              <w:rPr>
                <w:rStyle w:val="Strong"/>
              </w:rPr>
            </w:pPr>
            <w:r w:rsidRPr="009F4B04">
              <w:rPr>
                <w:rStyle w:val="Strong"/>
              </w:rPr>
              <w:t>–</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Vehicle Lease Trust Account</w:t>
            </w:r>
          </w:p>
          <w:p w:rsidR="00C232A3" w:rsidRPr="009D1685" w:rsidRDefault="00C232A3" w:rsidP="00C232A3">
            <w:pPr>
              <w:pStyle w:val="ARfintablebody"/>
              <w:rPr>
                <w:bCs/>
                <w:sz w:val="15"/>
                <w:szCs w:val="15"/>
                <w:lang w:eastAsia="en-AU"/>
              </w:rPr>
            </w:pPr>
            <w:r w:rsidRPr="009D1685">
              <w:rPr>
                <w:sz w:val="15"/>
                <w:szCs w:val="15"/>
                <w:lang w:eastAsia="en-AU"/>
              </w:rPr>
              <w:t>To record transactions relating to the Government’s vehicle pool and fleet management business.</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19.7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(2.1)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(0.1)</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23.6</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14.6</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2.7</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(2.5)</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19.7</w:t>
            </w:r>
          </w:p>
        </w:tc>
      </w:tr>
      <w:tr w:rsidR="00C232A3" w:rsidRPr="00AB62BD" w:rsidTr="00EB4DAE">
        <w:trPr>
          <w:cantSplit/>
        </w:trPr>
        <w:tc>
          <w:tcPr>
            <w:tcW w:w="3572" w:type="dxa"/>
            <w:tcBorders>
              <w:top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Victorian Health Promotion Fund</w:t>
            </w:r>
          </w:p>
          <w:p w:rsidR="00C232A3" w:rsidRPr="009D1685" w:rsidRDefault="00C232A3" w:rsidP="00C232A3">
            <w:pPr>
              <w:pStyle w:val="ARfintablebody"/>
              <w:rPr>
                <w:bCs/>
                <w:sz w:val="15"/>
                <w:szCs w:val="15"/>
                <w:lang w:eastAsia="en-AU"/>
              </w:rPr>
            </w:pPr>
            <w:r w:rsidRPr="009D1685">
              <w:rPr>
                <w:sz w:val="15"/>
                <w:szCs w:val="15"/>
                <w:lang w:eastAsia="en-AU"/>
              </w:rPr>
              <w:t xml:space="preserve">This account was established under the </w:t>
            </w:r>
            <w:r w:rsidRPr="009D1685">
              <w:rPr>
                <w:rStyle w:val="Emphasis"/>
                <w:sz w:val="15"/>
                <w:szCs w:val="15"/>
              </w:rPr>
              <w:t>Tobacco Act 1987</w:t>
            </w:r>
            <w:r w:rsidRPr="009D1685">
              <w:rPr>
                <w:sz w:val="15"/>
                <w:szCs w:val="15"/>
                <w:lang w:eastAsia="en-AU"/>
              </w:rPr>
              <w:t xml:space="preserve">, section 32, prior to the abolition by the High Court in July 1997 of taxes on tobacco products. Following the High Court decision, the Act was amended and the source of funding was specified by the Treasurer under </w:t>
            </w:r>
            <w:r>
              <w:rPr>
                <w:sz w:val="15"/>
                <w:szCs w:val="15"/>
                <w:lang w:eastAsia="en-AU"/>
              </w:rPr>
              <w:t>section</w:t>
            </w:r>
            <w:r w:rsidRPr="009D1685">
              <w:rPr>
                <w:sz w:val="15"/>
                <w:szCs w:val="15"/>
                <w:lang w:eastAsia="en-AU"/>
              </w:rPr>
              <w:t xml:space="preserve"> 32 (3a).</w:t>
            </w:r>
          </w:p>
        </w:tc>
        <w:tc>
          <w:tcPr>
            <w:tcW w:w="907" w:type="dxa"/>
            <w:tcBorders>
              <w:top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38.3</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38.3</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w:t>
            </w:r>
          </w:p>
        </w:tc>
        <w:tc>
          <w:tcPr>
            <w:tcW w:w="907" w:type="dxa"/>
            <w:tcBorders>
              <w:top w:val="single" w:sz="4" w:space="0" w:color="A6A6A6" w:themeColor="background1" w:themeShade="A6"/>
            </w:tcBorders>
          </w:tcPr>
          <w:p w:rsidR="00C232A3" w:rsidRPr="009D1685" w:rsidRDefault="00C232A3" w:rsidP="00C232A3">
            <w:pPr>
              <w:pStyle w:val="ARfintablebodyright"/>
              <w:rPr>
                <w:rStyle w:val="Strong"/>
                <w:bCs w:val="0"/>
                <w:sz w:val="15"/>
                <w:szCs w:val="15"/>
              </w:rPr>
            </w:pPr>
            <w:r w:rsidRPr="009D1685">
              <w:rPr>
                <w:rStyle w:val="Strong"/>
                <w:sz w:val="15"/>
                <w:szCs w:val="15"/>
              </w:rPr>
              <w:t>–</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37.6</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37.6</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tcBorders>
          </w:tcPr>
          <w:p w:rsidR="00C232A3" w:rsidRPr="009D1685" w:rsidRDefault="00C232A3" w:rsidP="00C232A3">
            <w:pPr>
              <w:pStyle w:val="ARfintablebodyright"/>
              <w:rPr>
                <w:bCs/>
                <w:sz w:val="15"/>
                <w:szCs w:val="15"/>
                <w:lang w:eastAsia="en-AU"/>
              </w:rPr>
            </w:pPr>
            <w:r w:rsidRPr="009D1685">
              <w:rPr>
                <w:rStyle w:val="Strong"/>
                <w:sz w:val="15"/>
                <w:szCs w:val="15"/>
              </w:rPr>
              <w:t>–</w:t>
            </w:r>
          </w:p>
        </w:tc>
      </w:tr>
      <w:tr w:rsidR="00C232A3" w:rsidRPr="00AB62BD" w:rsidTr="00EB4DAE">
        <w:trPr>
          <w:cantSplit/>
        </w:trPr>
        <w:tc>
          <w:tcPr>
            <w:tcW w:w="3572" w:type="dxa"/>
          </w:tcPr>
          <w:p w:rsidR="00C232A3" w:rsidRPr="009D1685" w:rsidRDefault="00C232A3" w:rsidP="00C232A3">
            <w:pPr>
              <w:pStyle w:val="ARfintablebody"/>
              <w:rPr>
                <w:bCs/>
                <w:sz w:val="15"/>
                <w:szCs w:val="15"/>
                <w:lang w:eastAsia="en-AU"/>
              </w:rPr>
            </w:pPr>
            <w:r w:rsidRPr="009D1685">
              <w:rPr>
                <w:rStyle w:val="Strong"/>
                <w:sz w:val="15"/>
                <w:szCs w:val="15"/>
              </w:rPr>
              <w:t>Total controlled trusts</w:t>
            </w:r>
          </w:p>
        </w:tc>
        <w:tc>
          <w:tcPr>
            <w:tcW w:w="907" w:type="dxa"/>
            <w:tcBorders>
              <w:right w:val="nil"/>
            </w:tcBorders>
            <w:shd w:val="clear" w:color="auto" w:fill="E7E6E6"/>
          </w:tcPr>
          <w:p w:rsidR="00C232A3" w:rsidRPr="009D1685" w:rsidRDefault="0034359B" w:rsidP="00C232A3">
            <w:pPr>
              <w:pStyle w:val="ARfintablebodyright"/>
              <w:rPr>
                <w:bCs/>
                <w:sz w:val="15"/>
                <w:szCs w:val="15"/>
                <w:lang w:eastAsia="en-AU"/>
              </w:rPr>
            </w:pPr>
            <w:r>
              <w:rPr>
                <w:rStyle w:val="Strong"/>
                <w:sz w:val="15"/>
                <w:szCs w:val="15"/>
              </w:rPr>
              <w:t>144.2</w:t>
            </w:r>
          </w:p>
        </w:tc>
        <w:tc>
          <w:tcPr>
            <w:tcW w:w="907" w:type="dxa"/>
            <w:tcBorders>
              <w:left w:val="nil"/>
              <w:right w:val="nil"/>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(0.3)</w:t>
            </w:r>
          </w:p>
        </w:tc>
        <w:tc>
          <w:tcPr>
            <w:tcW w:w="907" w:type="dxa"/>
            <w:tcBorders>
              <w:left w:val="nil"/>
              <w:right w:val="nil"/>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3,117.9</w:t>
            </w:r>
          </w:p>
        </w:tc>
        <w:tc>
          <w:tcPr>
            <w:tcW w:w="907" w:type="dxa"/>
            <w:tcBorders>
              <w:left w:val="nil"/>
              <w:right w:val="nil"/>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2,902.3</w:t>
            </w:r>
          </w:p>
        </w:tc>
        <w:tc>
          <w:tcPr>
            <w:tcW w:w="907" w:type="dxa"/>
            <w:tcBorders>
              <w:left w:val="nil"/>
              <w:right w:val="nil"/>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(43.5)</w:t>
            </w:r>
          </w:p>
        </w:tc>
        <w:tc>
          <w:tcPr>
            <w:tcW w:w="907" w:type="dxa"/>
            <w:tcBorders>
              <w:left w:val="nil"/>
            </w:tcBorders>
            <w:shd w:val="clear" w:color="auto" w:fill="E7E6E6"/>
          </w:tcPr>
          <w:p w:rsidR="00C232A3" w:rsidRPr="009D1685" w:rsidRDefault="00C232A3" w:rsidP="00C232A3">
            <w:pPr>
              <w:pStyle w:val="ARfintablebodyright"/>
              <w:rPr>
                <w:bCs/>
                <w:sz w:val="15"/>
                <w:szCs w:val="15"/>
                <w:lang w:eastAsia="en-AU"/>
              </w:rPr>
            </w:pPr>
            <w:r w:rsidRPr="009D1685">
              <w:rPr>
                <w:rStyle w:val="Strong"/>
                <w:sz w:val="15"/>
                <w:szCs w:val="15"/>
              </w:rPr>
              <w:t>316.0</w:t>
            </w:r>
          </w:p>
        </w:tc>
        <w:tc>
          <w:tcPr>
            <w:tcW w:w="907" w:type="dxa"/>
          </w:tcPr>
          <w:p w:rsidR="00C232A3" w:rsidRPr="009D1685" w:rsidRDefault="00C232A3" w:rsidP="00C232A3">
            <w:pPr>
              <w:pStyle w:val="ARfintablebodyright"/>
              <w:rPr>
                <w:bCs/>
                <w:sz w:val="15"/>
                <w:szCs w:val="15"/>
                <w:lang w:eastAsia="en-AU"/>
              </w:rPr>
            </w:pPr>
            <w:r w:rsidRPr="009D1685">
              <w:rPr>
                <w:rStyle w:val="Strong"/>
                <w:sz w:val="15"/>
                <w:szCs w:val="15"/>
              </w:rPr>
              <w:t>165.8</w:t>
            </w:r>
          </w:p>
        </w:tc>
        <w:tc>
          <w:tcPr>
            <w:tcW w:w="907" w:type="dxa"/>
          </w:tcPr>
          <w:p w:rsidR="00C232A3" w:rsidRPr="009D1685" w:rsidRDefault="00C232A3" w:rsidP="00C232A3">
            <w:pPr>
              <w:pStyle w:val="ARfintablebodyright"/>
              <w:rPr>
                <w:bCs/>
                <w:sz w:val="15"/>
                <w:szCs w:val="15"/>
                <w:lang w:eastAsia="en-AU"/>
              </w:rPr>
            </w:pPr>
            <w:r w:rsidRPr="009D1685">
              <w:rPr>
                <w:rStyle w:val="Strong"/>
                <w:sz w:val="15"/>
                <w:szCs w:val="15"/>
              </w:rPr>
              <w:t>–</w:t>
            </w:r>
          </w:p>
        </w:tc>
        <w:tc>
          <w:tcPr>
            <w:tcW w:w="907" w:type="dxa"/>
          </w:tcPr>
          <w:p w:rsidR="00C232A3" w:rsidRPr="009D1685" w:rsidRDefault="00C232A3" w:rsidP="00C232A3">
            <w:pPr>
              <w:pStyle w:val="ARfintablebodyright"/>
              <w:rPr>
                <w:bCs/>
                <w:sz w:val="15"/>
                <w:szCs w:val="15"/>
                <w:lang w:eastAsia="en-AU"/>
              </w:rPr>
            </w:pPr>
            <w:r w:rsidRPr="009D1685">
              <w:rPr>
                <w:rStyle w:val="Strong"/>
                <w:sz w:val="15"/>
                <w:szCs w:val="15"/>
              </w:rPr>
              <w:t>7,648.0</w:t>
            </w:r>
          </w:p>
        </w:tc>
        <w:tc>
          <w:tcPr>
            <w:tcW w:w="907" w:type="dxa"/>
          </w:tcPr>
          <w:p w:rsidR="00C232A3" w:rsidRPr="009D1685" w:rsidRDefault="00C232A3" w:rsidP="00C232A3">
            <w:pPr>
              <w:pStyle w:val="ARfintablebodyright"/>
              <w:rPr>
                <w:bCs/>
                <w:sz w:val="15"/>
                <w:szCs w:val="15"/>
                <w:lang w:eastAsia="en-AU"/>
              </w:rPr>
            </w:pPr>
            <w:r w:rsidRPr="009D1685">
              <w:rPr>
                <w:rStyle w:val="Strong"/>
                <w:sz w:val="15"/>
                <w:szCs w:val="15"/>
              </w:rPr>
              <w:t>7,640.8</w:t>
            </w:r>
          </w:p>
        </w:tc>
        <w:tc>
          <w:tcPr>
            <w:tcW w:w="907" w:type="dxa"/>
          </w:tcPr>
          <w:p w:rsidR="00C232A3" w:rsidRPr="009D1685" w:rsidRDefault="00C232A3" w:rsidP="00C232A3">
            <w:pPr>
              <w:pStyle w:val="ARfintablebodyright"/>
              <w:rPr>
                <w:bCs/>
                <w:sz w:val="15"/>
                <w:szCs w:val="15"/>
                <w:lang w:eastAsia="en-AU"/>
              </w:rPr>
            </w:pPr>
            <w:r w:rsidRPr="009D1685">
              <w:rPr>
                <w:rStyle w:val="Strong"/>
                <w:sz w:val="15"/>
                <w:szCs w:val="15"/>
              </w:rPr>
              <w:t>(28.7)</w:t>
            </w:r>
          </w:p>
        </w:tc>
        <w:tc>
          <w:tcPr>
            <w:tcW w:w="907" w:type="dxa"/>
          </w:tcPr>
          <w:p w:rsidR="00C232A3" w:rsidRPr="009D1685" w:rsidRDefault="00C232A3" w:rsidP="00C232A3">
            <w:pPr>
              <w:pStyle w:val="ARfintablebodyright"/>
              <w:rPr>
                <w:bCs/>
                <w:sz w:val="15"/>
                <w:szCs w:val="15"/>
                <w:lang w:eastAsia="en-AU"/>
              </w:rPr>
            </w:pPr>
            <w:r w:rsidRPr="009D1685">
              <w:rPr>
                <w:rStyle w:val="Strong"/>
                <w:sz w:val="15"/>
                <w:szCs w:val="15"/>
              </w:rPr>
              <w:t>144.2</w:t>
            </w:r>
          </w:p>
        </w:tc>
      </w:tr>
    </w:tbl>
    <w:p w:rsidR="00C232A3" w:rsidRPr="00AB62BD" w:rsidRDefault="00C232A3" w:rsidP="00C232A3">
      <w:pPr>
        <w:pStyle w:val="ARfinbody"/>
      </w:pP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74"/>
        <w:gridCol w:w="908"/>
        <w:gridCol w:w="907"/>
        <w:gridCol w:w="907"/>
        <w:gridCol w:w="907"/>
        <w:gridCol w:w="907"/>
        <w:gridCol w:w="907"/>
        <w:gridCol w:w="907"/>
        <w:gridCol w:w="907"/>
        <w:gridCol w:w="907"/>
        <w:gridCol w:w="907"/>
        <w:gridCol w:w="907"/>
        <w:gridCol w:w="907"/>
      </w:tblGrid>
      <w:tr w:rsidR="00C232A3" w:rsidRPr="00AB62BD" w:rsidTr="00EB4DAE">
        <w:trPr>
          <w:cantSplit/>
          <w:tblHeader/>
        </w:trPr>
        <w:tc>
          <w:tcPr>
            <w:tcW w:w="3216" w:type="dxa"/>
            <w:vMerge w:val="restart"/>
            <w:vAlign w:val="bottom"/>
          </w:tcPr>
          <w:p w:rsidR="00C232A3" w:rsidRPr="00AB62BD" w:rsidRDefault="00C232A3" w:rsidP="00C232A3">
            <w:pPr>
              <w:pageBreakBefore/>
              <w:autoSpaceDE w:val="0"/>
              <w:autoSpaceDN w:val="0"/>
              <w:adjustRightInd w:val="0"/>
              <w:spacing w:beforeLines="40" w:before="96" w:afterLines="20" w:after="48"/>
              <w:rPr>
                <w:rFonts w:cs="Arial"/>
                <w:b/>
                <w:bCs/>
                <w:color w:val="000000"/>
                <w:sz w:val="16"/>
                <w:szCs w:val="16"/>
                <w:lang w:eastAsia="en-AU"/>
              </w:rPr>
            </w:pPr>
          </w:p>
        </w:tc>
        <w:tc>
          <w:tcPr>
            <w:tcW w:w="907" w:type="dxa"/>
            <w:gridSpan w:val="6"/>
            <w:tcBorders>
              <w:bottom w:val="single" w:sz="4" w:space="0" w:color="auto"/>
            </w:tcBorders>
            <w:shd w:val="clear" w:color="auto" w:fill="E7E6E6"/>
            <w:vAlign w:val="bottom"/>
          </w:tcPr>
          <w:p w:rsidR="00C232A3" w:rsidRPr="009D1685" w:rsidRDefault="00C232A3" w:rsidP="00C232A3">
            <w:pPr>
              <w:pStyle w:val="ARfintablecolheadcentre"/>
              <w:rPr>
                <w:sz w:val="15"/>
                <w:szCs w:val="15"/>
              </w:rPr>
            </w:pPr>
            <w:r w:rsidRPr="009D1685">
              <w:rPr>
                <w:sz w:val="15"/>
                <w:szCs w:val="15"/>
              </w:rPr>
              <w:t>2017</w:t>
            </w:r>
          </w:p>
        </w:tc>
        <w:tc>
          <w:tcPr>
            <w:tcW w:w="907" w:type="dxa"/>
            <w:gridSpan w:val="6"/>
            <w:vAlign w:val="bottom"/>
          </w:tcPr>
          <w:p w:rsidR="00C232A3" w:rsidRPr="009D1685" w:rsidRDefault="00C232A3" w:rsidP="00C232A3">
            <w:pPr>
              <w:pStyle w:val="ARfintablecolheadcentre"/>
              <w:rPr>
                <w:sz w:val="15"/>
                <w:szCs w:val="15"/>
              </w:rPr>
            </w:pPr>
            <w:r w:rsidRPr="009D1685">
              <w:rPr>
                <w:sz w:val="15"/>
                <w:szCs w:val="15"/>
              </w:rPr>
              <w:t>2016</w:t>
            </w:r>
          </w:p>
        </w:tc>
      </w:tr>
      <w:tr w:rsidR="00C232A3" w:rsidRPr="00AB62BD" w:rsidTr="00EB4DAE">
        <w:trPr>
          <w:cantSplit/>
          <w:tblHeader/>
        </w:trPr>
        <w:tc>
          <w:tcPr>
            <w:tcW w:w="3216"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jc w:val="right"/>
              <w:rPr>
                <w:rFonts w:cs="Arial"/>
                <w:color w:val="000000"/>
                <w:sz w:val="16"/>
                <w:szCs w:val="16"/>
                <w:lang w:eastAsia="en-AU"/>
              </w:rPr>
            </w:pPr>
          </w:p>
        </w:tc>
        <w:tc>
          <w:tcPr>
            <w:tcW w:w="907" w:type="dxa"/>
            <w:tcBorders>
              <w:top w:val="single" w:sz="4" w:space="0" w:color="auto"/>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Opening balance as at 1 July 2016</w:t>
            </w:r>
          </w:p>
          <w:p w:rsidR="00C232A3" w:rsidRPr="009D1685" w:rsidRDefault="00C232A3" w:rsidP="00C232A3">
            <w:pPr>
              <w:pStyle w:val="ARfintablecolheadright"/>
              <w:rPr>
                <w:sz w:val="15"/>
                <w:szCs w:val="15"/>
              </w:rPr>
            </w:pPr>
            <w:r w:rsidRPr="009D1685">
              <w:rPr>
                <w:sz w:val="15"/>
                <w:szCs w:val="15"/>
              </w:rPr>
              <w:t>trust account balance</w:t>
            </w:r>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Machin</w:t>
            </w:r>
            <w:r>
              <w:rPr>
                <w:sz w:val="15"/>
                <w:szCs w:val="15"/>
              </w:rPr>
              <w:t>-</w:t>
            </w:r>
            <w:proofErr w:type="spellStart"/>
            <w:r w:rsidRPr="009D1685">
              <w:rPr>
                <w:sz w:val="15"/>
                <w:szCs w:val="15"/>
              </w:rPr>
              <w:t>ery</w:t>
            </w:r>
            <w:proofErr w:type="spellEnd"/>
            <w:r w:rsidRPr="009D1685">
              <w:rPr>
                <w:sz w:val="15"/>
                <w:szCs w:val="15"/>
              </w:rPr>
              <w:t xml:space="preserve"> of Govern</w:t>
            </w:r>
            <w:r>
              <w:rPr>
                <w:sz w:val="15"/>
                <w:szCs w:val="15"/>
              </w:rPr>
              <w:t>-</w:t>
            </w:r>
            <w:proofErr w:type="spellStart"/>
            <w:r w:rsidRPr="009D1685">
              <w:rPr>
                <w:sz w:val="15"/>
                <w:szCs w:val="15"/>
              </w:rPr>
              <w:t>ment</w:t>
            </w:r>
            <w:proofErr w:type="spellEnd"/>
            <w:r w:rsidRPr="009D1685">
              <w:rPr>
                <w:sz w:val="15"/>
                <w:szCs w:val="15"/>
              </w:rPr>
              <w:t xml:space="preserve"> transfer in</w:t>
            </w:r>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Total receipts</w:t>
            </w:r>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Total pay</w:t>
            </w:r>
            <w:r>
              <w:rPr>
                <w:sz w:val="15"/>
                <w:szCs w:val="15"/>
              </w:rPr>
              <w:t>-</w:t>
            </w:r>
            <w:proofErr w:type="spellStart"/>
            <w:r w:rsidRPr="009D1685">
              <w:rPr>
                <w:sz w:val="15"/>
                <w:szCs w:val="15"/>
              </w:rPr>
              <w:t>ments</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Non-Cash Move</w:t>
            </w:r>
            <w:r>
              <w:rPr>
                <w:sz w:val="15"/>
                <w:szCs w:val="15"/>
              </w:rPr>
              <w:t>-</w:t>
            </w:r>
            <w:proofErr w:type="spellStart"/>
            <w:r w:rsidRPr="009D1685">
              <w:rPr>
                <w:sz w:val="15"/>
                <w:szCs w:val="15"/>
              </w:rPr>
              <w:t>ment</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top w:val="single" w:sz="4" w:space="0" w:color="auto"/>
              <w:left w:val="nil"/>
              <w:bottom w:val="single" w:sz="4" w:space="0" w:color="auto"/>
            </w:tcBorders>
            <w:shd w:val="clear" w:color="auto" w:fill="E7E6E6"/>
            <w:vAlign w:val="bottom"/>
          </w:tcPr>
          <w:p w:rsidR="00C232A3" w:rsidRPr="009D1685" w:rsidRDefault="00C232A3" w:rsidP="00C232A3">
            <w:pPr>
              <w:pStyle w:val="ARfintablecolheadright"/>
              <w:rPr>
                <w:sz w:val="15"/>
                <w:szCs w:val="15"/>
              </w:rPr>
            </w:pPr>
            <w:r w:rsidRPr="009D1685">
              <w:rPr>
                <w:sz w:val="15"/>
                <w:szCs w:val="15"/>
              </w:rPr>
              <w:t>Closing balance as at 30 June 2017 trust account balance</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Opening balance as at 1 July 2015 trust account balance</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Machin</w:t>
            </w:r>
            <w:r>
              <w:rPr>
                <w:sz w:val="15"/>
                <w:szCs w:val="15"/>
              </w:rPr>
              <w:t>-</w:t>
            </w:r>
            <w:proofErr w:type="spellStart"/>
            <w:r w:rsidRPr="009D1685">
              <w:rPr>
                <w:sz w:val="15"/>
                <w:szCs w:val="15"/>
              </w:rPr>
              <w:t>ery</w:t>
            </w:r>
            <w:proofErr w:type="spellEnd"/>
            <w:r w:rsidRPr="009D1685">
              <w:rPr>
                <w:sz w:val="15"/>
                <w:szCs w:val="15"/>
              </w:rPr>
              <w:t xml:space="preserve"> of Govern</w:t>
            </w:r>
            <w:r>
              <w:rPr>
                <w:sz w:val="15"/>
                <w:szCs w:val="15"/>
              </w:rPr>
              <w:t>-</w:t>
            </w:r>
            <w:proofErr w:type="spellStart"/>
            <w:r w:rsidRPr="009D1685">
              <w:rPr>
                <w:sz w:val="15"/>
                <w:szCs w:val="15"/>
              </w:rPr>
              <w:t>ment</w:t>
            </w:r>
            <w:proofErr w:type="spellEnd"/>
            <w:r w:rsidRPr="009D1685">
              <w:rPr>
                <w:sz w:val="15"/>
                <w:szCs w:val="15"/>
              </w:rPr>
              <w:t xml:space="preserve"> transfer in</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Total receipts</w:t>
            </w:r>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Total pay</w:t>
            </w:r>
            <w:r>
              <w:rPr>
                <w:sz w:val="15"/>
                <w:szCs w:val="15"/>
              </w:rPr>
              <w:t>-</w:t>
            </w:r>
            <w:proofErr w:type="spellStart"/>
            <w:r w:rsidRPr="009D1685">
              <w:rPr>
                <w:sz w:val="15"/>
                <w:szCs w:val="15"/>
              </w:rPr>
              <w:t>ments</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Non-Cash Move</w:t>
            </w:r>
            <w:r>
              <w:rPr>
                <w:sz w:val="15"/>
                <w:szCs w:val="15"/>
              </w:rPr>
              <w:t>-</w:t>
            </w:r>
            <w:proofErr w:type="spellStart"/>
            <w:r w:rsidRPr="009D1685">
              <w:rPr>
                <w:sz w:val="15"/>
                <w:szCs w:val="15"/>
              </w:rPr>
              <w:t>ment</w:t>
            </w:r>
            <w:proofErr w:type="spellEnd"/>
          </w:p>
          <w:p w:rsidR="00C232A3" w:rsidRPr="009D1685" w:rsidRDefault="00C232A3" w:rsidP="00C232A3">
            <w:pPr>
              <w:pStyle w:val="ARfintablecolheadright"/>
              <w:rPr>
                <w:sz w:val="15"/>
                <w:szCs w:val="15"/>
              </w:rPr>
            </w:pPr>
            <w:r w:rsidRPr="009D1685">
              <w:rPr>
                <w:sz w:val="15"/>
                <w:szCs w:val="15"/>
              </w:rPr>
              <w:t>$M</w:t>
            </w:r>
          </w:p>
        </w:tc>
        <w:tc>
          <w:tcPr>
            <w:tcW w:w="907" w:type="dxa"/>
            <w:tcBorders>
              <w:bottom w:val="single" w:sz="4" w:space="0" w:color="auto"/>
            </w:tcBorders>
            <w:vAlign w:val="bottom"/>
          </w:tcPr>
          <w:p w:rsidR="00C232A3" w:rsidRPr="009D1685" w:rsidRDefault="00C232A3" w:rsidP="00C232A3">
            <w:pPr>
              <w:pStyle w:val="ARfintablecolheadright"/>
              <w:rPr>
                <w:sz w:val="15"/>
                <w:szCs w:val="15"/>
              </w:rPr>
            </w:pPr>
            <w:r w:rsidRPr="009D1685">
              <w:rPr>
                <w:sz w:val="15"/>
                <w:szCs w:val="15"/>
              </w:rPr>
              <w:t>Closing balance as at 30 June 2016 trust account balance</w:t>
            </w:r>
          </w:p>
          <w:p w:rsidR="00C232A3" w:rsidRPr="009D1685" w:rsidRDefault="00C232A3" w:rsidP="00C232A3">
            <w:pPr>
              <w:pStyle w:val="ARfintablecolheadright"/>
              <w:rPr>
                <w:sz w:val="15"/>
                <w:szCs w:val="15"/>
              </w:rPr>
            </w:pPr>
            <w:r w:rsidRPr="009D1685">
              <w:rPr>
                <w:sz w:val="15"/>
                <w:szCs w:val="15"/>
              </w:rPr>
              <w:t>$M</w:t>
            </w:r>
          </w:p>
        </w:tc>
      </w:tr>
      <w:tr w:rsidR="00C232A3" w:rsidRPr="00AB62BD" w:rsidTr="00EB4DAE">
        <w:trPr>
          <w:cantSplit/>
        </w:trPr>
        <w:tc>
          <w:tcPr>
            <w:tcW w:w="3216" w:type="dxa"/>
            <w:tcBorders>
              <w:top w:val="single" w:sz="4" w:space="0" w:color="auto"/>
              <w:bottom w:val="single" w:sz="4" w:space="0" w:color="A6A6A6" w:themeColor="background1" w:themeShade="A6"/>
            </w:tcBorders>
          </w:tcPr>
          <w:p w:rsidR="00C232A3" w:rsidRPr="009D1685" w:rsidRDefault="00C232A3" w:rsidP="00C232A3">
            <w:pPr>
              <w:pStyle w:val="ARfintablebody"/>
              <w:rPr>
                <w:bCs/>
                <w:lang w:eastAsia="en-AU"/>
              </w:rPr>
            </w:pPr>
            <w:r w:rsidRPr="009D1685">
              <w:rPr>
                <w:rStyle w:val="Strong"/>
                <w:sz w:val="15"/>
                <w:szCs w:val="15"/>
              </w:rPr>
              <w:t>Administered trusts</w:t>
            </w:r>
          </w:p>
        </w:tc>
        <w:tc>
          <w:tcPr>
            <w:tcW w:w="907" w:type="dxa"/>
            <w:tcBorders>
              <w:top w:val="single" w:sz="4" w:space="0" w:color="auto"/>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p>
        </w:tc>
        <w:tc>
          <w:tcPr>
            <w:tcW w:w="907" w:type="dxa"/>
            <w:tcBorders>
              <w:top w:val="single" w:sz="4" w:space="0" w:color="auto"/>
              <w:left w:val="nil"/>
              <w:bottom w:val="single" w:sz="4" w:space="0" w:color="A6A6A6" w:themeColor="background1" w:themeShade="A6"/>
            </w:tcBorders>
            <w:shd w:val="clear" w:color="auto" w:fill="E7E6E6"/>
          </w:tcPr>
          <w:p w:rsidR="00C232A3" w:rsidRPr="009D1685" w:rsidRDefault="00C232A3" w:rsidP="00C232A3">
            <w:pPr>
              <w:pStyle w:val="ARfintablebodyright"/>
              <w:rPr>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rStyle w:val="Strong"/>
                <w:bCs w:val="0"/>
                <w:sz w:val="15"/>
                <w:szCs w:val="15"/>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lang w:eastAsia="en-AU"/>
              </w:rPr>
            </w:pPr>
          </w:p>
        </w:tc>
        <w:tc>
          <w:tcPr>
            <w:tcW w:w="907" w:type="dxa"/>
            <w:tcBorders>
              <w:top w:val="single" w:sz="4" w:space="0" w:color="auto"/>
              <w:bottom w:val="single" w:sz="4" w:space="0" w:color="A6A6A6" w:themeColor="background1" w:themeShade="A6"/>
            </w:tcBorders>
          </w:tcPr>
          <w:p w:rsidR="00C232A3" w:rsidRPr="009D1685" w:rsidRDefault="00C232A3" w:rsidP="00C232A3">
            <w:pPr>
              <w:pStyle w:val="ARfintablebodyright"/>
              <w:rPr>
                <w:lang w:eastAsia="en-AU"/>
              </w:rPr>
            </w:pP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Anzac Day Proceeds Fund, Act 6198, Sec. 4A</w:t>
            </w:r>
          </w:p>
          <w:p w:rsidR="00C232A3" w:rsidRPr="009D1685" w:rsidRDefault="00C232A3" w:rsidP="00C232A3">
            <w:pPr>
              <w:pStyle w:val="ARfintablebody"/>
              <w:rPr>
                <w:bCs/>
                <w:lang w:eastAsia="en-AU"/>
              </w:rPr>
            </w:pPr>
            <w:r w:rsidRPr="009D1685">
              <w:rPr>
                <w:lang w:eastAsia="en-AU"/>
              </w:rPr>
              <w:t xml:space="preserve">Established under the </w:t>
            </w:r>
            <w:r w:rsidRPr="009D1685">
              <w:rPr>
                <w:rStyle w:val="Emphasis"/>
                <w:sz w:val="15"/>
                <w:szCs w:val="15"/>
              </w:rPr>
              <w:t>ANZAC Day Act 1958</w:t>
            </w:r>
            <w:r w:rsidRPr="009D1685">
              <w:rPr>
                <w:lang w:eastAsia="en-AU"/>
              </w:rPr>
              <w:t xml:space="preserve"> to receive funds as required to be paid by the </w:t>
            </w:r>
            <w:r w:rsidRPr="009D1685">
              <w:rPr>
                <w:rStyle w:val="Emphasis"/>
                <w:sz w:val="15"/>
                <w:szCs w:val="15"/>
              </w:rPr>
              <w:t>Anzac Day Act 1958</w:t>
            </w:r>
            <w:r w:rsidRPr="009D1685">
              <w:rPr>
                <w:lang w:eastAsia="en-AU"/>
              </w:rPr>
              <w:t xml:space="preserve"> and the </w:t>
            </w:r>
            <w:r w:rsidRPr="009D1685">
              <w:rPr>
                <w:rStyle w:val="Emphasis"/>
                <w:sz w:val="15"/>
                <w:szCs w:val="15"/>
              </w:rPr>
              <w:t>Racing Act 1958</w:t>
            </w:r>
            <w:r w:rsidRPr="009D1685">
              <w:rPr>
                <w:lang w:eastAsia="en-AU"/>
              </w:rPr>
              <w:t xml:space="preserve"> and to be credited to the Victorian Veterans Fund.</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r w:rsidRPr="003775EA">
              <w:rPr>
                <w:sz w:val="14"/>
                <w:szCs w:val="14"/>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r w:rsidRPr="009D1685">
              <w:rPr>
                <w:lang w:eastAsia="en-AU"/>
              </w:rPr>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r w:rsidRPr="009D1685">
              <w:rPr>
                <w:lang w:eastAsia="en-AU"/>
              </w:rPr>
              <w:t>0.1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lang w:eastAsia="en-AU"/>
              </w:rPr>
            </w:pPr>
            <w:r w:rsidRPr="009D1685">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0.4</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lang w:eastAsia="en-AU"/>
              </w:rPr>
            </w:pPr>
            <w:r w:rsidRPr="009D1685">
              <w:rPr>
                <w:lang w:eastAsia="en-AU"/>
              </w:rPr>
              <w:t>0.1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lang w:eastAsia="en-AU"/>
              </w:rPr>
            </w:pPr>
            <w:r w:rsidRPr="009D1685">
              <w:rPr>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lang w:eastAsia="en-AU"/>
              </w:rPr>
            </w:pPr>
            <w:r w:rsidRPr="003775EA">
              <w:rPr>
                <w:sz w:val="14"/>
                <w:szCs w:val="14"/>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lang w:eastAsia="en-AU"/>
              </w:rPr>
            </w:pPr>
            <w:r w:rsidRPr="003775EA">
              <w:rPr>
                <w:sz w:val="14"/>
                <w:szCs w:val="14"/>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lang w:eastAsia="en-AU"/>
              </w:rPr>
            </w:pPr>
            <w:r w:rsidRPr="009D1685">
              <w:rPr>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F4B04" w:rsidRDefault="00C232A3" w:rsidP="00C232A3">
            <w:pPr>
              <w:pStyle w:val="ARfintablebodyright"/>
              <w:rPr>
                <w:rStyle w:val="Strong"/>
              </w:rPr>
            </w:pPr>
            <w:r w:rsidRPr="009F4B04">
              <w:rPr>
                <w:rStyle w:val="Strong"/>
              </w:rPr>
              <w:t>–</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National Disability Insurance Scheme Trust Account</w:t>
            </w:r>
          </w:p>
          <w:p w:rsidR="00C232A3" w:rsidRPr="009D1685" w:rsidRDefault="00C232A3" w:rsidP="00C232A3">
            <w:pPr>
              <w:pStyle w:val="ARfintablebody"/>
              <w:rPr>
                <w:rStyle w:val="Strong"/>
                <w:bCs w:val="0"/>
                <w:sz w:val="15"/>
                <w:szCs w:val="15"/>
              </w:rPr>
            </w:pPr>
            <w:r w:rsidRPr="009D1685">
              <w:rPr>
                <w:lang w:eastAsia="en-AU"/>
              </w:rPr>
              <w:t>The National Disability Insurance Scheme Trust was established in accordance with a Memorandum of Understanding (MOU) between the Department of Health and Human Services, the Department of Education and Training, Taxi Services Commission, and the Department of Treasury and Finance. The Trust is used solely to manage the State’s payments to the NDIA, as required under the Bilateral Agreement between the Commonwealth and Victoria that outlines the transition to the National Disability Insurance Scheme.</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145.9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145.9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F4B04" w:rsidRDefault="00C232A3" w:rsidP="00C232A3">
            <w:pPr>
              <w:pStyle w:val="ARfintablebodyright"/>
              <w:rPr>
                <w:rStyle w:val="Strong"/>
              </w:rPr>
            </w:pPr>
            <w:r w:rsidRPr="009F4B04">
              <w:rPr>
                <w:rStyle w:val="Strong"/>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F4B04" w:rsidRDefault="00C232A3" w:rsidP="00C232A3">
            <w:pPr>
              <w:pStyle w:val="ARfintablebodyright"/>
              <w:rPr>
                <w:rStyle w:val="Strong"/>
              </w:rPr>
            </w:pPr>
            <w:r w:rsidRPr="009F4B04">
              <w:rPr>
                <w:rStyle w:val="Strong"/>
              </w:rPr>
              <w:t>–</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National Health Funding Pool – Victorian State Pool Fund</w:t>
            </w:r>
          </w:p>
          <w:p w:rsidR="00C232A3" w:rsidRPr="009D1685" w:rsidRDefault="00C232A3" w:rsidP="00C232A3">
            <w:pPr>
              <w:pStyle w:val="ARfintablebody"/>
              <w:rPr>
                <w:rStyle w:val="Strong"/>
                <w:bCs w:val="0"/>
                <w:sz w:val="15"/>
                <w:szCs w:val="15"/>
              </w:rPr>
            </w:pPr>
            <w:r w:rsidRPr="009D1685">
              <w:rPr>
                <w:lang w:eastAsia="en-AU"/>
              </w:rPr>
              <w:t xml:space="preserve">This trust was established under the </w:t>
            </w:r>
            <w:r w:rsidRPr="009D1685">
              <w:rPr>
                <w:rStyle w:val="Emphasis"/>
                <w:sz w:val="15"/>
                <w:szCs w:val="15"/>
              </w:rPr>
              <w:t>Health (Commonwealth State Funding Arrangements) Act 2012 No. 40 of 2012</w:t>
            </w:r>
            <w:r w:rsidRPr="009D1685">
              <w:rPr>
                <w:lang w:eastAsia="en-AU"/>
              </w:rPr>
              <w:t xml:space="preserve"> to record funding made available by the Commonwealth and the State under the National Health Reform Agreement.</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9,038.5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9,038.5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8,316.3</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8,354.3</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38.0</w:t>
            </w:r>
          </w:p>
        </w:tc>
        <w:tc>
          <w:tcPr>
            <w:tcW w:w="907" w:type="dxa"/>
            <w:tcBorders>
              <w:top w:val="single" w:sz="4" w:space="0" w:color="A6A6A6" w:themeColor="background1" w:themeShade="A6"/>
              <w:bottom w:val="single" w:sz="4" w:space="0" w:color="A6A6A6" w:themeColor="background1" w:themeShade="A6"/>
            </w:tcBorders>
          </w:tcPr>
          <w:p w:rsidR="00C232A3" w:rsidRPr="009F4B04" w:rsidRDefault="00C232A3" w:rsidP="00C232A3">
            <w:pPr>
              <w:pStyle w:val="ARfintablebodyright"/>
              <w:rPr>
                <w:rStyle w:val="Strong"/>
              </w:rPr>
            </w:pPr>
            <w:r w:rsidRPr="009F4B04">
              <w:rPr>
                <w:rStyle w:val="Strong"/>
              </w:rPr>
              <w:t>–</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Public Service Commuter Club</w:t>
            </w:r>
          </w:p>
          <w:p w:rsidR="00C232A3" w:rsidRPr="009D1685" w:rsidRDefault="00C232A3" w:rsidP="00C232A3">
            <w:pPr>
              <w:pStyle w:val="ARfintablebody"/>
              <w:rPr>
                <w:rStyle w:val="Strong"/>
                <w:bCs w:val="0"/>
                <w:sz w:val="15"/>
                <w:szCs w:val="15"/>
              </w:rPr>
            </w:pPr>
            <w:r w:rsidRPr="009D1685">
              <w:rPr>
                <w:lang w:eastAsia="en-AU"/>
              </w:rPr>
              <w:t>The trust fund was established to record the receipt of amounts associated with the Public Service Commuter Club Scheme and deductions from club members salaries as well as recording payment to the Public Transport Corporation.</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(0.7)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1.3</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1.3</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(0.8)</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(0.6)</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1.3</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1.3</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rStyle w:val="Strong"/>
                <w:sz w:val="15"/>
                <w:szCs w:val="15"/>
              </w:rPr>
              <w:t>(0.7)</w:t>
            </w:r>
          </w:p>
        </w:tc>
      </w:tr>
      <w:tr w:rsidR="00C232A3" w:rsidRPr="00AB62BD" w:rsidTr="00EB4DAE">
        <w:trPr>
          <w:cantSplit/>
        </w:trPr>
        <w:tc>
          <w:tcPr>
            <w:tcW w:w="3572"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lastRenderedPageBreak/>
              <w:t>Revenue Suspense Account</w:t>
            </w:r>
          </w:p>
          <w:p w:rsidR="00C232A3" w:rsidRPr="009D1685" w:rsidRDefault="00C232A3" w:rsidP="00C232A3">
            <w:pPr>
              <w:pStyle w:val="ARfintablebody"/>
              <w:rPr>
                <w:rStyle w:val="Strong"/>
                <w:bCs w:val="0"/>
                <w:sz w:val="15"/>
                <w:szCs w:val="15"/>
              </w:rPr>
            </w:pPr>
            <w:r w:rsidRPr="009D1685">
              <w:rPr>
                <w:lang w:eastAsia="en-AU"/>
              </w:rPr>
              <w:t>Short term clearing account pending correct identification of receipts.</w:t>
            </w:r>
          </w:p>
        </w:tc>
        <w:tc>
          <w:tcPr>
            <w:tcW w:w="907" w:type="dxa"/>
            <w:tcBorders>
              <w:top w:val="single" w:sz="4" w:space="0" w:color="A6A6A6" w:themeColor="background1" w:themeShade="A6"/>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2.4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0.1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rsidR="00C232A3" w:rsidRPr="009D1685" w:rsidRDefault="00C232A3" w:rsidP="00C232A3">
            <w:pPr>
              <w:pStyle w:val="ARfintablebodyright"/>
              <w:rPr>
                <w:rStyle w:val="Strong"/>
                <w:bCs w:val="0"/>
                <w:sz w:val="15"/>
                <w:szCs w:val="15"/>
              </w:rPr>
            </w:pPr>
            <w:r w:rsidRPr="009D1685">
              <w:rPr>
                <w:rStyle w:val="Strong"/>
                <w:sz w:val="15"/>
                <w:szCs w:val="15"/>
              </w:rPr>
              <w:t>2.5</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2.1</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0.2</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bottom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rStyle w:val="Strong"/>
                <w:sz w:val="15"/>
                <w:szCs w:val="15"/>
              </w:rPr>
              <w:t>2.4</w:t>
            </w:r>
          </w:p>
        </w:tc>
      </w:tr>
      <w:tr w:rsidR="00C232A3" w:rsidRPr="00AB62BD" w:rsidTr="00EB4DAE">
        <w:trPr>
          <w:cantSplit/>
        </w:trPr>
        <w:tc>
          <w:tcPr>
            <w:tcW w:w="3572" w:type="dxa"/>
            <w:tcBorders>
              <w:top w:val="single" w:sz="4" w:space="0" w:color="A6A6A6" w:themeColor="background1" w:themeShade="A6"/>
            </w:tcBorders>
          </w:tcPr>
          <w:p w:rsidR="00C232A3" w:rsidRPr="009D1685" w:rsidRDefault="00C232A3" w:rsidP="00C232A3">
            <w:pPr>
              <w:pStyle w:val="ARfintablebody"/>
              <w:rPr>
                <w:rStyle w:val="Strong"/>
                <w:bCs w:val="0"/>
                <w:sz w:val="15"/>
                <w:szCs w:val="15"/>
              </w:rPr>
            </w:pPr>
            <w:r w:rsidRPr="009D1685">
              <w:rPr>
                <w:rStyle w:val="Strong"/>
                <w:sz w:val="15"/>
                <w:szCs w:val="15"/>
              </w:rPr>
              <w:t>Victorian Natural Disasters Relief Fund</w:t>
            </w:r>
          </w:p>
          <w:p w:rsidR="00C232A3" w:rsidRPr="009D1685" w:rsidRDefault="00C232A3" w:rsidP="00C232A3">
            <w:pPr>
              <w:pStyle w:val="ARfintablebody"/>
              <w:rPr>
                <w:rStyle w:val="Strong"/>
                <w:bCs w:val="0"/>
                <w:sz w:val="15"/>
                <w:szCs w:val="15"/>
              </w:rPr>
            </w:pPr>
            <w:r w:rsidRPr="009D1685">
              <w:rPr>
                <w:lang w:eastAsia="en-AU"/>
              </w:rPr>
              <w:t>This account was established for the purpose of granting assistance to persons who suffer losses as a result of flood, bushfires and other natural disasters.</w:t>
            </w:r>
          </w:p>
        </w:tc>
        <w:tc>
          <w:tcPr>
            <w:tcW w:w="907" w:type="dxa"/>
            <w:tcBorders>
              <w:top w:val="single" w:sz="4" w:space="0" w:color="A6A6A6" w:themeColor="background1" w:themeShade="A6"/>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0.6</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9D1685">
              <w:rPr>
                <w:sz w:val="15"/>
                <w:szCs w:val="15"/>
                <w:lang w:eastAsia="en-AU"/>
              </w:rPr>
              <w:t>0.6</w:t>
            </w:r>
          </w:p>
        </w:tc>
        <w:tc>
          <w:tcPr>
            <w:tcW w:w="907" w:type="dxa"/>
            <w:tcBorders>
              <w:top w:val="single" w:sz="4" w:space="0" w:color="A6A6A6" w:themeColor="background1" w:themeShade="A6"/>
              <w:left w:val="nil"/>
              <w:right w:val="nil"/>
            </w:tcBorders>
            <w:shd w:val="clear" w:color="auto" w:fill="E7E6E6"/>
          </w:tcPr>
          <w:p w:rsidR="00C232A3" w:rsidRPr="009D1685" w:rsidRDefault="00C232A3" w:rsidP="00C232A3">
            <w:pPr>
              <w:pStyle w:val="ARfintablebodyright"/>
              <w:rPr>
                <w:sz w:val="15"/>
                <w:szCs w:val="15"/>
                <w:lang w:eastAsia="en-AU"/>
              </w:rPr>
            </w:pPr>
            <w:r w:rsidRPr="003775EA">
              <w:rPr>
                <w:sz w:val="14"/>
                <w:szCs w:val="14"/>
                <w:lang w:eastAsia="en-AU"/>
              </w:rPr>
              <w:t>–</w:t>
            </w:r>
          </w:p>
        </w:tc>
        <w:tc>
          <w:tcPr>
            <w:tcW w:w="907" w:type="dxa"/>
            <w:tcBorders>
              <w:top w:val="single" w:sz="4" w:space="0" w:color="A6A6A6" w:themeColor="background1" w:themeShade="A6"/>
              <w:left w:val="nil"/>
            </w:tcBorders>
            <w:shd w:val="clear" w:color="auto" w:fill="E7E6E6"/>
          </w:tcPr>
          <w:p w:rsidR="00C232A3" w:rsidRPr="009F4B04" w:rsidRDefault="00C232A3" w:rsidP="00C232A3">
            <w:pPr>
              <w:pStyle w:val="ARfintablebodyright"/>
              <w:rPr>
                <w:rStyle w:val="Strong"/>
              </w:rPr>
            </w:pPr>
            <w:r w:rsidRPr="009F4B04">
              <w:rPr>
                <w:rStyle w:val="Strong"/>
              </w:rPr>
              <w:t>–</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(0.1)</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1.3</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1.2</w:t>
            </w:r>
          </w:p>
        </w:tc>
        <w:tc>
          <w:tcPr>
            <w:tcW w:w="907" w:type="dxa"/>
            <w:tcBorders>
              <w:top w:val="single" w:sz="4" w:space="0" w:color="A6A6A6" w:themeColor="background1" w:themeShade="A6"/>
            </w:tcBorders>
          </w:tcPr>
          <w:p w:rsidR="00C232A3" w:rsidRPr="009D1685" w:rsidRDefault="00C232A3" w:rsidP="00C232A3">
            <w:pPr>
              <w:pStyle w:val="ARfintablebodyright"/>
              <w:rPr>
                <w:sz w:val="15"/>
                <w:szCs w:val="15"/>
                <w:lang w:eastAsia="en-AU"/>
              </w:rPr>
            </w:pPr>
            <w:r w:rsidRPr="009D1685">
              <w:rPr>
                <w:sz w:val="15"/>
                <w:szCs w:val="15"/>
                <w:lang w:eastAsia="en-AU"/>
              </w:rPr>
              <w:t>–</w:t>
            </w:r>
          </w:p>
        </w:tc>
        <w:tc>
          <w:tcPr>
            <w:tcW w:w="907" w:type="dxa"/>
            <w:tcBorders>
              <w:top w:val="single" w:sz="4" w:space="0" w:color="A6A6A6" w:themeColor="background1" w:themeShade="A6"/>
            </w:tcBorders>
          </w:tcPr>
          <w:p w:rsidR="00C232A3" w:rsidRPr="009F4B04" w:rsidRDefault="00C232A3" w:rsidP="00C232A3">
            <w:pPr>
              <w:pStyle w:val="ARfintablebodyright"/>
              <w:rPr>
                <w:rStyle w:val="Strong"/>
              </w:rPr>
            </w:pPr>
            <w:r w:rsidRPr="009F4B04">
              <w:rPr>
                <w:rStyle w:val="Strong"/>
              </w:rPr>
              <w:t>–</w:t>
            </w:r>
          </w:p>
        </w:tc>
      </w:tr>
      <w:tr w:rsidR="00C232A3" w:rsidRPr="00AB62BD" w:rsidTr="00EB4DAE">
        <w:trPr>
          <w:cantSplit/>
        </w:trPr>
        <w:tc>
          <w:tcPr>
            <w:tcW w:w="3572" w:type="dxa"/>
          </w:tcPr>
          <w:p w:rsidR="00C232A3" w:rsidRPr="009D1685" w:rsidRDefault="00C232A3" w:rsidP="00C232A3">
            <w:pPr>
              <w:pStyle w:val="ARfintablebody"/>
              <w:rPr>
                <w:bCs/>
                <w:lang w:eastAsia="en-AU"/>
              </w:rPr>
            </w:pPr>
            <w:r w:rsidRPr="009D1685">
              <w:rPr>
                <w:rStyle w:val="Strong"/>
                <w:sz w:val="15"/>
                <w:szCs w:val="15"/>
              </w:rPr>
              <w:t>Total administered trusts</w:t>
            </w:r>
          </w:p>
        </w:tc>
        <w:tc>
          <w:tcPr>
            <w:tcW w:w="907" w:type="dxa"/>
            <w:tcBorders>
              <w:right w:val="nil"/>
            </w:tcBorders>
            <w:shd w:val="clear" w:color="auto" w:fill="E7E6E6"/>
          </w:tcPr>
          <w:p w:rsidR="00C232A3" w:rsidRPr="009D1685" w:rsidRDefault="00C232A3" w:rsidP="00C232A3">
            <w:pPr>
              <w:pStyle w:val="ARfintablebodyright"/>
              <w:rPr>
                <w:lang w:eastAsia="en-AU"/>
              </w:rPr>
            </w:pPr>
            <w:r w:rsidRPr="009D1685">
              <w:rPr>
                <w:rStyle w:val="Strong"/>
                <w:sz w:val="15"/>
                <w:szCs w:val="15"/>
              </w:rPr>
              <w:t>1.7</w:t>
            </w:r>
          </w:p>
        </w:tc>
        <w:tc>
          <w:tcPr>
            <w:tcW w:w="907" w:type="dxa"/>
            <w:tcBorders>
              <w:left w:val="nil"/>
              <w:right w:val="nil"/>
            </w:tcBorders>
            <w:shd w:val="clear" w:color="auto" w:fill="E7E6E6"/>
          </w:tcPr>
          <w:p w:rsidR="00C232A3" w:rsidRPr="009F4B04" w:rsidRDefault="00C232A3" w:rsidP="00C232A3">
            <w:pPr>
              <w:pStyle w:val="ARfintablebodyright"/>
              <w:rPr>
                <w:rStyle w:val="Strong"/>
              </w:rPr>
            </w:pPr>
            <w:r w:rsidRPr="009F4B04">
              <w:rPr>
                <w:rStyle w:val="Strong"/>
              </w:rPr>
              <w:t>–</w:t>
            </w:r>
          </w:p>
        </w:tc>
        <w:tc>
          <w:tcPr>
            <w:tcW w:w="907" w:type="dxa"/>
            <w:tcBorders>
              <w:left w:val="nil"/>
              <w:right w:val="nil"/>
            </w:tcBorders>
            <w:shd w:val="clear" w:color="auto" w:fill="E7E6E6"/>
          </w:tcPr>
          <w:p w:rsidR="00C232A3" w:rsidRPr="009D1685" w:rsidRDefault="00C232A3" w:rsidP="00C232A3">
            <w:pPr>
              <w:pStyle w:val="ARfintablebodyright"/>
              <w:rPr>
                <w:lang w:eastAsia="en-AU"/>
              </w:rPr>
            </w:pPr>
            <w:r w:rsidRPr="009D1685">
              <w:rPr>
                <w:rStyle w:val="Strong"/>
                <w:sz w:val="15"/>
                <w:szCs w:val="15"/>
              </w:rPr>
              <w:t>9,186.8</w:t>
            </w:r>
          </w:p>
        </w:tc>
        <w:tc>
          <w:tcPr>
            <w:tcW w:w="907" w:type="dxa"/>
            <w:tcBorders>
              <w:left w:val="nil"/>
              <w:right w:val="nil"/>
            </w:tcBorders>
            <w:shd w:val="clear" w:color="auto" w:fill="E7E6E6"/>
          </w:tcPr>
          <w:p w:rsidR="00C232A3" w:rsidRPr="009D1685" w:rsidRDefault="00C232A3" w:rsidP="00C232A3">
            <w:pPr>
              <w:pStyle w:val="ARfintablebodyright"/>
              <w:rPr>
                <w:lang w:eastAsia="en-AU"/>
              </w:rPr>
            </w:pPr>
            <w:r w:rsidRPr="009D1685">
              <w:rPr>
                <w:rStyle w:val="Strong"/>
                <w:sz w:val="15"/>
                <w:szCs w:val="15"/>
              </w:rPr>
              <w:t>9,186.4</w:t>
            </w:r>
          </w:p>
        </w:tc>
        <w:tc>
          <w:tcPr>
            <w:tcW w:w="907" w:type="dxa"/>
            <w:tcBorders>
              <w:left w:val="nil"/>
              <w:right w:val="nil"/>
            </w:tcBorders>
            <w:shd w:val="clear" w:color="auto" w:fill="E7E6E6"/>
          </w:tcPr>
          <w:p w:rsidR="00C232A3" w:rsidRPr="009F4B04" w:rsidRDefault="00C232A3" w:rsidP="00C232A3">
            <w:pPr>
              <w:pStyle w:val="ARfintablebodyright"/>
              <w:rPr>
                <w:rStyle w:val="Strong"/>
              </w:rPr>
            </w:pPr>
            <w:r w:rsidRPr="009F4B04">
              <w:rPr>
                <w:rStyle w:val="Strong"/>
              </w:rPr>
              <w:t>–</w:t>
            </w:r>
          </w:p>
        </w:tc>
        <w:tc>
          <w:tcPr>
            <w:tcW w:w="907" w:type="dxa"/>
            <w:tcBorders>
              <w:left w:val="nil"/>
            </w:tcBorders>
            <w:shd w:val="clear" w:color="auto" w:fill="E7E6E6"/>
          </w:tcPr>
          <w:p w:rsidR="00C232A3" w:rsidRPr="009D1685" w:rsidRDefault="00C232A3" w:rsidP="00C232A3">
            <w:pPr>
              <w:pStyle w:val="ARfintablebodyright"/>
              <w:rPr>
                <w:lang w:eastAsia="en-AU"/>
              </w:rPr>
            </w:pPr>
            <w:r w:rsidRPr="009D1685">
              <w:rPr>
                <w:rStyle w:val="Strong"/>
                <w:sz w:val="15"/>
                <w:szCs w:val="15"/>
              </w:rPr>
              <w:t>2.1</w:t>
            </w:r>
          </w:p>
        </w:tc>
        <w:tc>
          <w:tcPr>
            <w:tcW w:w="907" w:type="dxa"/>
          </w:tcPr>
          <w:p w:rsidR="00C232A3" w:rsidRPr="009D1685" w:rsidRDefault="00C232A3" w:rsidP="00C232A3">
            <w:pPr>
              <w:pStyle w:val="ARfintablebodyright"/>
              <w:rPr>
                <w:lang w:eastAsia="en-AU"/>
              </w:rPr>
            </w:pPr>
            <w:r w:rsidRPr="009D1685">
              <w:rPr>
                <w:rStyle w:val="Strong"/>
                <w:sz w:val="15"/>
                <w:szCs w:val="15"/>
              </w:rPr>
              <w:t>1.5</w:t>
            </w:r>
          </w:p>
        </w:tc>
        <w:tc>
          <w:tcPr>
            <w:tcW w:w="907" w:type="dxa"/>
          </w:tcPr>
          <w:p w:rsidR="00C232A3" w:rsidRPr="009D1685" w:rsidRDefault="00C232A3" w:rsidP="00C232A3">
            <w:pPr>
              <w:pStyle w:val="ARfintablebodyright"/>
              <w:rPr>
                <w:lang w:eastAsia="en-AU"/>
              </w:rPr>
            </w:pPr>
            <w:r w:rsidRPr="009D1685">
              <w:rPr>
                <w:rStyle w:val="Strong"/>
                <w:sz w:val="15"/>
                <w:szCs w:val="15"/>
              </w:rPr>
              <w:t>–</w:t>
            </w:r>
          </w:p>
        </w:tc>
        <w:tc>
          <w:tcPr>
            <w:tcW w:w="907" w:type="dxa"/>
          </w:tcPr>
          <w:p w:rsidR="00C232A3" w:rsidRPr="009D1685" w:rsidRDefault="00C232A3" w:rsidP="00C232A3">
            <w:pPr>
              <w:pStyle w:val="ARfintablebodyright"/>
              <w:rPr>
                <w:lang w:eastAsia="en-AU"/>
              </w:rPr>
            </w:pPr>
            <w:r w:rsidRPr="009D1685">
              <w:rPr>
                <w:rStyle w:val="Strong"/>
                <w:sz w:val="15"/>
                <w:szCs w:val="15"/>
              </w:rPr>
              <w:t>8,319.2</w:t>
            </w:r>
          </w:p>
        </w:tc>
        <w:tc>
          <w:tcPr>
            <w:tcW w:w="907" w:type="dxa"/>
          </w:tcPr>
          <w:p w:rsidR="00C232A3" w:rsidRPr="009D1685" w:rsidRDefault="00C232A3" w:rsidP="00C232A3">
            <w:pPr>
              <w:pStyle w:val="ARfintablebodyright"/>
              <w:rPr>
                <w:lang w:eastAsia="en-AU"/>
              </w:rPr>
            </w:pPr>
            <w:r w:rsidRPr="009D1685">
              <w:rPr>
                <w:rStyle w:val="Strong"/>
                <w:sz w:val="15"/>
                <w:szCs w:val="15"/>
              </w:rPr>
              <w:t>8,356.8</w:t>
            </w:r>
          </w:p>
        </w:tc>
        <w:tc>
          <w:tcPr>
            <w:tcW w:w="907" w:type="dxa"/>
          </w:tcPr>
          <w:p w:rsidR="00C232A3" w:rsidRPr="009D1685" w:rsidRDefault="00C232A3" w:rsidP="00C232A3">
            <w:pPr>
              <w:pStyle w:val="ARfintablebodyright"/>
              <w:rPr>
                <w:lang w:eastAsia="en-AU"/>
              </w:rPr>
            </w:pPr>
            <w:r w:rsidRPr="009D1685">
              <w:rPr>
                <w:rStyle w:val="Strong"/>
                <w:sz w:val="15"/>
                <w:szCs w:val="15"/>
              </w:rPr>
              <w:t>38.0</w:t>
            </w:r>
          </w:p>
        </w:tc>
        <w:tc>
          <w:tcPr>
            <w:tcW w:w="907" w:type="dxa"/>
          </w:tcPr>
          <w:p w:rsidR="00C232A3" w:rsidRPr="009D1685" w:rsidRDefault="00C232A3" w:rsidP="00C232A3">
            <w:pPr>
              <w:pStyle w:val="ARfintablebodyright"/>
              <w:rPr>
                <w:rStyle w:val="Strong"/>
                <w:bCs w:val="0"/>
                <w:sz w:val="15"/>
                <w:szCs w:val="15"/>
              </w:rPr>
            </w:pPr>
            <w:r w:rsidRPr="009D1685">
              <w:rPr>
                <w:rStyle w:val="Strong"/>
                <w:sz w:val="15"/>
                <w:szCs w:val="15"/>
              </w:rPr>
              <w:t>1.7</w:t>
            </w:r>
          </w:p>
        </w:tc>
      </w:tr>
    </w:tbl>
    <w:p w:rsidR="00C232A3" w:rsidRPr="00AB62BD" w:rsidRDefault="00C232A3" w:rsidP="00C232A3">
      <w:pPr>
        <w:pStyle w:val="ARfinbody"/>
        <w:rPr>
          <w:lang w:eastAsia="en-AU"/>
        </w:rPr>
      </w:pPr>
    </w:p>
    <w:p w:rsidR="00C232A3" w:rsidRDefault="00C232A3" w:rsidP="00C232A3">
      <w:pPr>
        <w:pStyle w:val="ARfinbody"/>
        <w:rPr>
          <w:lang w:eastAsia="en-AU"/>
        </w:rPr>
        <w:sectPr w:rsidR="00C232A3" w:rsidSect="00C232A3">
          <w:headerReference w:type="even" r:id="rId154"/>
          <w:headerReference w:type="default" r:id="rId155"/>
          <w:endnotePr>
            <w:numFmt w:val="decimal"/>
          </w:endnotePr>
          <w:pgSz w:w="16840" w:h="11900" w:orient="landscape" w:code="9"/>
          <w:pgMar w:top="1418" w:right="1531" w:bottom="851" w:left="851" w:header="794" w:footer="340" w:gutter="0"/>
          <w:cols w:space="454"/>
          <w:docGrid w:linePitch="272"/>
        </w:sectPr>
      </w:pPr>
    </w:p>
    <w:p w:rsidR="00C232A3" w:rsidRPr="00043778" w:rsidRDefault="00C232A3" w:rsidP="00C232A3">
      <w:pPr>
        <w:pStyle w:val="Heading4continued"/>
        <w:spacing w:after="120"/>
      </w:pPr>
      <w:r>
        <w:lastRenderedPageBreak/>
        <w:t>7.4 Trust account balances</w:t>
      </w:r>
    </w:p>
    <w:p w:rsidR="00C232A3" w:rsidRPr="00D11896" w:rsidRDefault="00C232A3" w:rsidP="00C232A3">
      <w:pPr>
        <w:pStyle w:val="Heading5"/>
        <w:spacing w:before="120"/>
        <w:rPr>
          <w:rStyle w:val="Strong"/>
        </w:rPr>
      </w:pPr>
      <w:r w:rsidRPr="00D11896">
        <w:rPr>
          <w:rStyle w:val="Strong"/>
        </w:rPr>
        <w:t>Third party funds under management</w:t>
      </w:r>
    </w:p>
    <w:p w:rsidR="00C232A3" w:rsidRPr="00AB62BD" w:rsidRDefault="00C232A3" w:rsidP="00C232A3">
      <w:pPr>
        <w:pStyle w:val="ARfinbody"/>
        <w:rPr>
          <w:lang w:eastAsia="en-AU"/>
        </w:rPr>
      </w:pPr>
      <w:r w:rsidRPr="00AB62BD">
        <w:rPr>
          <w:lang w:eastAsia="en-AU"/>
        </w:rPr>
        <w:t>Third party funds under management are funds held in trust for certain clients. They are not used for government purposes and therefore not included in the department’s financial statements.</w:t>
      </w:r>
    </w:p>
    <w:p w:rsidR="00C232A3" w:rsidRPr="00AB62BD" w:rsidRDefault="00C232A3" w:rsidP="00C232A3">
      <w:pPr>
        <w:pStyle w:val="ARfinbody"/>
        <w:rPr>
          <w:lang w:eastAsia="en-AU"/>
        </w:rPr>
      </w:pPr>
      <w:r w:rsidRPr="00AB62BD">
        <w:rPr>
          <w:lang w:eastAsia="en-AU"/>
        </w:rPr>
        <w:t xml:space="preserve">In February 2009, the Minister for Finance approved the establishment of the 2009 Victorian Bushfire Appeal Trust Account in the Public Account, as part of the Trust Fund, pursuant to section 19(1) of the </w:t>
      </w:r>
      <w:r w:rsidRPr="00043778">
        <w:rPr>
          <w:rStyle w:val="Emphasis"/>
        </w:rPr>
        <w:t>Financial Management Act 1994</w:t>
      </w:r>
      <w:r w:rsidRPr="00AB62BD">
        <w:rPr>
          <w:lang w:eastAsia="en-AU"/>
        </w:rPr>
        <w:t>.</w:t>
      </w:r>
    </w:p>
    <w:p w:rsidR="00C232A3" w:rsidRPr="00AB62BD" w:rsidRDefault="00C232A3" w:rsidP="00C232A3">
      <w:pPr>
        <w:pStyle w:val="ARfinbody"/>
        <w:rPr>
          <w:lang w:eastAsia="en-AU"/>
        </w:rPr>
      </w:pPr>
      <w:r w:rsidRPr="00AB62BD">
        <w:rPr>
          <w:lang w:eastAsia="en-AU"/>
        </w:rPr>
        <w:t>The purpose of the trust account is the receipt of donations and other contributions, and their disbursement for assistance to individuals and communities in towns, suburbs and rural areas affected by the 2009 Victorian bushfires. Contributions include funds provided by the Victorian, Commonwealth and other jurisdictions, as well as the general public, for the above purpose.</w:t>
      </w:r>
    </w:p>
    <w:p w:rsidR="00C232A3" w:rsidRPr="00AB62BD" w:rsidRDefault="00C232A3" w:rsidP="00C232A3">
      <w:pPr>
        <w:pStyle w:val="ARfinbody"/>
        <w:rPr>
          <w:lang w:eastAsia="en-AU"/>
        </w:rPr>
      </w:pPr>
      <w:r w:rsidRPr="00AB62BD">
        <w:rPr>
          <w:lang w:eastAsia="en-AU"/>
        </w:rPr>
        <w:t xml:space="preserve">Pursuant to section 21 of the </w:t>
      </w:r>
      <w:r w:rsidRPr="00043778">
        <w:rPr>
          <w:rStyle w:val="Emphasis"/>
        </w:rPr>
        <w:t>Financial Management Act 1994</w:t>
      </w:r>
      <w:r w:rsidRPr="00AB62BD">
        <w:rPr>
          <w:lang w:eastAsia="en-AU"/>
        </w:rPr>
        <w:t xml:space="preserve">, monies from the 2009 Victorian Bushfire Appeal Trust Account have been invested as allowed under the </w:t>
      </w:r>
      <w:r w:rsidRPr="00043778">
        <w:rPr>
          <w:rStyle w:val="Emphasis"/>
        </w:rPr>
        <w:t>Trustee Act 1958</w:t>
      </w:r>
      <w:r w:rsidRPr="00AB62BD">
        <w:rPr>
          <w:lang w:eastAsia="en-AU"/>
        </w:rPr>
        <w:t>. Interest earned is credited to the trust account.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383010" w:rsidRDefault="00C232A3" w:rsidP="00C232A3">
            <w:pPr>
              <w:pStyle w:val="ARfintablecolheadright"/>
            </w:pPr>
          </w:p>
        </w:tc>
        <w:tc>
          <w:tcPr>
            <w:tcW w:w="1134" w:type="dxa"/>
            <w:tcBorders>
              <w:bottom w:val="single" w:sz="4" w:space="0" w:color="auto"/>
            </w:tcBorders>
            <w:shd w:val="clear" w:color="auto" w:fill="E7E6E6"/>
            <w:vAlign w:val="bottom"/>
          </w:tcPr>
          <w:p w:rsidR="00C232A3" w:rsidRPr="00383010" w:rsidRDefault="00C232A3" w:rsidP="00C232A3">
            <w:pPr>
              <w:pStyle w:val="ARfintablecolheadright"/>
            </w:pPr>
            <w:r w:rsidRPr="00383010">
              <w:t>2017</w:t>
            </w:r>
          </w:p>
          <w:p w:rsidR="00C232A3" w:rsidRPr="00383010" w:rsidRDefault="00C232A3" w:rsidP="00C232A3">
            <w:pPr>
              <w:pStyle w:val="ARfintablecolheadright"/>
            </w:pPr>
            <w:r w:rsidRPr="00383010">
              <w:t>$M</w:t>
            </w:r>
          </w:p>
        </w:tc>
        <w:tc>
          <w:tcPr>
            <w:tcW w:w="1134" w:type="dxa"/>
            <w:tcBorders>
              <w:bottom w:val="single" w:sz="4" w:space="0" w:color="auto"/>
            </w:tcBorders>
            <w:vAlign w:val="bottom"/>
          </w:tcPr>
          <w:p w:rsidR="00C232A3" w:rsidRPr="00383010" w:rsidRDefault="00C232A3" w:rsidP="00C232A3">
            <w:pPr>
              <w:pStyle w:val="ARfintablecolheadright"/>
            </w:pPr>
            <w:r w:rsidRPr="00383010">
              <w:t>2016</w:t>
            </w:r>
          </w:p>
          <w:p w:rsidR="00C232A3" w:rsidRPr="00383010" w:rsidRDefault="00C232A3" w:rsidP="00C232A3">
            <w:pPr>
              <w:pStyle w:val="ARfintablecolheadright"/>
            </w:pPr>
            <w:r w:rsidRPr="00383010">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2009 Victorian Bushfire Appeal Trust account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at bank</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Receivable</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funds under management</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3.0</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3.1</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Balance of funds brought forward 1 July 2016</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3.1</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6.0</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Interest earned</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 xml:space="preserve">Total funds available </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3.2</w:t>
            </w:r>
          </w:p>
        </w:tc>
        <w:tc>
          <w:tcPr>
            <w:tcW w:w="1134" w:type="dxa"/>
          </w:tcPr>
          <w:p w:rsidR="00C232A3" w:rsidRPr="00AB62BD" w:rsidRDefault="00C232A3" w:rsidP="00C232A3">
            <w:pPr>
              <w:pStyle w:val="ARfintablebodyright"/>
              <w:rPr>
                <w:b/>
                <w:bCs/>
                <w:lang w:eastAsia="en-AU"/>
              </w:rPr>
            </w:pPr>
            <w:r w:rsidRPr="00AB62BD">
              <w:rPr>
                <w:rStyle w:val="Strong"/>
              </w:rPr>
              <w:t>6.1</w:t>
            </w:r>
          </w:p>
        </w:tc>
      </w:tr>
      <w:tr w:rsidR="00C232A3" w:rsidRPr="00AB62BD" w:rsidTr="00C232A3">
        <w:trPr>
          <w:cantSplit/>
        </w:trPr>
        <w:tc>
          <w:tcPr>
            <w:tcW w:w="7371" w:type="dxa"/>
          </w:tcPr>
          <w:p w:rsidR="00C232A3" w:rsidRPr="00AB62BD" w:rsidRDefault="00C232A3" w:rsidP="00C232A3">
            <w:pPr>
              <w:pStyle w:val="ARfintablebody"/>
              <w:rPr>
                <w:lang w:eastAsia="en-AU"/>
              </w:rPr>
            </w:pPr>
            <w:r w:rsidRPr="00AB62BD">
              <w:rPr>
                <w:lang w:eastAsia="en-AU"/>
              </w:rPr>
              <w:t>Payments to individuals and communities</w:t>
            </w:r>
          </w:p>
        </w:tc>
        <w:tc>
          <w:tcPr>
            <w:tcW w:w="1134" w:type="dxa"/>
            <w:shd w:val="clear" w:color="auto" w:fill="E7E6E6"/>
          </w:tcPr>
          <w:p w:rsidR="00C232A3" w:rsidRPr="00AB62BD" w:rsidRDefault="00C232A3" w:rsidP="00C232A3">
            <w:pPr>
              <w:pStyle w:val="ARfintablebodyright"/>
              <w:rPr>
                <w:lang w:eastAsia="en-AU"/>
              </w:rPr>
            </w:pPr>
            <w:r w:rsidRPr="00AB62BD">
              <w:rPr>
                <w:lang w:eastAsia="en-AU"/>
              </w:rPr>
              <w:t>0.2</w:t>
            </w:r>
          </w:p>
        </w:tc>
        <w:tc>
          <w:tcPr>
            <w:tcW w:w="1134" w:type="dxa"/>
          </w:tcPr>
          <w:p w:rsidR="00C232A3" w:rsidRPr="00AB62BD" w:rsidRDefault="00C232A3" w:rsidP="00C232A3">
            <w:pPr>
              <w:pStyle w:val="ARfintablebodyright"/>
              <w:rPr>
                <w:lang w:eastAsia="en-AU"/>
              </w:rPr>
            </w:pPr>
            <w:r w:rsidRPr="00AB62BD">
              <w:rPr>
                <w:lang w:eastAsia="en-AU"/>
              </w:rPr>
              <w:t>2.9</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payments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0.2</w:t>
            </w:r>
          </w:p>
        </w:tc>
        <w:tc>
          <w:tcPr>
            <w:tcW w:w="1134" w:type="dxa"/>
          </w:tcPr>
          <w:p w:rsidR="00C232A3" w:rsidRPr="00AB62BD" w:rsidRDefault="00C232A3" w:rsidP="00C232A3">
            <w:pPr>
              <w:pStyle w:val="ARfintablebodyright"/>
              <w:rPr>
                <w:b/>
                <w:bCs/>
                <w:lang w:eastAsia="en-AU"/>
              </w:rPr>
            </w:pPr>
            <w:r w:rsidRPr="00AB62BD">
              <w:rPr>
                <w:rStyle w:val="Strong"/>
              </w:rPr>
              <w:t>2.9</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Balance carried forward</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3.0</w:t>
            </w:r>
          </w:p>
        </w:tc>
        <w:tc>
          <w:tcPr>
            <w:tcW w:w="1134" w:type="dxa"/>
          </w:tcPr>
          <w:p w:rsidR="00C232A3" w:rsidRPr="00AB62BD" w:rsidRDefault="00C232A3" w:rsidP="00C232A3">
            <w:pPr>
              <w:pStyle w:val="ARfintablebodyright"/>
              <w:rPr>
                <w:rStyle w:val="Strong"/>
                <w:bCs w:val="0"/>
              </w:rPr>
            </w:pPr>
            <w:r w:rsidRPr="00AB62BD">
              <w:rPr>
                <w:rStyle w:val="Strong"/>
              </w:rPr>
              <w:t>3.1</w:t>
            </w:r>
          </w:p>
        </w:tc>
      </w:tr>
    </w:tbl>
    <w:p w:rsidR="00C232A3" w:rsidRPr="00EC6DA7" w:rsidRDefault="00C232A3" w:rsidP="00C232A3">
      <w:pPr>
        <w:pStyle w:val="Heading4"/>
        <w:spacing w:before="120"/>
      </w:pPr>
      <w:r w:rsidRPr="00EC6DA7">
        <w:t>7.5 Commitments for expenditure</w:t>
      </w:r>
    </w:p>
    <w:p w:rsidR="00C232A3" w:rsidRPr="00AB62BD" w:rsidRDefault="00C232A3" w:rsidP="00C232A3">
      <w:pPr>
        <w:pStyle w:val="ARfinbody"/>
        <w:rPr>
          <w:lang w:eastAsia="en-AU"/>
        </w:rPr>
      </w:pPr>
      <w:r w:rsidRPr="00AB62BD">
        <w:rPr>
          <w:lang w:eastAsia="en-AU"/>
        </w:rPr>
        <w:t xml:space="preserve">Commitments for future expenditure include operating and capital commitments arising from contracts. These commitments are recorded below at their nominal value and inclusive of GST. These future expenditures cease to be disclosed as commitments once </w:t>
      </w:r>
      <w:r w:rsidR="00E410F3">
        <w:rPr>
          <w:lang w:eastAsia="en-AU"/>
        </w:rPr>
        <w:br/>
      </w:r>
      <w:r w:rsidRPr="00AB62BD">
        <w:rPr>
          <w:lang w:eastAsia="en-AU"/>
        </w:rPr>
        <w:t>the related liabilities are recognised in the balance sheet.</w:t>
      </w:r>
    </w:p>
    <w:p w:rsidR="00C232A3" w:rsidRPr="00AB62BD" w:rsidRDefault="00C232A3" w:rsidP="00C232A3">
      <w:pPr>
        <w:pStyle w:val="Heading5"/>
        <w:spacing w:before="120"/>
        <w:rPr>
          <w:rStyle w:val="Strong"/>
          <w:rFonts w:cs="Arial"/>
          <w:bCs w:val="0"/>
          <w:sz w:val="16"/>
          <w:szCs w:val="16"/>
        </w:rPr>
      </w:pPr>
      <w:r w:rsidRPr="00D11896">
        <w:rPr>
          <w:rStyle w:val="Strong"/>
        </w:rPr>
        <w:t xml:space="preserve">7.5.1 Total commitments payable </w:t>
      </w:r>
      <w:r w:rsidRPr="00D11896">
        <w:rPr>
          <w:rStyle w:val="Superscriptbold"/>
        </w:rPr>
        <w:t>(</w:t>
      </w:r>
      <w:proofErr w:type="spellStart"/>
      <w:r w:rsidRPr="00D11896">
        <w:rPr>
          <w:rStyle w:val="Superscriptbold"/>
        </w:rPr>
        <w:t>i</w:t>
      </w:r>
      <w:proofErr w:type="spellEnd"/>
      <w:r w:rsidRPr="00D11896">
        <w:rPr>
          <w:rStyle w:val="Superscriptbold"/>
        </w:rPr>
        <w: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383010" w:rsidRDefault="00C232A3" w:rsidP="00C232A3">
            <w:pPr>
              <w:pStyle w:val="ARfintablecolhead"/>
            </w:pPr>
            <w:r w:rsidRPr="00383010">
              <w:t>Nominal amounts</w:t>
            </w:r>
          </w:p>
        </w:tc>
        <w:tc>
          <w:tcPr>
            <w:tcW w:w="1134" w:type="dxa"/>
            <w:tcBorders>
              <w:bottom w:val="single" w:sz="4" w:space="0" w:color="auto"/>
            </w:tcBorders>
            <w:shd w:val="clear" w:color="auto" w:fill="E7E6E6"/>
            <w:vAlign w:val="bottom"/>
          </w:tcPr>
          <w:p w:rsidR="00C232A3" w:rsidRPr="001E70E1" w:rsidRDefault="00C232A3" w:rsidP="00C232A3">
            <w:pPr>
              <w:pStyle w:val="ARfintablecolheadright"/>
            </w:pPr>
            <w:r w:rsidRPr="001E70E1">
              <w:t>2017</w:t>
            </w:r>
          </w:p>
          <w:p w:rsidR="00C232A3" w:rsidRPr="001E70E1" w:rsidRDefault="00C232A3" w:rsidP="00C232A3">
            <w:pPr>
              <w:pStyle w:val="ARfintablecolheadright"/>
            </w:pPr>
            <w:r w:rsidRPr="001E70E1">
              <w:t>$M</w:t>
            </w:r>
          </w:p>
        </w:tc>
        <w:tc>
          <w:tcPr>
            <w:tcW w:w="1134" w:type="dxa"/>
            <w:tcBorders>
              <w:bottom w:val="single" w:sz="4" w:space="0" w:color="auto"/>
            </w:tcBorders>
            <w:vAlign w:val="bottom"/>
          </w:tcPr>
          <w:p w:rsidR="00C232A3" w:rsidRPr="001E70E1" w:rsidRDefault="00C232A3" w:rsidP="00C232A3">
            <w:pPr>
              <w:pStyle w:val="ARfintablecolheadright"/>
            </w:pPr>
            <w:r w:rsidRPr="001E70E1">
              <w:t>2016</w:t>
            </w:r>
          </w:p>
          <w:p w:rsidR="00C232A3" w:rsidRPr="001E70E1" w:rsidRDefault="00C232A3" w:rsidP="00C232A3">
            <w:pPr>
              <w:pStyle w:val="ARfintablecolheadright"/>
            </w:pPr>
            <w:r w:rsidRPr="001E70E1">
              <w:t>$M</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lang w:eastAsia="en-AU"/>
              </w:rPr>
              <w:t>The following commitments have not been recognised as liabilities in the financial statements.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(a) Capital expenditure commitments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139.2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70.2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8.0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26.5</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capital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r>
              <w:rPr>
                <w:rStyle w:val="Strong"/>
              </w:rPr>
              <w:t>147.2</w:t>
            </w:r>
          </w:p>
        </w:tc>
        <w:tc>
          <w:tcPr>
            <w:tcW w:w="1134" w:type="dxa"/>
            <w:tcBorders>
              <w:bottom w:val="single" w:sz="4" w:space="0" w:color="auto"/>
            </w:tcBorders>
          </w:tcPr>
          <w:p w:rsidR="00C232A3" w:rsidRPr="00AB62BD" w:rsidRDefault="00C232A3" w:rsidP="00C232A3">
            <w:pPr>
              <w:pStyle w:val="ARfintablebodyright"/>
              <w:rPr>
                <w:lang w:eastAsia="en-AU"/>
              </w:rPr>
            </w:pPr>
            <w:r w:rsidRPr="00AB62BD">
              <w:rPr>
                <w:rStyle w:val="Strong"/>
              </w:rPr>
              <w:t>96.7</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(b) Operating lease commitments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55.9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59.0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166.6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177.4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189.6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246.8</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operating lease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lang w:eastAsia="en-AU"/>
              </w:rPr>
            </w:pPr>
            <w:r>
              <w:rPr>
                <w:rStyle w:val="Strong"/>
              </w:rPr>
              <w:t>412.1</w:t>
            </w:r>
          </w:p>
        </w:tc>
        <w:tc>
          <w:tcPr>
            <w:tcW w:w="1134" w:type="dxa"/>
            <w:tcBorders>
              <w:bottom w:val="single" w:sz="4" w:space="0" w:color="auto"/>
            </w:tcBorders>
          </w:tcPr>
          <w:p w:rsidR="00C232A3" w:rsidRPr="00AB62BD" w:rsidRDefault="00C232A3" w:rsidP="00C232A3">
            <w:pPr>
              <w:pStyle w:val="ARfintablebodyright"/>
              <w:rPr>
                <w:lang w:eastAsia="en-AU"/>
              </w:rPr>
            </w:pPr>
            <w:r w:rsidRPr="00AB62BD">
              <w:rPr>
                <w:rStyle w:val="Strong"/>
              </w:rPr>
              <w:t>483.2</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
                <w:bCs/>
                <w:vertAlign w:val="superscript"/>
                <w:lang w:eastAsia="en-AU"/>
              </w:rPr>
            </w:pPr>
            <w:r w:rsidRPr="00AB62BD">
              <w:rPr>
                <w:rStyle w:val="Strong"/>
              </w:rPr>
              <w:t xml:space="preserve">(c) Public Private Partnerships (PPPs) commitments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w:t>
            </w:r>
            <w:proofErr w:type="spellStart"/>
            <w:r w:rsidRPr="00AB62BD">
              <w:rPr>
                <w:rStyle w:val="Strong"/>
              </w:rPr>
              <w:t>i</w:t>
            </w:r>
            <w:proofErr w:type="spellEnd"/>
            <w:r w:rsidRPr="00AB62BD">
              <w:rPr>
                <w:rStyle w:val="Strong"/>
              </w:rPr>
              <w:t>) Royal Women’s Hospital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45.8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199.6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194.1</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627.0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681.6</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Royal Women’s Hospital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872.4</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923.9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(ii) Casey Hospital</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73.0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73.6</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157.9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175.0</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Casey Hospital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247.7</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263.2</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(iii) Royal Children’s Hospital</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137.7</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630.5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601.4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2,839.6</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3,020.5</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Royal Children’s Hospital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3,610.4</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3,759.6</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F869DB">
            <w:pPr>
              <w:pStyle w:val="ARfintablebody"/>
              <w:keepNext/>
              <w:rPr>
                <w:rStyle w:val="Strong"/>
                <w:bCs w:val="0"/>
              </w:rPr>
            </w:pPr>
            <w:r w:rsidRPr="00AB62BD">
              <w:rPr>
                <w:rStyle w:val="Strong"/>
              </w:rPr>
              <w:lastRenderedPageBreak/>
              <w:t>(iv) Victorian Comprehensive Cancer Centre</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167.9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137.8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662.2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671.7</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2,194.9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2,274.4</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Victorian Comprehensive Cancer Centre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3,025.0</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3,083.9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(v) Bendigo Hospital</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62.3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653.0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253.4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287.1</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1,744.8</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2,021.3</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Total Bendigo Hospital commitments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2,060.5</w:t>
            </w:r>
          </w:p>
        </w:tc>
        <w:tc>
          <w:tcPr>
            <w:tcW w:w="1134" w:type="dxa"/>
          </w:tcPr>
          <w:p w:rsidR="00C232A3" w:rsidRPr="00AB62BD" w:rsidRDefault="00C232A3" w:rsidP="00C232A3">
            <w:pPr>
              <w:pStyle w:val="ARfintablebodyright"/>
              <w:rPr>
                <w:b/>
                <w:bCs/>
                <w:lang w:eastAsia="en-AU"/>
              </w:rPr>
            </w:pPr>
            <w:r w:rsidRPr="00AB62BD">
              <w:rPr>
                <w:rStyle w:val="Strong"/>
              </w:rPr>
              <w:t>2,961.4</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PPP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9,816.0</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10,992.0</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(d) Other expenditure commitments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343.4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353.0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307.0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186.2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Longer than 5 years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42.1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
                <w:bCs/>
                <w:lang w:eastAsia="en-AU"/>
              </w:rPr>
            </w:pPr>
            <w:r w:rsidRPr="00AB62BD">
              <w:rPr>
                <w:rStyle w:val="Strong"/>
              </w:rPr>
              <w:t>Total other expenditure commitments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Pr>
                <w:rStyle w:val="Strong"/>
              </w:rPr>
              <w:t>692.5</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539.2</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
                <w:bCs/>
                <w:lang w:eastAsia="en-AU"/>
              </w:rPr>
            </w:pPr>
            <w:r w:rsidRPr="00AB62BD">
              <w:rPr>
                <w:rStyle w:val="Strong"/>
              </w:rPr>
              <w:t xml:space="preserve">Total commitments for expenditure (inclusive of GST)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b/>
                <w:bCs/>
                <w:lang w:eastAsia="en-AU"/>
              </w:rPr>
            </w:pPr>
            <w:r>
              <w:rPr>
                <w:rStyle w:val="Strong"/>
              </w:rPr>
              <w:t>11,067.8</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b/>
                <w:bCs/>
                <w:lang w:eastAsia="en-AU"/>
              </w:rPr>
            </w:pPr>
            <w:r w:rsidRPr="00AB62BD">
              <w:rPr>
                <w:rStyle w:val="Strong"/>
              </w:rPr>
              <w:t>12,111.1</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Less GST recoverable from the ATO</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992.1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1,066.0</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Total commitments for expenditure (exclusive of GST)</w:t>
            </w:r>
          </w:p>
        </w:tc>
        <w:tc>
          <w:tcPr>
            <w:tcW w:w="1134" w:type="dxa"/>
            <w:shd w:val="clear" w:color="auto" w:fill="E7E6E6"/>
          </w:tcPr>
          <w:p w:rsidR="00C232A3" w:rsidRPr="00AB62BD" w:rsidRDefault="00C232A3" w:rsidP="00C232A3">
            <w:pPr>
              <w:pStyle w:val="ARfintablebodyright"/>
              <w:rPr>
                <w:b/>
                <w:bCs/>
                <w:lang w:eastAsia="en-AU"/>
              </w:rPr>
            </w:pPr>
            <w:r>
              <w:rPr>
                <w:rStyle w:val="Strong"/>
              </w:rPr>
              <w:t>10,075.7</w:t>
            </w:r>
          </w:p>
        </w:tc>
        <w:tc>
          <w:tcPr>
            <w:tcW w:w="1134" w:type="dxa"/>
          </w:tcPr>
          <w:p w:rsidR="00C232A3" w:rsidRPr="00AB62BD" w:rsidRDefault="00C232A3" w:rsidP="00C232A3">
            <w:pPr>
              <w:pStyle w:val="ARfintablebodyright"/>
              <w:rPr>
                <w:rStyle w:val="Strong"/>
                <w:bCs w:val="0"/>
              </w:rPr>
            </w:pPr>
            <w:r w:rsidRPr="00AB62BD">
              <w:rPr>
                <w:rStyle w:val="Strong"/>
              </w:rPr>
              <w:t>11,045.1</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For future finance lease and non-cancellable operating lease payments that are recognised on the balance sheet, refer to Note 7.2 Leases.</w:t>
      </w:r>
    </w:p>
    <w:p w:rsidR="00C232A3" w:rsidRPr="00CD1D00" w:rsidRDefault="00F869DB" w:rsidP="00F869DB">
      <w:pPr>
        <w:pStyle w:val="Heading6"/>
      </w:pPr>
      <w:r>
        <w:t>PPP commitments</w:t>
      </w:r>
    </w:p>
    <w:p w:rsidR="00C232A3" w:rsidRDefault="00C232A3" w:rsidP="00C232A3">
      <w:pPr>
        <w:pStyle w:val="ARfinbody"/>
      </w:pPr>
      <w:r w:rsidRPr="00CD1D00">
        <w:t xml:space="preserve">The Minister for Health has entered into 5 long-term contracts with various private sector consortiums for the design, construction, maintenance and financing of hospital infrastructure assets for Royal Women’s Hospital, Casey Hospital, Royal Children’s Hospital, </w:t>
      </w:r>
      <w:r w:rsidR="00E410F3">
        <w:br/>
      </w:r>
      <w:r w:rsidRPr="00CD1D00">
        <w:t>the Victorian Comprehensive Cancer Centre and Bendigo Hospital. These arrangements are referred to as public private partnerships (PPP) or service concessions arrangements</w:t>
      </w:r>
      <w:r>
        <w:t>.</w:t>
      </w:r>
    </w:p>
    <w:p w:rsidR="00C232A3" w:rsidRDefault="00C232A3" w:rsidP="00C232A3">
      <w:pPr>
        <w:pStyle w:val="ARfinbody"/>
      </w:pPr>
      <w:r>
        <w:t>The respective health a</w:t>
      </w:r>
      <w:r w:rsidRPr="00CD1D00">
        <w:t>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 financial report</w:t>
      </w:r>
      <w:r>
        <w:t>.</w:t>
      </w:r>
    </w:p>
    <w:p w:rsidR="00C232A3" w:rsidRDefault="00C232A3" w:rsidP="00C232A3">
      <w:pPr>
        <w:pStyle w:val="ARfinbody"/>
      </w:pPr>
      <w:r w:rsidRPr="00CD1D00">
        <w:t xml:space="preserve">In the table </w:t>
      </w:r>
      <w:r>
        <w:t>above</w:t>
      </w:r>
      <w:r w:rsidRPr="00CD1D00">
        <w:t>, the department has disclosed the total nominal amounts due to the private sector consortiums, as the department has agreed to fund these amounts on behalf of the relevant health sector agencies to satisfy the terms of the PPP arrangements. These amounts include the principal, interest, maintenance and ancillary services payments required over the remaining terms of the contracts. These payments will be funded via appropriation revenue and will be recognised as a grant expense to the health agency</w:t>
      </w:r>
      <w:r>
        <w:t>.</w:t>
      </w:r>
    </w:p>
    <w:p w:rsidR="00C232A3" w:rsidRPr="00D11896" w:rsidRDefault="00C232A3" w:rsidP="00C232A3">
      <w:pPr>
        <w:pStyle w:val="Heading5"/>
        <w:rPr>
          <w:rStyle w:val="Strong"/>
        </w:rPr>
      </w:pPr>
      <w:r w:rsidRPr="00D11896">
        <w:rPr>
          <w:rStyle w:val="Strong"/>
        </w:rPr>
        <w:t>7.5.2 Commitments other than PPPs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220D44" w:rsidRDefault="00C232A3" w:rsidP="00C232A3">
            <w:pPr>
              <w:pStyle w:val="ARfintablecolheadright"/>
            </w:pPr>
          </w:p>
        </w:tc>
        <w:tc>
          <w:tcPr>
            <w:tcW w:w="1134" w:type="dxa"/>
            <w:tcBorders>
              <w:bottom w:val="single" w:sz="4" w:space="0" w:color="auto"/>
            </w:tcBorders>
            <w:shd w:val="clear" w:color="auto" w:fill="E7E6E6"/>
            <w:vAlign w:val="bottom"/>
          </w:tcPr>
          <w:p w:rsidR="00C232A3" w:rsidRPr="00220D44" w:rsidRDefault="00C232A3" w:rsidP="00C232A3">
            <w:pPr>
              <w:pStyle w:val="ARfintablecolheadright"/>
            </w:pPr>
            <w:r w:rsidRPr="00220D44">
              <w:t>2017</w:t>
            </w:r>
          </w:p>
          <w:p w:rsidR="00C232A3" w:rsidRPr="00220D44" w:rsidRDefault="00C232A3" w:rsidP="00C232A3">
            <w:pPr>
              <w:pStyle w:val="ARfintablecolheadright"/>
            </w:pPr>
            <w:r w:rsidRPr="00220D44">
              <w:t>$M</w:t>
            </w:r>
          </w:p>
        </w:tc>
        <w:tc>
          <w:tcPr>
            <w:tcW w:w="1134" w:type="dxa"/>
            <w:tcBorders>
              <w:bottom w:val="single" w:sz="4" w:space="0" w:color="auto"/>
            </w:tcBorders>
            <w:vAlign w:val="bottom"/>
          </w:tcPr>
          <w:p w:rsidR="00C232A3" w:rsidRPr="00220D44" w:rsidRDefault="00C232A3" w:rsidP="00C232A3">
            <w:pPr>
              <w:pStyle w:val="ARfintablecolheadright"/>
            </w:pPr>
            <w:r w:rsidRPr="00220D44">
              <w:t>2016</w:t>
            </w:r>
          </w:p>
          <w:p w:rsidR="00C232A3" w:rsidRPr="00220D44" w:rsidRDefault="00C232A3" w:rsidP="00C232A3">
            <w:pPr>
              <w:pStyle w:val="ARfintablecolheadright"/>
            </w:pPr>
            <w:r w:rsidRPr="00220D44">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Capital expenditure commitments: Property, plant and equipment and intangibles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147.2</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96.6</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Operating lease commitments: Properties and equipment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412.1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483.2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Other expenditure commitments: Provision of services</w:t>
            </w:r>
            <w:r w:rsidRPr="00AB62BD">
              <w:rPr>
                <w:vertAlign w:val="superscript"/>
                <w:lang w:eastAsia="en-AU"/>
              </w:rPr>
              <w:t xml:space="preserve"> (</w:t>
            </w:r>
            <w:proofErr w:type="spellStart"/>
            <w:r w:rsidRPr="00AB62BD">
              <w:rPr>
                <w:vertAlign w:val="superscript"/>
                <w:lang w:eastAsia="en-AU"/>
              </w:rPr>
              <w:t>i</w:t>
            </w:r>
            <w:proofErr w:type="spellEnd"/>
            <w:r w:rsidRPr="00AB62BD">
              <w:rPr>
                <w:vertAlign w:val="superscript"/>
                <w:lang w:eastAsia="en-AU"/>
              </w:rPr>
              <w:t>)</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692.5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539.2</w:t>
            </w:r>
          </w:p>
        </w:tc>
      </w:tr>
      <w:tr w:rsidR="00C232A3" w:rsidRPr="00AB62BD" w:rsidTr="00C232A3">
        <w:trPr>
          <w:cantSplit/>
        </w:trPr>
        <w:tc>
          <w:tcPr>
            <w:tcW w:w="7371" w:type="dxa"/>
          </w:tcPr>
          <w:p w:rsidR="00C232A3" w:rsidRPr="00AB62BD" w:rsidRDefault="00C232A3" w:rsidP="00C232A3">
            <w:pPr>
              <w:pStyle w:val="ARfintablebody"/>
              <w:rPr>
                <w:b/>
                <w:bCs/>
                <w:lang w:eastAsia="en-AU"/>
              </w:rPr>
            </w:pPr>
            <w:r w:rsidRPr="00AB62BD">
              <w:rPr>
                <w:rStyle w:val="Strong"/>
              </w:rPr>
              <w:t xml:space="preserve">Total commitments other than PPPs (inclusive of GST) </w:t>
            </w:r>
          </w:p>
        </w:tc>
        <w:tc>
          <w:tcPr>
            <w:tcW w:w="1134" w:type="dxa"/>
            <w:shd w:val="clear" w:color="auto" w:fill="E7E6E6"/>
          </w:tcPr>
          <w:p w:rsidR="00C232A3" w:rsidRPr="00AB62BD" w:rsidRDefault="00C232A3" w:rsidP="00C232A3">
            <w:pPr>
              <w:pStyle w:val="ARfintablebodyright"/>
              <w:rPr>
                <w:b/>
                <w:bCs/>
                <w:lang w:eastAsia="en-AU"/>
              </w:rPr>
            </w:pPr>
            <w:r>
              <w:rPr>
                <w:rStyle w:val="Strong"/>
              </w:rPr>
              <w:t>1,251.8</w:t>
            </w:r>
          </w:p>
        </w:tc>
        <w:tc>
          <w:tcPr>
            <w:tcW w:w="1134" w:type="dxa"/>
          </w:tcPr>
          <w:p w:rsidR="00C232A3" w:rsidRPr="00AB62BD" w:rsidRDefault="00C232A3" w:rsidP="00C232A3">
            <w:pPr>
              <w:pStyle w:val="ARfintablebodyright"/>
              <w:rPr>
                <w:rStyle w:val="Strong"/>
                <w:bCs w:val="0"/>
              </w:rPr>
            </w:pPr>
            <w:r w:rsidRPr="00AB62BD">
              <w:rPr>
                <w:rStyle w:val="Strong"/>
              </w:rPr>
              <w:t>1,119.0</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On 27 August 2013, the Minister for Health signed a Services Agreement Restructure Deed and other relevant documents in accordance with Part 3A of the Health Services Act 1988 with the owners of Mildura Base Hospital, the Motor Trades Association of Australia Superannuation Fund (MTAA), and the other parties to the transaction. In accordance with the restructure agreement, the MTAA agreed to surrender the 99 year lease of the site, transfer the building, plant and equipment on site to the State, and forego the service delivery franchise. In exchange the Government made a restructure fee payment to the MTAA and agreed to accept liability for the outstanding bond payments relating to a previous financing arrangement for the hospital. The formal transfer of the site occurring on 30 August 2013. Mildura Hospital continues to be operated by Ramsay Health Care Group until 15 September 2020. However, there is provision for a further two years extension if both the Minister and Ramsay Health Care Group agree.</w:t>
      </w:r>
    </w:p>
    <w:p w:rsidR="00C232A3" w:rsidRPr="00CD6714" w:rsidRDefault="00C232A3" w:rsidP="00C232A3">
      <w:pPr>
        <w:pStyle w:val="ARbody"/>
      </w:pPr>
      <w:r w:rsidRPr="00CD6714">
        <w:br w:type="page"/>
      </w:r>
    </w:p>
    <w:p w:rsidR="00C232A3" w:rsidRPr="00A15588" w:rsidRDefault="00C232A3" w:rsidP="00C232A3">
      <w:pPr>
        <w:pStyle w:val="Heading3"/>
      </w:pPr>
      <w:bookmarkStart w:id="100" w:name="_Toc493069497"/>
      <w:r w:rsidRPr="00A15588">
        <w:lastRenderedPageBreak/>
        <w:t>8. Risks, contingencies and valuation judgements</w:t>
      </w:r>
      <w:bookmarkEnd w:id="100"/>
    </w:p>
    <w:p w:rsidR="00C232A3" w:rsidRPr="00A15588" w:rsidRDefault="00C232A3" w:rsidP="00C232A3">
      <w:pPr>
        <w:pStyle w:val="Heading4"/>
      </w:pPr>
      <w:r w:rsidRPr="00A15588">
        <w:t>Introduction</w:t>
      </w:r>
    </w:p>
    <w:p w:rsidR="00C232A3" w:rsidRPr="00AB62BD" w:rsidRDefault="00C232A3" w:rsidP="00C232A3">
      <w:pPr>
        <w:pStyle w:val="ARfinbody"/>
        <w:rPr>
          <w:lang w:eastAsia="en-AU"/>
        </w:rPr>
      </w:pPr>
      <w:r w:rsidRPr="00AB62BD">
        <w:rPr>
          <w:lang w:eastAsia="en-AU"/>
        </w:rPr>
        <w:t>The Department of Health and Human Services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rsidR="00C232A3" w:rsidRPr="004A002C" w:rsidRDefault="00C232A3" w:rsidP="00C232A3">
      <w:pPr>
        <w:pStyle w:val="Heading4"/>
      </w:pPr>
      <w:r w:rsidRPr="004A002C">
        <w:t>Structure</w:t>
      </w:r>
    </w:p>
    <w:p w:rsidR="00C232A3" w:rsidRPr="00AB62BD" w:rsidRDefault="00C232A3" w:rsidP="00C232A3">
      <w:pPr>
        <w:pStyle w:val="ARfinstructure1"/>
      </w:pPr>
      <w:r>
        <w:t>8.1</w:t>
      </w:r>
      <w:r>
        <w:tab/>
      </w:r>
      <w:r w:rsidRPr="00AB62BD">
        <w:t>Financial instruments specific disclosures</w:t>
      </w:r>
    </w:p>
    <w:p w:rsidR="00C232A3" w:rsidRPr="00AB62BD" w:rsidRDefault="00C232A3" w:rsidP="00C232A3">
      <w:pPr>
        <w:pStyle w:val="ARfinstructure1"/>
      </w:pPr>
      <w:r>
        <w:t>8.2</w:t>
      </w:r>
      <w:r>
        <w:tab/>
      </w:r>
      <w:r w:rsidRPr="00AB62BD">
        <w:t>Contingent assets and contingent liabilities</w:t>
      </w:r>
    </w:p>
    <w:p w:rsidR="00C232A3" w:rsidRPr="00AB62BD" w:rsidRDefault="00C232A3" w:rsidP="00C232A3">
      <w:pPr>
        <w:pStyle w:val="ARfinstructure1"/>
      </w:pPr>
      <w:r>
        <w:t>8.3</w:t>
      </w:r>
      <w:r>
        <w:tab/>
      </w:r>
      <w:r w:rsidRPr="00AB62BD">
        <w:t>Fair value determination</w:t>
      </w:r>
    </w:p>
    <w:p w:rsidR="00C232A3" w:rsidRPr="004A002C" w:rsidRDefault="00C232A3" w:rsidP="00C232A3">
      <w:pPr>
        <w:pStyle w:val="Heading4"/>
      </w:pPr>
      <w:bookmarkStart w:id="101" w:name="_Ref492909439"/>
      <w:r w:rsidRPr="004A002C">
        <w:t>8.1 Financial instruments specific disclosures</w:t>
      </w:r>
      <w:bookmarkEnd w:id="101"/>
    </w:p>
    <w:p w:rsidR="00C232A3" w:rsidRPr="00D11896" w:rsidRDefault="00C232A3" w:rsidP="00C232A3">
      <w:pPr>
        <w:pStyle w:val="Heading5"/>
        <w:rPr>
          <w:rStyle w:val="Strong"/>
        </w:rPr>
      </w:pPr>
      <w:r w:rsidRPr="00D11896">
        <w:rPr>
          <w:rStyle w:val="Strong"/>
        </w:rPr>
        <w:t>Introduction</w:t>
      </w:r>
    </w:p>
    <w:p w:rsidR="00C232A3" w:rsidRPr="00AB62BD" w:rsidRDefault="00C232A3" w:rsidP="00C232A3">
      <w:pPr>
        <w:pStyle w:val="ARfinbody"/>
        <w:rPr>
          <w:lang w:eastAsia="en-AU"/>
        </w:rPr>
      </w:pPr>
      <w:r w:rsidRPr="00AB62BD">
        <w:rPr>
          <w:lang w:eastAsia="en-AU"/>
        </w:rP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w:t>
      </w:r>
      <w:r w:rsidRPr="00DF2690">
        <w:rPr>
          <w:rStyle w:val="Emphasis"/>
        </w:rPr>
        <w:t>AASB 132 Financial Instruments: Presentation</w:t>
      </w:r>
      <w:r w:rsidRPr="00AB62BD">
        <w:rPr>
          <w:lang w:eastAsia="en-AU"/>
        </w:rPr>
        <w:t>.</w:t>
      </w:r>
    </w:p>
    <w:p w:rsidR="00C232A3" w:rsidRPr="00AB62BD" w:rsidRDefault="00C232A3" w:rsidP="00C232A3">
      <w:pPr>
        <w:pStyle w:val="ARfinbody"/>
        <w:rPr>
          <w:lang w:eastAsia="en-AU"/>
        </w:rPr>
      </w:pPr>
      <w:r w:rsidRPr="00AB62BD">
        <w:rPr>
          <w:lang w:eastAsia="en-AU"/>
        </w:rPr>
        <w:t>Guarantees issued on behalf of the department are financial instruments because, although authorised under statute, terms and conditions for each financial guarantee may vary and are subject to an agreement.</w:t>
      </w:r>
    </w:p>
    <w:p w:rsidR="00C232A3" w:rsidRPr="00D11896" w:rsidRDefault="00C232A3" w:rsidP="00C232A3">
      <w:pPr>
        <w:pStyle w:val="Heading5"/>
        <w:rPr>
          <w:rStyle w:val="Strong"/>
        </w:rPr>
      </w:pPr>
      <w:r w:rsidRPr="00D11896">
        <w:rPr>
          <w:rStyle w:val="Strong"/>
        </w:rPr>
        <w:t>Categories of financial instruments</w:t>
      </w:r>
    </w:p>
    <w:p w:rsidR="00C232A3" w:rsidRPr="00AB62BD" w:rsidRDefault="00C232A3" w:rsidP="00C232A3">
      <w:pPr>
        <w:pStyle w:val="ARfinbody"/>
        <w:rPr>
          <w:lang w:eastAsia="en-AU"/>
        </w:rPr>
      </w:pPr>
      <w:r w:rsidRPr="00DF2690">
        <w:rPr>
          <w:rStyle w:val="Strong"/>
        </w:rPr>
        <w:t>Loans and receivables</w:t>
      </w:r>
      <w:r w:rsidRPr="00AB62BD">
        <w:rPr>
          <w:lang w:eastAsia="en-AU"/>
        </w:rPr>
        <w:t xml:space="preserve">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 The department recognises the following assets in this category:</w:t>
      </w:r>
    </w:p>
    <w:p w:rsidR="00C232A3" w:rsidRPr="00AB62BD" w:rsidRDefault="00C232A3" w:rsidP="00C232A3">
      <w:pPr>
        <w:pStyle w:val="ARfinbullet1"/>
        <w:rPr>
          <w:lang w:eastAsia="en-AU"/>
        </w:rPr>
      </w:pPr>
      <w:r w:rsidRPr="00AB62BD">
        <w:rPr>
          <w:lang w:eastAsia="en-AU"/>
        </w:rPr>
        <w:t>cash and deposits;</w:t>
      </w:r>
    </w:p>
    <w:p w:rsidR="00C232A3" w:rsidRPr="00AB62BD" w:rsidRDefault="00C232A3" w:rsidP="00C232A3">
      <w:pPr>
        <w:pStyle w:val="ARfinbullet1"/>
        <w:rPr>
          <w:lang w:eastAsia="en-AU"/>
        </w:rPr>
      </w:pPr>
      <w:r w:rsidRPr="00AB62BD">
        <w:rPr>
          <w:lang w:eastAsia="en-AU"/>
        </w:rPr>
        <w:t>receivables (excluding statutory receivables);</w:t>
      </w:r>
    </w:p>
    <w:p w:rsidR="00C232A3" w:rsidRPr="00AB62BD" w:rsidRDefault="00C232A3" w:rsidP="00C232A3">
      <w:pPr>
        <w:pStyle w:val="ARfinbullet1"/>
        <w:rPr>
          <w:lang w:eastAsia="en-AU"/>
        </w:rPr>
      </w:pPr>
      <w:r w:rsidRPr="00AB62BD">
        <w:rPr>
          <w:lang w:eastAsia="en-AU"/>
        </w:rPr>
        <w:t>term deposits; and</w:t>
      </w:r>
    </w:p>
    <w:p w:rsidR="00C232A3" w:rsidRPr="00AB62BD" w:rsidRDefault="00C232A3" w:rsidP="00C232A3">
      <w:pPr>
        <w:pStyle w:val="ARfinbullet1"/>
        <w:rPr>
          <w:lang w:eastAsia="en-AU"/>
        </w:rPr>
      </w:pPr>
      <w:r w:rsidRPr="00AB62BD">
        <w:rPr>
          <w:lang w:eastAsia="en-AU"/>
        </w:rPr>
        <w:t>loan receivables.</w:t>
      </w:r>
    </w:p>
    <w:p w:rsidR="00C232A3" w:rsidRPr="00AB62BD" w:rsidRDefault="00C232A3" w:rsidP="00C232A3">
      <w:pPr>
        <w:pStyle w:val="ARfinbody"/>
        <w:rPr>
          <w:lang w:eastAsia="en-AU"/>
        </w:rPr>
      </w:pPr>
      <w:r w:rsidRPr="004A002C">
        <w:rPr>
          <w:rStyle w:val="Strong"/>
        </w:rPr>
        <w:t>Financial liabilities at amortised cost</w:t>
      </w:r>
      <w:r w:rsidRPr="00AB62BD">
        <w:rPr>
          <w:lang w:eastAsia="en-AU"/>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The department recognises the following liabilities in this category:</w:t>
      </w:r>
    </w:p>
    <w:p w:rsidR="00C232A3" w:rsidRPr="00AB62BD" w:rsidRDefault="00C232A3" w:rsidP="00C232A3">
      <w:pPr>
        <w:pStyle w:val="ARfinbullet1"/>
        <w:rPr>
          <w:lang w:eastAsia="en-AU"/>
        </w:rPr>
      </w:pPr>
      <w:r w:rsidRPr="00AB62BD">
        <w:rPr>
          <w:lang w:eastAsia="en-AU"/>
        </w:rPr>
        <w:t>payables (excluding statutory payables); and</w:t>
      </w:r>
    </w:p>
    <w:p w:rsidR="00C232A3" w:rsidRPr="00AB62BD" w:rsidRDefault="00C232A3" w:rsidP="00C232A3">
      <w:pPr>
        <w:pStyle w:val="ARfinbullet1"/>
        <w:rPr>
          <w:lang w:eastAsia="en-AU"/>
        </w:rPr>
      </w:pPr>
      <w:r w:rsidRPr="00AB62BD">
        <w:rPr>
          <w:lang w:eastAsia="en-AU"/>
        </w:rPr>
        <w:t>borrowings (including finance lease liabilities).</w:t>
      </w:r>
    </w:p>
    <w:p w:rsidR="00C232A3" w:rsidRPr="00AB62BD" w:rsidRDefault="00C232A3" w:rsidP="00C232A3">
      <w:pPr>
        <w:pStyle w:val="ARfinbody"/>
        <w:rPr>
          <w:lang w:eastAsia="en-AU"/>
        </w:rPr>
      </w:pPr>
      <w:r w:rsidRPr="004A002C">
        <w:rPr>
          <w:rStyle w:val="Strong"/>
        </w:rPr>
        <w:t>Offsetting financial instruments:</w:t>
      </w:r>
      <w:r w:rsidRPr="00AB62BD">
        <w:rPr>
          <w:rStyle w:val="Strong"/>
        </w:rPr>
        <w:t xml:space="preserve"> </w:t>
      </w:r>
      <w:r w:rsidRPr="00AB62BD">
        <w:rPr>
          <w:lang w:eastAsia="en-AU"/>
        </w:rPr>
        <w:t>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rsidR="00C232A3" w:rsidRPr="00AB62BD" w:rsidRDefault="00C232A3" w:rsidP="00C232A3">
      <w:pPr>
        <w:pStyle w:val="ARfinbody"/>
        <w:rPr>
          <w:lang w:eastAsia="en-AU"/>
        </w:rPr>
      </w:pPr>
      <w:r w:rsidRPr="00AB62BD">
        <w:rPr>
          <w:lang w:eastAsia="en-AU"/>
        </w:rP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rsidR="00C232A3" w:rsidRPr="00AB62BD" w:rsidRDefault="00C232A3" w:rsidP="00C232A3">
      <w:pPr>
        <w:pStyle w:val="ARfinbody"/>
        <w:rPr>
          <w:lang w:eastAsia="en-AU"/>
        </w:rPr>
      </w:pPr>
      <w:proofErr w:type="spellStart"/>
      <w:r w:rsidRPr="004A002C">
        <w:rPr>
          <w:rStyle w:val="Strong"/>
        </w:rPr>
        <w:t>Derecognition</w:t>
      </w:r>
      <w:proofErr w:type="spellEnd"/>
      <w:r w:rsidRPr="004A002C">
        <w:rPr>
          <w:rStyle w:val="Strong"/>
        </w:rPr>
        <w:t xml:space="preserve"> of financial assets:</w:t>
      </w:r>
      <w:r w:rsidRPr="00AB62BD">
        <w:rPr>
          <w:rStyle w:val="Strong"/>
        </w:rPr>
        <w:t xml:space="preserve"> </w:t>
      </w:r>
      <w:r w:rsidRPr="00AB62BD">
        <w:rPr>
          <w:lang w:eastAsia="en-AU"/>
        </w:rPr>
        <w:t>A financial asset (or, where applicable, a part of a financial asset or part of a group of similar financial assets) is derecognised when:</w:t>
      </w:r>
    </w:p>
    <w:p w:rsidR="00C232A3" w:rsidRPr="00AB62BD" w:rsidRDefault="00C232A3" w:rsidP="00C232A3">
      <w:pPr>
        <w:pStyle w:val="ARfinbullet1"/>
        <w:rPr>
          <w:lang w:eastAsia="en-AU"/>
        </w:rPr>
      </w:pPr>
      <w:r w:rsidRPr="00AB62BD">
        <w:rPr>
          <w:lang w:eastAsia="en-AU"/>
        </w:rPr>
        <w:t>the rights to receive cash flows from the asset have expired; or</w:t>
      </w:r>
    </w:p>
    <w:p w:rsidR="00C232A3" w:rsidRPr="00AB62BD" w:rsidRDefault="00C232A3" w:rsidP="00C232A3">
      <w:pPr>
        <w:pStyle w:val="ARfinbullet1"/>
        <w:rPr>
          <w:lang w:eastAsia="en-AU"/>
        </w:rPr>
      </w:pPr>
      <w:r w:rsidRPr="00AB62BD">
        <w:rPr>
          <w:lang w:eastAsia="en-AU"/>
        </w:rPr>
        <w:t>the department retains the right to receive cash flows from the asset, but has assumed an obligation to pay them in full without material delay to a third party under a ‘pass through’ arrangement; or</w:t>
      </w:r>
    </w:p>
    <w:p w:rsidR="00C232A3" w:rsidRPr="00AB62BD" w:rsidRDefault="00C232A3" w:rsidP="00C232A3">
      <w:pPr>
        <w:pStyle w:val="ARfinbullet1"/>
        <w:rPr>
          <w:lang w:eastAsia="en-AU"/>
        </w:rPr>
      </w:pPr>
      <w:r w:rsidRPr="00AB62BD">
        <w:rPr>
          <w:lang w:eastAsia="en-AU"/>
        </w:rPr>
        <w:t>the department has transferred its rights to receive cash flows from the asset and either:</w:t>
      </w:r>
    </w:p>
    <w:p w:rsidR="00C232A3" w:rsidRPr="00AB62BD" w:rsidRDefault="00C232A3" w:rsidP="00C232A3">
      <w:pPr>
        <w:pStyle w:val="ARfinnumberalpha2"/>
        <w:rPr>
          <w:lang w:eastAsia="en-AU"/>
        </w:rPr>
      </w:pPr>
      <w:r w:rsidRPr="00AB62BD">
        <w:rPr>
          <w:lang w:eastAsia="en-AU"/>
        </w:rPr>
        <w:t>has transferred substantially all the risks and rewards of the asset; or</w:t>
      </w:r>
    </w:p>
    <w:p w:rsidR="00C232A3" w:rsidRPr="00AB62BD" w:rsidRDefault="00C232A3" w:rsidP="00C232A3">
      <w:pPr>
        <w:pStyle w:val="ARfinnumberalpha2"/>
        <w:rPr>
          <w:lang w:eastAsia="en-AU"/>
        </w:rPr>
      </w:pPr>
      <w:r w:rsidRPr="00AB62BD">
        <w:rPr>
          <w:lang w:eastAsia="en-AU"/>
        </w:rPr>
        <w:t>has neither transferred nor retained substantially all the risks and rewards of the asset, but has transferred control of the asset.</w:t>
      </w:r>
    </w:p>
    <w:p w:rsidR="00C232A3" w:rsidRPr="00AB62BD" w:rsidRDefault="00C232A3" w:rsidP="00C232A3">
      <w:pPr>
        <w:pStyle w:val="ARfinbody"/>
        <w:rPr>
          <w:lang w:eastAsia="en-AU"/>
        </w:rPr>
      </w:pPr>
      <w:r w:rsidRPr="00AB62BD">
        <w:rPr>
          <w:lang w:eastAsia="en-AU"/>
        </w:rPr>
        <w:t>Where the department has neither transferred nor retained substantially all the risks and rewards or transferred control, the asset is recognised to the extent of the department’s continuing involvement in the asset.</w:t>
      </w:r>
    </w:p>
    <w:p w:rsidR="00C232A3" w:rsidRPr="00AB62BD" w:rsidRDefault="00C232A3" w:rsidP="00C232A3">
      <w:pPr>
        <w:pStyle w:val="ARfinbody"/>
        <w:rPr>
          <w:lang w:eastAsia="en-AU"/>
        </w:rPr>
      </w:pPr>
      <w:r w:rsidRPr="004A002C">
        <w:rPr>
          <w:rStyle w:val="Strong"/>
        </w:rPr>
        <w:t>Impairment of financial assets:</w:t>
      </w:r>
      <w:r w:rsidRPr="00AB62BD">
        <w:rPr>
          <w:rStyle w:val="Strong"/>
        </w:rPr>
        <w:t xml:space="preserve"> </w:t>
      </w:r>
      <w:r w:rsidRPr="00AB62BD">
        <w:rPr>
          <w:lang w:eastAsia="en-AU"/>
        </w:rPr>
        <w:t>At the end of each reporting period, the department assesses whether there is objective evidence that a financial asset or group of financial assets are impaired. All financial instrument assets, except those measured at fair value through profit or loss, are subject to annual review for impairment.</w:t>
      </w:r>
    </w:p>
    <w:p w:rsidR="00C232A3" w:rsidRPr="00AB62BD" w:rsidRDefault="00C232A3" w:rsidP="00C232A3">
      <w:pPr>
        <w:pStyle w:val="ARfinbody"/>
        <w:rPr>
          <w:lang w:eastAsia="en-AU"/>
        </w:rPr>
      </w:pPr>
      <w:r w:rsidRPr="00AB62BD">
        <w:rPr>
          <w:lang w:eastAsia="en-AU"/>
        </w:rPr>
        <w:t xml:space="preserve">The allowance is the difference between the financial asset’s carrying amount and the present value of the estimated future cash flows, discounted at the effective interest rate. In assessing impairment of statutory (non-contractual) financial assets, which are not financial instruments, professional judgement is applied in assessing materiality using estimates, averages and other computational methods in accordance with </w:t>
      </w:r>
      <w:r w:rsidRPr="004A002C">
        <w:rPr>
          <w:rStyle w:val="Emphasis"/>
        </w:rPr>
        <w:t>AASB 136 Impairment of Assets</w:t>
      </w:r>
      <w:r w:rsidRPr="00AB62BD">
        <w:rPr>
          <w:lang w:eastAsia="en-AU"/>
        </w:rPr>
        <w:t>.</w:t>
      </w:r>
    </w:p>
    <w:p w:rsidR="00C232A3" w:rsidRPr="00AB62BD" w:rsidRDefault="00C232A3" w:rsidP="00C232A3">
      <w:pPr>
        <w:pStyle w:val="ARfinbody"/>
        <w:rPr>
          <w:lang w:eastAsia="en-AU"/>
        </w:rPr>
      </w:pPr>
      <w:proofErr w:type="spellStart"/>
      <w:r w:rsidRPr="004A002C">
        <w:rPr>
          <w:rStyle w:val="Strong"/>
        </w:rPr>
        <w:t>Derecognition</w:t>
      </w:r>
      <w:proofErr w:type="spellEnd"/>
      <w:r w:rsidRPr="004A002C">
        <w:rPr>
          <w:rStyle w:val="Strong"/>
        </w:rPr>
        <w:t xml:space="preserve"> of financial liabilities:</w:t>
      </w:r>
      <w:r w:rsidRPr="00AB62BD">
        <w:rPr>
          <w:lang w:eastAsia="en-AU"/>
        </w:rPr>
        <w:t xml:space="preserve"> A financial liability is derecognised when the obligation under the liability is discharged, cancelled or expires.</w:t>
      </w:r>
    </w:p>
    <w:p w:rsidR="00C232A3" w:rsidRPr="00AB62BD" w:rsidRDefault="00C232A3" w:rsidP="00C232A3">
      <w:pPr>
        <w:pStyle w:val="ARfinbody"/>
        <w:rPr>
          <w:lang w:eastAsia="en-AU"/>
        </w:rPr>
      </w:pPr>
      <w:r w:rsidRPr="00AB62BD">
        <w:rPr>
          <w:lang w:eastAsia="en-AU"/>
        </w:rPr>
        <w:lastRenderedPageBreak/>
        <w:t xml:space="preserve">When an existing financial liability is replaced by another from the same lender on substantially different terms, or the terms of an existing liability are substantially modified, such an exchange or modification is treated as a </w:t>
      </w:r>
      <w:proofErr w:type="spellStart"/>
      <w:r w:rsidRPr="00AB62BD">
        <w:rPr>
          <w:lang w:eastAsia="en-AU"/>
        </w:rPr>
        <w:t>derecognition</w:t>
      </w:r>
      <w:proofErr w:type="spellEnd"/>
      <w:r w:rsidRPr="00AB62BD">
        <w:rPr>
          <w:lang w:eastAsia="en-AU"/>
        </w:rPr>
        <w:t xml:space="preserve"> of the original liability and the recognition of a new liability. The difference in the respective carrying amounts is recognised as an ‘other economic flow’ in the comprehensive operating statement.</w:t>
      </w:r>
    </w:p>
    <w:p w:rsidR="00C232A3" w:rsidRPr="00D11896" w:rsidRDefault="00C232A3" w:rsidP="00C232A3">
      <w:pPr>
        <w:pStyle w:val="Heading5"/>
        <w:rPr>
          <w:rStyle w:val="Strong"/>
        </w:rPr>
      </w:pPr>
      <w:r w:rsidRPr="00D11896">
        <w:rPr>
          <w:rStyle w:val="Strong"/>
        </w:rPr>
        <w:t>8.1.1 Financial instruments: Categorisation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6"/>
        <w:gridCol w:w="1701"/>
        <w:gridCol w:w="1701"/>
        <w:gridCol w:w="1701"/>
      </w:tblGrid>
      <w:tr w:rsidR="00C232A3" w:rsidRPr="00AB62BD" w:rsidTr="00C232A3">
        <w:trPr>
          <w:cantSplit/>
          <w:tblHeader/>
        </w:trPr>
        <w:tc>
          <w:tcPr>
            <w:tcW w:w="4536" w:type="dxa"/>
            <w:vAlign w:val="bottom"/>
          </w:tcPr>
          <w:p w:rsidR="00C232A3" w:rsidRPr="00AB62BD" w:rsidRDefault="00C232A3" w:rsidP="00C232A3">
            <w:pPr>
              <w:pStyle w:val="ARfintablecolhead"/>
            </w:pPr>
          </w:p>
        </w:tc>
        <w:tc>
          <w:tcPr>
            <w:tcW w:w="1701" w:type="dxa"/>
            <w:vAlign w:val="bottom"/>
          </w:tcPr>
          <w:p w:rsidR="00C232A3" w:rsidRPr="00264575" w:rsidRDefault="00C232A3" w:rsidP="00C232A3">
            <w:pPr>
              <w:pStyle w:val="ARfintablecolheadright"/>
            </w:pPr>
            <w:r w:rsidRPr="00264575">
              <w:t>Contractual financial assets – loans and receivables</w:t>
            </w:r>
          </w:p>
          <w:p w:rsidR="00C232A3" w:rsidRPr="00264575" w:rsidRDefault="00C232A3" w:rsidP="00C232A3">
            <w:pPr>
              <w:pStyle w:val="ARfintablecolheadright"/>
            </w:pPr>
            <w:r w:rsidRPr="00264575">
              <w:t>$M</w:t>
            </w:r>
          </w:p>
        </w:tc>
        <w:tc>
          <w:tcPr>
            <w:tcW w:w="1701" w:type="dxa"/>
            <w:vAlign w:val="bottom"/>
          </w:tcPr>
          <w:p w:rsidR="00C232A3" w:rsidRPr="00264575" w:rsidRDefault="00C232A3" w:rsidP="00C232A3">
            <w:pPr>
              <w:pStyle w:val="ARfintablecolheadright"/>
            </w:pPr>
            <w:r w:rsidRPr="00264575">
              <w:t>Contractual financial liabilities at amortised cost</w:t>
            </w:r>
          </w:p>
          <w:p w:rsidR="00C232A3" w:rsidRPr="00264575" w:rsidRDefault="00C232A3" w:rsidP="00C232A3">
            <w:pPr>
              <w:pStyle w:val="ARfintablecolheadright"/>
            </w:pPr>
            <w:r w:rsidRPr="00264575">
              <w:t>$M</w:t>
            </w:r>
          </w:p>
        </w:tc>
        <w:tc>
          <w:tcPr>
            <w:tcW w:w="1701" w:type="dxa"/>
            <w:vAlign w:val="bottom"/>
          </w:tcPr>
          <w:p w:rsidR="00C232A3" w:rsidRPr="00264575" w:rsidRDefault="00C232A3" w:rsidP="00C232A3">
            <w:pPr>
              <w:pStyle w:val="ARfintablecolheadright"/>
            </w:pPr>
            <w:r w:rsidRPr="00264575">
              <w:t>Total</w:t>
            </w:r>
          </w:p>
          <w:p w:rsidR="00C232A3" w:rsidRPr="00264575" w:rsidRDefault="00C232A3" w:rsidP="00C232A3">
            <w:pPr>
              <w:pStyle w:val="ARfintablecolheadright"/>
            </w:pPr>
            <w:r w:rsidRPr="00264575">
              <w:t>$M</w:t>
            </w:r>
          </w:p>
        </w:tc>
      </w:tr>
      <w:tr w:rsidR="00C232A3" w:rsidRPr="00AB62BD" w:rsidTr="00C232A3">
        <w:trPr>
          <w:cantSplit/>
        </w:trPr>
        <w:tc>
          <w:tcPr>
            <w:tcW w:w="4536" w:type="dxa"/>
            <w:tcBorders>
              <w:bottom w:val="single" w:sz="4" w:space="0" w:color="auto"/>
            </w:tcBorders>
          </w:tcPr>
          <w:p w:rsidR="00C232A3" w:rsidRPr="00AB62BD" w:rsidRDefault="00C232A3" w:rsidP="00C232A3">
            <w:pPr>
              <w:pStyle w:val="ARfintablebody"/>
              <w:rPr>
                <w:rStyle w:val="Strong"/>
                <w:bCs w:val="0"/>
              </w:rPr>
            </w:pPr>
            <w:r w:rsidRPr="00AB62BD">
              <w:rPr>
                <w:rStyle w:val="Strong"/>
              </w:rPr>
              <w:t>2017</w:t>
            </w:r>
          </w:p>
        </w:tc>
        <w:tc>
          <w:tcPr>
            <w:tcW w:w="1701" w:type="dxa"/>
            <w:tcBorders>
              <w:bottom w:val="single" w:sz="4" w:space="0" w:color="auto"/>
            </w:tcBorders>
          </w:tcPr>
          <w:p w:rsidR="00C232A3" w:rsidRPr="00AB62BD" w:rsidRDefault="00C232A3" w:rsidP="00C232A3">
            <w:pPr>
              <w:pStyle w:val="ARfintablebodyright"/>
              <w:rPr>
                <w:lang w:eastAsia="en-AU"/>
              </w:rPr>
            </w:pPr>
          </w:p>
        </w:tc>
        <w:tc>
          <w:tcPr>
            <w:tcW w:w="1701" w:type="dxa"/>
            <w:tcBorders>
              <w:bottom w:val="single" w:sz="4" w:space="0" w:color="auto"/>
            </w:tcBorders>
          </w:tcPr>
          <w:p w:rsidR="00C232A3" w:rsidRPr="00AB62BD" w:rsidRDefault="00C232A3" w:rsidP="00C232A3">
            <w:pPr>
              <w:pStyle w:val="ARfintablebodyright"/>
              <w:rPr>
                <w:lang w:eastAsia="en-AU"/>
              </w:rPr>
            </w:pPr>
          </w:p>
        </w:tc>
        <w:tc>
          <w:tcPr>
            <w:tcW w:w="1701"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C232A3">
        <w:trPr>
          <w:cantSplit/>
        </w:trPr>
        <w:tc>
          <w:tcPr>
            <w:tcW w:w="453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Contractual financial assets </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Cash and deposits </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383.7</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383.7</w:t>
            </w: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Receivables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112.0</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112.0</w:t>
            </w: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Loans </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81.0</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81.0</w:t>
            </w:r>
          </w:p>
        </w:tc>
      </w:tr>
      <w:tr w:rsidR="00C232A3" w:rsidRPr="00AB62BD" w:rsidTr="00C232A3">
        <w:trPr>
          <w:cantSplit/>
        </w:trPr>
        <w:tc>
          <w:tcPr>
            <w:tcW w:w="453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Short term investments – term deposits </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418.5</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418.5</w:t>
            </w:r>
          </w:p>
        </w:tc>
      </w:tr>
      <w:tr w:rsidR="00C232A3" w:rsidRPr="00AB62BD" w:rsidTr="00C232A3">
        <w:trPr>
          <w:cantSplit/>
        </w:trPr>
        <w:tc>
          <w:tcPr>
            <w:tcW w:w="4536" w:type="dxa"/>
            <w:tcBorders>
              <w:bottom w:val="single" w:sz="4" w:space="0" w:color="auto"/>
            </w:tcBorders>
          </w:tcPr>
          <w:p w:rsidR="00C232A3" w:rsidRPr="00AB62BD" w:rsidRDefault="00C232A3" w:rsidP="00C232A3">
            <w:pPr>
              <w:pStyle w:val="ARfintablebody"/>
              <w:rPr>
                <w:bCs/>
                <w:lang w:eastAsia="en-AU"/>
              </w:rPr>
            </w:pPr>
            <w:r w:rsidRPr="00AB62BD">
              <w:rPr>
                <w:rStyle w:val="Strong"/>
              </w:rPr>
              <w:t xml:space="preserve">Total contractual financial assets </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995.2</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995.2</w:t>
            </w:r>
          </w:p>
        </w:tc>
      </w:tr>
      <w:tr w:rsidR="00C232A3" w:rsidRPr="00AB62BD" w:rsidTr="00C232A3">
        <w:trPr>
          <w:cantSplit/>
        </w:trPr>
        <w:tc>
          <w:tcPr>
            <w:tcW w:w="453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Contractual financial liabilities </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Payables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1,207.1</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1,207.1</w:t>
            </w:r>
          </w:p>
        </w:tc>
      </w:tr>
      <w:tr w:rsidR="00C232A3" w:rsidRPr="00AB62BD" w:rsidTr="00C232A3">
        <w:trPr>
          <w:cantSplit/>
        </w:trPr>
        <w:tc>
          <w:tcPr>
            <w:tcW w:w="4536"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Borrowings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64.7</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64.7</w:t>
            </w:r>
          </w:p>
        </w:tc>
      </w:tr>
      <w:tr w:rsidR="00C232A3" w:rsidRPr="00AB62BD" w:rsidTr="00C232A3">
        <w:trPr>
          <w:cantSplit/>
        </w:trPr>
        <w:tc>
          <w:tcPr>
            <w:tcW w:w="4536" w:type="dxa"/>
          </w:tcPr>
          <w:p w:rsidR="00C232A3" w:rsidRPr="00AB62BD" w:rsidRDefault="00C232A3" w:rsidP="00C232A3">
            <w:pPr>
              <w:pStyle w:val="ARfintablebody"/>
              <w:rPr>
                <w:bCs/>
                <w:lang w:eastAsia="en-AU"/>
              </w:rPr>
            </w:pPr>
            <w:r w:rsidRPr="00AB62BD">
              <w:rPr>
                <w:rStyle w:val="Strong"/>
              </w:rPr>
              <w:t xml:space="preserve">Total contractual financial liabilities </w:t>
            </w:r>
          </w:p>
        </w:tc>
        <w:tc>
          <w:tcPr>
            <w:tcW w:w="1701" w:type="dxa"/>
          </w:tcPr>
          <w:p w:rsidR="00C232A3" w:rsidRPr="00AB62BD" w:rsidRDefault="00C232A3" w:rsidP="00C232A3">
            <w:pPr>
              <w:pStyle w:val="ARfintablebodyright"/>
              <w:rPr>
                <w:b/>
                <w:bCs/>
                <w:lang w:eastAsia="en-AU"/>
              </w:rPr>
            </w:pPr>
            <w:r w:rsidRPr="00AB62BD">
              <w:rPr>
                <w:rStyle w:val="Strong"/>
              </w:rPr>
              <w:t>–</w:t>
            </w:r>
          </w:p>
        </w:tc>
        <w:tc>
          <w:tcPr>
            <w:tcW w:w="1701" w:type="dxa"/>
          </w:tcPr>
          <w:p w:rsidR="00C232A3" w:rsidRPr="00AB62BD" w:rsidRDefault="00C232A3" w:rsidP="00C232A3">
            <w:pPr>
              <w:pStyle w:val="ARfintablebodyright"/>
              <w:rPr>
                <w:b/>
                <w:bCs/>
                <w:lang w:eastAsia="en-AU"/>
              </w:rPr>
            </w:pPr>
            <w:r>
              <w:rPr>
                <w:rStyle w:val="Strong"/>
              </w:rPr>
              <w:t>1,271.8</w:t>
            </w:r>
          </w:p>
        </w:tc>
        <w:tc>
          <w:tcPr>
            <w:tcW w:w="1701" w:type="dxa"/>
          </w:tcPr>
          <w:p w:rsidR="00C232A3" w:rsidRPr="00AB62BD" w:rsidRDefault="00C232A3" w:rsidP="00C232A3">
            <w:pPr>
              <w:pStyle w:val="ARfintablebodyright"/>
              <w:rPr>
                <w:b/>
                <w:bCs/>
                <w:lang w:eastAsia="en-AU"/>
              </w:rPr>
            </w:pPr>
            <w:r>
              <w:rPr>
                <w:rStyle w:val="Strong"/>
              </w:rPr>
              <w:t>1,271.8</w:t>
            </w:r>
          </w:p>
        </w:tc>
      </w:tr>
      <w:tr w:rsidR="00C232A3" w:rsidRPr="00AB62BD" w:rsidTr="00C232A3">
        <w:trPr>
          <w:cantSplit/>
        </w:trPr>
        <w:tc>
          <w:tcPr>
            <w:tcW w:w="4536" w:type="dxa"/>
            <w:tcBorders>
              <w:bottom w:val="single" w:sz="4" w:space="0" w:color="auto"/>
            </w:tcBorders>
          </w:tcPr>
          <w:p w:rsidR="00C232A3" w:rsidRPr="00AB62BD" w:rsidRDefault="00C232A3" w:rsidP="00C232A3">
            <w:pPr>
              <w:pStyle w:val="ARfintablebody"/>
              <w:rPr>
                <w:bCs/>
                <w:lang w:eastAsia="en-AU"/>
              </w:rPr>
            </w:pPr>
            <w:r w:rsidRPr="00AB62BD">
              <w:rPr>
                <w:rStyle w:val="Strong"/>
              </w:rPr>
              <w:t>2016</w:t>
            </w:r>
          </w:p>
        </w:tc>
        <w:tc>
          <w:tcPr>
            <w:tcW w:w="1701" w:type="dxa"/>
            <w:tcBorders>
              <w:bottom w:val="single" w:sz="4" w:space="0" w:color="auto"/>
            </w:tcBorders>
          </w:tcPr>
          <w:p w:rsidR="00C232A3" w:rsidRPr="00AB62BD" w:rsidRDefault="00C232A3" w:rsidP="00C232A3">
            <w:pPr>
              <w:pStyle w:val="ARfintablebodyright"/>
              <w:rPr>
                <w:b/>
                <w:bCs/>
                <w:lang w:eastAsia="en-AU"/>
              </w:rPr>
            </w:pPr>
          </w:p>
        </w:tc>
        <w:tc>
          <w:tcPr>
            <w:tcW w:w="1701" w:type="dxa"/>
            <w:tcBorders>
              <w:bottom w:val="single" w:sz="4" w:space="0" w:color="auto"/>
            </w:tcBorders>
          </w:tcPr>
          <w:p w:rsidR="00C232A3" w:rsidRPr="00AB62BD" w:rsidRDefault="00C232A3" w:rsidP="00C232A3">
            <w:pPr>
              <w:pStyle w:val="ARfintablebodyright"/>
              <w:rPr>
                <w:b/>
                <w:bCs/>
                <w:lang w:eastAsia="en-AU"/>
              </w:rPr>
            </w:pPr>
          </w:p>
        </w:tc>
        <w:tc>
          <w:tcPr>
            <w:tcW w:w="1701" w:type="dxa"/>
            <w:tcBorders>
              <w:bottom w:val="single" w:sz="4" w:space="0" w:color="auto"/>
            </w:tcBorders>
          </w:tcPr>
          <w:p w:rsidR="00C232A3" w:rsidRPr="00AB62BD" w:rsidRDefault="00C232A3" w:rsidP="00C232A3">
            <w:pPr>
              <w:pStyle w:val="ARfintablebodyright"/>
              <w:rPr>
                <w:b/>
                <w:bCs/>
                <w:lang w:eastAsia="en-AU"/>
              </w:rPr>
            </w:pPr>
          </w:p>
        </w:tc>
      </w:tr>
      <w:tr w:rsidR="00C232A3" w:rsidRPr="00AB62BD" w:rsidTr="00C232A3">
        <w:trPr>
          <w:cantSplit/>
        </w:trPr>
        <w:tc>
          <w:tcPr>
            <w:tcW w:w="453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Contractual financial assets </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Cash and deposits </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230.8</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230.8</w:t>
            </w: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Receivables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75.5</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75.5</w:t>
            </w: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Loans </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83.3</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83.3</w:t>
            </w:r>
          </w:p>
        </w:tc>
      </w:tr>
      <w:tr w:rsidR="00C232A3" w:rsidRPr="00AB62BD" w:rsidTr="00C232A3">
        <w:trPr>
          <w:cantSplit/>
        </w:trPr>
        <w:tc>
          <w:tcPr>
            <w:tcW w:w="453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Short term investments – term deposits </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346.8</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346.8</w:t>
            </w:r>
          </w:p>
        </w:tc>
      </w:tr>
      <w:tr w:rsidR="00C232A3" w:rsidRPr="00AB62BD" w:rsidTr="00C232A3">
        <w:trPr>
          <w:cantSplit/>
        </w:trPr>
        <w:tc>
          <w:tcPr>
            <w:tcW w:w="4536" w:type="dxa"/>
            <w:tcBorders>
              <w:bottom w:val="single" w:sz="4" w:space="0" w:color="auto"/>
            </w:tcBorders>
          </w:tcPr>
          <w:p w:rsidR="00C232A3" w:rsidRPr="00AB62BD" w:rsidRDefault="00C232A3" w:rsidP="00C232A3">
            <w:pPr>
              <w:pStyle w:val="ARfintablebody"/>
              <w:rPr>
                <w:bCs/>
                <w:lang w:eastAsia="en-AU"/>
              </w:rPr>
            </w:pPr>
            <w:r w:rsidRPr="00AB62BD">
              <w:rPr>
                <w:rStyle w:val="Strong"/>
              </w:rPr>
              <w:t xml:space="preserve">Total contractual financial assets </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736.4</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736.4</w:t>
            </w:r>
          </w:p>
        </w:tc>
      </w:tr>
      <w:tr w:rsidR="00C232A3" w:rsidRPr="00AB62BD" w:rsidTr="00C232A3">
        <w:trPr>
          <w:cantSplit/>
        </w:trPr>
        <w:tc>
          <w:tcPr>
            <w:tcW w:w="453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Contractual financial liabilities </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453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Payables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954.2</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954.2</w:t>
            </w:r>
          </w:p>
        </w:tc>
      </w:tr>
      <w:tr w:rsidR="00C232A3" w:rsidRPr="00AB62BD" w:rsidTr="00C232A3">
        <w:trPr>
          <w:cantSplit/>
        </w:trPr>
        <w:tc>
          <w:tcPr>
            <w:tcW w:w="4536"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Borrowings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70.2</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70.2</w:t>
            </w:r>
          </w:p>
        </w:tc>
      </w:tr>
      <w:tr w:rsidR="00C232A3" w:rsidRPr="00AB62BD" w:rsidTr="00C232A3">
        <w:trPr>
          <w:cantSplit/>
        </w:trPr>
        <w:tc>
          <w:tcPr>
            <w:tcW w:w="4536" w:type="dxa"/>
          </w:tcPr>
          <w:p w:rsidR="00C232A3" w:rsidRPr="00AB62BD" w:rsidRDefault="00C232A3" w:rsidP="00C232A3">
            <w:pPr>
              <w:pStyle w:val="ARfintablebody"/>
              <w:rPr>
                <w:bCs/>
                <w:lang w:eastAsia="en-AU"/>
              </w:rPr>
            </w:pPr>
            <w:r w:rsidRPr="00AB62BD">
              <w:rPr>
                <w:rStyle w:val="Strong"/>
              </w:rPr>
              <w:t xml:space="preserve">Total contractual financial liabilities </w:t>
            </w:r>
          </w:p>
        </w:tc>
        <w:tc>
          <w:tcPr>
            <w:tcW w:w="1701" w:type="dxa"/>
          </w:tcPr>
          <w:p w:rsidR="00C232A3" w:rsidRPr="00AB62BD" w:rsidRDefault="00C232A3" w:rsidP="00C232A3">
            <w:pPr>
              <w:pStyle w:val="ARfintablebodyright"/>
              <w:rPr>
                <w:b/>
                <w:bCs/>
                <w:lang w:eastAsia="en-AU"/>
              </w:rPr>
            </w:pPr>
            <w:r w:rsidRPr="00AB62BD">
              <w:rPr>
                <w:rStyle w:val="Strong"/>
              </w:rPr>
              <w:t>–</w:t>
            </w:r>
          </w:p>
        </w:tc>
        <w:tc>
          <w:tcPr>
            <w:tcW w:w="1701" w:type="dxa"/>
          </w:tcPr>
          <w:p w:rsidR="00C232A3" w:rsidRPr="00AB62BD" w:rsidRDefault="00C232A3" w:rsidP="00C232A3">
            <w:pPr>
              <w:pStyle w:val="ARfintablebodyright"/>
              <w:rPr>
                <w:b/>
                <w:bCs/>
                <w:lang w:eastAsia="en-AU"/>
              </w:rPr>
            </w:pPr>
            <w:r>
              <w:rPr>
                <w:rStyle w:val="Strong"/>
              </w:rPr>
              <w:t>1,024.4</w:t>
            </w:r>
          </w:p>
        </w:tc>
        <w:tc>
          <w:tcPr>
            <w:tcW w:w="1701" w:type="dxa"/>
          </w:tcPr>
          <w:p w:rsidR="00C232A3" w:rsidRPr="00AB62BD" w:rsidRDefault="00C232A3" w:rsidP="00C232A3">
            <w:pPr>
              <w:pStyle w:val="ARfintablebodyright"/>
              <w:rPr>
                <w:rStyle w:val="Strong"/>
                <w:bCs w:val="0"/>
              </w:rPr>
            </w:pPr>
            <w:r>
              <w:rPr>
                <w:rStyle w:val="Strong"/>
              </w:rPr>
              <w:t>1,024.4</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The total amounts disclosed here exclude statutory amounts e.g. amounts owing to/from Victorian Government and GST input tax credit recoverable and taxes payable. Refer to Note 6.1 for the breakdown of contractual and statutory receivables.</w:t>
      </w:r>
    </w:p>
    <w:p w:rsidR="00C232A3" w:rsidRPr="00D11896" w:rsidRDefault="00C232A3" w:rsidP="00C232A3">
      <w:pPr>
        <w:pStyle w:val="Heading5"/>
        <w:rPr>
          <w:rStyle w:val="Strong"/>
        </w:rPr>
      </w:pPr>
      <w:r w:rsidRPr="00D11896">
        <w:rPr>
          <w:rStyle w:val="Strong"/>
        </w:rPr>
        <w:t>8.1.2 Financial instruments: Net holding gain/(loss) on financial instruments by category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237"/>
        <w:gridCol w:w="1701"/>
        <w:gridCol w:w="1701"/>
      </w:tblGrid>
      <w:tr w:rsidR="00C232A3" w:rsidRPr="00AB62BD" w:rsidTr="00C232A3">
        <w:trPr>
          <w:cantSplit/>
          <w:tblHeader/>
        </w:trPr>
        <w:tc>
          <w:tcPr>
            <w:tcW w:w="6237" w:type="dxa"/>
            <w:vAlign w:val="bottom"/>
          </w:tcPr>
          <w:p w:rsidR="00C232A3" w:rsidRPr="00AB62BD" w:rsidRDefault="00C232A3" w:rsidP="00C232A3">
            <w:pPr>
              <w:pStyle w:val="ARfintablecolheadright"/>
              <w:rPr>
                <w:lang w:eastAsia="en-AU"/>
              </w:rPr>
            </w:pPr>
          </w:p>
        </w:tc>
        <w:tc>
          <w:tcPr>
            <w:tcW w:w="1701" w:type="dxa"/>
            <w:vAlign w:val="bottom"/>
          </w:tcPr>
          <w:p w:rsidR="00C232A3" w:rsidRPr="00264575" w:rsidRDefault="00C232A3" w:rsidP="00C232A3">
            <w:pPr>
              <w:pStyle w:val="ARfintablecolheadright"/>
            </w:pPr>
            <w:r w:rsidRPr="00264575">
              <w:t>Total interest income / (expense)</w:t>
            </w:r>
          </w:p>
          <w:p w:rsidR="00C232A3" w:rsidRPr="00264575" w:rsidRDefault="00C232A3" w:rsidP="00C232A3">
            <w:pPr>
              <w:pStyle w:val="ARfintablecolheadright"/>
            </w:pPr>
            <w:r w:rsidRPr="00264575">
              <w:t>$M</w:t>
            </w:r>
          </w:p>
        </w:tc>
        <w:tc>
          <w:tcPr>
            <w:tcW w:w="1701" w:type="dxa"/>
            <w:vAlign w:val="bottom"/>
          </w:tcPr>
          <w:p w:rsidR="00C232A3" w:rsidRPr="00264575" w:rsidRDefault="00C232A3" w:rsidP="00C232A3">
            <w:pPr>
              <w:pStyle w:val="ARfintablecolheadright"/>
            </w:pPr>
            <w:r w:rsidRPr="00264575">
              <w:t>Total</w:t>
            </w:r>
          </w:p>
          <w:p w:rsidR="00C232A3" w:rsidRPr="00264575" w:rsidRDefault="00C232A3" w:rsidP="00C232A3">
            <w:pPr>
              <w:pStyle w:val="ARfintablecolheadright"/>
            </w:pPr>
            <w:r w:rsidRPr="00264575">
              <w:t>$M</w:t>
            </w:r>
          </w:p>
        </w:tc>
      </w:tr>
      <w:tr w:rsidR="00C232A3" w:rsidRPr="00AB62BD" w:rsidTr="00C232A3">
        <w:trPr>
          <w:cantSplit/>
        </w:trPr>
        <w:tc>
          <w:tcPr>
            <w:tcW w:w="6237" w:type="dxa"/>
            <w:tcBorders>
              <w:bottom w:val="single" w:sz="4" w:space="0" w:color="auto"/>
            </w:tcBorders>
          </w:tcPr>
          <w:p w:rsidR="00C232A3" w:rsidRPr="00AB62BD" w:rsidRDefault="00C232A3" w:rsidP="00C232A3">
            <w:pPr>
              <w:pStyle w:val="ARfintablebody"/>
              <w:rPr>
                <w:rStyle w:val="Strong"/>
                <w:bCs w:val="0"/>
              </w:rPr>
            </w:pPr>
            <w:r w:rsidRPr="00AB62BD">
              <w:rPr>
                <w:rStyle w:val="Strong"/>
              </w:rPr>
              <w:t>2017</w:t>
            </w:r>
          </w:p>
        </w:tc>
        <w:tc>
          <w:tcPr>
            <w:tcW w:w="1701" w:type="dxa"/>
            <w:tcBorders>
              <w:bottom w:val="single" w:sz="4" w:space="0" w:color="auto"/>
            </w:tcBorders>
          </w:tcPr>
          <w:p w:rsidR="00C232A3" w:rsidRPr="00AB62BD" w:rsidRDefault="00C232A3" w:rsidP="00C232A3">
            <w:pPr>
              <w:pStyle w:val="ARfintablebodyright"/>
              <w:rPr>
                <w:lang w:eastAsia="en-AU"/>
              </w:rPr>
            </w:pPr>
          </w:p>
        </w:tc>
        <w:tc>
          <w:tcPr>
            <w:tcW w:w="1701"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C232A3">
        <w:trPr>
          <w:cantSplit/>
        </w:trPr>
        <w:tc>
          <w:tcPr>
            <w:tcW w:w="6237"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Contractual financial assets</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Receivables</w:t>
            </w:r>
            <w:r w:rsidRPr="00AB62BD">
              <w:rPr>
                <w:vertAlign w:val="superscript"/>
                <w:lang w:eastAsia="en-AU"/>
              </w:rPr>
              <w:t xml:space="preserve"> (</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Loans </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0.8</w:t>
            </w:r>
          </w:p>
        </w:tc>
      </w:tr>
      <w:tr w:rsidR="00C232A3" w:rsidRPr="00AB62BD" w:rsidTr="00C232A3">
        <w:trPr>
          <w:cantSplit/>
        </w:trPr>
        <w:tc>
          <w:tcPr>
            <w:tcW w:w="6237" w:type="dxa"/>
            <w:tcBorders>
              <w:top w:val="single" w:sz="4" w:space="0" w:color="A6A6A6" w:themeColor="background1" w:themeShade="A6"/>
            </w:tcBorders>
          </w:tcPr>
          <w:p w:rsidR="00C232A3" w:rsidRPr="00AB62BD" w:rsidRDefault="00C232A3" w:rsidP="00C232A3">
            <w:pPr>
              <w:pStyle w:val="ARfintablebody"/>
              <w:rPr>
                <w:lang w:eastAsia="en-AU"/>
              </w:rPr>
            </w:pPr>
            <w:r>
              <w:rPr>
                <w:lang w:eastAsia="en-AU"/>
              </w:rPr>
              <w:t>Short t</w:t>
            </w:r>
            <w:r w:rsidRPr="00AB62BD">
              <w:rPr>
                <w:lang w:eastAsia="en-AU"/>
              </w:rPr>
              <w:t xml:space="preserve">erm </w:t>
            </w:r>
            <w:r>
              <w:rPr>
                <w:lang w:eastAsia="en-AU"/>
              </w:rPr>
              <w:t>investments – t</w:t>
            </w:r>
            <w:r w:rsidRPr="00AB62BD">
              <w:rPr>
                <w:lang w:eastAsia="en-AU"/>
              </w:rPr>
              <w:t xml:space="preserve">erm </w:t>
            </w:r>
            <w:r>
              <w:rPr>
                <w:lang w:eastAsia="en-AU"/>
              </w:rPr>
              <w:t>d</w:t>
            </w:r>
            <w:r w:rsidRPr="00AB62BD">
              <w:rPr>
                <w:lang w:eastAsia="en-AU"/>
              </w:rPr>
              <w:t>eposits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8.0</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8.0</w:t>
            </w:r>
          </w:p>
        </w:tc>
      </w:tr>
      <w:tr w:rsidR="00C232A3" w:rsidRPr="00AB62BD" w:rsidTr="00C232A3">
        <w:trPr>
          <w:cantSplit/>
        </w:trPr>
        <w:tc>
          <w:tcPr>
            <w:tcW w:w="6237"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contractual financial assets</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8.8</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8.8</w:t>
            </w:r>
          </w:p>
        </w:tc>
      </w:tr>
      <w:tr w:rsidR="00C232A3" w:rsidRPr="00AB62BD" w:rsidTr="00C232A3">
        <w:trPr>
          <w:cantSplit/>
        </w:trPr>
        <w:tc>
          <w:tcPr>
            <w:tcW w:w="6237"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Contractual financial liabilities</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 Payables</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color w:val="FFFFFF"/>
                <w:lang w:eastAsia="en-AU"/>
              </w:rPr>
            </w:pPr>
            <w:r w:rsidRPr="003775EA">
              <w:rPr>
                <w:sz w:val="14"/>
                <w:szCs w:val="14"/>
                <w:lang w:eastAsia="en-AU"/>
              </w:rPr>
              <w:t>–</w:t>
            </w:r>
            <w:r w:rsidRPr="00AB62BD">
              <w:rPr>
                <w:color w:val="FFFFFF"/>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color w:val="FFFFFF"/>
                <w:lang w:eastAsia="en-AU"/>
              </w:rPr>
            </w:pPr>
            <w:r w:rsidRPr="003775EA">
              <w:rPr>
                <w:sz w:val="14"/>
                <w:szCs w:val="14"/>
                <w:lang w:eastAsia="en-AU"/>
              </w:rPr>
              <w:t>–</w:t>
            </w:r>
            <w:r w:rsidRPr="00AB62BD">
              <w:rPr>
                <w:color w:val="FFFFFF"/>
                <w:lang w:eastAsia="en-AU"/>
              </w:rPr>
              <w:t>–</w:t>
            </w:r>
          </w:p>
        </w:tc>
      </w:tr>
      <w:tr w:rsidR="00C232A3" w:rsidRPr="00AB62BD" w:rsidTr="00C232A3">
        <w:trPr>
          <w:cantSplit/>
        </w:trPr>
        <w:tc>
          <w:tcPr>
            <w:tcW w:w="6237"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 Borrowings</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w:t>
            </w:r>
          </w:p>
        </w:tc>
      </w:tr>
      <w:tr w:rsidR="00C232A3" w:rsidRPr="00AB62BD" w:rsidTr="00C232A3">
        <w:trPr>
          <w:cantSplit/>
        </w:trPr>
        <w:tc>
          <w:tcPr>
            <w:tcW w:w="6237" w:type="dxa"/>
          </w:tcPr>
          <w:p w:rsidR="00C232A3" w:rsidRPr="00AB62BD" w:rsidRDefault="00C232A3" w:rsidP="00C232A3">
            <w:pPr>
              <w:pStyle w:val="ARfintablebody"/>
              <w:rPr>
                <w:bCs/>
                <w:lang w:eastAsia="en-AU"/>
              </w:rPr>
            </w:pPr>
            <w:r w:rsidRPr="00AB62BD">
              <w:rPr>
                <w:rStyle w:val="Strong"/>
              </w:rPr>
              <w:t>Total contractual financial liabilities</w:t>
            </w:r>
          </w:p>
        </w:tc>
        <w:tc>
          <w:tcPr>
            <w:tcW w:w="1701" w:type="dxa"/>
          </w:tcPr>
          <w:p w:rsidR="00C232A3" w:rsidRPr="00AB62BD" w:rsidRDefault="00C232A3" w:rsidP="00C232A3">
            <w:pPr>
              <w:pStyle w:val="ARfintablebodyright"/>
              <w:rPr>
                <w:b/>
                <w:bCs/>
                <w:lang w:eastAsia="en-AU"/>
              </w:rPr>
            </w:pPr>
            <w:r w:rsidRPr="00AB62BD">
              <w:rPr>
                <w:rStyle w:val="Strong"/>
              </w:rPr>
              <w:t>(1.1)</w:t>
            </w:r>
          </w:p>
        </w:tc>
        <w:tc>
          <w:tcPr>
            <w:tcW w:w="1701" w:type="dxa"/>
          </w:tcPr>
          <w:p w:rsidR="00C232A3" w:rsidRPr="00AB62BD" w:rsidRDefault="00C232A3" w:rsidP="00C232A3">
            <w:pPr>
              <w:pStyle w:val="ARfintablebodyright"/>
              <w:rPr>
                <w:b/>
                <w:bCs/>
                <w:lang w:eastAsia="en-AU"/>
              </w:rPr>
            </w:pPr>
            <w:r w:rsidRPr="00AB62BD">
              <w:rPr>
                <w:rStyle w:val="Strong"/>
              </w:rPr>
              <w:t>(1.1)</w:t>
            </w:r>
          </w:p>
        </w:tc>
      </w:tr>
      <w:tr w:rsidR="00C232A3" w:rsidRPr="00AB62BD" w:rsidTr="00C232A3">
        <w:trPr>
          <w:cantSplit/>
        </w:trPr>
        <w:tc>
          <w:tcPr>
            <w:tcW w:w="6237" w:type="dxa"/>
            <w:tcBorders>
              <w:bottom w:val="single" w:sz="4" w:space="0" w:color="auto"/>
            </w:tcBorders>
          </w:tcPr>
          <w:p w:rsidR="00C232A3" w:rsidRPr="00AB62BD" w:rsidRDefault="00C232A3" w:rsidP="00C232A3">
            <w:pPr>
              <w:pStyle w:val="ARfintablebody"/>
              <w:rPr>
                <w:bCs/>
                <w:lang w:eastAsia="en-AU"/>
              </w:rPr>
            </w:pPr>
            <w:r w:rsidRPr="00AB62BD">
              <w:rPr>
                <w:rStyle w:val="Strong"/>
              </w:rPr>
              <w:t>2016</w:t>
            </w:r>
          </w:p>
        </w:tc>
        <w:tc>
          <w:tcPr>
            <w:tcW w:w="1701" w:type="dxa"/>
            <w:tcBorders>
              <w:bottom w:val="single" w:sz="4" w:space="0" w:color="auto"/>
            </w:tcBorders>
          </w:tcPr>
          <w:p w:rsidR="00C232A3" w:rsidRPr="00AB62BD" w:rsidRDefault="00C232A3" w:rsidP="00C232A3">
            <w:pPr>
              <w:pStyle w:val="ARfintablebodyright"/>
              <w:rPr>
                <w:b/>
                <w:bCs/>
                <w:lang w:eastAsia="en-AU"/>
              </w:rPr>
            </w:pPr>
          </w:p>
        </w:tc>
        <w:tc>
          <w:tcPr>
            <w:tcW w:w="1701" w:type="dxa"/>
            <w:tcBorders>
              <w:bottom w:val="single" w:sz="4" w:space="0" w:color="auto"/>
            </w:tcBorders>
          </w:tcPr>
          <w:p w:rsidR="00C232A3" w:rsidRPr="00AB62BD" w:rsidRDefault="00C232A3" w:rsidP="00C232A3">
            <w:pPr>
              <w:pStyle w:val="ARfintablebodyright"/>
              <w:rPr>
                <w:b/>
                <w:bCs/>
                <w:lang w:eastAsia="en-AU"/>
              </w:rPr>
            </w:pPr>
          </w:p>
        </w:tc>
      </w:tr>
      <w:tr w:rsidR="00C232A3" w:rsidRPr="00AB62BD" w:rsidTr="00C232A3">
        <w:trPr>
          <w:cantSplit/>
        </w:trPr>
        <w:tc>
          <w:tcPr>
            <w:tcW w:w="6237"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Contractual financial assets</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Receivables</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Loans </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r>
      <w:tr w:rsidR="00C232A3" w:rsidRPr="00AB62BD" w:rsidTr="00C232A3">
        <w:trPr>
          <w:cantSplit/>
        </w:trPr>
        <w:tc>
          <w:tcPr>
            <w:tcW w:w="6237"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 term investments – term deposits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8.4</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8.4</w:t>
            </w:r>
          </w:p>
        </w:tc>
      </w:tr>
      <w:tr w:rsidR="00C232A3" w:rsidRPr="00AB62BD" w:rsidTr="00C232A3">
        <w:trPr>
          <w:cantSplit/>
        </w:trPr>
        <w:tc>
          <w:tcPr>
            <w:tcW w:w="6237"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contractual financial assets</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9.4</w:t>
            </w:r>
          </w:p>
        </w:tc>
        <w:tc>
          <w:tcPr>
            <w:tcW w:w="170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9.4</w:t>
            </w:r>
          </w:p>
        </w:tc>
      </w:tr>
      <w:tr w:rsidR="00C232A3" w:rsidRPr="00AB62BD" w:rsidTr="00C232A3">
        <w:trPr>
          <w:cantSplit/>
        </w:trPr>
        <w:tc>
          <w:tcPr>
            <w:tcW w:w="6237"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lastRenderedPageBreak/>
              <w:t>Contractual financial liabilities</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 Payables</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6237"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 Borrowings</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C232A3">
        <w:trPr>
          <w:cantSplit/>
        </w:trPr>
        <w:tc>
          <w:tcPr>
            <w:tcW w:w="6237" w:type="dxa"/>
          </w:tcPr>
          <w:p w:rsidR="00C232A3" w:rsidRPr="00AB62BD" w:rsidRDefault="00C232A3" w:rsidP="00C232A3">
            <w:pPr>
              <w:pStyle w:val="ARfintablebody"/>
              <w:rPr>
                <w:bCs/>
                <w:lang w:eastAsia="en-AU"/>
              </w:rPr>
            </w:pPr>
            <w:r w:rsidRPr="00AB62BD">
              <w:rPr>
                <w:rStyle w:val="Strong"/>
              </w:rPr>
              <w:t>Total contractual financial liabilities</w:t>
            </w:r>
          </w:p>
        </w:tc>
        <w:tc>
          <w:tcPr>
            <w:tcW w:w="1701" w:type="dxa"/>
          </w:tcPr>
          <w:p w:rsidR="00C232A3" w:rsidRPr="00AB62BD" w:rsidRDefault="00C232A3" w:rsidP="00C232A3">
            <w:pPr>
              <w:pStyle w:val="ARfintablebodyright"/>
              <w:rPr>
                <w:b/>
                <w:bCs/>
                <w:lang w:eastAsia="en-AU"/>
              </w:rPr>
            </w:pPr>
            <w:r w:rsidRPr="00AB62BD">
              <w:rPr>
                <w:rStyle w:val="Strong"/>
              </w:rPr>
              <w:t>(0.3)</w:t>
            </w:r>
          </w:p>
        </w:tc>
        <w:tc>
          <w:tcPr>
            <w:tcW w:w="1701" w:type="dxa"/>
          </w:tcPr>
          <w:p w:rsidR="00C232A3" w:rsidRPr="00AB62BD" w:rsidRDefault="00C232A3" w:rsidP="00C232A3">
            <w:pPr>
              <w:pStyle w:val="ARfintablebodyright"/>
              <w:rPr>
                <w:rStyle w:val="Strong"/>
                <w:bCs w:val="0"/>
              </w:rPr>
            </w:pPr>
            <w:r w:rsidRPr="00AB62BD">
              <w:rPr>
                <w:rStyle w:val="Strong"/>
              </w:rPr>
              <w:t>(0.3)</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The total amounts disclosed here exclude statutory amounts e.g</w:t>
      </w:r>
      <w:r>
        <w:t>.</w:t>
      </w:r>
      <w:r w:rsidRPr="00AB62BD">
        <w:t xml:space="preserve"> amounts owing to/from Victorian Government and GST input tax credit recoverable and taxes payable.</w:t>
      </w:r>
    </w:p>
    <w:p w:rsidR="00C232A3" w:rsidRPr="00AB62BD" w:rsidRDefault="00C232A3" w:rsidP="00C232A3">
      <w:pPr>
        <w:pStyle w:val="ARfinbodyaftertable"/>
      </w:pPr>
      <w:r w:rsidRPr="00AB62BD">
        <w:t>The net holding gains or losses disclosed above are determined as follows:</w:t>
      </w:r>
    </w:p>
    <w:p w:rsidR="00C232A3" w:rsidRPr="00AB62BD" w:rsidRDefault="00C232A3" w:rsidP="00C232A3">
      <w:pPr>
        <w:pStyle w:val="ARfinbullet1"/>
        <w:rPr>
          <w:lang w:eastAsia="en-AU"/>
        </w:rPr>
      </w:pPr>
      <w:r w:rsidRPr="00AB62BD">
        <w:rPr>
          <w:lang w:eastAsia="en-AU"/>
        </w:rPr>
        <w:t>for cash and cash equivalents, loans and receivables, the net gain or loss is calculated by taking the movement in the fair value of the asset, the interest income, and minus any impairment recognised in the net result;</w:t>
      </w:r>
    </w:p>
    <w:p w:rsidR="00C232A3" w:rsidRPr="00AB62BD" w:rsidRDefault="00C232A3" w:rsidP="00C232A3">
      <w:pPr>
        <w:pStyle w:val="ARfinbullet1"/>
        <w:rPr>
          <w:lang w:eastAsia="en-AU"/>
        </w:rPr>
      </w:pPr>
      <w:r w:rsidRPr="00AB62BD">
        <w:rPr>
          <w:lang w:eastAsia="en-AU"/>
        </w:rPr>
        <w:t>for financial liabilities measured at amortised cost, the net gain or loss is the interest expense.</w:t>
      </w:r>
    </w:p>
    <w:p w:rsidR="00C232A3" w:rsidRPr="00D11896" w:rsidRDefault="00C232A3" w:rsidP="00C232A3">
      <w:pPr>
        <w:pStyle w:val="Heading5"/>
        <w:rPr>
          <w:rStyle w:val="Strong"/>
        </w:rPr>
      </w:pPr>
      <w:r w:rsidRPr="00D11896">
        <w:rPr>
          <w:rStyle w:val="Strong"/>
        </w:rPr>
        <w:t>8.1.3 Financial risk management objectives and policies</w:t>
      </w:r>
    </w:p>
    <w:p w:rsidR="00C232A3" w:rsidRDefault="00C232A3" w:rsidP="00C232A3">
      <w:pPr>
        <w:pStyle w:val="ARfinbody"/>
        <w:rPr>
          <w:lang w:eastAsia="en-AU"/>
        </w:rPr>
      </w:pPr>
      <w:r w:rsidRPr="00AB62BD">
        <w:rPr>
          <w:lang w:eastAsia="en-AU"/>
        </w:rPr>
        <w:t>The department is exposed to a number of financial risks, including:</w:t>
      </w:r>
    </w:p>
    <w:p w:rsidR="00C232A3" w:rsidRDefault="00C232A3" w:rsidP="00C232A3">
      <w:pPr>
        <w:pStyle w:val="ARfinbody"/>
        <w:rPr>
          <w:lang w:eastAsia="en-AU"/>
        </w:rPr>
      </w:pPr>
      <w:r w:rsidRPr="009A7DF9">
        <w:rPr>
          <w:noProof/>
          <w:lang w:eastAsia="en-AU"/>
        </w:rPr>
        <w:drawing>
          <wp:inline distT="0" distB="0" distL="0" distR="0" wp14:anchorId="1E02C332" wp14:editId="6B071F7E">
            <wp:extent cx="3149600" cy="977900"/>
            <wp:effectExtent l="0" t="0" r="0" b="0"/>
            <wp:docPr id="12" name="Picture 12" descr="Financial risks, which includ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 Davies\Downloads\risks flowchart for AR2017.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49600" cy="977900"/>
                    </a:xfrm>
                    <a:prstGeom prst="rect">
                      <a:avLst/>
                    </a:prstGeom>
                    <a:noFill/>
                    <a:ln>
                      <a:noFill/>
                    </a:ln>
                  </pic:spPr>
                </pic:pic>
              </a:graphicData>
            </a:graphic>
          </wp:inline>
        </w:drawing>
      </w:r>
    </w:p>
    <w:p w:rsidR="00C232A3" w:rsidRPr="00AB62BD" w:rsidRDefault="00C232A3" w:rsidP="00C232A3">
      <w:pPr>
        <w:pStyle w:val="ARfinbody"/>
        <w:rPr>
          <w:lang w:eastAsia="en-AU"/>
        </w:rPr>
      </w:pPr>
      <w:r w:rsidRPr="00AB62BD">
        <w:rPr>
          <w:lang w:eastAsia="en-AU"/>
        </w:rPr>
        <w:t>As a whole, the department’s financial risk management program seeks to manage these risks and the associated volatility of its financial performance.</w:t>
      </w:r>
    </w:p>
    <w:p w:rsidR="00C232A3" w:rsidRPr="00AB62BD" w:rsidRDefault="00C232A3" w:rsidP="00C232A3">
      <w:pPr>
        <w:pStyle w:val="ARfinbody"/>
        <w:rPr>
          <w:lang w:eastAsia="en-AU"/>
        </w:rPr>
      </w:pPr>
      <w:r w:rsidRPr="00AB62BD">
        <w:rPr>
          <w:lang w:eastAsia="en-AU"/>
        </w:rPr>
        <w:t xml:space="preserve">Details of the significant accounting policies and methods adopted, including the criteria for recognition, the basis of measurement </w:t>
      </w:r>
      <w:r w:rsidR="00E410F3">
        <w:rPr>
          <w:lang w:eastAsia="en-AU"/>
        </w:rPr>
        <w:br/>
      </w:r>
      <w:r w:rsidRPr="00AB62BD">
        <w:rPr>
          <w:lang w:eastAsia="en-AU"/>
        </w:rPr>
        <w:t>and the basis on which income and expenses are recognised, with respect to each class of financial asset and financial liability are disclosed in Note 8.1.</w:t>
      </w:r>
    </w:p>
    <w:p w:rsidR="00C232A3" w:rsidRPr="00AB62BD" w:rsidRDefault="00C232A3" w:rsidP="00C232A3">
      <w:pPr>
        <w:pStyle w:val="ARfinbody"/>
        <w:rPr>
          <w:lang w:eastAsia="en-AU"/>
        </w:rPr>
      </w:pPr>
      <w:r w:rsidRPr="00AB62BD">
        <w:rPr>
          <w:lang w:eastAsia="en-AU"/>
        </w:rPr>
        <w:t>The main purpose in holding financial instruments is to prudentially manage the department’s financial risks within the government policy parameters.</w:t>
      </w:r>
    </w:p>
    <w:p w:rsidR="00C232A3" w:rsidRPr="00AB62BD" w:rsidRDefault="00C232A3" w:rsidP="00C232A3">
      <w:pPr>
        <w:pStyle w:val="ARfinbody"/>
        <w:rPr>
          <w:lang w:eastAsia="en-AU"/>
        </w:rPr>
      </w:pPr>
      <w:r w:rsidRPr="00AB62BD">
        <w:rPr>
          <w:lang w:eastAsia="en-AU"/>
        </w:rPr>
        <w:t>The department’s main financial risks include credit risk, liquidity risk and interest rate risk. The department manages these financial risks in accordance with its financial risk management policy.</w:t>
      </w:r>
    </w:p>
    <w:p w:rsidR="00C232A3" w:rsidRPr="00AB62BD" w:rsidRDefault="00C232A3" w:rsidP="00C232A3">
      <w:pPr>
        <w:pStyle w:val="ARfinbody"/>
        <w:rPr>
          <w:lang w:eastAsia="en-AU"/>
        </w:rPr>
      </w:pPr>
      <w:r w:rsidRPr="00AB62BD">
        <w:rPr>
          <w:lang w:eastAsia="en-AU"/>
        </w:rPr>
        <w:t>The department uses different methods to measure and manage the different risks to which it is exposed.</w:t>
      </w:r>
    </w:p>
    <w:p w:rsidR="00C232A3" w:rsidRPr="006402A9" w:rsidRDefault="00C232A3" w:rsidP="00FB460C">
      <w:pPr>
        <w:pStyle w:val="Heading6"/>
      </w:pPr>
      <w:r w:rsidRPr="006402A9">
        <w:t>8.1.3.1 Financial instruments: Credit risk</w:t>
      </w:r>
    </w:p>
    <w:p w:rsidR="00C232A3" w:rsidRPr="00AB62BD" w:rsidRDefault="00C232A3" w:rsidP="00C232A3">
      <w:pPr>
        <w:pStyle w:val="ARfinbody"/>
      </w:pPr>
      <w:r w:rsidRPr="00AB62BD">
        <w:t xml:space="preserve">Credit risk refers to the possibility that a borrower will default on its financial obligations as and when they fall due. The department’s exposure to credit risk arises from the potential default of a counter party on their contractual obligations resulting in financial loss to </w:t>
      </w:r>
      <w:r w:rsidR="00E410F3">
        <w:br/>
      </w:r>
      <w:r w:rsidRPr="00AB62BD">
        <w:t>the department. Credit risk is measured at fair value and is monitored on a regular basis.</w:t>
      </w:r>
    </w:p>
    <w:p w:rsidR="00C232A3" w:rsidRPr="00AB62BD" w:rsidRDefault="00C232A3" w:rsidP="00C232A3">
      <w:pPr>
        <w:pStyle w:val="ARfinbody"/>
      </w:pPr>
      <w:r w:rsidRPr="00AB62BD">
        <w:t>Credit risk associated with the department’s contractual financial assets is minimal because the main debtor is the Victorian Government. For debtors other than the Victorian Government and home loan recipients, it is the department’s policy to only deal with entities with high credit ratings of a minimum triple B rating and to obtain sufficient collateral or credit enhancements, where appropriate.</w:t>
      </w:r>
    </w:p>
    <w:p w:rsidR="00C232A3" w:rsidRPr="00AB62BD" w:rsidRDefault="00C232A3" w:rsidP="00C232A3">
      <w:pPr>
        <w:pStyle w:val="ARfinbody"/>
      </w:pPr>
      <w:r w:rsidRPr="00AB62BD">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rsidR="00C232A3" w:rsidRPr="00AB62BD" w:rsidRDefault="00C232A3" w:rsidP="00C232A3">
      <w:pPr>
        <w:pStyle w:val="ARfinbody"/>
      </w:pPr>
      <w:r w:rsidRPr="00AB62BD">
        <w:t>Provision for of impairment for contractual financial assets is recognised when there is objective evidence that the department will not be able to collect a receivable.</w:t>
      </w:r>
    </w:p>
    <w:p w:rsidR="00C232A3" w:rsidRPr="00AB62BD" w:rsidRDefault="00C232A3" w:rsidP="00C232A3">
      <w:pPr>
        <w:pStyle w:val="ARfinbody"/>
      </w:pPr>
      <w:r w:rsidRPr="00AB62BD">
        <w:t>Provision for impairment for financial assets is calculated based on past experience, and current and expected changes in client credit ratings, or when there is objective evidence that the department will not be able to collect a receivable. Tenant loans are made up of small amounts therefore the likelihood of default are considered immaterial.</w:t>
      </w:r>
    </w:p>
    <w:p w:rsidR="00C232A3" w:rsidRPr="00AB62BD" w:rsidRDefault="00C232A3" w:rsidP="00C232A3">
      <w:pPr>
        <w:pStyle w:val="ARfinbody"/>
      </w:pPr>
      <w:r w:rsidRPr="00AB62BD">
        <w:t>Except as otherwise detailed in the following table, the carrying amount of contractual financial assets recorded in the financial report statements, net of any allowances for losses, represents the department’s maximum exposure to credit risk without taking account of the value of any collateral obtained.</w:t>
      </w:r>
    </w:p>
    <w:p w:rsidR="00C232A3" w:rsidRPr="00AB62BD" w:rsidRDefault="00C232A3" w:rsidP="00C232A3">
      <w:pPr>
        <w:pStyle w:val="ARfinbody"/>
      </w:pPr>
      <w:r w:rsidRPr="00AB62BD">
        <w:t xml:space="preserve">There has been no material change to the department’s credit risk profile in </w:t>
      </w:r>
      <w:r>
        <w:t>2016–17</w:t>
      </w:r>
      <w:r w:rsidRPr="00AB62BD">
        <w:t>.</w:t>
      </w:r>
    </w:p>
    <w:p w:rsidR="001B06CC" w:rsidRPr="001B06CC" w:rsidRDefault="001B06CC" w:rsidP="001B06CC">
      <w:pPr>
        <w:pStyle w:val="ARbody"/>
      </w:pPr>
      <w:r w:rsidRPr="001B06CC">
        <w:br w:type="page"/>
      </w:r>
    </w:p>
    <w:p w:rsidR="00C232A3" w:rsidRPr="006402A9" w:rsidRDefault="00C232A3" w:rsidP="00FB460C">
      <w:pPr>
        <w:pStyle w:val="Heading6"/>
      </w:pPr>
      <w:r w:rsidRPr="006402A9">
        <w:lastRenderedPageBreak/>
        <w:t>Credit quality of contractual financial assets that are neither past due nor impaired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794"/>
        <w:gridCol w:w="1212"/>
        <w:gridCol w:w="1211"/>
        <w:gridCol w:w="1211"/>
        <w:gridCol w:w="1211"/>
      </w:tblGrid>
      <w:tr w:rsidR="00C232A3" w:rsidRPr="00AB62BD" w:rsidTr="00C232A3">
        <w:trPr>
          <w:cantSplit/>
          <w:tblHeader/>
        </w:trPr>
        <w:tc>
          <w:tcPr>
            <w:tcW w:w="6902" w:type="dxa"/>
            <w:vAlign w:val="bottom"/>
          </w:tcPr>
          <w:p w:rsidR="00C232A3" w:rsidRPr="0029546E" w:rsidRDefault="00C232A3" w:rsidP="006402A9">
            <w:pPr>
              <w:pStyle w:val="ARfintablecolheadright"/>
              <w:keepNext/>
            </w:pPr>
          </w:p>
        </w:tc>
        <w:tc>
          <w:tcPr>
            <w:tcW w:w="1701" w:type="dxa"/>
            <w:vAlign w:val="bottom"/>
          </w:tcPr>
          <w:p w:rsidR="00C232A3" w:rsidRPr="0029546E" w:rsidRDefault="00C232A3" w:rsidP="006402A9">
            <w:pPr>
              <w:pStyle w:val="ARfintablecolheadright"/>
              <w:keepNext/>
            </w:pPr>
            <w:r w:rsidRPr="0029546E">
              <w:t>Financial institutions Double-A credit rating</w:t>
            </w:r>
          </w:p>
          <w:p w:rsidR="00C232A3" w:rsidRPr="0029546E" w:rsidRDefault="00C232A3" w:rsidP="006402A9">
            <w:pPr>
              <w:pStyle w:val="ARfintablecolheadright"/>
              <w:keepNext/>
            </w:pPr>
            <w:r w:rsidRPr="0029546E">
              <w:t>Total</w:t>
            </w:r>
          </w:p>
          <w:p w:rsidR="00C232A3" w:rsidRPr="0029546E" w:rsidRDefault="00C232A3" w:rsidP="006402A9">
            <w:pPr>
              <w:pStyle w:val="ARfintablecolheadright"/>
              <w:keepNext/>
            </w:pPr>
            <w:r w:rsidRPr="0029546E">
              <w:t>$M</w:t>
            </w:r>
          </w:p>
        </w:tc>
        <w:tc>
          <w:tcPr>
            <w:tcW w:w="1701" w:type="dxa"/>
            <w:vAlign w:val="bottom"/>
          </w:tcPr>
          <w:p w:rsidR="00C232A3" w:rsidRPr="0029546E" w:rsidRDefault="00C232A3" w:rsidP="006402A9">
            <w:pPr>
              <w:pStyle w:val="ARfintablecolheadright"/>
              <w:keepNext/>
            </w:pPr>
            <w:r w:rsidRPr="0029546E">
              <w:t>Government agencies Triple-A credit rating</w:t>
            </w:r>
          </w:p>
          <w:p w:rsidR="00C232A3" w:rsidRPr="0029546E" w:rsidRDefault="00C232A3" w:rsidP="006402A9">
            <w:pPr>
              <w:pStyle w:val="ARfintablecolheadright"/>
              <w:keepNext/>
            </w:pPr>
            <w:r w:rsidRPr="0029546E">
              <w:t>Total</w:t>
            </w:r>
          </w:p>
          <w:p w:rsidR="00C232A3" w:rsidRPr="0029546E" w:rsidRDefault="00C232A3" w:rsidP="006402A9">
            <w:pPr>
              <w:pStyle w:val="ARfintablecolheadright"/>
              <w:keepNext/>
            </w:pPr>
            <w:r w:rsidRPr="0029546E">
              <w:t>$M</w:t>
            </w:r>
          </w:p>
        </w:tc>
        <w:tc>
          <w:tcPr>
            <w:tcW w:w="1701" w:type="dxa"/>
            <w:vAlign w:val="bottom"/>
          </w:tcPr>
          <w:p w:rsidR="00C232A3" w:rsidRPr="0029546E" w:rsidRDefault="00C232A3" w:rsidP="006402A9">
            <w:pPr>
              <w:pStyle w:val="ARfintablecolheadright"/>
              <w:keepNext/>
            </w:pPr>
            <w:r w:rsidRPr="0029546E">
              <w:t>Credit ratings not disclosed</w:t>
            </w:r>
          </w:p>
          <w:p w:rsidR="00C232A3" w:rsidRPr="0029546E" w:rsidRDefault="00C232A3" w:rsidP="006402A9">
            <w:pPr>
              <w:pStyle w:val="ARfintablecolheadright"/>
              <w:keepNext/>
            </w:pPr>
            <w:r w:rsidRPr="0029546E">
              <w:t>$M</w:t>
            </w:r>
          </w:p>
        </w:tc>
        <w:tc>
          <w:tcPr>
            <w:tcW w:w="1701" w:type="dxa"/>
            <w:vAlign w:val="bottom"/>
          </w:tcPr>
          <w:p w:rsidR="00C232A3" w:rsidRPr="0029546E" w:rsidRDefault="00C232A3" w:rsidP="006402A9">
            <w:pPr>
              <w:pStyle w:val="ARfintablecolheadright"/>
              <w:keepNext/>
            </w:pPr>
            <w:r w:rsidRPr="0029546E">
              <w:t>Total</w:t>
            </w:r>
          </w:p>
          <w:p w:rsidR="00C232A3" w:rsidRPr="0029546E" w:rsidRDefault="00C232A3" w:rsidP="006402A9">
            <w:pPr>
              <w:pStyle w:val="ARfintablecolheadright"/>
              <w:keepNext/>
            </w:pPr>
            <w:r w:rsidRPr="0029546E">
              <w:t>$M</w:t>
            </w:r>
          </w:p>
        </w:tc>
      </w:tr>
      <w:tr w:rsidR="00C232A3" w:rsidRPr="00AB62BD" w:rsidTr="00C232A3">
        <w:trPr>
          <w:cantSplit/>
        </w:trPr>
        <w:tc>
          <w:tcPr>
            <w:tcW w:w="2835" w:type="dxa"/>
            <w:tcBorders>
              <w:bottom w:val="single" w:sz="4" w:space="0" w:color="auto"/>
            </w:tcBorders>
          </w:tcPr>
          <w:p w:rsidR="00C232A3" w:rsidRPr="00AB62BD" w:rsidRDefault="00C232A3" w:rsidP="006402A9">
            <w:pPr>
              <w:pStyle w:val="ARfintablebody"/>
              <w:keepNext/>
              <w:rPr>
                <w:lang w:eastAsia="en-AU"/>
              </w:rPr>
            </w:pPr>
            <w:r w:rsidRPr="00AB62BD">
              <w:rPr>
                <w:rStyle w:val="Strong"/>
              </w:rPr>
              <w:t>2017</w:t>
            </w:r>
          </w:p>
        </w:tc>
        <w:tc>
          <w:tcPr>
            <w:tcW w:w="1701" w:type="dxa"/>
            <w:tcBorders>
              <w:bottom w:val="single" w:sz="4" w:space="0" w:color="auto"/>
            </w:tcBorders>
          </w:tcPr>
          <w:p w:rsidR="00C232A3" w:rsidRPr="00AB62BD" w:rsidRDefault="00C232A3" w:rsidP="006402A9">
            <w:pPr>
              <w:pStyle w:val="ARfintablebodyright"/>
              <w:keepNext/>
              <w:rPr>
                <w:lang w:eastAsia="en-AU"/>
              </w:rPr>
            </w:pPr>
          </w:p>
        </w:tc>
        <w:tc>
          <w:tcPr>
            <w:tcW w:w="1701" w:type="dxa"/>
            <w:tcBorders>
              <w:bottom w:val="single" w:sz="4" w:space="0" w:color="auto"/>
            </w:tcBorders>
          </w:tcPr>
          <w:p w:rsidR="00C232A3" w:rsidRPr="00AB62BD" w:rsidRDefault="00C232A3" w:rsidP="006402A9">
            <w:pPr>
              <w:pStyle w:val="ARfintablebodyright"/>
              <w:keepNext/>
              <w:rPr>
                <w:lang w:eastAsia="en-AU"/>
              </w:rPr>
            </w:pPr>
          </w:p>
        </w:tc>
        <w:tc>
          <w:tcPr>
            <w:tcW w:w="1701" w:type="dxa"/>
            <w:tcBorders>
              <w:bottom w:val="single" w:sz="4" w:space="0" w:color="auto"/>
            </w:tcBorders>
          </w:tcPr>
          <w:p w:rsidR="00C232A3" w:rsidRPr="00AB62BD" w:rsidRDefault="00C232A3" w:rsidP="006402A9">
            <w:pPr>
              <w:pStyle w:val="ARfintablebodyright"/>
              <w:keepNext/>
              <w:rPr>
                <w:lang w:eastAsia="en-AU"/>
              </w:rPr>
            </w:pPr>
          </w:p>
        </w:tc>
        <w:tc>
          <w:tcPr>
            <w:tcW w:w="1701" w:type="dxa"/>
            <w:tcBorders>
              <w:bottom w:val="single" w:sz="4" w:space="0" w:color="auto"/>
            </w:tcBorders>
          </w:tcPr>
          <w:p w:rsidR="00C232A3" w:rsidRPr="00AB62BD" w:rsidRDefault="00C232A3" w:rsidP="006402A9">
            <w:pPr>
              <w:pStyle w:val="ARfintablebodyright"/>
              <w:keepNext/>
              <w:rPr>
                <w:lang w:eastAsia="en-AU"/>
              </w:rPr>
            </w:pPr>
          </w:p>
        </w:tc>
      </w:tr>
      <w:tr w:rsidR="00C232A3" w:rsidRPr="00AB62BD" w:rsidTr="00C232A3">
        <w:trPr>
          <w:cantSplit/>
        </w:trPr>
        <w:tc>
          <w:tcPr>
            <w:tcW w:w="2835"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22.9</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360.7</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383.7</w:t>
            </w:r>
          </w:p>
        </w:tc>
      </w:tr>
      <w:tr w:rsidR="00C232A3" w:rsidRPr="00AB62BD" w:rsidTr="00C232A3">
        <w:trPr>
          <w:cantSplit/>
        </w:trPr>
        <w:tc>
          <w:tcPr>
            <w:tcW w:w="283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Receivables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r>
              <w:rPr>
                <w:vertAlign w:val="superscript"/>
                <w:lang w:eastAsia="en-AU"/>
              </w:rPr>
              <w:t xml:space="preserve"> </w:t>
            </w:r>
            <w:r w:rsidRPr="00AB62BD">
              <w:rPr>
                <w:vertAlign w:val="superscript"/>
                <w:lang w:eastAsia="en-AU"/>
              </w:rPr>
              <w:t>(ii)</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112.0</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112.0</w:t>
            </w:r>
          </w:p>
        </w:tc>
      </w:tr>
      <w:tr w:rsidR="00C232A3" w:rsidRPr="00AB62BD" w:rsidTr="00C232A3">
        <w:trPr>
          <w:cantSplit/>
        </w:trPr>
        <w:tc>
          <w:tcPr>
            <w:tcW w:w="283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Loans </w:t>
            </w:r>
            <w:r w:rsidRPr="00AB62BD">
              <w:rPr>
                <w:vertAlign w:val="superscript"/>
                <w:lang w:eastAsia="en-AU"/>
              </w:rPr>
              <w:t>(ii)</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81.0</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81.0</w:t>
            </w:r>
          </w:p>
        </w:tc>
      </w:tr>
      <w:tr w:rsidR="00C232A3" w:rsidRPr="00AB62BD" w:rsidTr="00C232A3">
        <w:trPr>
          <w:cantSplit/>
        </w:trPr>
        <w:tc>
          <w:tcPr>
            <w:tcW w:w="2835"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 term investments – term deposits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418.5</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418.5</w:t>
            </w:r>
          </w:p>
        </w:tc>
      </w:tr>
      <w:tr w:rsidR="00C232A3" w:rsidRPr="00AB62BD" w:rsidTr="00C232A3">
        <w:trPr>
          <w:cantSplit/>
        </w:trPr>
        <w:tc>
          <w:tcPr>
            <w:tcW w:w="2835" w:type="dxa"/>
          </w:tcPr>
          <w:p w:rsidR="00C232A3" w:rsidRPr="00AB62BD" w:rsidRDefault="00C232A3" w:rsidP="00C232A3">
            <w:pPr>
              <w:pStyle w:val="ARfintablebody"/>
              <w:rPr>
                <w:bCs/>
                <w:lang w:eastAsia="en-AU"/>
              </w:rPr>
            </w:pPr>
            <w:r w:rsidRPr="00AB62BD">
              <w:rPr>
                <w:rStyle w:val="Strong"/>
              </w:rPr>
              <w:t>Total contractual financial assets</w:t>
            </w:r>
          </w:p>
        </w:tc>
        <w:tc>
          <w:tcPr>
            <w:tcW w:w="1701" w:type="dxa"/>
          </w:tcPr>
          <w:p w:rsidR="00C232A3" w:rsidRPr="00AB62BD" w:rsidRDefault="00C232A3" w:rsidP="00C232A3">
            <w:pPr>
              <w:pStyle w:val="ARfintablebodyright"/>
              <w:rPr>
                <w:b/>
                <w:bCs/>
                <w:lang w:eastAsia="en-AU"/>
              </w:rPr>
            </w:pPr>
            <w:r w:rsidRPr="00AB62BD">
              <w:rPr>
                <w:rStyle w:val="Strong"/>
              </w:rPr>
              <w:t>22.9</w:t>
            </w:r>
          </w:p>
        </w:tc>
        <w:tc>
          <w:tcPr>
            <w:tcW w:w="1701" w:type="dxa"/>
          </w:tcPr>
          <w:p w:rsidR="00C232A3" w:rsidRPr="00AB62BD" w:rsidRDefault="00C232A3" w:rsidP="00C232A3">
            <w:pPr>
              <w:pStyle w:val="ARfintablebodyright"/>
              <w:rPr>
                <w:b/>
                <w:bCs/>
                <w:lang w:eastAsia="en-AU"/>
              </w:rPr>
            </w:pPr>
            <w:r w:rsidRPr="00AB62BD">
              <w:rPr>
                <w:rStyle w:val="Strong"/>
              </w:rPr>
              <w:t>779.2</w:t>
            </w:r>
          </w:p>
        </w:tc>
        <w:tc>
          <w:tcPr>
            <w:tcW w:w="1701" w:type="dxa"/>
          </w:tcPr>
          <w:p w:rsidR="00C232A3" w:rsidRPr="00AB62BD" w:rsidRDefault="00C232A3" w:rsidP="00C232A3">
            <w:pPr>
              <w:pStyle w:val="ARfintablebodyright"/>
              <w:rPr>
                <w:b/>
                <w:bCs/>
                <w:lang w:eastAsia="en-AU"/>
              </w:rPr>
            </w:pPr>
            <w:r w:rsidRPr="00AB62BD">
              <w:rPr>
                <w:rStyle w:val="Strong"/>
              </w:rPr>
              <w:t>193.0</w:t>
            </w:r>
          </w:p>
        </w:tc>
        <w:tc>
          <w:tcPr>
            <w:tcW w:w="1701" w:type="dxa"/>
          </w:tcPr>
          <w:p w:rsidR="00C232A3" w:rsidRPr="00AB62BD" w:rsidRDefault="00C232A3" w:rsidP="00C232A3">
            <w:pPr>
              <w:pStyle w:val="ARfintablebodyright"/>
              <w:rPr>
                <w:b/>
                <w:bCs/>
                <w:lang w:eastAsia="en-AU"/>
              </w:rPr>
            </w:pPr>
            <w:r w:rsidRPr="00AB62BD">
              <w:rPr>
                <w:rStyle w:val="Strong"/>
              </w:rPr>
              <w:t>995.2</w:t>
            </w:r>
          </w:p>
        </w:tc>
      </w:tr>
      <w:tr w:rsidR="00C232A3" w:rsidRPr="00AB62BD" w:rsidTr="00C232A3">
        <w:trPr>
          <w:cantSplit/>
        </w:trPr>
        <w:tc>
          <w:tcPr>
            <w:tcW w:w="2835" w:type="dxa"/>
            <w:tcBorders>
              <w:bottom w:val="single" w:sz="4" w:space="0" w:color="auto"/>
            </w:tcBorders>
          </w:tcPr>
          <w:p w:rsidR="00C232A3" w:rsidRPr="00AB62BD" w:rsidRDefault="00C232A3" w:rsidP="00C232A3">
            <w:pPr>
              <w:pStyle w:val="ARfintablebody"/>
              <w:rPr>
                <w:bCs/>
                <w:lang w:eastAsia="en-AU"/>
              </w:rPr>
            </w:pPr>
            <w:r w:rsidRPr="00AB62BD">
              <w:rPr>
                <w:rStyle w:val="Strong"/>
              </w:rPr>
              <w:t>2016</w:t>
            </w:r>
          </w:p>
        </w:tc>
        <w:tc>
          <w:tcPr>
            <w:tcW w:w="1701" w:type="dxa"/>
            <w:tcBorders>
              <w:bottom w:val="single" w:sz="4" w:space="0" w:color="auto"/>
            </w:tcBorders>
          </w:tcPr>
          <w:p w:rsidR="00C232A3" w:rsidRPr="00AB62BD" w:rsidRDefault="00C232A3" w:rsidP="00C232A3">
            <w:pPr>
              <w:pStyle w:val="ARfintablebodyright"/>
              <w:rPr>
                <w:b/>
                <w:bCs/>
                <w:lang w:eastAsia="en-AU"/>
              </w:rPr>
            </w:pPr>
          </w:p>
        </w:tc>
        <w:tc>
          <w:tcPr>
            <w:tcW w:w="1701" w:type="dxa"/>
            <w:tcBorders>
              <w:bottom w:val="single" w:sz="4" w:space="0" w:color="auto"/>
            </w:tcBorders>
          </w:tcPr>
          <w:p w:rsidR="00C232A3" w:rsidRPr="00AB62BD" w:rsidRDefault="00C232A3" w:rsidP="00C232A3">
            <w:pPr>
              <w:pStyle w:val="ARfintablebodyright"/>
              <w:rPr>
                <w:b/>
                <w:bCs/>
                <w:lang w:eastAsia="en-AU"/>
              </w:rPr>
            </w:pPr>
          </w:p>
        </w:tc>
        <w:tc>
          <w:tcPr>
            <w:tcW w:w="1701" w:type="dxa"/>
            <w:tcBorders>
              <w:bottom w:val="single" w:sz="4" w:space="0" w:color="auto"/>
            </w:tcBorders>
          </w:tcPr>
          <w:p w:rsidR="00C232A3" w:rsidRPr="00AB62BD" w:rsidRDefault="00C232A3" w:rsidP="00C232A3">
            <w:pPr>
              <w:pStyle w:val="ARfintablebodyright"/>
              <w:rPr>
                <w:b/>
                <w:bCs/>
                <w:lang w:eastAsia="en-AU"/>
              </w:rPr>
            </w:pPr>
          </w:p>
        </w:tc>
        <w:tc>
          <w:tcPr>
            <w:tcW w:w="1701" w:type="dxa"/>
            <w:tcBorders>
              <w:bottom w:val="single" w:sz="4" w:space="0" w:color="auto"/>
            </w:tcBorders>
          </w:tcPr>
          <w:p w:rsidR="00C232A3" w:rsidRPr="00AB62BD" w:rsidRDefault="00C232A3" w:rsidP="00C232A3">
            <w:pPr>
              <w:pStyle w:val="ARfintablebodyright"/>
              <w:rPr>
                <w:b/>
                <w:bCs/>
                <w:lang w:eastAsia="en-AU"/>
              </w:rPr>
            </w:pPr>
          </w:p>
        </w:tc>
      </w:tr>
      <w:tr w:rsidR="00C232A3" w:rsidRPr="00AB62BD" w:rsidTr="00C232A3">
        <w:trPr>
          <w:cantSplit/>
        </w:trPr>
        <w:tc>
          <w:tcPr>
            <w:tcW w:w="2835"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27.2</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203.6</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230.8</w:t>
            </w:r>
          </w:p>
        </w:tc>
      </w:tr>
      <w:tr w:rsidR="00C232A3" w:rsidRPr="00AB62BD" w:rsidTr="00C232A3">
        <w:trPr>
          <w:cantSplit/>
        </w:trPr>
        <w:tc>
          <w:tcPr>
            <w:tcW w:w="283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Receivables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r>
              <w:rPr>
                <w:vertAlign w:val="superscript"/>
                <w:lang w:eastAsia="en-AU"/>
              </w:rPr>
              <w:t xml:space="preserve"> </w:t>
            </w:r>
            <w:r w:rsidRPr="00AB62BD">
              <w:rPr>
                <w:vertAlign w:val="superscript"/>
                <w:lang w:eastAsia="en-AU"/>
              </w:rPr>
              <w:t>(ii)</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75.5</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75.5</w:t>
            </w:r>
          </w:p>
        </w:tc>
      </w:tr>
      <w:tr w:rsidR="00C232A3" w:rsidRPr="00AB62BD" w:rsidTr="00C232A3">
        <w:trPr>
          <w:cantSplit/>
        </w:trPr>
        <w:tc>
          <w:tcPr>
            <w:tcW w:w="2835"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Loans </w:t>
            </w:r>
            <w:r w:rsidRPr="00AB62BD">
              <w:rPr>
                <w:vertAlign w:val="superscript"/>
                <w:lang w:eastAsia="en-AU"/>
              </w:rPr>
              <w:t>(ii)</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83.3</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83.3</w:t>
            </w:r>
          </w:p>
        </w:tc>
      </w:tr>
      <w:tr w:rsidR="00C232A3" w:rsidRPr="00AB62BD" w:rsidTr="00C232A3">
        <w:trPr>
          <w:cantSplit/>
        </w:trPr>
        <w:tc>
          <w:tcPr>
            <w:tcW w:w="2835"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 term investments – term deposits</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346.8</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346.8</w:t>
            </w:r>
          </w:p>
        </w:tc>
      </w:tr>
      <w:tr w:rsidR="00C232A3" w:rsidRPr="00AB62BD" w:rsidTr="00C232A3">
        <w:trPr>
          <w:cantSplit/>
        </w:trPr>
        <w:tc>
          <w:tcPr>
            <w:tcW w:w="2835" w:type="dxa"/>
          </w:tcPr>
          <w:p w:rsidR="00C232A3" w:rsidRPr="00AB62BD" w:rsidRDefault="00C232A3" w:rsidP="00C232A3">
            <w:pPr>
              <w:pStyle w:val="ARfintablebody"/>
              <w:rPr>
                <w:bCs/>
                <w:lang w:eastAsia="en-AU"/>
              </w:rPr>
            </w:pPr>
            <w:r w:rsidRPr="00AB62BD">
              <w:rPr>
                <w:rStyle w:val="Strong"/>
              </w:rPr>
              <w:t>Total contractual financial assets</w:t>
            </w:r>
          </w:p>
        </w:tc>
        <w:tc>
          <w:tcPr>
            <w:tcW w:w="1701" w:type="dxa"/>
          </w:tcPr>
          <w:p w:rsidR="00C232A3" w:rsidRPr="00AB62BD" w:rsidRDefault="00C232A3" w:rsidP="00C232A3">
            <w:pPr>
              <w:pStyle w:val="ARfintablebodyright"/>
              <w:rPr>
                <w:b/>
                <w:bCs/>
                <w:lang w:eastAsia="en-AU"/>
              </w:rPr>
            </w:pPr>
            <w:r w:rsidRPr="00AB62BD">
              <w:rPr>
                <w:rStyle w:val="Strong"/>
              </w:rPr>
              <w:t>27.2</w:t>
            </w:r>
          </w:p>
        </w:tc>
        <w:tc>
          <w:tcPr>
            <w:tcW w:w="1701" w:type="dxa"/>
          </w:tcPr>
          <w:p w:rsidR="00C232A3" w:rsidRPr="00AB62BD" w:rsidRDefault="00C232A3" w:rsidP="00C232A3">
            <w:pPr>
              <w:pStyle w:val="ARfintablebodyright"/>
              <w:rPr>
                <w:b/>
                <w:bCs/>
                <w:lang w:eastAsia="en-AU"/>
              </w:rPr>
            </w:pPr>
            <w:r w:rsidRPr="00AB62BD">
              <w:rPr>
                <w:rStyle w:val="Strong"/>
              </w:rPr>
              <w:t>550.4</w:t>
            </w:r>
          </w:p>
        </w:tc>
        <w:tc>
          <w:tcPr>
            <w:tcW w:w="1701" w:type="dxa"/>
          </w:tcPr>
          <w:p w:rsidR="00C232A3" w:rsidRPr="00AB62BD" w:rsidRDefault="00C232A3" w:rsidP="00C232A3">
            <w:pPr>
              <w:pStyle w:val="ARfintablebodyright"/>
              <w:rPr>
                <w:b/>
                <w:bCs/>
                <w:lang w:eastAsia="en-AU"/>
              </w:rPr>
            </w:pPr>
            <w:r w:rsidRPr="00AB62BD">
              <w:rPr>
                <w:rStyle w:val="Strong"/>
              </w:rPr>
              <w:t>158.8</w:t>
            </w:r>
          </w:p>
        </w:tc>
        <w:tc>
          <w:tcPr>
            <w:tcW w:w="1701" w:type="dxa"/>
          </w:tcPr>
          <w:p w:rsidR="00C232A3" w:rsidRPr="00AB62BD" w:rsidRDefault="00C232A3" w:rsidP="00C232A3">
            <w:pPr>
              <w:pStyle w:val="ARfintablebodyright"/>
              <w:rPr>
                <w:rStyle w:val="Strong"/>
                <w:bCs w:val="0"/>
              </w:rPr>
            </w:pPr>
            <w:r w:rsidRPr="00AB62BD">
              <w:rPr>
                <w:rStyle w:val="Strong"/>
              </w:rPr>
              <w:t>736.4</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The total amounts disclosed here exclude statutory amounts e.g. amounts owing from Victorian Government, GST input tax credit recoverable and other taxes payable.</w:t>
      </w:r>
    </w:p>
    <w:p w:rsidR="00C232A3" w:rsidRPr="00AB62BD" w:rsidRDefault="00C232A3" w:rsidP="00C232A3">
      <w:pPr>
        <w:pStyle w:val="ARfintablefootnoteroman"/>
      </w:pPr>
      <w:r>
        <w:t>(ii)</w:t>
      </w:r>
      <w:r>
        <w:tab/>
      </w:r>
      <w:r w:rsidRPr="00AB62BD">
        <w:t>The carrying amounts consist of amounts due from numerous counterparties for which no credit ratings have been disclosed due to impracticability.</w:t>
      </w:r>
    </w:p>
    <w:p w:rsidR="00C232A3" w:rsidRPr="006402A9" w:rsidRDefault="00C232A3" w:rsidP="00FB460C">
      <w:pPr>
        <w:pStyle w:val="Heading6"/>
      </w:pPr>
      <w:r w:rsidRPr="006402A9">
        <w:t>8.1.3.2 Financial instruments: Liquidity risk</w:t>
      </w:r>
    </w:p>
    <w:p w:rsidR="00C232A3" w:rsidRPr="00AB62BD" w:rsidRDefault="00C232A3" w:rsidP="00C232A3">
      <w:pPr>
        <w:pStyle w:val="ARfinbody"/>
        <w:rPr>
          <w:lang w:eastAsia="en-AU"/>
        </w:rPr>
      </w:pPr>
      <w:r w:rsidRPr="00AB62BD">
        <w:rPr>
          <w:lang w:eastAsia="en-AU"/>
        </w:rPr>
        <w:t>Liquidity risk arises from being unable to meet financial obligations as they fall due. The department operates under the government fair payments policy of settling financial obligations within 30 days and in the event of a dispute, make payments within 30 days from the date of resolution.</w:t>
      </w:r>
    </w:p>
    <w:p w:rsidR="00C232A3" w:rsidRPr="00AB62BD" w:rsidRDefault="00C232A3" w:rsidP="00C232A3">
      <w:pPr>
        <w:pStyle w:val="ARfinbody"/>
        <w:rPr>
          <w:lang w:eastAsia="en-AU"/>
        </w:rPr>
      </w:pPr>
      <w:r w:rsidRPr="00AB62BD">
        <w:rPr>
          <w:lang w:eastAsia="en-AU"/>
        </w:rPr>
        <w:t>The department is exposed to liquidity risk mainly through the financial liabilities as disclosed in the face of the balance sheet and the amounts related to financial guarantees. The department manages its liquidity risk by:</w:t>
      </w:r>
    </w:p>
    <w:p w:rsidR="00C232A3" w:rsidRPr="00AB62BD" w:rsidRDefault="00C232A3" w:rsidP="00C232A3">
      <w:pPr>
        <w:pStyle w:val="ARfinbullet1"/>
        <w:rPr>
          <w:lang w:eastAsia="en-AU"/>
        </w:rPr>
      </w:pPr>
      <w:r w:rsidRPr="00AB62BD">
        <w:rPr>
          <w:lang w:eastAsia="en-AU"/>
        </w:rPr>
        <w:t>close monitoring of its short-term and long-term borrowings by senior management, including monthly reviews on current and future borrowing levels and requirements;</w:t>
      </w:r>
    </w:p>
    <w:p w:rsidR="00C232A3" w:rsidRPr="00AB62BD" w:rsidRDefault="00C232A3" w:rsidP="00C232A3">
      <w:pPr>
        <w:pStyle w:val="ARfinbullet1"/>
        <w:rPr>
          <w:lang w:eastAsia="en-AU"/>
        </w:rPr>
      </w:pPr>
      <w:r w:rsidRPr="00AB62BD">
        <w:rPr>
          <w:lang w:eastAsia="en-AU"/>
        </w:rPr>
        <w:t>maintaining an adequate level of uncommitted funds that can be drawn at short notice to meet its short term obligations;</w:t>
      </w:r>
    </w:p>
    <w:p w:rsidR="00C232A3" w:rsidRPr="00AB62BD" w:rsidRDefault="00C232A3" w:rsidP="00C232A3">
      <w:pPr>
        <w:pStyle w:val="ARfinbullet1"/>
        <w:rPr>
          <w:lang w:eastAsia="en-AU"/>
        </w:rPr>
      </w:pPr>
      <w:r w:rsidRPr="00AB62BD">
        <w:rPr>
          <w:lang w:eastAsia="en-AU"/>
        </w:rPr>
        <w:t>holding investments and other contractual financial assets that are readily tradeable in the financial markets;</w:t>
      </w:r>
    </w:p>
    <w:p w:rsidR="00C232A3" w:rsidRPr="00AB62BD" w:rsidRDefault="00C232A3" w:rsidP="00C232A3">
      <w:pPr>
        <w:pStyle w:val="ARfinbullet1"/>
        <w:rPr>
          <w:lang w:eastAsia="en-AU"/>
        </w:rPr>
      </w:pPr>
      <w:r w:rsidRPr="00AB62BD">
        <w:rPr>
          <w:lang w:eastAsia="en-AU"/>
        </w:rPr>
        <w:t>careful maturity planning of its financial obligations based on forecasts of future cash flows; and</w:t>
      </w:r>
    </w:p>
    <w:p w:rsidR="00C232A3" w:rsidRPr="00AB62BD" w:rsidRDefault="00C232A3" w:rsidP="00C232A3">
      <w:pPr>
        <w:pStyle w:val="ARfinbullet1"/>
        <w:rPr>
          <w:lang w:eastAsia="en-AU"/>
        </w:rPr>
      </w:pPr>
      <w:r w:rsidRPr="00AB62BD">
        <w:rPr>
          <w:lang w:eastAsia="en-AU"/>
        </w:rPr>
        <w:t>a high credit rating for the State of Victoria (Moody’s Investor Services, Standard &amp; Poor’s triple-A, which assists in accessing debt market at a lower interest rate).</w:t>
      </w:r>
    </w:p>
    <w:p w:rsidR="00C232A3" w:rsidRPr="00AB62BD" w:rsidRDefault="00C232A3" w:rsidP="00C232A3">
      <w:pPr>
        <w:pStyle w:val="ARfinbody"/>
        <w:rPr>
          <w:lang w:eastAsia="en-AU"/>
        </w:rPr>
      </w:pPr>
      <w:r w:rsidRPr="00AB62BD">
        <w:rPr>
          <w:lang w:eastAsia="en-AU"/>
        </w:rPr>
        <w:t>The department’s exposure to liquidity risk is deemed insignificant based on prior periods’ data and current assessment of risk.</w:t>
      </w:r>
    </w:p>
    <w:p w:rsidR="00C232A3" w:rsidRPr="00AB62BD" w:rsidRDefault="00C232A3" w:rsidP="00C232A3">
      <w:pPr>
        <w:pStyle w:val="ARfinbody"/>
        <w:rPr>
          <w:lang w:eastAsia="en-AU"/>
        </w:rPr>
      </w:pPr>
      <w:r w:rsidRPr="00AB62BD">
        <w:rPr>
          <w:lang w:eastAsia="en-AU"/>
        </w:rPr>
        <w:t>The carrying amount detailed in Notes 6.4.1 and 7.1.1, of contractual financial liabilities recorded in the financial statements, represents the department’s maximum exposure to liquidity risk.</w:t>
      </w:r>
    </w:p>
    <w:p w:rsidR="00C232A3" w:rsidRPr="006402A9" w:rsidRDefault="00C232A3" w:rsidP="00FB460C">
      <w:pPr>
        <w:pStyle w:val="Heading6"/>
      </w:pPr>
      <w:r w:rsidRPr="006402A9">
        <w:t>8.1.3.3 Financial instruments: Market risk</w:t>
      </w:r>
    </w:p>
    <w:p w:rsidR="00C232A3" w:rsidRPr="00AB62BD" w:rsidRDefault="00C232A3" w:rsidP="00C232A3">
      <w:pPr>
        <w:pStyle w:val="ARfinbody"/>
        <w:rPr>
          <w:lang w:eastAsia="en-AU"/>
        </w:rPr>
      </w:pPr>
      <w:r w:rsidRPr="00AB62BD">
        <w:rPr>
          <w:lang w:eastAsia="en-AU"/>
        </w:rPr>
        <w:t>The department’s exposures to market risk is primarily through interest rate risk. The department’s exposure to other price risks is insignificant. Objectives, policies and processes used to manage the risk are disclosed below.</w:t>
      </w:r>
    </w:p>
    <w:p w:rsidR="00C232A3" w:rsidRPr="001B06CC" w:rsidRDefault="00C232A3" w:rsidP="001B06CC">
      <w:pPr>
        <w:pStyle w:val="Heading7"/>
      </w:pPr>
      <w:r w:rsidRPr="001B06CC">
        <w:t>Sensitivity disclosure analysis and assumptions</w:t>
      </w:r>
    </w:p>
    <w:p w:rsidR="00C232A3" w:rsidRPr="00AB62BD" w:rsidRDefault="00C232A3" w:rsidP="00C232A3">
      <w:pPr>
        <w:pStyle w:val="ARfinbody"/>
        <w:rPr>
          <w:lang w:eastAsia="en-AU"/>
        </w:rPr>
      </w:pPr>
      <w:r w:rsidRPr="00AB62BD">
        <w:rPr>
          <w:lang w:eastAsia="en-AU"/>
        </w:rPr>
        <w:t>Taking into account past performance, future expectations, economic forecasts, and management’s knowledge and experience of the financial markets, the department believes the following movements are ‘reasonably possible’ over the next 12 months:</w:t>
      </w:r>
    </w:p>
    <w:p w:rsidR="00C232A3" w:rsidRPr="00AB62BD" w:rsidRDefault="00C232A3" w:rsidP="00C232A3">
      <w:pPr>
        <w:pStyle w:val="ARfinbullet1"/>
        <w:rPr>
          <w:lang w:eastAsia="en-AU"/>
        </w:rPr>
      </w:pPr>
      <w:r w:rsidRPr="00AB62BD">
        <w:rPr>
          <w:lang w:eastAsia="en-AU"/>
        </w:rPr>
        <w:t>A shift of +0.5% and -0.5% (2016: +0.25% and -0.25%) in market interest rates (AUD) from year end cash deposits.</w:t>
      </w:r>
    </w:p>
    <w:p w:rsidR="00C232A3" w:rsidRPr="00AB62BD" w:rsidRDefault="00C232A3" w:rsidP="00C232A3">
      <w:pPr>
        <w:pStyle w:val="ARfinbody"/>
        <w:rPr>
          <w:lang w:eastAsia="en-AU"/>
        </w:rPr>
      </w:pPr>
      <w:r w:rsidRPr="00AB62BD">
        <w:rPr>
          <w:lang w:eastAsia="en-AU"/>
        </w:rPr>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rsidR="00C232A3" w:rsidRPr="00AB62BD" w:rsidRDefault="00C232A3" w:rsidP="00C232A3">
      <w:pPr>
        <w:pStyle w:val="ARfinbody"/>
        <w:rPr>
          <w:lang w:eastAsia="en-AU"/>
        </w:rPr>
      </w:pPr>
      <w:r w:rsidRPr="00AB62BD">
        <w:rPr>
          <w:lang w:eastAsia="en-AU"/>
        </w:rPr>
        <w:t>The tables that follow show the impact on the department’s net result and equity for each category of financial instrument held by the department at the end of the reporting period, if the above movements were to occur.</w:t>
      </w:r>
    </w:p>
    <w:p w:rsidR="00C232A3" w:rsidRPr="006402A9" w:rsidRDefault="00C232A3" w:rsidP="001B06CC">
      <w:pPr>
        <w:pStyle w:val="Heading7"/>
      </w:pPr>
      <w:r w:rsidRPr="006402A9">
        <w:t>Interest rate risk</w:t>
      </w:r>
    </w:p>
    <w:p w:rsidR="00C232A3" w:rsidRPr="00AB62BD" w:rsidRDefault="00C232A3" w:rsidP="00C232A3">
      <w:pPr>
        <w:pStyle w:val="ARfinbody"/>
        <w:rPr>
          <w:lang w:eastAsia="en-AU"/>
        </w:rPr>
      </w:pPr>
      <w:r w:rsidRPr="00AB62BD">
        <w:rPr>
          <w:lang w:eastAsia="en-AU"/>
        </w:rPr>
        <w:t>Fair value interest rate risk is the risk that the fair value of a financial instrument will fluctuate because of changes in market interest rates. The department does not hold any interest bearing financial instruments that are measured at fair value, and therefore has no exposure to fair value interest rate risk.</w:t>
      </w:r>
    </w:p>
    <w:p w:rsidR="00C232A3" w:rsidRPr="00AB62BD" w:rsidRDefault="00C232A3" w:rsidP="00C232A3">
      <w:pPr>
        <w:pStyle w:val="ARfinbody"/>
        <w:rPr>
          <w:lang w:eastAsia="en-AU"/>
        </w:rPr>
      </w:pPr>
      <w:r w:rsidRPr="00AB62BD">
        <w:rPr>
          <w:lang w:eastAsia="en-AU"/>
        </w:rPr>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rsidR="00C232A3" w:rsidRPr="00AB62BD" w:rsidRDefault="00C232A3" w:rsidP="00C232A3">
      <w:pPr>
        <w:pStyle w:val="ARfinbody"/>
        <w:rPr>
          <w:lang w:eastAsia="en-AU"/>
        </w:rPr>
      </w:pPr>
      <w:r w:rsidRPr="00AB62BD">
        <w:rPr>
          <w:lang w:eastAsia="en-AU"/>
        </w:rPr>
        <w:t xml:space="preserve">Exposure to interest rate risk is insignificant and might arise primarily through the department’s interest bearing assets. Minimisation </w:t>
      </w:r>
      <w:r w:rsidR="0023764F">
        <w:rPr>
          <w:lang w:eastAsia="en-AU"/>
        </w:rPr>
        <w:br/>
      </w:r>
      <w:r w:rsidRPr="00AB62BD">
        <w:rPr>
          <w:lang w:eastAsia="en-AU"/>
        </w:rPr>
        <w:t>of risk is achieved by mainly undertaking fixed rate or non-interest bearing financial instruments. For financial liabilities, the department mainly incurs financial liabilities with relatively even maturity profiles.</w:t>
      </w:r>
    </w:p>
    <w:p w:rsidR="00C232A3" w:rsidRPr="00AB62BD" w:rsidRDefault="00C232A3" w:rsidP="00C232A3">
      <w:pPr>
        <w:pStyle w:val="ARfinbody"/>
        <w:rPr>
          <w:lang w:eastAsia="en-AU"/>
        </w:rPr>
      </w:pPr>
      <w:r w:rsidRPr="00AB62BD">
        <w:rPr>
          <w:lang w:eastAsia="en-AU"/>
        </w:rPr>
        <w:lastRenderedPageBreak/>
        <w:t>The carrying amounts of financial assets and financial liabilities that are exposed to interest rates and the department’s sensitivity to interest rate risk are set out in the table that follows.</w:t>
      </w:r>
    </w:p>
    <w:p w:rsidR="00C232A3" w:rsidRPr="006402A9" w:rsidRDefault="00C232A3" w:rsidP="005F3CDC">
      <w:pPr>
        <w:pStyle w:val="Heading7"/>
      </w:pPr>
      <w:r w:rsidRPr="006402A9">
        <w:t>Interest rate exposure of financial instruments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684"/>
        <w:gridCol w:w="1191"/>
        <w:gridCol w:w="1191"/>
        <w:gridCol w:w="1191"/>
        <w:gridCol w:w="1191"/>
        <w:gridCol w:w="1191"/>
      </w:tblGrid>
      <w:tr w:rsidR="00C232A3" w:rsidRPr="00AB62BD" w:rsidTr="00C232A3">
        <w:trPr>
          <w:cantSplit/>
          <w:trHeight w:val="20"/>
          <w:tblHeader/>
        </w:trPr>
        <w:tc>
          <w:tcPr>
            <w:tcW w:w="3686" w:type="dxa"/>
            <w:vMerge w:val="restart"/>
            <w:vAlign w:val="bottom"/>
          </w:tcPr>
          <w:p w:rsidR="00C232A3" w:rsidRPr="00AB62BD" w:rsidRDefault="00C232A3" w:rsidP="00C232A3">
            <w:pPr>
              <w:keepNext/>
              <w:autoSpaceDE w:val="0"/>
              <w:autoSpaceDN w:val="0"/>
              <w:adjustRightInd w:val="0"/>
              <w:spacing w:beforeLines="40" w:before="96" w:afterLines="20" w:after="48"/>
              <w:rPr>
                <w:rFonts w:cs="Arial"/>
                <w:b/>
                <w:bCs/>
                <w:color w:val="000000"/>
                <w:sz w:val="16"/>
                <w:szCs w:val="16"/>
                <w:lang w:eastAsia="en-AU"/>
              </w:rPr>
            </w:pPr>
          </w:p>
        </w:tc>
        <w:tc>
          <w:tcPr>
            <w:tcW w:w="1191" w:type="dxa"/>
            <w:vMerge w:val="restart"/>
            <w:vAlign w:val="bottom"/>
          </w:tcPr>
          <w:p w:rsidR="00C232A3" w:rsidRPr="0029546E" w:rsidRDefault="00C232A3" w:rsidP="00C232A3">
            <w:pPr>
              <w:pStyle w:val="ARfintablecolheadright"/>
            </w:pPr>
            <w:r w:rsidRPr="0029546E">
              <w:t>Weighted average effective interest rate</w:t>
            </w:r>
          </w:p>
          <w:p w:rsidR="00C232A3" w:rsidRPr="0029546E" w:rsidRDefault="00C232A3" w:rsidP="00C232A3">
            <w:pPr>
              <w:pStyle w:val="ARfintablecolheadright"/>
            </w:pPr>
            <w:r w:rsidRPr="0029546E">
              <w:t>(%)</w:t>
            </w:r>
          </w:p>
        </w:tc>
        <w:tc>
          <w:tcPr>
            <w:tcW w:w="1191" w:type="dxa"/>
            <w:vMerge w:val="restart"/>
            <w:vAlign w:val="bottom"/>
          </w:tcPr>
          <w:p w:rsidR="00C232A3" w:rsidRPr="0029546E" w:rsidRDefault="00C232A3" w:rsidP="00C232A3">
            <w:pPr>
              <w:pStyle w:val="ARfintablecolheadright"/>
            </w:pPr>
            <w:r w:rsidRPr="0029546E">
              <w:t>Carrying amount</w:t>
            </w:r>
          </w:p>
          <w:p w:rsidR="00C232A3" w:rsidRPr="0029546E" w:rsidRDefault="00C232A3" w:rsidP="00C232A3">
            <w:pPr>
              <w:pStyle w:val="ARfintablecolheadright"/>
            </w:pPr>
            <w:r w:rsidRPr="0029546E">
              <w:t>$M</w:t>
            </w:r>
          </w:p>
        </w:tc>
        <w:tc>
          <w:tcPr>
            <w:tcW w:w="1191" w:type="dxa"/>
            <w:gridSpan w:val="3"/>
            <w:vAlign w:val="bottom"/>
          </w:tcPr>
          <w:p w:rsidR="00C232A3" w:rsidRPr="0029546E" w:rsidRDefault="00C232A3" w:rsidP="00C232A3">
            <w:pPr>
              <w:pStyle w:val="ARfintablecolheadcentre"/>
            </w:pPr>
            <w:r w:rsidRPr="0029546E">
              <w:t>Interest rate exposure</w:t>
            </w:r>
          </w:p>
        </w:tc>
      </w:tr>
      <w:tr w:rsidR="00C232A3" w:rsidRPr="00AB62BD" w:rsidTr="00C232A3">
        <w:trPr>
          <w:cantSplit/>
          <w:trHeight w:val="20"/>
          <w:tblHeader/>
        </w:trPr>
        <w:tc>
          <w:tcPr>
            <w:tcW w:w="3686" w:type="dxa"/>
            <w:vMerge/>
            <w:vAlign w:val="bottom"/>
          </w:tcPr>
          <w:p w:rsidR="00C232A3" w:rsidRPr="00AB62BD" w:rsidRDefault="00C232A3" w:rsidP="00C232A3">
            <w:pPr>
              <w:autoSpaceDE w:val="0"/>
              <w:autoSpaceDN w:val="0"/>
              <w:adjustRightInd w:val="0"/>
              <w:spacing w:beforeLines="40" w:before="96" w:afterLines="20" w:after="48"/>
              <w:jc w:val="center"/>
              <w:rPr>
                <w:rFonts w:cs="Arial"/>
                <w:b/>
                <w:bCs/>
                <w:color w:val="000000"/>
                <w:sz w:val="16"/>
                <w:szCs w:val="16"/>
                <w:lang w:eastAsia="en-AU"/>
              </w:rPr>
            </w:pPr>
          </w:p>
        </w:tc>
        <w:tc>
          <w:tcPr>
            <w:tcW w:w="1191" w:type="dxa"/>
            <w:vMerge/>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191" w:type="dxa"/>
            <w:vMerge/>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191" w:type="dxa"/>
            <w:vAlign w:val="bottom"/>
          </w:tcPr>
          <w:p w:rsidR="00C232A3" w:rsidRPr="0029546E" w:rsidRDefault="00C232A3" w:rsidP="00C232A3">
            <w:pPr>
              <w:pStyle w:val="ARfintablecolheadright"/>
            </w:pPr>
            <w:r w:rsidRPr="0029546E">
              <w:t>Fixed interest rate</w:t>
            </w:r>
          </w:p>
          <w:p w:rsidR="00C232A3" w:rsidRPr="0029546E" w:rsidRDefault="00C232A3" w:rsidP="00C232A3">
            <w:pPr>
              <w:pStyle w:val="ARfintablecolheadright"/>
            </w:pPr>
            <w:r w:rsidRPr="0029546E">
              <w:t>$M</w:t>
            </w:r>
          </w:p>
        </w:tc>
        <w:tc>
          <w:tcPr>
            <w:tcW w:w="1191" w:type="dxa"/>
            <w:vAlign w:val="bottom"/>
          </w:tcPr>
          <w:p w:rsidR="00C232A3" w:rsidRPr="0029546E" w:rsidRDefault="00C232A3" w:rsidP="00C232A3">
            <w:pPr>
              <w:pStyle w:val="ARfintablecolheadright"/>
            </w:pPr>
            <w:r w:rsidRPr="0029546E">
              <w:t>Variable interest rate</w:t>
            </w:r>
          </w:p>
          <w:p w:rsidR="00C232A3" w:rsidRPr="0029546E" w:rsidRDefault="00C232A3" w:rsidP="00C232A3">
            <w:pPr>
              <w:pStyle w:val="ARfintablecolheadright"/>
            </w:pPr>
            <w:r w:rsidRPr="0029546E">
              <w:t>$M</w:t>
            </w:r>
          </w:p>
        </w:tc>
        <w:tc>
          <w:tcPr>
            <w:tcW w:w="1191" w:type="dxa"/>
            <w:vAlign w:val="bottom"/>
          </w:tcPr>
          <w:p w:rsidR="00C232A3" w:rsidRPr="0029546E" w:rsidRDefault="00C232A3" w:rsidP="00C232A3">
            <w:pPr>
              <w:pStyle w:val="ARfintablecolheadright"/>
            </w:pPr>
            <w:r w:rsidRPr="0029546E">
              <w:t>Non-interest bearing</w:t>
            </w:r>
          </w:p>
          <w:p w:rsidR="00C232A3" w:rsidRPr="0029546E" w:rsidRDefault="00C232A3" w:rsidP="00C232A3">
            <w:pPr>
              <w:pStyle w:val="ARfintablecolheadright"/>
            </w:pPr>
            <w:r w:rsidRPr="0029546E">
              <w:t>$M</w:t>
            </w:r>
          </w:p>
        </w:tc>
      </w:tr>
      <w:tr w:rsidR="00C232A3" w:rsidRPr="00AB62BD" w:rsidTr="00C232A3">
        <w:trPr>
          <w:cantSplit/>
        </w:trPr>
        <w:tc>
          <w:tcPr>
            <w:tcW w:w="3686" w:type="dxa"/>
            <w:tcBorders>
              <w:bottom w:val="single" w:sz="4" w:space="0" w:color="auto"/>
            </w:tcBorders>
          </w:tcPr>
          <w:p w:rsidR="00C232A3" w:rsidRPr="00AB62BD" w:rsidRDefault="00C232A3" w:rsidP="00C232A3">
            <w:pPr>
              <w:pStyle w:val="ARfintablebody"/>
              <w:rPr>
                <w:rStyle w:val="Strong"/>
                <w:bCs w:val="0"/>
              </w:rPr>
            </w:pPr>
            <w:r w:rsidRPr="00AB62BD">
              <w:rPr>
                <w:rStyle w:val="Strong"/>
              </w:rPr>
              <w:t>2017</w:t>
            </w:r>
          </w:p>
        </w:tc>
        <w:tc>
          <w:tcPr>
            <w:tcW w:w="1191" w:type="dxa"/>
            <w:tcBorders>
              <w:bottom w:val="single" w:sz="4" w:space="0" w:color="auto"/>
            </w:tcBorders>
          </w:tcPr>
          <w:p w:rsidR="00C232A3" w:rsidRPr="00AB62BD" w:rsidRDefault="00C232A3" w:rsidP="00C232A3">
            <w:pPr>
              <w:pStyle w:val="ARfintablebodyright"/>
              <w:rPr>
                <w:lang w:eastAsia="en-AU"/>
              </w:rPr>
            </w:pPr>
          </w:p>
        </w:tc>
        <w:tc>
          <w:tcPr>
            <w:tcW w:w="1191" w:type="dxa"/>
            <w:tcBorders>
              <w:bottom w:val="single" w:sz="4" w:space="0" w:color="auto"/>
            </w:tcBorders>
          </w:tcPr>
          <w:p w:rsidR="00C232A3" w:rsidRPr="00AB62BD" w:rsidRDefault="00C232A3" w:rsidP="00C232A3">
            <w:pPr>
              <w:pStyle w:val="ARfintablebodyright"/>
              <w:rPr>
                <w:lang w:eastAsia="en-AU"/>
              </w:rPr>
            </w:pPr>
          </w:p>
        </w:tc>
        <w:tc>
          <w:tcPr>
            <w:tcW w:w="1191" w:type="dxa"/>
            <w:tcBorders>
              <w:bottom w:val="single" w:sz="4" w:space="0" w:color="auto"/>
            </w:tcBorders>
          </w:tcPr>
          <w:p w:rsidR="00C232A3" w:rsidRPr="00AB62BD" w:rsidRDefault="00C232A3" w:rsidP="00C232A3">
            <w:pPr>
              <w:pStyle w:val="ARfintablebodyright"/>
              <w:rPr>
                <w:lang w:eastAsia="en-AU"/>
              </w:rPr>
            </w:pPr>
          </w:p>
        </w:tc>
        <w:tc>
          <w:tcPr>
            <w:tcW w:w="1191" w:type="dxa"/>
            <w:tcBorders>
              <w:bottom w:val="single" w:sz="4" w:space="0" w:color="auto"/>
            </w:tcBorders>
          </w:tcPr>
          <w:p w:rsidR="00C232A3" w:rsidRPr="00AB62BD" w:rsidRDefault="00C232A3" w:rsidP="00C232A3">
            <w:pPr>
              <w:pStyle w:val="ARfintablebodyright"/>
              <w:rPr>
                <w:lang w:eastAsia="en-AU"/>
              </w:rPr>
            </w:pPr>
          </w:p>
        </w:tc>
        <w:tc>
          <w:tcPr>
            <w:tcW w:w="1191"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C232A3">
        <w:trPr>
          <w:cantSplit/>
        </w:trPr>
        <w:tc>
          <w:tcPr>
            <w:tcW w:w="368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Financial assets</w:t>
            </w: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383.7</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64.8</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318.8</w:t>
            </w: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Receivables</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112.0</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112.0</w:t>
            </w: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Loans </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81.0</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16.5</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61.8</w:t>
            </w:r>
          </w:p>
        </w:tc>
      </w:tr>
      <w:tr w:rsidR="00C232A3" w:rsidRPr="00AB62BD" w:rsidTr="00C232A3">
        <w:trPr>
          <w:cantSplit/>
        </w:trPr>
        <w:tc>
          <w:tcPr>
            <w:tcW w:w="368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 term investments – term deposits</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418.5</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418.5</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3686"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financial assets</w:t>
            </w:r>
          </w:p>
        </w:tc>
        <w:tc>
          <w:tcPr>
            <w:tcW w:w="1191" w:type="dxa"/>
            <w:tcBorders>
              <w:bottom w:val="single" w:sz="4" w:space="0" w:color="auto"/>
            </w:tcBorders>
          </w:tcPr>
          <w:p w:rsidR="00C232A3" w:rsidRPr="00AB62BD" w:rsidRDefault="00C232A3" w:rsidP="00C232A3">
            <w:pPr>
              <w:pStyle w:val="ARfintablebodyright"/>
              <w:rPr>
                <w:b/>
                <w:bCs/>
                <w:lang w:eastAsia="en-AU"/>
              </w:rPr>
            </w:pP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995.2</w:t>
            </w: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421.2</w:t>
            </w: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81.3</w:t>
            </w: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492.6</w:t>
            </w:r>
          </w:p>
        </w:tc>
      </w:tr>
      <w:tr w:rsidR="00C232A3" w:rsidRPr="00AB62BD" w:rsidTr="00C232A3">
        <w:trPr>
          <w:cantSplit/>
        </w:trPr>
        <w:tc>
          <w:tcPr>
            <w:tcW w:w="368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Financial liabilities</w:t>
            </w: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Payables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1,207.1</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1,207.1</w:t>
            </w:r>
          </w:p>
        </w:tc>
      </w:tr>
      <w:tr w:rsidR="00C232A3" w:rsidRPr="00AB62BD" w:rsidTr="00C232A3">
        <w:trPr>
          <w:cantSplit/>
        </w:trPr>
        <w:tc>
          <w:tcPr>
            <w:tcW w:w="368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Borrowings</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3.6%</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64.7</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45.1</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19.6</w:t>
            </w:r>
          </w:p>
        </w:tc>
      </w:tr>
      <w:tr w:rsidR="00C232A3" w:rsidRPr="00AB62BD" w:rsidTr="00C232A3">
        <w:trPr>
          <w:cantSplit/>
        </w:trPr>
        <w:tc>
          <w:tcPr>
            <w:tcW w:w="3686" w:type="dxa"/>
          </w:tcPr>
          <w:p w:rsidR="00C232A3" w:rsidRPr="00AB62BD" w:rsidRDefault="00C232A3" w:rsidP="00C232A3">
            <w:pPr>
              <w:pStyle w:val="ARfintablebody"/>
              <w:rPr>
                <w:bCs/>
                <w:lang w:eastAsia="en-AU"/>
              </w:rPr>
            </w:pPr>
            <w:r w:rsidRPr="00AB62BD">
              <w:rPr>
                <w:rStyle w:val="Strong"/>
              </w:rPr>
              <w:t>Total financial liabilities</w:t>
            </w:r>
          </w:p>
        </w:tc>
        <w:tc>
          <w:tcPr>
            <w:tcW w:w="1191" w:type="dxa"/>
          </w:tcPr>
          <w:p w:rsidR="00C232A3" w:rsidRPr="00AB62BD" w:rsidRDefault="00C232A3" w:rsidP="00C232A3">
            <w:pPr>
              <w:pStyle w:val="ARfintablebodyright"/>
              <w:rPr>
                <w:b/>
                <w:bCs/>
                <w:lang w:eastAsia="en-AU"/>
              </w:rPr>
            </w:pPr>
          </w:p>
        </w:tc>
        <w:tc>
          <w:tcPr>
            <w:tcW w:w="1191" w:type="dxa"/>
          </w:tcPr>
          <w:p w:rsidR="00C232A3" w:rsidRPr="00AB62BD" w:rsidRDefault="00C232A3" w:rsidP="00C232A3">
            <w:pPr>
              <w:pStyle w:val="ARfintablebodyright"/>
              <w:rPr>
                <w:b/>
                <w:bCs/>
                <w:lang w:eastAsia="en-AU"/>
              </w:rPr>
            </w:pPr>
            <w:r>
              <w:rPr>
                <w:rStyle w:val="Strong"/>
              </w:rPr>
              <w:t>1,271.8</w:t>
            </w:r>
          </w:p>
        </w:tc>
        <w:tc>
          <w:tcPr>
            <w:tcW w:w="1191" w:type="dxa"/>
          </w:tcPr>
          <w:p w:rsidR="00C232A3" w:rsidRPr="00AB62BD" w:rsidRDefault="00C232A3" w:rsidP="00C232A3">
            <w:pPr>
              <w:pStyle w:val="ARfintablebodyright"/>
              <w:rPr>
                <w:b/>
                <w:bCs/>
                <w:lang w:eastAsia="en-AU"/>
              </w:rPr>
            </w:pPr>
            <w:r w:rsidRPr="00AB62BD">
              <w:rPr>
                <w:rStyle w:val="Strong"/>
              </w:rPr>
              <w:t>45.1</w:t>
            </w:r>
          </w:p>
        </w:tc>
        <w:tc>
          <w:tcPr>
            <w:tcW w:w="1191" w:type="dxa"/>
          </w:tcPr>
          <w:p w:rsidR="00C232A3" w:rsidRPr="00AB62BD" w:rsidRDefault="00C232A3" w:rsidP="00C232A3">
            <w:pPr>
              <w:pStyle w:val="ARfintablebodyright"/>
              <w:rPr>
                <w:b/>
                <w:bCs/>
                <w:lang w:eastAsia="en-AU"/>
              </w:rPr>
            </w:pPr>
            <w:r w:rsidRPr="00AB62BD">
              <w:rPr>
                <w:rStyle w:val="Strong"/>
              </w:rPr>
              <w:t>–</w:t>
            </w:r>
          </w:p>
        </w:tc>
        <w:tc>
          <w:tcPr>
            <w:tcW w:w="1191" w:type="dxa"/>
          </w:tcPr>
          <w:p w:rsidR="00C232A3" w:rsidRPr="00AB62BD" w:rsidRDefault="00C232A3" w:rsidP="00C232A3">
            <w:pPr>
              <w:pStyle w:val="ARfintablebodyright"/>
              <w:rPr>
                <w:b/>
                <w:bCs/>
                <w:lang w:eastAsia="en-AU"/>
              </w:rPr>
            </w:pPr>
            <w:r>
              <w:rPr>
                <w:rStyle w:val="Strong"/>
              </w:rPr>
              <w:t>1,226.7</w:t>
            </w:r>
          </w:p>
        </w:tc>
      </w:tr>
      <w:tr w:rsidR="00C232A3" w:rsidRPr="00AB62BD" w:rsidTr="00C232A3">
        <w:trPr>
          <w:cantSplit/>
        </w:trPr>
        <w:tc>
          <w:tcPr>
            <w:tcW w:w="3686" w:type="dxa"/>
            <w:tcBorders>
              <w:bottom w:val="single" w:sz="4" w:space="0" w:color="auto"/>
            </w:tcBorders>
          </w:tcPr>
          <w:p w:rsidR="00C232A3" w:rsidRPr="00AB62BD" w:rsidRDefault="00C232A3" w:rsidP="00C232A3">
            <w:pPr>
              <w:pStyle w:val="ARfintablebody"/>
              <w:rPr>
                <w:bCs/>
                <w:lang w:eastAsia="en-AU"/>
              </w:rPr>
            </w:pPr>
            <w:r w:rsidRPr="00AB62BD">
              <w:rPr>
                <w:rStyle w:val="Strong"/>
              </w:rPr>
              <w:t>2016</w:t>
            </w:r>
          </w:p>
        </w:tc>
        <w:tc>
          <w:tcPr>
            <w:tcW w:w="1191" w:type="dxa"/>
            <w:tcBorders>
              <w:bottom w:val="single" w:sz="4" w:space="0" w:color="auto"/>
            </w:tcBorders>
          </w:tcPr>
          <w:p w:rsidR="00C232A3" w:rsidRPr="00AB62BD" w:rsidRDefault="00C232A3" w:rsidP="00C232A3">
            <w:pPr>
              <w:pStyle w:val="ARfintablebodyright"/>
              <w:rPr>
                <w:b/>
                <w:bCs/>
                <w:lang w:eastAsia="en-AU"/>
              </w:rPr>
            </w:pPr>
          </w:p>
        </w:tc>
        <w:tc>
          <w:tcPr>
            <w:tcW w:w="1191" w:type="dxa"/>
            <w:tcBorders>
              <w:bottom w:val="single" w:sz="4" w:space="0" w:color="auto"/>
            </w:tcBorders>
          </w:tcPr>
          <w:p w:rsidR="00C232A3" w:rsidRPr="00AB62BD" w:rsidRDefault="00C232A3" w:rsidP="00C232A3">
            <w:pPr>
              <w:pStyle w:val="ARfintablebodyright"/>
              <w:rPr>
                <w:b/>
                <w:bCs/>
                <w:lang w:eastAsia="en-AU"/>
              </w:rPr>
            </w:pPr>
          </w:p>
        </w:tc>
        <w:tc>
          <w:tcPr>
            <w:tcW w:w="1191" w:type="dxa"/>
            <w:tcBorders>
              <w:bottom w:val="single" w:sz="4" w:space="0" w:color="auto"/>
            </w:tcBorders>
          </w:tcPr>
          <w:p w:rsidR="00C232A3" w:rsidRPr="00AB62BD" w:rsidRDefault="00C232A3" w:rsidP="00C232A3">
            <w:pPr>
              <w:pStyle w:val="ARfintablebodyright"/>
              <w:rPr>
                <w:b/>
                <w:bCs/>
                <w:lang w:eastAsia="en-AU"/>
              </w:rPr>
            </w:pPr>
          </w:p>
        </w:tc>
        <w:tc>
          <w:tcPr>
            <w:tcW w:w="1191" w:type="dxa"/>
            <w:tcBorders>
              <w:bottom w:val="single" w:sz="4" w:space="0" w:color="auto"/>
            </w:tcBorders>
          </w:tcPr>
          <w:p w:rsidR="00C232A3" w:rsidRPr="00AB62BD" w:rsidRDefault="00C232A3" w:rsidP="00C232A3">
            <w:pPr>
              <w:pStyle w:val="ARfintablebodyright"/>
              <w:rPr>
                <w:b/>
                <w:bCs/>
                <w:lang w:eastAsia="en-AU"/>
              </w:rPr>
            </w:pPr>
          </w:p>
        </w:tc>
        <w:tc>
          <w:tcPr>
            <w:tcW w:w="1191" w:type="dxa"/>
            <w:tcBorders>
              <w:bottom w:val="single" w:sz="4" w:space="0" w:color="auto"/>
            </w:tcBorders>
          </w:tcPr>
          <w:p w:rsidR="00C232A3" w:rsidRPr="00AB62BD" w:rsidRDefault="00C232A3" w:rsidP="00C232A3">
            <w:pPr>
              <w:pStyle w:val="ARfintablebodyright"/>
              <w:rPr>
                <w:b/>
                <w:bCs/>
                <w:lang w:eastAsia="en-AU"/>
              </w:rPr>
            </w:pPr>
          </w:p>
        </w:tc>
      </w:tr>
      <w:tr w:rsidR="00C232A3" w:rsidRPr="00AB62BD" w:rsidTr="00C232A3">
        <w:trPr>
          <w:cantSplit/>
        </w:trPr>
        <w:tc>
          <w:tcPr>
            <w:tcW w:w="368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Financial assets</w:t>
            </w: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Cash and deposits</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230.8</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20.0</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68.9</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141.9</w:t>
            </w: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Receivables</w:t>
            </w:r>
            <w:r>
              <w:rPr>
                <w:lang w:eastAsia="en-AU"/>
              </w:rPr>
              <w:t xml:space="preserve">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75.5</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75.5</w:t>
            </w: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Loans </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3.3%</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83.3</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3.0</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18.6</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61.7</w:t>
            </w:r>
          </w:p>
        </w:tc>
      </w:tr>
      <w:tr w:rsidR="00C232A3" w:rsidRPr="00AB62BD" w:rsidTr="00C232A3">
        <w:trPr>
          <w:cantSplit/>
        </w:trPr>
        <w:tc>
          <w:tcPr>
            <w:tcW w:w="368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 term investments – term deposits</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2.2%</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346.8</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346.8</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3686"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financial assets</w:t>
            </w:r>
          </w:p>
        </w:tc>
        <w:tc>
          <w:tcPr>
            <w:tcW w:w="1191" w:type="dxa"/>
            <w:tcBorders>
              <w:bottom w:val="single" w:sz="4" w:space="0" w:color="auto"/>
            </w:tcBorders>
          </w:tcPr>
          <w:p w:rsidR="00C232A3" w:rsidRPr="00AB62BD" w:rsidRDefault="00C232A3" w:rsidP="00C232A3">
            <w:pPr>
              <w:pStyle w:val="ARfintablebodyright"/>
              <w:rPr>
                <w:b/>
                <w:bCs/>
                <w:lang w:eastAsia="en-AU"/>
              </w:rPr>
            </w:pP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736.4</w:t>
            </w: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369.8</w:t>
            </w: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87.5</w:t>
            </w:r>
          </w:p>
        </w:tc>
        <w:tc>
          <w:tcPr>
            <w:tcW w:w="1191"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279.1</w:t>
            </w:r>
          </w:p>
        </w:tc>
      </w:tr>
      <w:tr w:rsidR="00C232A3" w:rsidRPr="00AB62BD" w:rsidTr="00C232A3">
        <w:trPr>
          <w:cantSplit/>
        </w:trPr>
        <w:tc>
          <w:tcPr>
            <w:tcW w:w="3686"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Financial liabilities</w:t>
            </w: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36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Payables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954.2</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954.2</w:t>
            </w:r>
          </w:p>
        </w:tc>
      </w:tr>
      <w:tr w:rsidR="00C232A3" w:rsidRPr="00AB62BD" w:rsidTr="00C232A3">
        <w:trPr>
          <w:cantSplit/>
        </w:trPr>
        <w:tc>
          <w:tcPr>
            <w:tcW w:w="368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Borrowings</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70.2</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48.8</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91"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21.4</w:t>
            </w:r>
          </w:p>
        </w:tc>
      </w:tr>
      <w:tr w:rsidR="00C232A3" w:rsidRPr="00AB62BD" w:rsidTr="00C232A3">
        <w:trPr>
          <w:cantSplit/>
        </w:trPr>
        <w:tc>
          <w:tcPr>
            <w:tcW w:w="3686" w:type="dxa"/>
          </w:tcPr>
          <w:p w:rsidR="00C232A3" w:rsidRPr="00AB62BD" w:rsidRDefault="00C232A3" w:rsidP="00C232A3">
            <w:pPr>
              <w:pStyle w:val="ARfintablebody"/>
              <w:rPr>
                <w:bCs/>
                <w:lang w:eastAsia="en-AU"/>
              </w:rPr>
            </w:pPr>
            <w:r w:rsidRPr="00AB62BD">
              <w:rPr>
                <w:rStyle w:val="Strong"/>
              </w:rPr>
              <w:t>Total financial liabilities</w:t>
            </w:r>
          </w:p>
        </w:tc>
        <w:tc>
          <w:tcPr>
            <w:tcW w:w="1191" w:type="dxa"/>
          </w:tcPr>
          <w:p w:rsidR="00C232A3" w:rsidRPr="00AB62BD" w:rsidRDefault="00C232A3" w:rsidP="00C232A3">
            <w:pPr>
              <w:pStyle w:val="ARfintablebodyright"/>
              <w:rPr>
                <w:b/>
                <w:bCs/>
                <w:lang w:eastAsia="en-AU"/>
              </w:rPr>
            </w:pPr>
          </w:p>
        </w:tc>
        <w:tc>
          <w:tcPr>
            <w:tcW w:w="1191" w:type="dxa"/>
          </w:tcPr>
          <w:p w:rsidR="00C232A3" w:rsidRPr="00AB62BD" w:rsidRDefault="00C232A3" w:rsidP="00C232A3">
            <w:pPr>
              <w:pStyle w:val="ARfintablebodyright"/>
              <w:rPr>
                <w:b/>
                <w:bCs/>
                <w:lang w:eastAsia="en-AU"/>
              </w:rPr>
            </w:pPr>
            <w:r>
              <w:rPr>
                <w:rStyle w:val="Strong"/>
              </w:rPr>
              <w:t>1,024.4</w:t>
            </w:r>
          </w:p>
        </w:tc>
        <w:tc>
          <w:tcPr>
            <w:tcW w:w="1191" w:type="dxa"/>
          </w:tcPr>
          <w:p w:rsidR="00C232A3" w:rsidRPr="00AB62BD" w:rsidRDefault="00C232A3" w:rsidP="00C232A3">
            <w:pPr>
              <w:pStyle w:val="ARfintablebodyright"/>
              <w:rPr>
                <w:b/>
                <w:bCs/>
                <w:lang w:eastAsia="en-AU"/>
              </w:rPr>
            </w:pPr>
            <w:r w:rsidRPr="00AB62BD">
              <w:rPr>
                <w:rStyle w:val="Strong"/>
              </w:rPr>
              <w:t>48.8</w:t>
            </w:r>
          </w:p>
        </w:tc>
        <w:tc>
          <w:tcPr>
            <w:tcW w:w="1191" w:type="dxa"/>
          </w:tcPr>
          <w:p w:rsidR="00C232A3" w:rsidRPr="00AB62BD" w:rsidRDefault="00C232A3" w:rsidP="00C232A3">
            <w:pPr>
              <w:pStyle w:val="ARfintablebodyright"/>
              <w:rPr>
                <w:b/>
                <w:bCs/>
                <w:lang w:eastAsia="en-AU"/>
              </w:rPr>
            </w:pPr>
            <w:r w:rsidRPr="00AB62BD">
              <w:rPr>
                <w:rStyle w:val="Strong"/>
              </w:rPr>
              <w:t>–</w:t>
            </w:r>
          </w:p>
        </w:tc>
        <w:tc>
          <w:tcPr>
            <w:tcW w:w="1191" w:type="dxa"/>
          </w:tcPr>
          <w:p w:rsidR="00C232A3" w:rsidRPr="00AB62BD" w:rsidRDefault="00C232A3" w:rsidP="00C232A3">
            <w:pPr>
              <w:pStyle w:val="ARfintablebodyright"/>
              <w:rPr>
                <w:rStyle w:val="Strong"/>
                <w:bCs w:val="0"/>
              </w:rPr>
            </w:pPr>
            <w:r>
              <w:rPr>
                <w:rStyle w:val="Strong"/>
              </w:rPr>
              <w:t>975.9</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The total amounts disclosed here exclude statutory amounts e.g. amounts owing to/from Victorian Government and GST input tax credit recoverable and taxes payable.</w:t>
      </w:r>
    </w:p>
    <w:p w:rsidR="00C232A3" w:rsidRPr="006402A9" w:rsidRDefault="00C232A3" w:rsidP="00FB460C">
      <w:pPr>
        <w:pStyle w:val="Heading6"/>
      </w:pPr>
      <w:r w:rsidRPr="006402A9">
        <w:t>8.1.3.3 Financial instruments: Market risk</w:t>
      </w:r>
    </w:p>
    <w:p w:rsidR="00C232A3" w:rsidRPr="006402A9" w:rsidRDefault="00C232A3" w:rsidP="001B06CC">
      <w:pPr>
        <w:pStyle w:val="Heading7"/>
      </w:pPr>
      <w:r w:rsidRPr="006402A9">
        <w:t>Interest rate risk sensitivity analysis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70"/>
        <w:gridCol w:w="1129"/>
        <w:gridCol w:w="1135"/>
        <w:gridCol w:w="1135"/>
        <w:gridCol w:w="1135"/>
        <w:gridCol w:w="1135"/>
      </w:tblGrid>
      <w:tr w:rsidR="00C232A3" w:rsidRPr="00AB62BD" w:rsidTr="005C1ACD">
        <w:trPr>
          <w:cantSplit/>
          <w:trHeight w:val="20"/>
          <w:tblHeader/>
        </w:trPr>
        <w:tc>
          <w:tcPr>
            <w:tcW w:w="3969" w:type="dxa"/>
            <w:vMerge w:val="restart"/>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129" w:type="dxa"/>
            <w:vMerge w:val="restart"/>
            <w:vAlign w:val="bottom"/>
          </w:tcPr>
          <w:p w:rsidR="00C232A3" w:rsidRPr="00562A2E" w:rsidRDefault="00C232A3" w:rsidP="00C232A3">
            <w:pPr>
              <w:pStyle w:val="ARfintablecolheadright"/>
            </w:pPr>
            <w:r w:rsidRPr="00562A2E">
              <w:t>Carrying amount</w:t>
            </w:r>
          </w:p>
          <w:p w:rsidR="00C232A3" w:rsidRPr="00AB62BD" w:rsidRDefault="00C232A3" w:rsidP="00C232A3">
            <w:pPr>
              <w:pStyle w:val="ARfintablecolheadright"/>
              <w:rPr>
                <w:bCs/>
                <w:color w:val="000000"/>
                <w:lang w:eastAsia="en-AU"/>
              </w:rPr>
            </w:pPr>
            <w:r w:rsidRPr="00562A2E">
              <w:t>$M</w:t>
            </w:r>
          </w:p>
        </w:tc>
        <w:tc>
          <w:tcPr>
            <w:tcW w:w="1134" w:type="dxa"/>
            <w:gridSpan w:val="2"/>
            <w:vAlign w:val="bottom"/>
          </w:tcPr>
          <w:p w:rsidR="00C232A3" w:rsidRPr="00562A2E" w:rsidRDefault="00C232A3" w:rsidP="00C232A3">
            <w:pPr>
              <w:pStyle w:val="ARfintablecolheadcentre"/>
            </w:pPr>
            <w:r w:rsidRPr="00562A2E">
              <w:t>Interest rate risk</w:t>
            </w:r>
          </w:p>
        </w:tc>
        <w:tc>
          <w:tcPr>
            <w:tcW w:w="1134" w:type="dxa"/>
            <w:gridSpan w:val="2"/>
            <w:vAlign w:val="bottom"/>
          </w:tcPr>
          <w:p w:rsidR="00C232A3" w:rsidRPr="00AB62BD" w:rsidRDefault="00C232A3" w:rsidP="00C232A3">
            <w:pPr>
              <w:pStyle w:val="ARfintablecolheadcentre"/>
              <w:rPr>
                <w:color w:val="000000"/>
              </w:rPr>
            </w:pPr>
            <w:r>
              <w:t>Consumer Price Index (CPI)</w:t>
            </w:r>
          </w:p>
        </w:tc>
      </w:tr>
      <w:tr w:rsidR="00C232A3" w:rsidRPr="00AB62BD" w:rsidTr="005C1ACD">
        <w:trPr>
          <w:cantSplit/>
          <w:trHeight w:val="20"/>
          <w:tblHeader/>
        </w:trPr>
        <w:tc>
          <w:tcPr>
            <w:tcW w:w="3969" w:type="dxa"/>
            <w:vMerge/>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129" w:type="dxa"/>
            <w:vMerge/>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134" w:type="dxa"/>
            <w:vAlign w:val="bottom"/>
          </w:tcPr>
          <w:p w:rsidR="00C232A3" w:rsidRPr="00562A2E" w:rsidRDefault="00C232A3" w:rsidP="00C232A3">
            <w:pPr>
              <w:pStyle w:val="ARfintablecolheadright"/>
            </w:pPr>
            <w:r w:rsidRPr="00562A2E">
              <w:t>–0.50%</w:t>
            </w:r>
          </w:p>
          <w:p w:rsidR="00C232A3" w:rsidRPr="00562A2E" w:rsidRDefault="00C232A3" w:rsidP="00C232A3">
            <w:pPr>
              <w:pStyle w:val="ARfintablecolheadright"/>
            </w:pPr>
            <w:r w:rsidRPr="00562A2E">
              <w:t>Net result</w:t>
            </w:r>
          </w:p>
          <w:p w:rsidR="00C232A3" w:rsidRPr="00562A2E" w:rsidRDefault="00C232A3" w:rsidP="00C232A3">
            <w:pPr>
              <w:pStyle w:val="ARfintablecolheadright"/>
            </w:pPr>
            <w:r w:rsidRPr="00562A2E">
              <w:t>$M</w:t>
            </w:r>
          </w:p>
        </w:tc>
        <w:tc>
          <w:tcPr>
            <w:tcW w:w="1134" w:type="dxa"/>
            <w:vAlign w:val="bottom"/>
          </w:tcPr>
          <w:p w:rsidR="00C232A3" w:rsidRPr="00562A2E" w:rsidRDefault="00C232A3" w:rsidP="00C232A3">
            <w:pPr>
              <w:pStyle w:val="ARfintablecolheadright"/>
            </w:pPr>
            <w:r w:rsidRPr="00562A2E">
              <w:t>+0.5</w:t>
            </w:r>
            <w:r>
              <w:t>0</w:t>
            </w:r>
            <w:r w:rsidRPr="00562A2E">
              <w:t>%</w:t>
            </w:r>
          </w:p>
          <w:p w:rsidR="00C232A3" w:rsidRPr="00562A2E" w:rsidRDefault="00C232A3" w:rsidP="00C232A3">
            <w:pPr>
              <w:pStyle w:val="ARfintablecolheadright"/>
            </w:pPr>
            <w:r w:rsidRPr="00562A2E">
              <w:t>Net result</w:t>
            </w:r>
          </w:p>
          <w:p w:rsidR="00C232A3" w:rsidRPr="00562A2E" w:rsidRDefault="00C232A3" w:rsidP="00C232A3">
            <w:pPr>
              <w:pStyle w:val="ARfintablecolheadright"/>
            </w:pPr>
            <w:r w:rsidRPr="00562A2E">
              <w:t>$M</w:t>
            </w:r>
          </w:p>
        </w:tc>
        <w:tc>
          <w:tcPr>
            <w:tcW w:w="1134" w:type="dxa"/>
            <w:vAlign w:val="bottom"/>
          </w:tcPr>
          <w:p w:rsidR="00C232A3" w:rsidRPr="00562A2E" w:rsidRDefault="00C232A3" w:rsidP="00C232A3">
            <w:pPr>
              <w:pStyle w:val="ARfintablecolheadright"/>
            </w:pPr>
            <w:r w:rsidRPr="00562A2E">
              <w:t>–0.25%</w:t>
            </w:r>
          </w:p>
          <w:p w:rsidR="00C232A3" w:rsidRPr="00562A2E" w:rsidRDefault="00C232A3" w:rsidP="00C232A3">
            <w:pPr>
              <w:pStyle w:val="ARfintablecolheadright"/>
            </w:pPr>
            <w:r w:rsidRPr="00562A2E">
              <w:t>Net result</w:t>
            </w:r>
          </w:p>
          <w:p w:rsidR="00C232A3" w:rsidRPr="00562A2E" w:rsidRDefault="00C232A3" w:rsidP="00C232A3">
            <w:pPr>
              <w:pStyle w:val="ARfintablecolheadright"/>
            </w:pPr>
            <w:r w:rsidRPr="00562A2E">
              <w:t>$M</w:t>
            </w:r>
          </w:p>
        </w:tc>
        <w:tc>
          <w:tcPr>
            <w:tcW w:w="1134" w:type="dxa"/>
          </w:tcPr>
          <w:p w:rsidR="00C232A3" w:rsidRDefault="00C232A3" w:rsidP="00C232A3">
            <w:pPr>
              <w:pStyle w:val="ARfintablecolheadright"/>
            </w:pPr>
            <w:r>
              <w:t>1.50%</w:t>
            </w:r>
          </w:p>
          <w:p w:rsidR="00C232A3" w:rsidRPr="00562A2E" w:rsidRDefault="00C232A3" w:rsidP="00C232A3">
            <w:pPr>
              <w:pStyle w:val="ARfintablecolheadright"/>
            </w:pPr>
            <w:r w:rsidRPr="00562A2E">
              <w:t>Net result</w:t>
            </w:r>
          </w:p>
          <w:p w:rsidR="00C232A3" w:rsidRPr="00AB62BD" w:rsidRDefault="00C232A3" w:rsidP="00C232A3">
            <w:pPr>
              <w:pStyle w:val="ARfintablecolheadright"/>
              <w:rPr>
                <w:rFonts w:cs="Arial"/>
                <w:bCs/>
                <w:color w:val="000000"/>
                <w:lang w:eastAsia="en-AU"/>
              </w:rPr>
            </w:pPr>
            <w:r w:rsidRPr="00562A2E">
              <w:t>$M</w:t>
            </w:r>
          </w:p>
        </w:tc>
      </w:tr>
      <w:tr w:rsidR="00C232A3" w:rsidRPr="00AB62BD" w:rsidTr="005C1ACD">
        <w:trPr>
          <w:cantSplit/>
        </w:trPr>
        <w:tc>
          <w:tcPr>
            <w:tcW w:w="3969" w:type="dxa"/>
            <w:tcBorders>
              <w:bottom w:val="single" w:sz="4" w:space="0" w:color="auto"/>
            </w:tcBorders>
          </w:tcPr>
          <w:p w:rsidR="00C232A3" w:rsidRPr="00AB62BD" w:rsidRDefault="00C232A3" w:rsidP="00C232A3">
            <w:pPr>
              <w:pStyle w:val="ARfintablebody"/>
              <w:rPr>
                <w:rStyle w:val="Strong"/>
                <w:bCs w:val="0"/>
              </w:rPr>
            </w:pPr>
            <w:r w:rsidRPr="00AB62BD">
              <w:rPr>
                <w:rStyle w:val="Strong"/>
              </w:rPr>
              <w:t>2017</w:t>
            </w:r>
          </w:p>
        </w:tc>
        <w:tc>
          <w:tcPr>
            <w:tcW w:w="1129" w:type="dxa"/>
            <w:tcBorders>
              <w:bottom w:val="single" w:sz="4" w:space="0" w:color="auto"/>
            </w:tcBorders>
          </w:tcPr>
          <w:p w:rsidR="00C232A3" w:rsidRPr="00AB62BD" w:rsidRDefault="00C232A3" w:rsidP="00C232A3">
            <w:pPr>
              <w:pStyle w:val="ARfintablebodyright"/>
              <w:rPr>
                <w:lang w:eastAsia="en-AU"/>
              </w:rPr>
            </w:pPr>
          </w:p>
        </w:tc>
        <w:tc>
          <w:tcPr>
            <w:tcW w:w="1134" w:type="dxa"/>
            <w:tcBorders>
              <w:bottom w:val="single" w:sz="4" w:space="0" w:color="auto"/>
            </w:tcBorders>
          </w:tcPr>
          <w:p w:rsidR="00C232A3" w:rsidRPr="00AB62BD" w:rsidRDefault="00C232A3" w:rsidP="00C232A3">
            <w:pPr>
              <w:pStyle w:val="ARfintablebodyright"/>
              <w:rPr>
                <w:lang w:eastAsia="en-AU"/>
              </w:rPr>
            </w:pPr>
          </w:p>
        </w:tc>
        <w:tc>
          <w:tcPr>
            <w:tcW w:w="1134" w:type="dxa"/>
            <w:tcBorders>
              <w:bottom w:val="single" w:sz="4" w:space="0" w:color="auto"/>
            </w:tcBorders>
          </w:tcPr>
          <w:p w:rsidR="00C232A3" w:rsidRPr="00AB62BD" w:rsidRDefault="00C232A3" w:rsidP="00C232A3">
            <w:pPr>
              <w:pStyle w:val="ARfintablebodyright"/>
              <w:rPr>
                <w:lang w:eastAsia="en-AU"/>
              </w:rPr>
            </w:pPr>
          </w:p>
        </w:tc>
        <w:tc>
          <w:tcPr>
            <w:tcW w:w="1134" w:type="dxa"/>
            <w:tcBorders>
              <w:bottom w:val="single" w:sz="4" w:space="0" w:color="auto"/>
            </w:tcBorders>
          </w:tcPr>
          <w:p w:rsidR="00C232A3" w:rsidRPr="00AB62BD" w:rsidRDefault="00C232A3" w:rsidP="00C232A3">
            <w:pPr>
              <w:pStyle w:val="ARfintablebodyright"/>
              <w:rPr>
                <w:lang w:eastAsia="en-AU"/>
              </w:rPr>
            </w:pPr>
          </w:p>
        </w:tc>
        <w:tc>
          <w:tcPr>
            <w:tcW w:w="1134"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5C1ACD">
        <w:trPr>
          <w:cantSplit/>
        </w:trPr>
        <w:tc>
          <w:tcPr>
            <w:tcW w:w="396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Contractual financial assets</w:t>
            </w: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5C1ACD">
        <w:trPr>
          <w:cantSplit/>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Cash and deposits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383.7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Receivables </w:t>
            </w:r>
            <w:r w:rsidRPr="00AB62BD">
              <w:rPr>
                <w:vertAlign w:val="superscript"/>
                <w:lang w:eastAsia="en-AU"/>
              </w:rPr>
              <w:t>(ii)</w:t>
            </w:r>
            <w:r>
              <w:rPr>
                <w:vertAlign w:val="superscript"/>
                <w:lang w:eastAsia="en-AU"/>
              </w:rPr>
              <w:t xml:space="preserve"> </w:t>
            </w:r>
            <w:r w:rsidRPr="00AB62BD">
              <w:rPr>
                <w:vertAlign w:val="superscript"/>
                <w:lang w:eastAsia="en-AU"/>
              </w:rPr>
              <w:t>(iii)</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112.0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Loans </w:t>
            </w:r>
            <w:r w:rsidRPr="00AB62BD">
              <w:rPr>
                <w:vertAlign w:val="superscript"/>
                <w:lang w:eastAsia="en-AU"/>
              </w:rPr>
              <w:t>(iii)</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3775EA">
              <w:rPr>
                <w:sz w:val="14"/>
                <w:szCs w:val="14"/>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5C1ACD">
        <w:trPr>
          <w:cantSplit/>
        </w:trPr>
        <w:tc>
          <w:tcPr>
            <w:tcW w:w="3969"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 term investments – term deposits</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418.5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3969"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impact</w:t>
            </w:r>
          </w:p>
        </w:tc>
        <w:tc>
          <w:tcPr>
            <w:tcW w:w="1129"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995.2</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(2.4)</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2.4</w:t>
            </w:r>
          </w:p>
        </w:tc>
        <w:tc>
          <w:tcPr>
            <w:tcW w:w="1134" w:type="dxa"/>
            <w:tcBorders>
              <w:bottom w:val="single" w:sz="4" w:space="0" w:color="auto"/>
            </w:tcBorders>
          </w:tcPr>
          <w:p w:rsidR="00C232A3" w:rsidRPr="000F6495" w:rsidRDefault="00C232A3" w:rsidP="00C232A3">
            <w:pPr>
              <w:pStyle w:val="ARfintablebodyright"/>
              <w:rPr>
                <w:rStyle w:val="Strong"/>
              </w:rPr>
            </w:pPr>
            <w:r w:rsidRPr="000F6495">
              <w:rPr>
                <w:rStyle w:val="Strong"/>
              </w:rPr>
              <w:t>–</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0.2</w:t>
            </w:r>
          </w:p>
        </w:tc>
      </w:tr>
      <w:tr w:rsidR="00C232A3" w:rsidRPr="00AB62BD" w:rsidTr="005C1ACD">
        <w:trPr>
          <w:cantSplit/>
        </w:trPr>
        <w:tc>
          <w:tcPr>
            <w:tcW w:w="3969"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Contractual financial liabilities</w:t>
            </w: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5C1ACD">
        <w:trPr>
          <w:cantSplit/>
        </w:trPr>
        <w:tc>
          <w:tcPr>
            <w:tcW w:w="396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Payables </w:t>
            </w:r>
            <w:r w:rsidRPr="00AB62BD">
              <w:rPr>
                <w:vertAlign w:val="superscript"/>
                <w:lang w:eastAsia="en-AU"/>
              </w:rPr>
              <w:t>(iii)</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1,207.1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3969" w:type="dxa"/>
            <w:tcBorders>
              <w:top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Borrowings</w:t>
            </w:r>
            <w:r>
              <w:rPr>
                <w:lang w:eastAsia="en-AU"/>
              </w:rPr>
              <w:t xml:space="preserve"> </w:t>
            </w:r>
            <w:r w:rsidRPr="00AB62BD">
              <w:rPr>
                <w:vertAlign w:val="superscript"/>
                <w:lang w:eastAsia="en-AU"/>
              </w:rPr>
              <w:t>(iii)</w:t>
            </w:r>
            <w:r>
              <w:rPr>
                <w:vertAlign w:val="superscript"/>
                <w:lang w:eastAsia="en-AU"/>
              </w:rPr>
              <w:t xml:space="preserve"> </w:t>
            </w:r>
            <w:r w:rsidRPr="00AB62BD">
              <w:rPr>
                <w:vertAlign w:val="superscript"/>
                <w:lang w:eastAsia="en-AU"/>
              </w:rPr>
              <w:t>(iv)</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64.7</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5C1ACD">
        <w:trPr>
          <w:cantSplit/>
        </w:trPr>
        <w:tc>
          <w:tcPr>
            <w:tcW w:w="3969" w:type="dxa"/>
          </w:tcPr>
          <w:p w:rsidR="00C232A3" w:rsidRPr="00AB62BD" w:rsidRDefault="00C232A3" w:rsidP="00C232A3">
            <w:pPr>
              <w:pStyle w:val="ARfintablebody"/>
              <w:rPr>
                <w:bCs/>
                <w:lang w:eastAsia="en-AU"/>
              </w:rPr>
            </w:pPr>
            <w:r w:rsidRPr="00AB62BD">
              <w:rPr>
                <w:rStyle w:val="Strong"/>
              </w:rPr>
              <w:t>Total impact</w:t>
            </w:r>
          </w:p>
        </w:tc>
        <w:tc>
          <w:tcPr>
            <w:tcW w:w="1129" w:type="dxa"/>
          </w:tcPr>
          <w:p w:rsidR="00C232A3" w:rsidRPr="00AB62BD" w:rsidRDefault="00C232A3" w:rsidP="00C232A3">
            <w:pPr>
              <w:pStyle w:val="ARfintablebodyright"/>
              <w:rPr>
                <w:b/>
                <w:bCs/>
                <w:lang w:eastAsia="en-AU"/>
              </w:rPr>
            </w:pPr>
            <w:r>
              <w:rPr>
                <w:rStyle w:val="Strong"/>
              </w:rPr>
              <w:t>1,271.8</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rStyle w:val="Strong"/>
                <w:bCs w:val="0"/>
              </w:rPr>
            </w:pPr>
            <w:r w:rsidRPr="00AB62BD">
              <w:rPr>
                <w:rStyle w:val="Strong"/>
              </w:rPr>
              <w:t>–</w:t>
            </w:r>
          </w:p>
        </w:tc>
      </w:tr>
    </w:tbl>
    <w:p w:rsidR="00C232A3" w:rsidRPr="00AB62BD" w:rsidRDefault="00C232A3" w:rsidP="00C232A3">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480"/>
        <w:gridCol w:w="1129"/>
        <w:gridCol w:w="1129"/>
        <w:gridCol w:w="1129"/>
        <w:gridCol w:w="1129"/>
        <w:gridCol w:w="1643"/>
      </w:tblGrid>
      <w:tr w:rsidR="00C232A3" w:rsidRPr="00AB62BD" w:rsidTr="00CC249F">
        <w:trPr>
          <w:cantSplit/>
          <w:tblHeader/>
        </w:trPr>
        <w:tc>
          <w:tcPr>
            <w:tcW w:w="3480" w:type="dxa"/>
            <w:vMerge w:val="restart"/>
            <w:vAlign w:val="bottom"/>
          </w:tcPr>
          <w:p w:rsidR="00C232A3" w:rsidRPr="00AB62BD" w:rsidRDefault="00C232A3" w:rsidP="00C232A3">
            <w:pPr>
              <w:pageBreakBefore/>
              <w:autoSpaceDE w:val="0"/>
              <w:autoSpaceDN w:val="0"/>
              <w:adjustRightInd w:val="0"/>
              <w:spacing w:beforeLines="40" w:before="96" w:afterLines="20" w:after="48"/>
              <w:rPr>
                <w:rFonts w:cs="Arial"/>
                <w:b/>
                <w:bCs/>
                <w:color w:val="000000"/>
                <w:sz w:val="16"/>
                <w:szCs w:val="16"/>
                <w:lang w:eastAsia="en-AU"/>
              </w:rPr>
            </w:pPr>
          </w:p>
        </w:tc>
        <w:tc>
          <w:tcPr>
            <w:tcW w:w="1129" w:type="dxa"/>
            <w:vMerge w:val="restart"/>
            <w:vAlign w:val="bottom"/>
          </w:tcPr>
          <w:p w:rsidR="00C232A3" w:rsidRPr="00562A2E" w:rsidRDefault="00C232A3" w:rsidP="00C232A3">
            <w:pPr>
              <w:pStyle w:val="ARfintablecolheadright"/>
            </w:pPr>
            <w:r w:rsidRPr="00562A2E">
              <w:t>Carrying amount</w:t>
            </w:r>
          </w:p>
          <w:p w:rsidR="00C232A3" w:rsidRPr="00AB62BD" w:rsidRDefault="00C232A3" w:rsidP="00C232A3">
            <w:pPr>
              <w:pStyle w:val="ARfintablecolheadright"/>
              <w:rPr>
                <w:bCs/>
                <w:color w:val="000000"/>
                <w:lang w:eastAsia="en-AU"/>
              </w:rPr>
            </w:pPr>
            <w:r w:rsidRPr="00562A2E">
              <w:t>$M</w:t>
            </w:r>
          </w:p>
        </w:tc>
        <w:tc>
          <w:tcPr>
            <w:tcW w:w="2258" w:type="dxa"/>
            <w:gridSpan w:val="2"/>
            <w:vAlign w:val="bottom"/>
          </w:tcPr>
          <w:p w:rsidR="00C232A3" w:rsidRPr="00562A2E" w:rsidRDefault="00C232A3" w:rsidP="00C232A3">
            <w:pPr>
              <w:pStyle w:val="ARfintablecolheadcentre"/>
            </w:pPr>
            <w:r w:rsidRPr="00562A2E">
              <w:t>Interest rate risk</w:t>
            </w:r>
          </w:p>
        </w:tc>
        <w:tc>
          <w:tcPr>
            <w:tcW w:w="2772" w:type="dxa"/>
            <w:gridSpan w:val="2"/>
            <w:vAlign w:val="bottom"/>
          </w:tcPr>
          <w:p w:rsidR="00C232A3" w:rsidRPr="00AB62BD" w:rsidRDefault="00C232A3" w:rsidP="00C232A3">
            <w:pPr>
              <w:pStyle w:val="ARfintablecolheadcentre"/>
              <w:rPr>
                <w:bCs/>
                <w:color w:val="000000"/>
              </w:rPr>
            </w:pPr>
            <w:r>
              <w:t>Consumer Price Index (CPI)</w:t>
            </w:r>
          </w:p>
        </w:tc>
      </w:tr>
      <w:tr w:rsidR="00C232A3" w:rsidRPr="00AB62BD" w:rsidTr="00CC249F">
        <w:trPr>
          <w:cantSplit/>
          <w:trHeight w:val="719"/>
          <w:tblHeader/>
        </w:trPr>
        <w:tc>
          <w:tcPr>
            <w:tcW w:w="3480" w:type="dxa"/>
            <w:vMerge/>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129" w:type="dxa"/>
            <w:vMerge/>
            <w:vAlign w:val="bottom"/>
          </w:tcPr>
          <w:p w:rsidR="00C232A3" w:rsidRPr="00AB62BD" w:rsidRDefault="00C232A3" w:rsidP="00C232A3">
            <w:pPr>
              <w:autoSpaceDE w:val="0"/>
              <w:autoSpaceDN w:val="0"/>
              <w:adjustRightInd w:val="0"/>
              <w:spacing w:beforeLines="40" w:before="96" w:afterLines="20" w:after="48"/>
              <w:jc w:val="right"/>
              <w:rPr>
                <w:rFonts w:cs="Arial"/>
                <w:b/>
                <w:bCs/>
                <w:color w:val="000000"/>
                <w:sz w:val="16"/>
                <w:szCs w:val="16"/>
                <w:lang w:eastAsia="en-AU"/>
              </w:rPr>
            </w:pPr>
          </w:p>
        </w:tc>
        <w:tc>
          <w:tcPr>
            <w:tcW w:w="1129" w:type="dxa"/>
            <w:vAlign w:val="bottom"/>
          </w:tcPr>
          <w:p w:rsidR="00C232A3" w:rsidRPr="00562A2E" w:rsidRDefault="00C232A3" w:rsidP="00C232A3">
            <w:pPr>
              <w:pStyle w:val="ARfintablecolheadright"/>
            </w:pPr>
            <w:r w:rsidRPr="00562A2E">
              <w:t>–0.25%</w:t>
            </w:r>
          </w:p>
          <w:p w:rsidR="00C232A3" w:rsidRPr="00562A2E" w:rsidRDefault="00C232A3" w:rsidP="00C232A3">
            <w:pPr>
              <w:pStyle w:val="ARfintablecolheadright"/>
            </w:pPr>
            <w:r w:rsidRPr="00562A2E">
              <w:t>Net result</w:t>
            </w:r>
          </w:p>
          <w:p w:rsidR="00C232A3" w:rsidRPr="00562A2E" w:rsidRDefault="00C232A3" w:rsidP="00C232A3">
            <w:pPr>
              <w:pStyle w:val="ARfintablecolheadright"/>
            </w:pPr>
            <w:r w:rsidRPr="00562A2E">
              <w:t>$M</w:t>
            </w:r>
          </w:p>
        </w:tc>
        <w:tc>
          <w:tcPr>
            <w:tcW w:w="1129" w:type="dxa"/>
            <w:vAlign w:val="bottom"/>
          </w:tcPr>
          <w:p w:rsidR="00C232A3" w:rsidRPr="00562A2E" w:rsidRDefault="00C232A3" w:rsidP="00C232A3">
            <w:pPr>
              <w:pStyle w:val="ARfintablecolheadright"/>
            </w:pPr>
            <w:r w:rsidRPr="00562A2E">
              <w:t>+0.25%</w:t>
            </w:r>
          </w:p>
          <w:p w:rsidR="00C232A3" w:rsidRPr="00562A2E" w:rsidRDefault="00C232A3" w:rsidP="00C232A3">
            <w:pPr>
              <w:pStyle w:val="ARfintablecolheadright"/>
            </w:pPr>
            <w:r w:rsidRPr="00562A2E">
              <w:t>Net result</w:t>
            </w:r>
          </w:p>
          <w:p w:rsidR="00C232A3" w:rsidRPr="00562A2E" w:rsidRDefault="00C232A3" w:rsidP="00C232A3">
            <w:pPr>
              <w:pStyle w:val="ARfintablecolheadright"/>
            </w:pPr>
            <w:r w:rsidRPr="00562A2E">
              <w:t>$M</w:t>
            </w:r>
          </w:p>
        </w:tc>
        <w:tc>
          <w:tcPr>
            <w:tcW w:w="1129" w:type="dxa"/>
            <w:vAlign w:val="bottom"/>
          </w:tcPr>
          <w:p w:rsidR="00C232A3" w:rsidRPr="00562A2E" w:rsidRDefault="00C232A3" w:rsidP="00C232A3">
            <w:pPr>
              <w:pStyle w:val="ARfintablecolheadright"/>
            </w:pPr>
            <w:r w:rsidRPr="00562A2E">
              <w:t>–0.25%</w:t>
            </w:r>
          </w:p>
          <w:p w:rsidR="00C232A3" w:rsidRPr="00562A2E" w:rsidRDefault="00C232A3" w:rsidP="00C232A3">
            <w:pPr>
              <w:pStyle w:val="ARfintablecolheadright"/>
            </w:pPr>
            <w:r w:rsidRPr="00562A2E">
              <w:t>Net result</w:t>
            </w:r>
          </w:p>
          <w:p w:rsidR="00C232A3" w:rsidRPr="00562A2E" w:rsidRDefault="00C232A3" w:rsidP="00C232A3">
            <w:pPr>
              <w:pStyle w:val="ARfintablecolheadright"/>
            </w:pPr>
            <w:r w:rsidRPr="00562A2E">
              <w:t>$M</w:t>
            </w:r>
          </w:p>
        </w:tc>
        <w:tc>
          <w:tcPr>
            <w:tcW w:w="1643" w:type="dxa"/>
          </w:tcPr>
          <w:p w:rsidR="00C232A3" w:rsidRDefault="00C232A3" w:rsidP="00C232A3">
            <w:pPr>
              <w:pStyle w:val="ARfintablecolheadright"/>
            </w:pPr>
            <w:r>
              <w:t>1.50%</w:t>
            </w:r>
          </w:p>
          <w:p w:rsidR="00C232A3" w:rsidRPr="00562A2E" w:rsidRDefault="00C232A3" w:rsidP="00C232A3">
            <w:pPr>
              <w:pStyle w:val="ARfintablecolheadright"/>
            </w:pPr>
            <w:r>
              <w:t>Net result</w:t>
            </w:r>
          </w:p>
          <w:p w:rsidR="00C232A3" w:rsidRPr="00AB62BD" w:rsidRDefault="00C232A3" w:rsidP="00C232A3">
            <w:pPr>
              <w:pStyle w:val="ARfintablecolheadright"/>
              <w:rPr>
                <w:lang w:eastAsia="en-AU"/>
              </w:rPr>
            </w:pPr>
            <w:r w:rsidRPr="00562A2E">
              <w:t>$M</w:t>
            </w:r>
          </w:p>
        </w:tc>
      </w:tr>
      <w:tr w:rsidR="00C232A3" w:rsidRPr="00AB62BD" w:rsidTr="00CC249F">
        <w:trPr>
          <w:cantSplit/>
        </w:trPr>
        <w:tc>
          <w:tcPr>
            <w:tcW w:w="3480" w:type="dxa"/>
            <w:tcBorders>
              <w:bottom w:val="single" w:sz="4" w:space="0" w:color="auto"/>
            </w:tcBorders>
          </w:tcPr>
          <w:p w:rsidR="00C232A3" w:rsidRPr="00AB62BD" w:rsidRDefault="00C232A3" w:rsidP="00C232A3">
            <w:pPr>
              <w:pStyle w:val="ARfintablebody"/>
              <w:rPr>
                <w:rStyle w:val="Strong"/>
                <w:bCs w:val="0"/>
              </w:rPr>
            </w:pPr>
            <w:r w:rsidRPr="00AB62BD">
              <w:rPr>
                <w:rStyle w:val="Strong"/>
              </w:rPr>
              <w:t>2016</w:t>
            </w:r>
          </w:p>
        </w:tc>
        <w:tc>
          <w:tcPr>
            <w:tcW w:w="1129" w:type="dxa"/>
            <w:tcBorders>
              <w:bottom w:val="single" w:sz="4" w:space="0" w:color="auto"/>
            </w:tcBorders>
          </w:tcPr>
          <w:p w:rsidR="00C232A3" w:rsidRPr="00AB62BD" w:rsidRDefault="00C232A3" w:rsidP="00C232A3">
            <w:pPr>
              <w:pStyle w:val="ARfintablebodyright"/>
              <w:rPr>
                <w:lang w:eastAsia="en-AU"/>
              </w:rPr>
            </w:pPr>
          </w:p>
        </w:tc>
        <w:tc>
          <w:tcPr>
            <w:tcW w:w="1129" w:type="dxa"/>
            <w:tcBorders>
              <w:bottom w:val="single" w:sz="4" w:space="0" w:color="auto"/>
            </w:tcBorders>
          </w:tcPr>
          <w:p w:rsidR="00C232A3" w:rsidRPr="00AB62BD" w:rsidRDefault="00C232A3" w:rsidP="00C232A3">
            <w:pPr>
              <w:pStyle w:val="ARfintablebodyright"/>
              <w:rPr>
                <w:lang w:eastAsia="en-AU"/>
              </w:rPr>
            </w:pPr>
          </w:p>
        </w:tc>
        <w:tc>
          <w:tcPr>
            <w:tcW w:w="1129" w:type="dxa"/>
            <w:tcBorders>
              <w:bottom w:val="single" w:sz="4" w:space="0" w:color="auto"/>
            </w:tcBorders>
          </w:tcPr>
          <w:p w:rsidR="00C232A3" w:rsidRPr="00AB62BD" w:rsidRDefault="00C232A3" w:rsidP="00C232A3">
            <w:pPr>
              <w:pStyle w:val="ARfintablebodyright"/>
              <w:rPr>
                <w:lang w:eastAsia="en-AU"/>
              </w:rPr>
            </w:pPr>
          </w:p>
        </w:tc>
        <w:tc>
          <w:tcPr>
            <w:tcW w:w="1129" w:type="dxa"/>
            <w:tcBorders>
              <w:bottom w:val="single" w:sz="4" w:space="0" w:color="auto"/>
            </w:tcBorders>
          </w:tcPr>
          <w:p w:rsidR="00C232A3" w:rsidRPr="00AB62BD" w:rsidRDefault="00C232A3" w:rsidP="00C232A3">
            <w:pPr>
              <w:pStyle w:val="ARfintablebodyright"/>
              <w:rPr>
                <w:lang w:eastAsia="en-AU"/>
              </w:rPr>
            </w:pPr>
          </w:p>
        </w:tc>
        <w:tc>
          <w:tcPr>
            <w:tcW w:w="1643" w:type="dxa"/>
            <w:tcBorders>
              <w:bottom w:val="single" w:sz="4" w:space="0" w:color="auto"/>
            </w:tcBorders>
          </w:tcPr>
          <w:p w:rsidR="00C232A3" w:rsidRPr="00AB62BD" w:rsidRDefault="00C232A3" w:rsidP="00C232A3">
            <w:pPr>
              <w:pStyle w:val="ARfintablebodyright"/>
              <w:rPr>
                <w:lang w:eastAsia="en-AU"/>
              </w:rPr>
            </w:pPr>
          </w:p>
        </w:tc>
      </w:tr>
      <w:tr w:rsidR="00C232A3" w:rsidRPr="00AB62BD" w:rsidTr="00CC249F">
        <w:trPr>
          <w:cantSplit/>
        </w:trPr>
        <w:tc>
          <w:tcPr>
            <w:tcW w:w="3480"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Contractual financial assets</w:t>
            </w: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643"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C249F">
        <w:trPr>
          <w:cantSplit/>
        </w:trPr>
        <w:tc>
          <w:tcPr>
            <w:tcW w:w="34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Cash and deposits </w:t>
            </w:r>
            <w:r w:rsidRPr="00AB62BD">
              <w:rPr>
                <w:vertAlign w:val="superscript"/>
                <w:lang w:eastAsia="en-AU"/>
              </w:rPr>
              <w:t>(</w:t>
            </w:r>
            <w:proofErr w:type="spellStart"/>
            <w:r w:rsidRPr="00AB62BD">
              <w:rPr>
                <w:vertAlign w:val="superscript"/>
                <w:lang w:eastAsia="en-AU"/>
              </w:rPr>
              <w:t>i</w:t>
            </w:r>
            <w:proofErr w:type="spellEnd"/>
            <w:r w:rsidRPr="00AB62BD">
              <w:rPr>
                <w:vertAlign w:val="superscript"/>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230.8</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6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C249F">
        <w:trPr>
          <w:cantSplit/>
        </w:trPr>
        <w:tc>
          <w:tcPr>
            <w:tcW w:w="34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Receivables </w:t>
            </w:r>
            <w:r w:rsidRPr="00AB62BD">
              <w:rPr>
                <w:vertAlign w:val="superscript"/>
                <w:lang w:eastAsia="en-AU"/>
              </w:rPr>
              <w:t>(ii)</w:t>
            </w:r>
            <w:r>
              <w:rPr>
                <w:vertAlign w:val="superscript"/>
                <w:lang w:eastAsia="en-AU"/>
              </w:rPr>
              <w:t xml:space="preserve"> </w:t>
            </w:r>
            <w:r w:rsidRPr="00AB62BD">
              <w:rPr>
                <w:vertAlign w:val="superscript"/>
                <w:lang w:eastAsia="en-AU"/>
              </w:rPr>
              <w:t>(iii)</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75.5</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6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C249F">
        <w:trPr>
          <w:cantSplit/>
        </w:trPr>
        <w:tc>
          <w:tcPr>
            <w:tcW w:w="34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Loans </w:t>
            </w:r>
            <w:r w:rsidRPr="00AB62BD">
              <w:rPr>
                <w:vertAlign w:val="superscript"/>
                <w:lang w:eastAsia="en-AU"/>
              </w:rPr>
              <w:t>(iii)</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83.3</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5A50B8">
              <w:rPr>
                <w:sz w:val="14"/>
                <w:szCs w:val="14"/>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5A50B8">
              <w:rPr>
                <w:sz w:val="14"/>
                <w:szCs w:val="14"/>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5A50B8">
              <w:rPr>
                <w:sz w:val="14"/>
                <w:szCs w:val="14"/>
                <w:lang w:eastAsia="en-AU"/>
              </w:rPr>
              <w:t>–</w:t>
            </w:r>
          </w:p>
        </w:tc>
        <w:tc>
          <w:tcPr>
            <w:tcW w:w="16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0.3</w:t>
            </w:r>
          </w:p>
        </w:tc>
      </w:tr>
      <w:tr w:rsidR="00C232A3" w:rsidRPr="00AB62BD" w:rsidTr="00CC249F">
        <w:trPr>
          <w:cantSplit/>
        </w:trPr>
        <w:tc>
          <w:tcPr>
            <w:tcW w:w="3480"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 term investments – term deposits</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346.8</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0.9</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p>
        </w:tc>
        <w:tc>
          <w:tcPr>
            <w:tcW w:w="1643" w:type="dxa"/>
            <w:tcBorders>
              <w:top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C249F">
        <w:trPr>
          <w:cantSplit/>
        </w:trPr>
        <w:tc>
          <w:tcPr>
            <w:tcW w:w="3480"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impact</w:t>
            </w:r>
          </w:p>
        </w:tc>
        <w:tc>
          <w:tcPr>
            <w:tcW w:w="1129"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736.4</w:t>
            </w:r>
          </w:p>
        </w:tc>
        <w:tc>
          <w:tcPr>
            <w:tcW w:w="1129"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(1.1)</w:t>
            </w:r>
          </w:p>
        </w:tc>
        <w:tc>
          <w:tcPr>
            <w:tcW w:w="1129"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1.1</w:t>
            </w:r>
          </w:p>
        </w:tc>
        <w:tc>
          <w:tcPr>
            <w:tcW w:w="1129" w:type="dxa"/>
            <w:tcBorders>
              <w:bottom w:val="single" w:sz="4" w:space="0" w:color="auto"/>
            </w:tcBorders>
          </w:tcPr>
          <w:p w:rsidR="00C232A3" w:rsidRPr="00AB62BD" w:rsidRDefault="00C232A3" w:rsidP="00C232A3">
            <w:pPr>
              <w:pStyle w:val="ARfintablebodyright"/>
              <w:rPr>
                <w:b/>
                <w:bCs/>
                <w:lang w:eastAsia="en-AU"/>
              </w:rPr>
            </w:pPr>
            <w:r w:rsidRPr="003775EA">
              <w:rPr>
                <w:sz w:val="14"/>
                <w:szCs w:val="14"/>
                <w:lang w:eastAsia="en-AU"/>
              </w:rPr>
              <w:t>–</w:t>
            </w:r>
          </w:p>
        </w:tc>
        <w:tc>
          <w:tcPr>
            <w:tcW w:w="1643"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0.3</w:t>
            </w:r>
          </w:p>
        </w:tc>
      </w:tr>
      <w:tr w:rsidR="00C232A3" w:rsidRPr="00AB62BD" w:rsidTr="00CC249F">
        <w:trPr>
          <w:cantSplit/>
        </w:trPr>
        <w:tc>
          <w:tcPr>
            <w:tcW w:w="3480"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Contractual financial liabilities</w:t>
            </w: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29"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643"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C249F">
        <w:trPr>
          <w:cantSplit/>
        </w:trPr>
        <w:tc>
          <w:tcPr>
            <w:tcW w:w="3480"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vertAlign w:val="superscript"/>
                <w:lang w:eastAsia="en-AU"/>
              </w:rPr>
            </w:pPr>
            <w:r w:rsidRPr="00AB62BD">
              <w:rPr>
                <w:lang w:eastAsia="en-AU"/>
              </w:rPr>
              <w:t xml:space="preserve">Payables </w:t>
            </w:r>
            <w:r w:rsidRPr="00AB62BD">
              <w:rPr>
                <w:vertAlign w:val="superscript"/>
                <w:lang w:eastAsia="en-AU"/>
              </w:rPr>
              <w:t>(iii)</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954.2</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29"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64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C249F">
        <w:trPr>
          <w:cantSplit/>
        </w:trPr>
        <w:tc>
          <w:tcPr>
            <w:tcW w:w="3480"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Borrowings </w:t>
            </w:r>
            <w:r>
              <w:rPr>
                <w:rStyle w:val="Superscript"/>
              </w:rPr>
              <w:t>(iii) (iv)</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Pr>
                <w:lang w:eastAsia="en-AU"/>
              </w:rPr>
              <w:t>70.2</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29"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643"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C249F">
        <w:trPr>
          <w:cantSplit/>
        </w:trPr>
        <w:tc>
          <w:tcPr>
            <w:tcW w:w="3480" w:type="dxa"/>
          </w:tcPr>
          <w:p w:rsidR="00C232A3" w:rsidRPr="00AB62BD" w:rsidRDefault="00C232A3" w:rsidP="00C232A3">
            <w:pPr>
              <w:pStyle w:val="ARfintablebody"/>
              <w:rPr>
                <w:bCs/>
                <w:lang w:eastAsia="en-AU"/>
              </w:rPr>
            </w:pPr>
            <w:r w:rsidRPr="00AB62BD">
              <w:rPr>
                <w:rStyle w:val="Strong"/>
              </w:rPr>
              <w:t>Total impact</w:t>
            </w:r>
          </w:p>
        </w:tc>
        <w:tc>
          <w:tcPr>
            <w:tcW w:w="1129" w:type="dxa"/>
          </w:tcPr>
          <w:p w:rsidR="00C232A3" w:rsidRPr="00AB62BD" w:rsidRDefault="00C232A3" w:rsidP="00C232A3">
            <w:pPr>
              <w:pStyle w:val="ARfintablebodyright"/>
              <w:rPr>
                <w:b/>
                <w:bCs/>
                <w:lang w:eastAsia="en-AU"/>
              </w:rPr>
            </w:pPr>
            <w:r>
              <w:rPr>
                <w:rStyle w:val="Strong"/>
              </w:rPr>
              <w:t>1,024.4</w:t>
            </w:r>
          </w:p>
        </w:tc>
        <w:tc>
          <w:tcPr>
            <w:tcW w:w="1129" w:type="dxa"/>
          </w:tcPr>
          <w:p w:rsidR="00C232A3" w:rsidRPr="00AB62BD" w:rsidRDefault="00C232A3" w:rsidP="00C232A3">
            <w:pPr>
              <w:pStyle w:val="ARfintablebodyright"/>
              <w:rPr>
                <w:b/>
                <w:bCs/>
                <w:lang w:eastAsia="en-AU"/>
              </w:rPr>
            </w:pPr>
            <w:r w:rsidRPr="00AB62BD">
              <w:rPr>
                <w:rStyle w:val="Strong"/>
              </w:rPr>
              <w:t>–</w:t>
            </w:r>
          </w:p>
        </w:tc>
        <w:tc>
          <w:tcPr>
            <w:tcW w:w="1129" w:type="dxa"/>
          </w:tcPr>
          <w:p w:rsidR="00C232A3" w:rsidRPr="00AB62BD" w:rsidRDefault="00C232A3" w:rsidP="00C232A3">
            <w:pPr>
              <w:pStyle w:val="ARfintablebodyright"/>
              <w:rPr>
                <w:b/>
                <w:bCs/>
                <w:lang w:eastAsia="en-AU"/>
              </w:rPr>
            </w:pPr>
            <w:r w:rsidRPr="00AB62BD">
              <w:rPr>
                <w:rStyle w:val="Strong"/>
              </w:rPr>
              <w:t>–</w:t>
            </w:r>
          </w:p>
        </w:tc>
        <w:tc>
          <w:tcPr>
            <w:tcW w:w="1129" w:type="dxa"/>
          </w:tcPr>
          <w:p w:rsidR="00C232A3" w:rsidRPr="00AB62BD" w:rsidRDefault="00C232A3" w:rsidP="00C232A3">
            <w:pPr>
              <w:pStyle w:val="ARfintablebodyright"/>
              <w:rPr>
                <w:b/>
                <w:bCs/>
                <w:lang w:eastAsia="en-AU"/>
              </w:rPr>
            </w:pPr>
            <w:r w:rsidRPr="00AB62BD">
              <w:rPr>
                <w:rStyle w:val="Strong"/>
              </w:rPr>
              <w:t>–</w:t>
            </w:r>
          </w:p>
        </w:tc>
        <w:tc>
          <w:tcPr>
            <w:tcW w:w="1643" w:type="dxa"/>
          </w:tcPr>
          <w:p w:rsidR="00C232A3" w:rsidRPr="00AB62BD" w:rsidRDefault="00C232A3" w:rsidP="00C232A3">
            <w:pPr>
              <w:pStyle w:val="ARfintablebodyright"/>
              <w:rPr>
                <w:rStyle w:val="Strong"/>
                <w:bCs w:val="0"/>
              </w:rPr>
            </w:pPr>
            <w:r w:rsidRPr="00AB62BD">
              <w:rPr>
                <w:rStyle w:val="Strong"/>
              </w:rPr>
              <w:t>–</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All cash and deposits are held in Australian dollars and were held on deposits at fixed and variable interest rates. This item is not subject to any other identified risk sensitivities.</w:t>
      </w:r>
    </w:p>
    <w:p w:rsidR="00C232A3" w:rsidRPr="00AB62BD" w:rsidRDefault="00C232A3" w:rsidP="00C232A3">
      <w:pPr>
        <w:pStyle w:val="ARfintablefootnoteroman"/>
      </w:pPr>
      <w:r>
        <w:t>(ii)</w:t>
      </w:r>
      <w:r>
        <w:tab/>
      </w:r>
      <w:r w:rsidRPr="00AB62BD">
        <w:t>The carrying amount is denominated in Australian dollars and is non-interest bearing. This item is not subject to the identified risk sensitivities.</w:t>
      </w:r>
    </w:p>
    <w:p w:rsidR="00C232A3" w:rsidRPr="00AB62BD" w:rsidRDefault="00C232A3" w:rsidP="00C232A3">
      <w:pPr>
        <w:pStyle w:val="ARfintablefootnoteroman"/>
      </w:pPr>
      <w:r>
        <w:t>(iii)</w:t>
      </w:r>
      <w:r>
        <w:tab/>
      </w:r>
      <w:r w:rsidRPr="00AB62BD">
        <w:t>The total amounts disclosed here exclude statutory amounts e.g. amounts owing to/from Victorian Government and GST input tax credit recoverable and taxes payable.</w:t>
      </w:r>
    </w:p>
    <w:p w:rsidR="00C232A3" w:rsidRPr="00AB62BD" w:rsidRDefault="00C232A3" w:rsidP="00C232A3">
      <w:pPr>
        <w:pStyle w:val="ARfintablefootnoteroman"/>
      </w:pPr>
      <w:r>
        <w:t>(iv)</w:t>
      </w:r>
      <w:r>
        <w:tab/>
      </w:r>
      <w:r w:rsidRPr="00AB62BD">
        <w:t xml:space="preserve">Borrowings are denominated in Australian dollars. </w:t>
      </w:r>
      <w:r>
        <w:t xml:space="preserve">$45.1 million </w:t>
      </w:r>
      <w:r w:rsidRPr="00AB62BD">
        <w:t>(2016</w:t>
      </w:r>
      <w:r>
        <w:t>:</w:t>
      </w:r>
      <w:r w:rsidRPr="00AB62BD">
        <w:t xml:space="preserve"> </w:t>
      </w:r>
      <w:r>
        <w:t>$48.8 million</w:t>
      </w:r>
      <w:r w:rsidRPr="00AB62BD">
        <w:t>) relates to finance lease liabilities associated with motor vehicles. Each contract has interest fixed at the inception of the lease.</w:t>
      </w:r>
    </w:p>
    <w:p w:rsidR="00C232A3" w:rsidRPr="00A15588" w:rsidRDefault="00C232A3" w:rsidP="00C232A3">
      <w:pPr>
        <w:pStyle w:val="Heading4"/>
      </w:pPr>
      <w:r w:rsidRPr="00A15588">
        <w:t>8.2 Contingent assets and contingent liabilities</w:t>
      </w:r>
    </w:p>
    <w:p w:rsidR="00C232A3" w:rsidRPr="00AB62BD" w:rsidRDefault="00C232A3" w:rsidP="00C232A3">
      <w:pPr>
        <w:pStyle w:val="ARfinbody"/>
        <w:rPr>
          <w:lang w:eastAsia="en-AU"/>
        </w:rPr>
      </w:pPr>
      <w:r w:rsidRPr="00AB62BD">
        <w:rPr>
          <w:lang w:eastAsia="en-AU"/>
        </w:rPr>
        <w:t xml:space="preserve">Contingent assets and contingent liabilities are not recognised in the balance sheet, but are disclosed by way of a disclosure and, </w:t>
      </w:r>
      <w:r w:rsidR="0023764F">
        <w:rPr>
          <w:lang w:eastAsia="en-AU"/>
        </w:rPr>
        <w:br/>
      </w:r>
      <w:r w:rsidRPr="00AB62BD">
        <w:rPr>
          <w:lang w:eastAsia="en-AU"/>
        </w:rPr>
        <w:t>if quantifiable, are stated at nominal value. Contingent assets and liabilities are presented inclusive of GST receivable or payable respectively.</w:t>
      </w:r>
    </w:p>
    <w:p w:rsidR="00C232A3" w:rsidRPr="00D11896" w:rsidRDefault="00C232A3" w:rsidP="00C232A3">
      <w:pPr>
        <w:pStyle w:val="Heading5"/>
        <w:rPr>
          <w:rStyle w:val="Strong"/>
        </w:rPr>
      </w:pPr>
      <w:r w:rsidRPr="00D11896">
        <w:rPr>
          <w:rStyle w:val="Strong"/>
        </w:rPr>
        <w:t>Contingent assets</w:t>
      </w:r>
    </w:p>
    <w:p w:rsidR="00C232A3" w:rsidRPr="00AB62BD" w:rsidRDefault="00C232A3" w:rsidP="00C232A3">
      <w:pPr>
        <w:pStyle w:val="ARfinbody"/>
        <w:rPr>
          <w:lang w:eastAsia="en-AU"/>
        </w:rPr>
      </w:pPr>
      <w:r w:rsidRPr="00AB62BD">
        <w:rPr>
          <w:lang w:eastAsia="en-AU"/>
        </w:rPr>
        <w:t xml:space="preserve">Contingent assets are possible assets that arise from past events, whose existence will be confirmed only by the occurrence or </w:t>
      </w:r>
      <w:r w:rsidR="0023764F">
        <w:rPr>
          <w:lang w:eastAsia="en-AU"/>
        </w:rPr>
        <w:br/>
      </w:r>
      <w:r w:rsidRPr="00AB62BD">
        <w:rPr>
          <w:lang w:eastAsia="en-AU"/>
        </w:rPr>
        <w:t>non-occurrence of one or more uncertain future events not wholly within the control of the entity.</w:t>
      </w:r>
    </w:p>
    <w:p w:rsidR="00C232A3" w:rsidRPr="00AB62BD" w:rsidRDefault="00C232A3" w:rsidP="00C232A3">
      <w:pPr>
        <w:pStyle w:val="ARfinbody"/>
        <w:rPr>
          <w:lang w:eastAsia="en-AU"/>
        </w:rPr>
      </w:pPr>
      <w:r w:rsidRPr="00AB62BD">
        <w:rPr>
          <w:lang w:eastAsia="en-AU"/>
        </w:rPr>
        <w:t>These are classified as either quantifiable, where the potential economic benefit is known, or non-quantifiable.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1022"/>
        <w:gridCol w:w="6571"/>
        <w:gridCol w:w="1023"/>
        <w:gridCol w:w="1023"/>
      </w:tblGrid>
      <w:tr w:rsidR="00C232A3" w:rsidRPr="00AB62BD" w:rsidTr="00C232A3">
        <w:trPr>
          <w:cantSplit/>
          <w:tblHeader/>
        </w:trPr>
        <w:tc>
          <w:tcPr>
            <w:tcW w:w="1017"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7371" w:type="dxa"/>
            <w:tcBorders>
              <w:bottom w:val="single" w:sz="4" w:space="0" w:color="auto"/>
            </w:tcBorders>
            <w:vAlign w:val="bottom"/>
          </w:tcPr>
          <w:p w:rsidR="00C232A3" w:rsidRPr="00D77774" w:rsidRDefault="00C232A3" w:rsidP="00C232A3">
            <w:pPr>
              <w:pStyle w:val="ARfintablecolhead"/>
            </w:pPr>
          </w:p>
        </w:tc>
        <w:tc>
          <w:tcPr>
            <w:tcW w:w="1134" w:type="dxa"/>
            <w:tcBorders>
              <w:bottom w:val="single" w:sz="4" w:space="0" w:color="auto"/>
            </w:tcBorders>
            <w:shd w:val="clear" w:color="auto" w:fill="E7E6E6"/>
            <w:vAlign w:val="bottom"/>
          </w:tcPr>
          <w:p w:rsidR="00C232A3" w:rsidRPr="00D77774" w:rsidRDefault="00C232A3" w:rsidP="00C232A3">
            <w:pPr>
              <w:pStyle w:val="ARfintablecolheadright"/>
            </w:pPr>
            <w:r w:rsidRPr="00D77774">
              <w:t>2017</w:t>
            </w:r>
          </w:p>
          <w:p w:rsidR="00C232A3" w:rsidRPr="00D77774" w:rsidRDefault="00C232A3" w:rsidP="00C232A3">
            <w:pPr>
              <w:pStyle w:val="ARfintablecolheadright"/>
            </w:pPr>
            <w:r w:rsidRPr="00D77774">
              <w:t>$M</w:t>
            </w:r>
          </w:p>
        </w:tc>
        <w:tc>
          <w:tcPr>
            <w:tcW w:w="1134" w:type="dxa"/>
            <w:tcBorders>
              <w:bottom w:val="single" w:sz="4" w:space="0" w:color="auto"/>
            </w:tcBorders>
            <w:vAlign w:val="bottom"/>
          </w:tcPr>
          <w:p w:rsidR="00C232A3" w:rsidRPr="00D77774" w:rsidRDefault="00C232A3" w:rsidP="00C232A3">
            <w:pPr>
              <w:pStyle w:val="ARfintablecolheadright"/>
            </w:pPr>
            <w:r w:rsidRPr="00D77774">
              <w:t>2016</w:t>
            </w:r>
          </w:p>
          <w:p w:rsidR="00C232A3" w:rsidRPr="00D77774" w:rsidRDefault="00C232A3" w:rsidP="00C232A3">
            <w:pPr>
              <w:pStyle w:val="ARfintablecolheadright"/>
            </w:pPr>
            <w:r w:rsidRPr="00D77774">
              <w:t>$M</w:t>
            </w:r>
          </w:p>
        </w:tc>
      </w:tr>
      <w:tr w:rsidR="00C232A3" w:rsidRPr="00AB62BD" w:rsidTr="00C232A3">
        <w:trPr>
          <w:cantSplit/>
        </w:trPr>
        <w:tc>
          <w:tcPr>
            <w:tcW w:w="7371" w:type="dxa"/>
            <w:gridSpan w:val="2"/>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 xml:space="preserve">Quantifiable contingent assets </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101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Details and estimates of contingent assets are as follows: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101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Bank guarantee held for: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101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Pr>
                <w:lang w:eastAsia="en-AU"/>
              </w:rPr>
              <w:t>–</w:t>
            </w:r>
            <w:r w:rsidRPr="00AB62BD">
              <w:rPr>
                <w:lang w:eastAsia="en-AU"/>
              </w:rPr>
              <w:t xml:space="preserve"> satisfactory performance of IT Managed Services contract; and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946B9D" w:rsidP="00C232A3">
            <w:pPr>
              <w:pStyle w:val="ARfintablebodyright"/>
              <w:rPr>
                <w:lang w:eastAsia="en-AU"/>
              </w:rPr>
            </w:pPr>
            <w:r>
              <w:rPr>
                <w:lang w:eastAsia="en-AU"/>
              </w:rPr>
              <w:t>–</w:t>
            </w:r>
          </w:p>
        </w:tc>
      </w:tr>
      <w:tr w:rsidR="00C232A3" w:rsidRPr="00AB62BD" w:rsidTr="00C232A3">
        <w:trPr>
          <w:cantSplit/>
        </w:trPr>
        <w:tc>
          <w:tcPr>
            <w:tcW w:w="101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Pr>
                <w:lang w:eastAsia="en-AU"/>
              </w:rPr>
              <w:t>–</w:t>
            </w:r>
            <w:r w:rsidRPr="00AB62BD">
              <w:rPr>
                <w:lang w:eastAsia="en-AU"/>
              </w:rPr>
              <w:t xml:space="preserve"> building contracts.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14.0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16.7</w:t>
            </w:r>
          </w:p>
        </w:tc>
      </w:tr>
      <w:tr w:rsidR="00C232A3" w:rsidRPr="00AB62BD" w:rsidTr="00C232A3">
        <w:trPr>
          <w:cantSplit/>
        </w:trPr>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Letter of comfort held for Community Chef recallable grant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w:t>
            </w:r>
          </w:p>
        </w:tc>
      </w:tr>
      <w:tr w:rsidR="00C232A3" w:rsidRPr="00AB62BD" w:rsidTr="00C232A3">
        <w:trPr>
          <w:cantSplit/>
        </w:trPr>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The department provided recallable capital grants to a number of hospitals and these are recallable by way of future cash flow adjustments. The department has not taken any decision in respect of the need for the recipient hospitals to bear those future cash flow adjustments at this time. Decisions about whether recallable grants are to be repaid are solely at the discretion of the department in consideration of the outcomes arising from the expenditure of the grant funds and other policy considerations. As such, hospitals at this time have no obligation to repay the recallable grant unless the department determines at some point in the future that a cash flow adjustment in respect of the recallable grant is warranted.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3.4</w:t>
            </w:r>
          </w:p>
        </w:tc>
      </w:tr>
      <w:tr w:rsidR="00C232A3" w:rsidRPr="00AB62BD" w:rsidTr="00C232A3">
        <w:trPr>
          <w:cantSplit/>
        </w:trPr>
        <w:tc>
          <w:tcPr>
            <w:tcW w:w="1134"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w:t>
            </w:r>
          </w:p>
        </w:tc>
        <w:tc>
          <w:tcPr>
            <w:tcW w:w="1134"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Litigation for the recovery of costs in relation to defective construction work.</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w:t>
            </w:r>
          </w:p>
        </w:tc>
        <w:tc>
          <w:tcPr>
            <w:tcW w:w="1134" w:type="dxa"/>
            <w:tcBorders>
              <w:top w:val="single" w:sz="4" w:space="0" w:color="A6A6A6" w:themeColor="background1" w:themeShade="A6"/>
            </w:tcBorders>
          </w:tcPr>
          <w:p w:rsidR="00C232A3" w:rsidRPr="00AB62BD" w:rsidRDefault="00946B9D" w:rsidP="00C232A3">
            <w:pPr>
              <w:pStyle w:val="ARfintablebodyright"/>
              <w:rPr>
                <w:lang w:eastAsia="en-AU"/>
              </w:rPr>
            </w:pPr>
            <w:r>
              <w:rPr>
                <w:lang w:eastAsia="en-AU"/>
              </w:rPr>
              <w:t>–</w:t>
            </w:r>
          </w:p>
        </w:tc>
      </w:tr>
      <w:tr w:rsidR="00C232A3" w:rsidRPr="00AB62BD" w:rsidTr="00C232A3">
        <w:trPr>
          <w:cantSplit/>
        </w:trPr>
        <w:tc>
          <w:tcPr>
            <w:tcW w:w="1134" w:type="dxa"/>
          </w:tcPr>
          <w:p w:rsidR="00C232A3" w:rsidRPr="00AB62BD" w:rsidRDefault="00C232A3" w:rsidP="00C232A3">
            <w:pPr>
              <w:pStyle w:val="ARfintablebody"/>
              <w:rPr>
                <w:rStyle w:val="Strong"/>
                <w:bCs w:val="0"/>
              </w:rPr>
            </w:pPr>
            <w:r w:rsidRPr="00AB62BD">
              <w:rPr>
                <w:rStyle w:val="Strong"/>
              </w:rPr>
              <w:t>Total</w:t>
            </w:r>
          </w:p>
        </w:tc>
        <w:tc>
          <w:tcPr>
            <w:tcW w:w="1134" w:type="dxa"/>
          </w:tcPr>
          <w:p w:rsidR="00C232A3" w:rsidRPr="00AB62BD" w:rsidRDefault="00C232A3" w:rsidP="00C232A3">
            <w:pPr>
              <w:pStyle w:val="ARfintablebody"/>
              <w:rPr>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20.0</w:t>
            </w:r>
          </w:p>
        </w:tc>
        <w:tc>
          <w:tcPr>
            <w:tcW w:w="1134" w:type="dxa"/>
          </w:tcPr>
          <w:p w:rsidR="00C232A3" w:rsidRPr="00AB62BD" w:rsidRDefault="00C232A3" w:rsidP="00C232A3">
            <w:pPr>
              <w:pStyle w:val="ARfintablebodyright"/>
              <w:rPr>
                <w:rStyle w:val="Strong"/>
                <w:bCs w:val="0"/>
              </w:rPr>
            </w:pPr>
            <w:r w:rsidRPr="00AB62BD">
              <w:rPr>
                <w:rStyle w:val="Strong"/>
              </w:rPr>
              <w:t>22.5</w:t>
            </w:r>
          </w:p>
        </w:tc>
      </w:tr>
    </w:tbl>
    <w:p w:rsidR="00C232A3" w:rsidRPr="00D11896" w:rsidRDefault="00C232A3" w:rsidP="00C232A3">
      <w:pPr>
        <w:pStyle w:val="Heading5"/>
        <w:rPr>
          <w:rStyle w:val="Strong"/>
        </w:rPr>
      </w:pPr>
      <w:r w:rsidRPr="00D11896">
        <w:rPr>
          <w:rStyle w:val="Strong"/>
        </w:rPr>
        <w:t>Contingent liabilities</w:t>
      </w:r>
    </w:p>
    <w:p w:rsidR="00C232A3" w:rsidRPr="00AB62BD" w:rsidRDefault="00C232A3" w:rsidP="00C232A3">
      <w:pPr>
        <w:pStyle w:val="ARfinbody"/>
        <w:rPr>
          <w:lang w:eastAsia="en-AU"/>
        </w:rPr>
      </w:pPr>
      <w:r w:rsidRPr="00AB62BD">
        <w:rPr>
          <w:lang w:eastAsia="en-AU"/>
        </w:rPr>
        <w:t>Contingent liabilities are:</w:t>
      </w:r>
    </w:p>
    <w:p w:rsidR="00C232A3" w:rsidRPr="00AB62BD" w:rsidRDefault="00C232A3" w:rsidP="00C232A3">
      <w:pPr>
        <w:pStyle w:val="ARfinbullet1"/>
        <w:rPr>
          <w:lang w:eastAsia="en-AU"/>
        </w:rPr>
      </w:pPr>
      <w:r w:rsidRPr="00AB62BD">
        <w:rPr>
          <w:lang w:eastAsia="en-AU"/>
        </w:rPr>
        <w:t>possible obligations that arise from past events, whose existence will be confirmed only by the occurrence or non-occurrence of one or more uncertain future events not wholly within the control of the entity; or</w:t>
      </w:r>
    </w:p>
    <w:p w:rsidR="00C232A3" w:rsidRPr="00AB62BD" w:rsidRDefault="00C232A3" w:rsidP="00C232A3">
      <w:pPr>
        <w:pStyle w:val="ARfinbullet1"/>
        <w:rPr>
          <w:lang w:eastAsia="en-AU"/>
        </w:rPr>
      </w:pPr>
      <w:r w:rsidRPr="00AB62BD">
        <w:rPr>
          <w:lang w:eastAsia="en-AU"/>
        </w:rPr>
        <w:t>present obligations that arise from past events but are not recognised because:</w:t>
      </w:r>
    </w:p>
    <w:p w:rsidR="00C232A3" w:rsidRPr="00AB62BD" w:rsidRDefault="00C232A3" w:rsidP="00C232A3">
      <w:pPr>
        <w:pStyle w:val="ARfinbullet2"/>
      </w:pPr>
      <w:r w:rsidRPr="00AB62BD">
        <w:t>it is not probable that an outflow of resources embodying economic benefits will be required to settle the obligations; or</w:t>
      </w:r>
    </w:p>
    <w:p w:rsidR="00C232A3" w:rsidRPr="00AB62BD" w:rsidRDefault="00C232A3" w:rsidP="00C232A3">
      <w:pPr>
        <w:pStyle w:val="ARfinbullet2"/>
      </w:pPr>
      <w:r w:rsidRPr="00AB62BD">
        <w:t>the amount of the obligations cannot be measured with sufficient reliability.</w:t>
      </w:r>
    </w:p>
    <w:p w:rsidR="00C232A3" w:rsidRPr="00AB62BD" w:rsidRDefault="00C232A3" w:rsidP="00C232A3">
      <w:pPr>
        <w:pStyle w:val="ARfinbody"/>
        <w:rPr>
          <w:lang w:eastAsia="en-AU"/>
        </w:rPr>
      </w:pPr>
      <w:r w:rsidRPr="00AB62BD">
        <w:rPr>
          <w:lang w:eastAsia="en-AU"/>
        </w:rPr>
        <w:t>Contingent liabilities are also classified as either quantifiable or non-quantifiable.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98"/>
        <w:gridCol w:w="6970"/>
        <w:gridCol w:w="936"/>
        <w:gridCol w:w="935"/>
      </w:tblGrid>
      <w:tr w:rsidR="00C232A3" w:rsidRPr="00AB62BD" w:rsidTr="00C232A3">
        <w:trPr>
          <w:cantSplit/>
          <w:tblHeader/>
        </w:trPr>
        <w:tc>
          <w:tcPr>
            <w:tcW w:w="1017"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0388" w:type="dxa"/>
            <w:tcBorders>
              <w:bottom w:val="single" w:sz="4" w:space="0" w:color="auto"/>
            </w:tcBorders>
            <w:vAlign w:val="bottom"/>
          </w:tcPr>
          <w:p w:rsidR="00C232A3" w:rsidRPr="00D77774" w:rsidRDefault="00C232A3" w:rsidP="00C232A3">
            <w:pPr>
              <w:pStyle w:val="ARfintablecolheadright"/>
            </w:pPr>
          </w:p>
        </w:tc>
        <w:tc>
          <w:tcPr>
            <w:tcW w:w="1339" w:type="dxa"/>
            <w:tcBorders>
              <w:bottom w:val="single" w:sz="4" w:space="0" w:color="auto"/>
            </w:tcBorders>
            <w:shd w:val="clear" w:color="auto" w:fill="E7E6E6"/>
            <w:vAlign w:val="bottom"/>
          </w:tcPr>
          <w:p w:rsidR="00C232A3" w:rsidRPr="00D77774" w:rsidRDefault="00C232A3" w:rsidP="00C232A3">
            <w:pPr>
              <w:pStyle w:val="ARfintablecolheadright"/>
            </w:pPr>
            <w:r w:rsidRPr="00D77774">
              <w:t>2017</w:t>
            </w:r>
          </w:p>
          <w:p w:rsidR="00C232A3" w:rsidRPr="00D77774" w:rsidRDefault="00C232A3" w:rsidP="00C232A3">
            <w:pPr>
              <w:pStyle w:val="ARfintablecolheadright"/>
            </w:pPr>
            <w:r w:rsidRPr="00D77774">
              <w:t>$M</w:t>
            </w:r>
          </w:p>
        </w:tc>
        <w:tc>
          <w:tcPr>
            <w:tcW w:w="1338" w:type="dxa"/>
            <w:tcBorders>
              <w:bottom w:val="single" w:sz="4" w:space="0" w:color="auto"/>
            </w:tcBorders>
            <w:vAlign w:val="bottom"/>
          </w:tcPr>
          <w:p w:rsidR="00C232A3" w:rsidRPr="00D77774" w:rsidRDefault="00C232A3" w:rsidP="00C232A3">
            <w:pPr>
              <w:pStyle w:val="ARfintablecolheadright"/>
            </w:pPr>
            <w:r w:rsidRPr="00D77774">
              <w:t>2016</w:t>
            </w:r>
          </w:p>
          <w:p w:rsidR="00C232A3" w:rsidRPr="00D77774" w:rsidRDefault="00C232A3" w:rsidP="00C232A3">
            <w:pPr>
              <w:pStyle w:val="ARfintablecolheadright"/>
            </w:pPr>
            <w:r w:rsidRPr="00D77774">
              <w:t>$M</w:t>
            </w:r>
          </w:p>
        </w:tc>
      </w:tr>
      <w:tr w:rsidR="00C232A3" w:rsidRPr="00AB62BD" w:rsidTr="00C232A3">
        <w:trPr>
          <w:cantSplit/>
        </w:trPr>
        <w:tc>
          <w:tcPr>
            <w:tcW w:w="11405" w:type="dxa"/>
            <w:gridSpan w:val="2"/>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Quantifiable contingent liabilities</w:t>
            </w:r>
          </w:p>
        </w:tc>
        <w:tc>
          <w:tcPr>
            <w:tcW w:w="1339"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33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(a)</w:t>
            </w:r>
          </w:p>
        </w:tc>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In 2016, there existed a building construction contractual dispute in which a Contractor claimed to be entitled to a sum greater than the amount determined by the </w:t>
            </w:r>
            <w:proofErr w:type="spellStart"/>
            <w:r w:rsidRPr="00AB62BD">
              <w:rPr>
                <w:lang w:eastAsia="en-AU"/>
              </w:rPr>
              <w:t>Superintendant</w:t>
            </w:r>
            <w:proofErr w:type="spellEnd"/>
            <w:r w:rsidRPr="00AB62BD">
              <w:rPr>
                <w:lang w:eastAsia="en-AU"/>
              </w:rPr>
              <w:t xml:space="preserve"> (the independent assessor of claims under the contract) as being due to the Contractor under the contract with the department. The claim was made against the department and the department denied liability for the amounts in excess of the amount determined by the </w:t>
            </w:r>
            <w:proofErr w:type="spellStart"/>
            <w:r w:rsidRPr="00AB62BD">
              <w:rPr>
                <w:lang w:eastAsia="en-AU"/>
              </w:rPr>
              <w:t>Superintendant</w:t>
            </w:r>
            <w:proofErr w:type="spellEnd"/>
            <w:r w:rsidRPr="00AB62BD">
              <w:rPr>
                <w:lang w:eastAsia="en-AU"/>
              </w:rPr>
              <w:t>. The contract was otherwise complete.</w:t>
            </w:r>
          </w:p>
          <w:p w:rsidR="00C232A3" w:rsidRDefault="00C232A3" w:rsidP="00C232A3">
            <w:pPr>
              <w:pStyle w:val="ARfintablebody"/>
              <w:rPr>
                <w:lang w:eastAsia="en-AU"/>
              </w:rPr>
            </w:pPr>
            <w:r w:rsidRPr="00AB62BD">
              <w:rPr>
                <w:lang w:eastAsia="en-AU"/>
              </w:rPr>
              <w:t xml:space="preserve">The dispute progressed in accordance with the procedures set out in the </w:t>
            </w:r>
            <w:r w:rsidRPr="00AB62BD">
              <w:rPr>
                <w:rStyle w:val="Emphasis"/>
              </w:rPr>
              <w:t xml:space="preserve">Building and Construction Industry Security of Payment Act 2002 </w:t>
            </w:r>
            <w:r w:rsidRPr="00AB62BD">
              <w:rPr>
                <w:lang w:eastAsia="en-AU"/>
              </w:rPr>
              <w:t xml:space="preserve">(the Act) for resolving such disputes. Under a construction contract, the </w:t>
            </w:r>
            <w:proofErr w:type="spellStart"/>
            <w:r w:rsidRPr="00AB62BD">
              <w:rPr>
                <w:lang w:eastAsia="en-AU"/>
              </w:rPr>
              <w:t>Superintendant</w:t>
            </w:r>
            <w:proofErr w:type="spellEnd"/>
            <w:r w:rsidRPr="00AB62BD">
              <w:rPr>
                <w:lang w:eastAsia="en-AU"/>
              </w:rPr>
              <w:t xml:space="preserve"> is the Principal’s representative (the </w:t>
            </w:r>
            <w:r>
              <w:rPr>
                <w:lang w:eastAsia="en-AU"/>
              </w:rPr>
              <w:t>d</w:t>
            </w:r>
            <w:r w:rsidRPr="00AB62BD">
              <w:rPr>
                <w:lang w:eastAsia="en-AU"/>
              </w:rPr>
              <w:t>epartment is the Principal). When there is a dispute as to amounts owing under a construction contract dealt with under the Act, as in this case, the Principal is required to set the sum demanded aside while the dispute is resolved. The purpose of this is to ensure that the funds are available if the dispute were to be resolved in favour of the contractor.</w:t>
            </w:r>
          </w:p>
          <w:p w:rsidR="00C232A3" w:rsidRPr="00AB62BD" w:rsidRDefault="00C232A3" w:rsidP="00C232A3">
            <w:pPr>
              <w:pStyle w:val="ARfintablebody"/>
              <w:rPr>
                <w:lang w:eastAsia="en-AU"/>
              </w:rPr>
            </w:pPr>
            <w:r>
              <w:rPr>
                <w:lang w:eastAsia="en-AU"/>
              </w:rPr>
              <w:t>This matter was not applicable in 2017.</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33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r>
      <w:tr w:rsidR="00C232A3" w:rsidRPr="00AB62BD" w:rsidTr="00C232A3">
        <w:trPr>
          <w:cantSplit/>
        </w:trPr>
        <w:tc>
          <w:tcPr>
            <w:tcW w:w="1134"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w:t>
            </w:r>
          </w:p>
        </w:tc>
        <w:tc>
          <w:tcPr>
            <w:tcW w:w="6237"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The Department of Health and Human Services has estimated that potential liability exists in respect of a number of legal actions instigated by clients and their representatives, employees and others, and other contractual liabilities. </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2.4</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9.9</w:t>
            </w:r>
          </w:p>
        </w:tc>
      </w:tr>
      <w:tr w:rsidR="00C232A3" w:rsidRPr="00AB62BD" w:rsidTr="00C232A3">
        <w:trPr>
          <w:cantSplit/>
        </w:trPr>
        <w:tc>
          <w:tcPr>
            <w:tcW w:w="1134" w:type="dxa"/>
          </w:tcPr>
          <w:p w:rsidR="00C232A3" w:rsidRPr="00AB62BD" w:rsidRDefault="00C232A3" w:rsidP="00C232A3">
            <w:pPr>
              <w:pStyle w:val="ARfintablebody"/>
              <w:rPr>
                <w:bCs/>
                <w:lang w:eastAsia="en-AU"/>
              </w:rPr>
            </w:pPr>
            <w:r w:rsidRPr="00AB62BD">
              <w:rPr>
                <w:rStyle w:val="Strong"/>
              </w:rPr>
              <w:t>Total</w:t>
            </w:r>
          </w:p>
        </w:tc>
        <w:tc>
          <w:tcPr>
            <w:tcW w:w="6237" w:type="dxa"/>
          </w:tcPr>
          <w:p w:rsidR="00C232A3" w:rsidRPr="00AB62BD" w:rsidRDefault="00C232A3" w:rsidP="00C232A3">
            <w:pPr>
              <w:pStyle w:val="ARfintablebody"/>
              <w:rPr>
                <w:bCs/>
                <w:lang w:eastAsia="en-AU"/>
              </w:rPr>
            </w:pP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2.4</w:t>
            </w:r>
          </w:p>
        </w:tc>
        <w:tc>
          <w:tcPr>
            <w:tcW w:w="1134" w:type="dxa"/>
          </w:tcPr>
          <w:p w:rsidR="00C232A3" w:rsidRPr="00AB62BD" w:rsidRDefault="00C232A3" w:rsidP="00C232A3">
            <w:pPr>
              <w:pStyle w:val="ARfintablebodyright"/>
              <w:rPr>
                <w:rStyle w:val="Strong"/>
                <w:bCs w:val="0"/>
              </w:rPr>
            </w:pPr>
            <w:r w:rsidRPr="00AB62BD">
              <w:rPr>
                <w:rStyle w:val="Strong"/>
              </w:rPr>
              <w:t>10.2</w:t>
            </w:r>
          </w:p>
        </w:tc>
      </w:tr>
    </w:tbl>
    <w:p w:rsidR="00C232A3" w:rsidRPr="00D11896" w:rsidRDefault="00C232A3" w:rsidP="00C232A3">
      <w:pPr>
        <w:pStyle w:val="Heading5"/>
        <w:rPr>
          <w:rStyle w:val="Strong"/>
        </w:rPr>
      </w:pPr>
      <w:r w:rsidRPr="00D11896">
        <w:rPr>
          <w:rStyle w:val="Strong"/>
        </w:rPr>
        <w:t>Non-quantifiable contingent liabilities</w:t>
      </w:r>
    </w:p>
    <w:p w:rsidR="00AA035A" w:rsidRDefault="00C232A3" w:rsidP="00C232A3">
      <w:pPr>
        <w:pStyle w:val="ARfinbody"/>
        <w:rPr>
          <w:lang w:eastAsia="en-AU"/>
        </w:rPr>
      </w:pPr>
      <w:r w:rsidRPr="00AB62BD">
        <w:rPr>
          <w:lang w:eastAsia="en-AU"/>
        </w:rPr>
        <w:t>In response to the concerns of some health services, the department has undertaken to provide certain health services adequate cash flow support to enable these health services to meet their current and future obligations as and when they fall due for a period up to September 2018 should this be required. In line with processes already established by the department, it is expected that each health service that has been pledged this support will:</w:t>
      </w:r>
    </w:p>
    <w:p w:rsidR="00C232A3" w:rsidRPr="00AB62BD" w:rsidRDefault="00C232A3" w:rsidP="00C232A3">
      <w:pPr>
        <w:pStyle w:val="ARfinbullet1"/>
        <w:rPr>
          <w:lang w:eastAsia="en-AU"/>
        </w:rPr>
      </w:pPr>
      <w:r w:rsidRPr="00AB62BD">
        <w:rPr>
          <w:lang w:eastAsia="en-AU"/>
        </w:rPr>
        <w:t>continue to provide monthly advice on its financial position, including the likelihood of any short-term liquidity issues; and</w:t>
      </w:r>
    </w:p>
    <w:p w:rsidR="00C232A3" w:rsidRPr="00AB62BD" w:rsidRDefault="00C232A3" w:rsidP="00C232A3">
      <w:pPr>
        <w:pStyle w:val="ARfinbullet1"/>
        <w:rPr>
          <w:lang w:eastAsia="en-AU"/>
        </w:rPr>
      </w:pPr>
      <w:r w:rsidRPr="00AB62BD">
        <w:rPr>
          <w:lang w:eastAsia="en-AU"/>
        </w:rPr>
        <w:t xml:space="preserve">commit to achieve the agreed budget targets, and all other requirements of their service agreements or statement of priorities in </w:t>
      </w:r>
      <w:r>
        <w:rPr>
          <w:lang w:eastAsia="en-AU"/>
        </w:rPr>
        <w:t>2017–18</w:t>
      </w:r>
      <w:r w:rsidRPr="00AB62BD">
        <w:rPr>
          <w:lang w:eastAsia="en-AU"/>
        </w:rPr>
        <w:t>.</w:t>
      </w:r>
    </w:p>
    <w:p w:rsidR="00C232A3" w:rsidRPr="00A15588" w:rsidRDefault="00C232A3" w:rsidP="00C232A3">
      <w:pPr>
        <w:pStyle w:val="Heading4"/>
      </w:pPr>
      <w:r w:rsidRPr="00A15588">
        <w:t>8.3 Fair value determination</w:t>
      </w:r>
    </w:p>
    <w:p w:rsidR="00C232A3" w:rsidRPr="00AB62BD" w:rsidRDefault="00C232A3" w:rsidP="00C232A3">
      <w:pPr>
        <w:pStyle w:val="ARfinbody"/>
        <w:rPr>
          <w:lang w:eastAsia="en-AU"/>
        </w:rPr>
      </w:pPr>
      <w:r w:rsidRPr="00AB62BD">
        <w:rPr>
          <w:lang w:eastAsia="en-AU"/>
        </w:rP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rsidR="00C232A3" w:rsidRPr="00AB62BD" w:rsidRDefault="00C232A3" w:rsidP="00C232A3">
      <w:pPr>
        <w:pStyle w:val="ARfinbody"/>
        <w:rPr>
          <w:lang w:eastAsia="en-AU"/>
        </w:rPr>
      </w:pPr>
      <w:r w:rsidRPr="00AB62BD">
        <w:rPr>
          <w:lang w:eastAsia="en-AU"/>
        </w:rPr>
        <w:t>The following assets and liabilities are carried at fair value:</w:t>
      </w:r>
    </w:p>
    <w:p w:rsidR="00C232A3" w:rsidRPr="00AB62BD" w:rsidRDefault="00C232A3" w:rsidP="00C232A3">
      <w:pPr>
        <w:pStyle w:val="ARfinbullet1"/>
        <w:rPr>
          <w:lang w:eastAsia="en-AU"/>
        </w:rPr>
      </w:pPr>
      <w:r>
        <w:rPr>
          <w:lang w:eastAsia="en-AU"/>
        </w:rPr>
        <w:t>f</w:t>
      </w:r>
      <w:r w:rsidRPr="00AB62BD">
        <w:rPr>
          <w:lang w:eastAsia="en-AU"/>
        </w:rPr>
        <w:t>inancial assets and liabilities at fair value through ‘other comprehensive income’, and</w:t>
      </w:r>
    </w:p>
    <w:p w:rsidR="00C232A3" w:rsidRPr="00AB62BD" w:rsidRDefault="00C232A3" w:rsidP="00C232A3">
      <w:pPr>
        <w:pStyle w:val="ARfinbullet1"/>
        <w:rPr>
          <w:lang w:eastAsia="en-AU"/>
        </w:rPr>
      </w:pPr>
      <w:r>
        <w:rPr>
          <w:lang w:eastAsia="en-AU"/>
        </w:rPr>
        <w:t>l</w:t>
      </w:r>
      <w:r w:rsidRPr="00AB62BD">
        <w:rPr>
          <w:lang w:eastAsia="en-AU"/>
        </w:rPr>
        <w:t>and, buildings, plant and equipment</w:t>
      </w:r>
    </w:p>
    <w:p w:rsidR="00C232A3" w:rsidRPr="00AB62BD" w:rsidRDefault="00C232A3" w:rsidP="00C232A3">
      <w:pPr>
        <w:pStyle w:val="ARfinbody"/>
        <w:rPr>
          <w:lang w:eastAsia="en-AU"/>
        </w:rPr>
      </w:pPr>
      <w:r w:rsidRPr="00AB62BD">
        <w:rPr>
          <w:lang w:eastAsia="en-AU"/>
        </w:rPr>
        <w:t>In addition, the fair values of other assets and liabilities which are carried at amortised cost, also need to be determined for disclosure purposes.</w:t>
      </w:r>
    </w:p>
    <w:p w:rsidR="00C232A3" w:rsidRPr="00AB62BD" w:rsidRDefault="00C232A3" w:rsidP="00C232A3">
      <w:pPr>
        <w:pStyle w:val="ARfinbody"/>
        <w:rPr>
          <w:lang w:eastAsia="en-AU"/>
        </w:rPr>
      </w:pPr>
      <w:r w:rsidRPr="00AB62BD">
        <w:rPr>
          <w:lang w:eastAsia="en-AU"/>
        </w:rPr>
        <w:t>The department determines the policies and procedures for determining fair values for both financial and non-financial assets and liabilities as required.</w:t>
      </w:r>
    </w:p>
    <w:p w:rsidR="00C232A3" w:rsidRPr="00D11896" w:rsidRDefault="00C232A3" w:rsidP="00C232A3">
      <w:pPr>
        <w:pStyle w:val="Heading5"/>
        <w:rPr>
          <w:rStyle w:val="Strong"/>
        </w:rPr>
      </w:pPr>
      <w:r w:rsidRPr="00D11896">
        <w:rPr>
          <w:rStyle w:val="Strong"/>
        </w:rPr>
        <w:t>Fair value hierarchy</w:t>
      </w:r>
    </w:p>
    <w:p w:rsidR="00C232A3" w:rsidRPr="00AB62BD" w:rsidRDefault="00C232A3" w:rsidP="00C232A3">
      <w:pPr>
        <w:pStyle w:val="ARfinbody"/>
        <w:rPr>
          <w:lang w:eastAsia="en-AU"/>
        </w:rPr>
      </w:pPr>
      <w:r w:rsidRPr="00AB62BD">
        <w:rPr>
          <w:lang w:eastAsia="en-AU"/>
        </w:rPr>
        <w:t>In determining fair values a number of inputs are used. To increase consistency and comparability in the financial statements, these inputs are categorised into three levels, also known as the fair value hierarchy. The levels are as follows:</w:t>
      </w:r>
    </w:p>
    <w:p w:rsidR="00C232A3" w:rsidRPr="00AB62BD" w:rsidRDefault="00C232A3" w:rsidP="00C232A3">
      <w:pPr>
        <w:pStyle w:val="ARfinbullet1"/>
        <w:rPr>
          <w:lang w:eastAsia="en-AU"/>
        </w:rPr>
      </w:pPr>
      <w:r w:rsidRPr="00AB62BD">
        <w:rPr>
          <w:lang w:eastAsia="en-AU"/>
        </w:rPr>
        <w:t>Level 1 – Quoted (unadjusted) market prices in active markets for identical assets or liabilities;</w:t>
      </w:r>
    </w:p>
    <w:p w:rsidR="00C232A3" w:rsidRPr="00AB62BD" w:rsidRDefault="00C232A3" w:rsidP="00C232A3">
      <w:pPr>
        <w:pStyle w:val="ARfinbullet1"/>
        <w:rPr>
          <w:lang w:eastAsia="en-AU"/>
        </w:rPr>
      </w:pPr>
      <w:r w:rsidRPr="00AB62BD">
        <w:rPr>
          <w:lang w:eastAsia="en-AU"/>
        </w:rPr>
        <w:t>Level 2 – Valuation techniques for which the lowest level input that is significant to the fair value measurement is directly or indirectly observable; and</w:t>
      </w:r>
    </w:p>
    <w:p w:rsidR="00C232A3" w:rsidRPr="00AB62BD" w:rsidRDefault="00C232A3" w:rsidP="00C232A3">
      <w:pPr>
        <w:pStyle w:val="ARfinbullet1"/>
        <w:rPr>
          <w:lang w:eastAsia="en-AU"/>
        </w:rPr>
      </w:pPr>
      <w:r w:rsidRPr="00AB62BD">
        <w:rPr>
          <w:lang w:eastAsia="en-AU"/>
        </w:rPr>
        <w:t>Level 3 – Valuation techniques for which the lowest level input that is significant to the fair value measurement is unobservable.</w:t>
      </w:r>
    </w:p>
    <w:p w:rsidR="00C232A3" w:rsidRPr="00AB62BD" w:rsidRDefault="00C232A3" w:rsidP="00C232A3">
      <w:pPr>
        <w:pStyle w:val="ARfinbody"/>
        <w:rPr>
          <w:lang w:eastAsia="en-AU"/>
        </w:rPr>
      </w:pPr>
      <w:r w:rsidRPr="00AB62BD">
        <w:rPr>
          <w:lang w:eastAsia="en-AU"/>
        </w:rPr>
        <w:t xml:space="preserve">The department determines whether transfers have occurred between levels in the hierarchy by reassessing categorisation (based </w:t>
      </w:r>
      <w:r w:rsidR="0023764F">
        <w:rPr>
          <w:lang w:eastAsia="en-AU"/>
        </w:rPr>
        <w:br/>
      </w:r>
      <w:r w:rsidRPr="00AB62BD">
        <w:rPr>
          <w:lang w:eastAsia="en-AU"/>
        </w:rPr>
        <w:t>on the lowest level input that is significant to the fair value measurement as a whole) at the end of each reporting period.</w:t>
      </w:r>
    </w:p>
    <w:p w:rsidR="00C232A3" w:rsidRPr="00AB62BD" w:rsidRDefault="00C232A3" w:rsidP="00C232A3">
      <w:pPr>
        <w:pStyle w:val="ARfinbody"/>
        <w:rPr>
          <w:lang w:eastAsia="en-AU"/>
        </w:rPr>
      </w:pPr>
      <w:r w:rsidRPr="00AB62BD">
        <w:rPr>
          <w:lang w:eastAsia="en-AU"/>
        </w:rPr>
        <w:t xml:space="preserve">The </w:t>
      </w:r>
      <w:proofErr w:type="spellStart"/>
      <w:r w:rsidRPr="00AB62BD">
        <w:rPr>
          <w:lang w:eastAsia="en-AU"/>
        </w:rPr>
        <w:t>Valuer</w:t>
      </w:r>
      <w:proofErr w:type="spellEnd"/>
      <w:r w:rsidRPr="00AB62BD">
        <w:rPr>
          <w:lang w:eastAsia="en-AU"/>
        </w:rPr>
        <w:t>-General Victoria (VGV) is the department’s independent valuation agency.</w:t>
      </w:r>
    </w:p>
    <w:p w:rsidR="00C232A3" w:rsidRPr="00D11896" w:rsidRDefault="00C232A3" w:rsidP="00C232A3">
      <w:pPr>
        <w:pStyle w:val="Heading5"/>
        <w:rPr>
          <w:rStyle w:val="Strong"/>
        </w:rPr>
      </w:pPr>
      <w:r w:rsidRPr="00D11896">
        <w:rPr>
          <w:rStyle w:val="Strong"/>
        </w:rPr>
        <w:t>How this section is structured</w:t>
      </w:r>
    </w:p>
    <w:p w:rsidR="00C232A3" w:rsidRPr="00AB62BD" w:rsidRDefault="00C232A3" w:rsidP="00C232A3">
      <w:pPr>
        <w:pStyle w:val="ARfinbody"/>
        <w:rPr>
          <w:lang w:eastAsia="en-AU"/>
        </w:rPr>
      </w:pPr>
      <w:r w:rsidRPr="00AB62BD">
        <w:rPr>
          <w:lang w:eastAsia="en-AU"/>
        </w:rPr>
        <w:t>For those assets and liabilities for which fair values are determined, the following disclosures are provided:</w:t>
      </w:r>
    </w:p>
    <w:p w:rsidR="00C232A3" w:rsidRPr="00AB62BD" w:rsidRDefault="00C232A3" w:rsidP="00C232A3">
      <w:pPr>
        <w:pStyle w:val="ARfinbullet1"/>
        <w:rPr>
          <w:lang w:eastAsia="en-AU"/>
        </w:rPr>
      </w:pPr>
      <w:r w:rsidRPr="00AB62BD">
        <w:rPr>
          <w:lang w:eastAsia="en-AU"/>
        </w:rPr>
        <w:t>carrying amount and the fair value (which would be the same for those assets measured at fair value);</w:t>
      </w:r>
    </w:p>
    <w:p w:rsidR="00C232A3" w:rsidRPr="00AB62BD" w:rsidRDefault="00C232A3" w:rsidP="00C232A3">
      <w:pPr>
        <w:pStyle w:val="ARfinbullet1"/>
        <w:rPr>
          <w:lang w:eastAsia="en-AU"/>
        </w:rPr>
      </w:pPr>
      <w:r w:rsidRPr="00AB62BD">
        <w:rPr>
          <w:lang w:eastAsia="en-AU"/>
        </w:rPr>
        <w:t>which level of the fair value hierarchy was used to determine the fair value; and</w:t>
      </w:r>
    </w:p>
    <w:p w:rsidR="00C232A3" w:rsidRPr="00AB62BD" w:rsidRDefault="00C232A3" w:rsidP="00C232A3">
      <w:pPr>
        <w:pStyle w:val="ARfinbullet1"/>
        <w:rPr>
          <w:lang w:eastAsia="en-AU"/>
        </w:rPr>
      </w:pPr>
      <w:r w:rsidRPr="00AB62BD">
        <w:rPr>
          <w:lang w:eastAsia="en-AU"/>
        </w:rPr>
        <w:t>in respect of those assets and liabilities subject to fair value determination using Level 3 inputs:</w:t>
      </w:r>
    </w:p>
    <w:p w:rsidR="00C232A3" w:rsidRPr="00AB62BD" w:rsidRDefault="00C232A3" w:rsidP="00C232A3">
      <w:pPr>
        <w:pStyle w:val="ARfinbullet2"/>
      </w:pPr>
      <w:r w:rsidRPr="00AB62BD">
        <w:t>a reconciliation of the movements in fair values from the beginning of the year to the end; and</w:t>
      </w:r>
    </w:p>
    <w:p w:rsidR="00C232A3" w:rsidRPr="00AB62BD" w:rsidRDefault="00C232A3" w:rsidP="00C232A3">
      <w:pPr>
        <w:pStyle w:val="ARfinbullet2"/>
      </w:pPr>
      <w:r w:rsidRPr="00AB62BD">
        <w:t>details of significant unobservable inputs used in the fair value determination.</w:t>
      </w:r>
    </w:p>
    <w:p w:rsidR="00C232A3" w:rsidRPr="00AB62BD" w:rsidRDefault="00C232A3" w:rsidP="00C232A3">
      <w:pPr>
        <w:pStyle w:val="ARfinbody"/>
        <w:rPr>
          <w:lang w:eastAsia="en-AU"/>
        </w:rPr>
      </w:pPr>
      <w:r w:rsidRPr="00AB62BD">
        <w:rPr>
          <w:lang w:eastAsia="en-AU"/>
        </w:rPr>
        <w:t>This section is divided between disclosures in connection with fair value determination for financial instruments (refer Note 8.3.1) and non-financial physical assets (refer Note 8.3.2).</w:t>
      </w:r>
    </w:p>
    <w:p w:rsidR="00C232A3" w:rsidRPr="00D11896" w:rsidRDefault="00C232A3" w:rsidP="00C232A3">
      <w:pPr>
        <w:pStyle w:val="Heading5"/>
        <w:rPr>
          <w:rStyle w:val="Strong"/>
        </w:rPr>
      </w:pPr>
      <w:r w:rsidRPr="00D11896">
        <w:rPr>
          <w:rStyle w:val="Strong"/>
        </w:rPr>
        <w:lastRenderedPageBreak/>
        <w:t>8.3.1 Fair value determination of financial assets and liabilities</w:t>
      </w:r>
    </w:p>
    <w:p w:rsidR="00C232A3" w:rsidRPr="00AB62BD" w:rsidRDefault="00C232A3" w:rsidP="00C232A3">
      <w:pPr>
        <w:pStyle w:val="ARfinbody"/>
        <w:rPr>
          <w:lang w:eastAsia="en-AU"/>
        </w:rPr>
      </w:pPr>
      <w:r w:rsidRPr="00AB62BD">
        <w:rPr>
          <w:lang w:eastAsia="en-AU"/>
        </w:rPr>
        <w:t>The fair values and net fair values of financial assets and liabilities are determined as follows:</w:t>
      </w:r>
    </w:p>
    <w:p w:rsidR="00C232A3" w:rsidRPr="00AB62BD" w:rsidRDefault="00C232A3" w:rsidP="00C232A3">
      <w:pPr>
        <w:pStyle w:val="ARfinbullet1"/>
        <w:rPr>
          <w:lang w:eastAsia="en-AU"/>
        </w:rPr>
      </w:pPr>
      <w:r w:rsidRPr="00AB62BD">
        <w:rPr>
          <w:lang w:eastAsia="en-AU"/>
        </w:rPr>
        <w:t>Level 1 – the fair value of financial instruments with standard terms and conditions and traded in active markets are determined with reference to quoted market prices;</w:t>
      </w:r>
    </w:p>
    <w:p w:rsidR="00C232A3" w:rsidRPr="00AB62BD" w:rsidRDefault="00C232A3" w:rsidP="00C232A3">
      <w:pPr>
        <w:pStyle w:val="ARfinbullet1"/>
        <w:rPr>
          <w:lang w:eastAsia="en-AU"/>
        </w:rPr>
      </w:pPr>
      <w:r w:rsidRPr="00AB62BD">
        <w:rPr>
          <w:lang w:eastAsia="en-AU"/>
        </w:rPr>
        <w:t>Level 2 – the fair value is determined using inputs other than quoted prices that are observable for the financial asset or liability, either directly or indirectly; and</w:t>
      </w:r>
    </w:p>
    <w:p w:rsidR="00C232A3" w:rsidRPr="00AB62BD" w:rsidRDefault="00C232A3" w:rsidP="00C232A3">
      <w:pPr>
        <w:pStyle w:val="ARfinbullet1"/>
        <w:rPr>
          <w:lang w:eastAsia="en-AU"/>
        </w:rPr>
      </w:pPr>
      <w:r w:rsidRPr="00AB62BD">
        <w:rPr>
          <w:lang w:eastAsia="en-AU"/>
        </w:rPr>
        <w:t>Level 3 – the fair value is determined in accordance with generally accepted pricing models based on discounted cash flow analysis using unobservable market inputs.</w:t>
      </w:r>
    </w:p>
    <w:p w:rsidR="00C232A3" w:rsidRPr="00AB62BD" w:rsidRDefault="00C232A3" w:rsidP="00C232A3">
      <w:pPr>
        <w:pStyle w:val="ARfinbody"/>
        <w:rPr>
          <w:lang w:eastAsia="en-AU"/>
        </w:rPr>
      </w:pPr>
      <w:r w:rsidRPr="00AB62BD">
        <w:rPr>
          <w:lang w:eastAsia="en-AU"/>
        </w:rPr>
        <w:t>The department currently holds a range of financial instruments that are recorded in the financial statements where the carrying amounts are a reasonable approximation of fair value</w:t>
      </w:r>
      <w:r w:rsidRPr="00AB62BD">
        <w:rPr>
          <w:strike/>
          <w:lang w:eastAsia="en-AU"/>
        </w:rPr>
        <w:t>s</w:t>
      </w:r>
      <w:r w:rsidRPr="00AB62BD">
        <w:rPr>
          <w:lang w:eastAsia="en-AU"/>
        </w:rPr>
        <w:t xml:space="preserve">, either due to their short-term nature or with the expectation that they will be paid in full by the end of the </w:t>
      </w:r>
      <w:r>
        <w:rPr>
          <w:lang w:eastAsia="en-AU"/>
        </w:rPr>
        <w:t>2016–17</w:t>
      </w:r>
      <w:r w:rsidRPr="00AB62BD">
        <w:rPr>
          <w:lang w:eastAsia="en-AU"/>
        </w:rPr>
        <w:t xml:space="preserve"> reporting period.</w:t>
      </w:r>
    </w:p>
    <w:p w:rsidR="00C232A3" w:rsidRDefault="00C232A3" w:rsidP="00C232A3">
      <w:pPr>
        <w:pStyle w:val="ARfinbody"/>
        <w:rPr>
          <w:lang w:eastAsia="en-AU"/>
        </w:rPr>
      </w:pPr>
      <w:r w:rsidRPr="00AB62BD">
        <w:rPr>
          <w:lang w:eastAsia="en-AU"/>
        </w:rPr>
        <w:t>The fair value of the financial instruments is the same as the carrying amounts.</w:t>
      </w:r>
    </w:p>
    <w:p w:rsidR="00C232A3" w:rsidRPr="00D11896" w:rsidRDefault="00C232A3" w:rsidP="00C232A3">
      <w:pPr>
        <w:pStyle w:val="Heading5"/>
        <w:rPr>
          <w:rStyle w:val="Strong"/>
        </w:rPr>
      </w:pPr>
      <w:r w:rsidRPr="00D11896">
        <w:rPr>
          <w:rStyle w:val="Strong"/>
        </w:rPr>
        <w:t>8.3.2 Fair value determination of non-financial physical assets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C232A3" w:rsidRPr="00AB62BD" w:rsidTr="00C232A3">
        <w:trPr>
          <w:cantSplit/>
          <w:tblHeader/>
        </w:trPr>
        <w:tc>
          <w:tcPr>
            <w:tcW w:w="5103" w:type="dxa"/>
            <w:tcBorders>
              <w:bottom w:val="single" w:sz="4" w:space="0" w:color="auto"/>
            </w:tcBorders>
            <w:vAlign w:val="bottom"/>
          </w:tcPr>
          <w:p w:rsidR="00C232A3" w:rsidRPr="00E9416B" w:rsidRDefault="00C232A3" w:rsidP="00C232A3">
            <w:pPr>
              <w:pStyle w:val="ARfintablecolhead"/>
            </w:pPr>
          </w:p>
        </w:tc>
        <w:tc>
          <w:tcPr>
            <w:tcW w:w="1134" w:type="dxa"/>
            <w:tcBorders>
              <w:bottom w:val="single" w:sz="4" w:space="0" w:color="auto"/>
            </w:tcBorders>
            <w:vAlign w:val="bottom"/>
          </w:tcPr>
          <w:p w:rsidR="00C232A3" w:rsidRPr="00E9416B" w:rsidRDefault="00C232A3" w:rsidP="00C232A3">
            <w:pPr>
              <w:pStyle w:val="ARfintablecolheadright"/>
            </w:pPr>
          </w:p>
        </w:tc>
        <w:tc>
          <w:tcPr>
            <w:tcW w:w="3402" w:type="dxa"/>
            <w:gridSpan w:val="3"/>
            <w:tcBorders>
              <w:bottom w:val="single" w:sz="4" w:space="0" w:color="auto"/>
            </w:tcBorders>
            <w:vAlign w:val="bottom"/>
          </w:tcPr>
          <w:p w:rsidR="00C232A3" w:rsidRPr="00E9416B" w:rsidRDefault="00C232A3" w:rsidP="00C232A3">
            <w:pPr>
              <w:pStyle w:val="ARfintablecolheadcentre"/>
            </w:pPr>
            <w:r>
              <w:t>Fair value measurement at end of reporting period using:</w:t>
            </w:r>
          </w:p>
        </w:tc>
      </w:tr>
      <w:tr w:rsidR="00C232A3" w:rsidRPr="00AB62BD" w:rsidTr="00C232A3">
        <w:trPr>
          <w:cantSplit/>
          <w:tblHeader/>
        </w:trPr>
        <w:tc>
          <w:tcPr>
            <w:tcW w:w="5103" w:type="dxa"/>
            <w:tcBorders>
              <w:bottom w:val="single" w:sz="4" w:space="0" w:color="auto"/>
            </w:tcBorders>
            <w:vAlign w:val="bottom"/>
          </w:tcPr>
          <w:p w:rsidR="00C232A3" w:rsidRPr="00AB62BD" w:rsidRDefault="00C232A3" w:rsidP="00C232A3">
            <w:pPr>
              <w:pStyle w:val="ARfintablecolhead"/>
              <w:rPr>
                <w:bCs/>
                <w:color w:val="000000"/>
              </w:rPr>
            </w:pPr>
            <w:r w:rsidRPr="00E9416B">
              <w:t>2017</w:t>
            </w:r>
          </w:p>
        </w:tc>
        <w:tc>
          <w:tcPr>
            <w:tcW w:w="1134" w:type="dxa"/>
            <w:tcBorders>
              <w:bottom w:val="single" w:sz="4" w:space="0" w:color="auto"/>
            </w:tcBorders>
            <w:vAlign w:val="bottom"/>
          </w:tcPr>
          <w:p w:rsidR="00C232A3" w:rsidRPr="00E9416B" w:rsidRDefault="00C232A3" w:rsidP="00C232A3">
            <w:pPr>
              <w:pStyle w:val="ARfintablecolheadright"/>
            </w:pPr>
            <w:r w:rsidRPr="00E9416B">
              <w:t>Carrying amount</w:t>
            </w:r>
          </w:p>
          <w:p w:rsidR="00C232A3" w:rsidRPr="00E9416B" w:rsidRDefault="00C232A3" w:rsidP="00C232A3">
            <w:pPr>
              <w:pStyle w:val="ARfintablecolheadright"/>
            </w:pPr>
            <w:r w:rsidRPr="00E9416B">
              <w:t>$M</w:t>
            </w:r>
          </w:p>
        </w:tc>
        <w:tc>
          <w:tcPr>
            <w:tcW w:w="1134" w:type="dxa"/>
            <w:tcBorders>
              <w:bottom w:val="single" w:sz="4" w:space="0" w:color="auto"/>
            </w:tcBorders>
            <w:vAlign w:val="bottom"/>
          </w:tcPr>
          <w:p w:rsidR="00C232A3" w:rsidRPr="00E9416B" w:rsidRDefault="00C232A3" w:rsidP="00C232A3">
            <w:pPr>
              <w:pStyle w:val="ARfintablecolheadright"/>
            </w:pPr>
            <w:r w:rsidRPr="00E9416B">
              <w:t>Level 1</w:t>
            </w:r>
            <w:r>
              <w:t xml:space="preserve"> </w:t>
            </w:r>
            <w:r w:rsidRPr="00E9416B">
              <w:rPr>
                <w:rStyle w:val="Superscriptbold"/>
              </w:rPr>
              <w:t>(</w:t>
            </w:r>
            <w:proofErr w:type="spellStart"/>
            <w:r w:rsidRPr="00E9416B">
              <w:rPr>
                <w:rStyle w:val="Superscriptbold"/>
              </w:rPr>
              <w:t>i</w:t>
            </w:r>
            <w:proofErr w:type="spellEnd"/>
            <w:r w:rsidRPr="00E9416B">
              <w:rPr>
                <w:rStyle w:val="Superscriptbold"/>
              </w:rPr>
              <w:t>)</w:t>
            </w:r>
          </w:p>
          <w:p w:rsidR="00C232A3" w:rsidRPr="00E9416B" w:rsidRDefault="00C232A3" w:rsidP="00C232A3">
            <w:pPr>
              <w:pStyle w:val="ARfintablecolheadright"/>
            </w:pPr>
            <w:r w:rsidRPr="00E9416B">
              <w:t>$M</w:t>
            </w:r>
          </w:p>
        </w:tc>
        <w:tc>
          <w:tcPr>
            <w:tcW w:w="1134" w:type="dxa"/>
            <w:tcBorders>
              <w:bottom w:val="single" w:sz="4" w:space="0" w:color="auto"/>
            </w:tcBorders>
            <w:vAlign w:val="bottom"/>
          </w:tcPr>
          <w:p w:rsidR="00C232A3" w:rsidRPr="00E9416B" w:rsidRDefault="00C232A3" w:rsidP="00C232A3">
            <w:pPr>
              <w:pStyle w:val="ARfintablecolheadright"/>
            </w:pPr>
            <w:r w:rsidRPr="00E9416B">
              <w:t>Level 2</w:t>
            </w:r>
            <w:r>
              <w:t xml:space="preserve"> </w:t>
            </w:r>
            <w:r w:rsidRPr="00E9416B">
              <w:rPr>
                <w:rStyle w:val="Superscriptbold"/>
              </w:rPr>
              <w:t>(</w:t>
            </w:r>
            <w:proofErr w:type="spellStart"/>
            <w:r w:rsidRPr="00E9416B">
              <w:rPr>
                <w:rStyle w:val="Superscriptbold"/>
              </w:rPr>
              <w:t>i</w:t>
            </w:r>
            <w:proofErr w:type="spellEnd"/>
            <w:r w:rsidRPr="00E9416B">
              <w:rPr>
                <w:rStyle w:val="Superscriptbold"/>
              </w:rPr>
              <w:t>)</w:t>
            </w:r>
          </w:p>
          <w:p w:rsidR="00C232A3" w:rsidRPr="00E9416B" w:rsidRDefault="00C232A3" w:rsidP="00C232A3">
            <w:pPr>
              <w:pStyle w:val="ARfintablecolheadright"/>
            </w:pPr>
            <w:r w:rsidRPr="00E9416B">
              <w:t>$M</w:t>
            </w:r>
          </w:p>
        </w:tc>
        <w:tc>
          <w:tcPr>
            <w:tcW w:w="1134" w:type="dxa"/>
            <w:tcBorders>
              <w:bottom w:val="single" w:sz="4" w:space="0" w:color="auto"/>
            </w:tcBorders>
            <w:vAlign w:val="bottom"/>
          </w:tcPr>
          <w:p w:rsidR="00C232A3" w:rsidRPr="00E9416B" w:rsidRDefault="00C232A3" w:rsidP="00C232A3">
            <w:pPr>
              <w:pStyle w:val="ARfintablecolheadright"/>
            </w:pPr>
            <w:r w:rsidRPr="00E9416B">
              <w:t>Level 3</w:t>
            </w:r>
            <w:r>
              <w:t xml:space="preserve"> </w:t>
            </w:r>
            <w:r w:rsidRPr="00E9416B">
              <w:rPr>
                <w:rStyle w:val="Superscriptbold"/>
              </w:rPr>
              <w:t>(</w:t>
            </w:r>
            <w:proofErr w:type="spellStart"/>
            <w:r w:rsidRPr="00E9416B">
              <w:rPr>
                <w:rStyle w:val="Superscriptbold"/>
              </w:rPr>
              <w:t>i</w:t>
            </w:r>
            <w:proofErr w:type="spellEnd"/>
            <w:r w:rsidRPr="00E9416B">
              <w:rPr>
                <w:rStyle w:val="Superscriptbold"/>
              </w:rPr>
              <w:t>)</w:t>
            </w:r>
          </w:p>
          <w:p w:rsidR="00C232A3" w:rsidRPr="00E9416B" w:rsidRDefault="00C232A3" w:rsidP="00C232A3">
            <w:pPr>
              <w:pStyle w:val="ARfintablecolheadright"/>
            </w:pPr>
            <w:r w:rsidRPr="00E9416B">
              <w:t>$M</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Land at fair value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Non-specialised land</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16,362.7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16,357.7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5.0</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land</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476.9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57.0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419.9</w:t>
            </w:r>
          </w:p>
        </w:tc>
      </w:tr>
      <w:tr w:rsidR="00C232A3" w:rsidRPr="00AB62BD" w:rsidTr="00C232A3">
        <w:trPr>
          <w:cantSplit/>
        </w:trPr>
        <w:tc>
          <w:tcPr>
            <w:tcW w:w="510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land at fair value</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16,839.6</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16,414.6</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424.9</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Buildings at fair value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Non-specialised building</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8,343.8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8,343.4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building</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693.0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266.0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427.0</w:t>
            </w:r>
          </w:p>
        </w:tc>
      </w:tr>
      <w:tr w:rsidR="00C232A3" w:rsidRPr="00AB62BD" w:rsidTr="00C232A3">
        <w:trPr>
          <w:cantSplit/>
        </w:trPr>
        <w:tc>
          <w:tcPr>
            <w:tcW w:w="510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buildings at fair value</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9,036.8</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8,609.4</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427.4</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Plant, equipment and vehicles at fair value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Plant and equipment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13.1</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Motor vehicles</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r>
      <w:tr w:rsidR="00C232A3" w:rsidRPr="00AB62BD" w:rsidTr="00C232A3">
        <w:trPr>
          <w:cantSplit/>
        </w:trPr>
        <w:tc>
          <w:tcPr>
            <w:tcW w:w="5103" w:type="dxa"/>
          </w:tcPr>
          <w:p w:rsidR="00C232A3" w:rsidRPr="00AB62BD" w:rsidRDefault="00C232A3" w:rsidP="00C232A3">
            <w:pPr>
              <w:pStyle w:val="ARfintablebody"/>
              <w:rPr>
                <w:bCs/>
                <w:lang w:eastAsia="en-AU"/>
              </w:rPr>
            </w:pPr>
            <w:r w:rsidRPr="00AB62BD">
              <w:rPr>
                <w:rStyle w:val="Strong"/>
              </w:rPr>
              <w:t>Total plant, equipment and vehicles at fair value</w:t>
            </w:r>
          </w:p>
        </w:tc>
        <w:tc>
          <w:tcPr>
            <w:tcW w:w="1134" w:type="dxa"/>
          </w:tcPr>
          <w:p w:rsidR="00C232A3" w:rsidRPr="00AB62BD" w:rsidRDefault="00C232A3" w:rsidP="00C232A3">
            <w:pPr>
              <w:pStyle w:val="ARfintablebodyright"/>
              <w:rPr>
                <w:b/>
                <w:bCs/>
                <w:lang w:eastAsia="en-AU"/>
              </w:rPr>
            </w:pPr>
            <w:r w:rsidRPr="00AB62BD">
              <w:rPr>
                <w:rStyle w:val="Strong"/>
              </w:rPr>
              <w:t>14.4</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rStyle w:val="Strong"/>
                <w:bCs w:val="0"/>
              </w:rPr>
            </w:pPr>
            <w:r w:rsidRPr="00AB62BD">
              <w:rPr>
                <w:rStyle w:val="Strong"/>
              </w:rPr>
              <w:t>14.4</w:t>
            </w:r>
          </w:p>
        </w:tc>
      </w:tr>
    </w:tbl>
    <w:p w:rsidR="00C232A3" w:rsidRPr="00AB62BD" w:rsidRDefault="00C232A3" w:rsidP="00C232A3">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C232A3" w:rsidRPr="00AB62BD" w:rsidTr="00C232A3">
        <w:trPr>
          <w:cantSplit/>
          <w:tblHeader/>
        </w:trPr>
        <w:tc>
          <w:tcPr>
            <w:tcW w:w="5103" w:type="dxa"/>
            <w:tcBorders>
              <w:bottom w:val="single" w:sz="4" w:space="0" w:color="auto"/>
            </w:tcBorders>
            <w:vAlign w:val="bottom"/>
          </w:tcPr>
          <w:p w:rsidR="00C232A3" w:rsidRPr="00E9416B" w:rsidRDefault="00C232A3" w:rsidP="00C232A3">
            <w:pPr>
              <w:pStyle w:val="ARfintablecolhead"/>
            </w:pPr>
          </w:p>
        </w:tc>
        <w:tc>
          <w:tcPr>
            <w:tcW w:w="1134" w:type="dxa"/>
            <w:tcBorders>
              <w:bottom w:val="single" w:sz="4" w:space="0" w:color="auto"/>
            </w:tcBorders>
            <w:vAlign w:val="bottom"/>
          </w:tcPr>
          <w:p w:rsidR="00C232A3" w:rsidRPr="00E9416B" w:rsidRDefault="00C232A3" w:rsidP="00C232A3">
            <w:pPr>
              <w:pStyle w:val="ARfintablecolheadright"/>
            </w:pPr>
          </w:p>
        </w:tc>
        <w:tc>
          <w:tcPr>
            <w:tcW w:w="3402" w:type="dxa"/>
            <w:gridSpan w:val="3"/>
            <w:tcBorders>
              <w:bottom w:val="single" w:sz="4" w:space="0" w:color="auto"/>
            </w:tcBorders>
            <w:vAlign w:val="bottom"/>
          </w:tcPr>
          <w:p w:rsidR="00C232A3" w:rsidRPr="00E9416B" w:rsidRDefault="00C232A3" w:rsidP="00C232A3">
            <w:pPr>
              <w:pStyle w:val="ARfintablecolheadcentre"/>
            </w:pPr>
            <w:r>
              <w:t>Fair value measurement at end of reporting period using:</w:t>
            </w:r>
          </w:p>
        </w:tc>
      </w:tr>
      <w:tr w:rsidR="00C232A3" w:rsidRPr="00AB62BD" w:rsidTr="00C232A3">
        <w:trPr>
          <w:cantSplit/>
          <w:tblHeader/>
        </w:trPr>
        <w:tc>
          <w:tcPr>
            <w:tcW w:w="5103" w:type="dxa"/>
            <w:tcBorders>
              <w:bottom w:val="single" w:sz="4" w:space="0" w:color="auto"/>
            </w:tcBorders>
            <w:vAlign w:val="bottom"/>
          </w:tcPr>
          <w:p w:rsidR="00C232A3" w:rsidRPr="00AB62BD" w:rsidRDefault="00C232A3" w:rsidP="00C232A3">
            <w:pPr>
              <w:pStyle w:val="ARfintablecolhead"/>
              <w:rPr>
                <w:bCs/>
                <w:color w:val="000000"/>
              </w:rPr>
            </w:pPr>
            <w:r w:rsidRPr="00E9416B">
              <w:t>2016</w:t>
            </w:r>
          </w:p>
        </w:tc>
        <w:tc>
          <w:tcPr>
            <w:tcW w:w="1134" w:type="dxa"/>
            <w:tcBorders>
              <w:bottom w:val="single" w:sz="4" w:space="0" w:color="auto"/>
            </w:tcBorders>
            <w:vAlign w:val="bottom"/>
          </w:tcPr>
          <w:p w:rsidR="00C232A3" w:rsidRPr="00E9416B" w:rsidRDefault="00C232A3" w:rsidP="00C232A3">
            <w:pPr>
              <w:pStyle w:val="ARfintablecolheadright"/>
            </w:pPr>
            <w:r w:rsidRPr="00E9416B">
              <w:t>Carrying amount</w:t>
            </w:r>
          </w:p>
          <w:p w:rsidR="00C232A3" w:rsidRPr="00E9416B" w:rsidRDefault="00C232A3" w:rsidP="00C232A3">
            <w:pPr>
              <w:pStyle w:val="ARfintablecolheadright"/>
            </w:pPr>
            <w:r w:rsidRPr="00E9416B">
              <w:t>$M</w:t>
            </w:r>
          </w:p>
        </w:tc>
        <w:tc>
          <w:tcPr>
            <w:tcW w:w="1134" w:type="dxa"/>
            <w:tcBorders>
              <w:bottom w:val="single" w:sz="4" w:space="0" w:color="auto"/>
            </w:tcBorders>
            <w:vAlign w:val="bottom"/>
          </w:tcPr>
          <w:p w:rsidR="00C232A3" w:rsidRPr="00E9416B" w:rsidRDefault="00C232A3" w:rsidP="00C232A3">
            <w:pPr>
              <w:pStyle w:val="ARfintablecolheadright"/>
            </w:pPr>
            <w:r w:rsidRPr="00E9416B">
              <w:t>Level 1</w:t>
            </w:r>
            <w:r>
              <w:t xml:space="preserve"> </w:t>
            </w:r>
            <w:r w:rsidRPr="00E9416B">
              <w:rPr>
                <w:rStyle w:val="Superscriptbold"/>
              </w:rPr>
              <w:t>(</w:t>
            </w:r>
            <w:proofErr w:type="spellStart"/>
            <w:r w:rsidRPr="00E9416B">
              <w:rPr>
                <w:rStyle w:val="Superscriptbold"/>
              </w:rPr>
              <w:t>i</w:t>
            </w:r>
            <w:proofErr w:type="spellEnd"/>
            <w:r w:rsidRPr="00E9416B">
              <w:rPr>
                <w:rStyle w:val="Superscriptbold"/>
              </w:rPr>
              <w:t>)</w:t>
            </w:r>
          </w:p>
          <w:p w:rsidR="00C232A3" w:rsidRPr="00E9416B" w:rsidRDefault="00C232A3" w:rsidP="00C232A3">
            <w:pPr>
              <w:pStyle w:val="ARfintablecolheadright"/>
            </w:pPr>
            <w:r w:rsidRPr="00E9416B">
              <w:t>$M</w:t>
            </w:r>
          </w:p>
        </w:tc>
        <w:tc>
          <w:tcPr>
            <w:tcW w:w="1134" w:type="dxa"/>
            <w:tcBorders>
              <w:bottom w:val="single" w:sz="4" w:space="0" w:color="auto"/>
            </w:tcBorders>
            <w:vAlign w:val="bottom"/>
          </w:tcPr>
          <w:p w:rsidR="00C232A3" w:rsidRPr="00E9416B" w:rsidRDefault="00C232A3" w:rsidP="00C232A3">
            <w:pPr>
              <w:pStyle w:val="ARfintablecolheadright"/>
            </w:pPr>
            <w:r w:rsidRPr="00E9416B">
              <w:t>Level 2</w:t>
            </w:r>
            <w:r>
              <w:t xml:space="preserve"> </w:t>
            </w:r>
            <w:r w:rsidRPr="00E9416B">
              <w:rPr>
                <w:rStyle w:val="Superscriptbold"/>
              </w:rPr>
              <w:t>(</w:t>
            </w:r>
            <w:proofErr w:type="spellStart"/>
            <w:r w:rsidRPr="00E9416B">
              <w:rPr>
                <w:rStyle w:val="Superscriptbold"/>
              </w:rPr>
              <w:t>i</w:t>
            </w:r>
            <w:proofErr w:type="spellEnd"/>
            <w:r w:rsidRPr="00E9416B">
              <w:rPr>
                <w:rStyle w:val="Superscriptbold"/>
              </w:rPr>
              <w:t>)</w:t>
            </w:r>
          </w:p>
          <w:p w:rsidR="00C232A3" w:rsidRPr="00E9416B" w:rsidRDefault="00C232A3" w:rsidP="00C232A3">
            <w:pPr>
              <w:pStyle w:val="ARfintablecolheadright"/>
            </w:pPr>
            <w:r w:rsidRPr="00E9416B">
              <w:t>$M</w:t>
            </w:r>
          </w:p>
        </w:tc>
        <w:tc>
          <w:tcPr>
            <w:tcW w:w="1134" w:type="dxa"/>
            <w:tcBorders>
              <w:bottom w:val="single" w:sz="4" w:space="0" w:color="auto"/>
            </w:tcBorders>
            <w:vAlign w:val="bottom"/>
          </w:tcPr>
          <w:p w:rsidR="00C232A3" w:rsidRPr="00E9416B" w:rsidRDefault="00C232A3" w:rsidP="00C232A3">
            <w:pPr>
              <w:pStyle w:val="ARfintablecolheadright"/>
            </w:pPr>
            <w:r w:rsidRPr="00E9416B">
              <w:t>Level 3</w:t>
            </w:r>
            <w:r>
              <w:t xml:space="preserve"> </w:t>
            </w:r>
            <w:r w:rsidRPr="00E9416B">
              <w:rPr>
                <w:rStyle w:val="Superscriptbold"/>
              </w:rPr>
              <w:t>(</w:t>
            </w:r>
            <w:proofErr w:type="spellStart"/>
            <w:r w:rsidRPr="00E9416B">
              <w:rPr>
                <w:rStyle w:val="Superscriptbold"/>
              </w:rPr>
              <w:t>i</w:t>
            </w:r>
            <w:proofErr w:type="spellEnd"/>
            <w:r w:rsidRPr="00E9416B">
              <w:rPr>
                <w:rStyle w:val="Superscriptbold"/>
              </w:rPr>
              <w:t>)</w:t>
            </w:r>
          </w:p>
          <w:p w:rsidR="00C232A3" w:rsidRPr="00E9416B" w:rsidRDefault="00C232A3" w:rsidP="00C232A3">
            <w:pPr>
              <w:pStyle w:val="ARfintablecolheadright"/>
            </w:pPr>
            <w:r w:rsidRPr="00E9416B">
              <w:t>$M</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Land at fair value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Non-specialised land</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14,636.4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14,632.0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4.4</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land</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526.9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55.5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471.4</w:t>
            </w:r>
          </w:p>
        </w:tc>
      </w:tr>
      <w:tr w:rsidR="00C232A3" w:rsidRPr="00AB62BD" w:rsidTr="00C232A3">
        <w:trPr>
          <w:cantSplit/>
        </w:trPr>
        <w:tc>
          <w:tcPr>
            <w:tcW w:w="510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land at fair value</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15,163.2</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14,687.4</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475.8</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Buildings at fair value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Non-specialised building</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8,794.8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8,794.4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0.4</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building</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562.2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561.1</w:t>
            </w:r>
          </w:p>
        </w:tc>
      </w:tr>
      <w:tr w:rsidR="00C232A3" w:rsidRPr="00AB62BD" w:rsidTr="00C232A3">
        <w:trPr>
          <w:cantSplit/>
        </w:trPr>
        <w:tc>
          <w:tcPr>
            <w:tcW w:w="510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buildings at fair value</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9,357.0</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8,795.4</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561.6</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Plant, equipment and vehicles at fair value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Plant and equipment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14.1</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Motor vehicles</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w:t>
            </w:r>
          </w:p>
        </w:tc>
      </w:tr>
      <w:tr w:rsidR="00C232A3" w:rsidRPr="00AB62BD" w:rsidTr="00C232A3">
        <w:trPr>
          <w:cantSplit/>
        </w:trPr>
        <w:tc>
          <w:tcPr>
            <w:tcW w:w="5103" w:type="dxa"/>
          </w:tcPr>
          <w:p w:rsidR="00C232A3" w:rsidRPr="00AB62BD" w:rsidRDefault="00C232A3" w:rsidP="00C232A3">
            <w:pPr>
              <w:pStyle w:val="ARfintablebody"/>
              <w:rPr>
                <w:bCs/>
                <w:lang w:eastAsia="en-AU"/>
              </w:rPr>
            </w:pPr>
            <w:r w:rsidRPr="00AB62BD">
              <w:rPr>
                <w:rStyle w:val="Strong"/>
              </w:rPr>
              <w:t>Total plant, equipment and vehicles at fair value</w:t>
            </w:r>
          </w:p>
        </w:tc>
        <w:tc>
          <w:tcPr>
            <w:tcW w:w="1134" w:type="dxa"/>
          </w:tcPr>
          <w:p w:rsidR="00C232A3" w:rsidRPr="00AB62BD" w:rsidRDefault="00C232A3" w:rsidP="00C232A3">
            <w:pPr>
              <w:pStyle w:val="ARfintablebodyright"/>
              <w:rPr>
                <w:b/>
                <w:bCs/>
                <w:lang w:eastAsia="en-AU"/>
              </w:rPr>
            </w:pPr>
            <w:r w:rsidRPr="00AB62BD">
              <w:rPr>
                <w:rStyle w:val="Strong"/>
              </w:rPr>
              <w:t>15.8</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rStyle w:val="Strong"/>
                <w:bCs w:val="0"/>
              </w:rPr>
            </w:pPr>
            <w:r w:rsidRPr="00AB62BD">
              <w:rPr>
                <w:rStyle w:val="Strong"/>
              </w:rPr>
              <w:t>15.8</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 xml:space="preserve">Classified in accordance with the fair value hierarchy. The department, in conjunction with the Victorian </w:t>
      </w:r>
      <w:proofErr w:type="spellStart"/>
      <w:r w:rsidRPr="00AB62BD">
        <w:t>Valuer</w:t>
      </w:r>
      <w:proofErr w:type="spellEnd"/>
      <w:r w:rsidRPr="00AB62BD">
        <w:t>-General, monitors the changes in the fair value of each asset and liability through relevant data sources to determine whether revaluation is required.</w:t>
      </w:r>
    </w:p>
    <w:p w:rsidR="00C232A3" w:rsidRPr="00AB62BD" w:rsidRDefault="00C232A3" w:rsidP="00C232A3">
      <w:pPr>
        <w:pStyle w:val="ARfinbodyaftertable"/>
      </w:pPr>
      <w:r w:rsidRPr="00AB62BD">
        <w:t xml:space="preserve">$0.2 million of specialised land has been transferred from Level 3 to Level 2 following asset consolidation and revaluation in </w:t>
      </w:r>
      <w:r>
        <w:t>2016–17</w:t>
      </w:r>
      <w:r w:rsidRPr="00AB62BD">
        <w:t>.</w:t>
      </w:r>
    </w:p>
    <w:p w:rsidR="00C232A3" w:rsidRPr="00AB62BD" w:rsidRDefault="00C232A3" w:rsidP="00C232A3">
      <w:pPr>
        <w:pStyle w:val="ARfinbody"/>
        <w:rPr>
          <w:lang w:eastAsia="en-AU"/>
        </w:rPr>
      </w:pPr>
      <w:r w:rsidRPr="00652CB8">
        <w:rPr>
          <w:rStyle w:val="Strong"/>
        </w:rPr>
        <w:t>Non-specialised land and non-specialised buildings</w:t>
      </w:r>
      <w:r w:rsidRPr="00AB62BD">
        <w:rPr>
          <w:lang w:eastAsia="en-AU"/>
        </w:rPr>
        <w:t xml:space="preserve"> are valued using the market approach, whereby assets are compared to recent comparable sales or sales of comparable assets that are considered to have nominal value. Non-specialised buildings, where there was no active market, have been valued using the depreciated replacement cost (DRC) approach.</w:t>
      </w:r>
    </w:p>
    <w:p w:rsidR="00C232A3" w:rsidRPr="00AB62BD" w:rsidRDefault="00C232A3" w:rsidP="00C232A3">
      <w:pPr>
        <w:pStyle w:val="ARfinbody"/>
        <w:rPr>
          <w:lang w:eastAsia="en-AU"/>
        </w:rPr>
      </w:pPr>
      <w:r w:rsidRPr="00AB62BD">
        <w:rPr>
          <w:lang w:eastAsia="en-AU"/>
        </w:rPr>
        <w:t xml:space="preserve">A managerial revaluation of the department’s land asset class was undertaken in </w:t>
      </w:r>
      <w:r>
        <w:rPr>
          <w:lang w:eastAsia="en-AU"/>
        </w:rPr>
        <w:t>2016–17</w:t>
      </w:r>
      <w:r w:rsidRPr="00AB62BD">
        <w:rPr>
          <w:lang w:eastAsia="en-AU"/>
        </w:rPr>
        <w:t xml:space="preserve"> and </w:t>
      </w:r>
      <w:r>
        <w:rPr>
          <w:lang w:eastAsia="en-AU"/>
        </w:rPr>
        <w:t>2015–16</w:t>
      </w:r>
      <w:r w:rsidRPr="00AB62BD">
        <w:rPr>
          <w:lang w:eastAsia="en-AU"/>
        </w:rPr>
        <w:t xml:space="preserve"> in accordance with FRD103F which specifies that </w:t>
      </w:r>
      <w:r>
        <w:rPr>
          <w:lang w:eastAsia="en-AU"/>
        </w:rPr>
        <w:t>‘</w:t>
      </w:r>
      <w:r w:rsidRPr="00AB62BD">
        <w:rPr>
          <w:lang w:eastAsia="en-AU"/>
        </w:rPr>
        <w:t xml:space="preserve">...a managerial revaluation will be performed in non-scheduled years, where the cumulative movement in indexed valuations is </w:t>
      </w:r>
      <w:r>
        <w:rPr>
          <w:lang w:eastAsia="en-AU"/>
        </w:rPr>
        <w:t>‘</w:t>
      </w:r>
      <w:r w:rsidRPr="00AB62BD">
        <w:rPr>
          <w:lang w:eastAsia="en-AU"/>
        </w:rPr>
        <w:t>material</w:t>
      </w:r>
      <w:r>
        <w:rPr>
          <w:lang w:eastAsia="en-AU"/>
        </w:rPr>
        <w:t>’</w:t>
      </w:r>
      <w:r w:rsidRPr="00AB62BD">
        <w:rPr>
          <w:lang w:eastAsia="en-AU"/>
        </w:rPr>
        <w:t xml:space="preserve"> (greater than 10%)</w:t>
      </w:r>
      <w:r>
        <w:rPr>
          <w:lang w:eastAsia="en-AU"/>
        </w:rPr>
        <w:t>’</w:t>
      </w:r>
      <w:r w:rsidRPr="00AB62BD">
        <w:rPr>
          <w:lang w:eastAsia="en-AU"/>
        </w:rPr>
        <w:t xml:space="preserve">. The cumulative movement for the department’s property asset class since the last scheduled revaluation was 35.6% at 30 June 2017 (2016: 19.5%), and a revaluation was performed using the indexed valuations provided by the Victorian </w:t>
      </w:r>
      <w:proofErr w:type="spellStart"/>
      <w:r w:rsidRPr="00AB62BD">
        <w:rPr>
          <w:lang w:eastAsia="en-AU"/>
        </w:rPr>
        <w:t>Valuer</w:t>
      </w:r>
      <w:proofErr w:type="spellEnd"/>
      <w:r w:rsidRPr="00AB62BD">
        <w:rPr>
          <w:lang w:eastAsia="en-AU"/>
        </w:rPr>
        <w:t xml:space="preserve">-General. The effective date of the valuation is 30 June 2017 for </w:t>
      </w:r>
      <w:r>
        <w:rPr>
          <w:lang w:eastAsia="en-AU"/>
        </w:rPr>
        <w:t>2016–17</w:t>
      </w:r>
      <w:r w:rsidRPr="00AB62BD">
        <w:rPr>
          <w:lang w:eastAsia="en-AU"/>
        </w:rPr>
        <w:t xml:space="preserve"> (30 June 2016 for </w:t>
      </w:r>
      <w:r>
        <w:rPr>
          <w:lang w:eastAsia="en-AU"/>
        </w:rPr>
        <w:t>2015–16</w:t>
      </w:r>
      <w:r w:rsidRPr="00AB62BD">
        <w:rPr>
          <w:lang w:eastAsia="en-AU"/>
        </w:rPr>
        <w:t xml:space="preserve">). </w:t>
      </w:r>
      <w:r w:rsidRPr="00AB62BD">
        <w:rPr>
          <w:lang w:eastAsia="en-AU"/>
        </w:rPr>
        <w:lastRenderedPageBreak/>
        <w:t>The cumulative movement in the department’s building asset class was below the 10% threshold needed to trigger an interim managerial revaluation.</w:t>
      </w:r>
    </w:p>
    <w:p w:rsidR="00C232A3" w:rsidRPr="00AB62BD" w:rsidRDefault="00C232A3" w:rsidP="00C232A3">
      <w:pPr>
        <w:pStyle w:val="ARfinbody"/>
        <w:rPr>
          <w:lang w:eastAsia="en-AU"/>
        </w:rPr>
      </w:pPr>
      <w:r w:rsidRPr="00AB62BD">
        <w:rPr>
          <w:lang w:eastAsia="en-AU"/>
        </w:rPr>
        <w:t>Director of Housing land and buildings are held in Level 2 as it is considered that each residential dwelling assessed has an active and liquid market, if not for its ownership and on-going use by the Department of Health and Human Services for housing purposes. As such, the market value of each residential asset has been determined by having regard to its highest and best use.</w:t>
      </w:r>
    </w:p>
    <w:p w:rsidR="00C232A3" w:rsidRPr="00AB62BD" w:rsidRDefault="00C232A3" w:rsidP="00C232A3">
      <w:pPr>
        <w:pStyle w:val="ARfinbody"/>
        <w:rPr>
          <w:lang w:eastAsia="en-AU"/>
        </w:rPr>
      </w:pPr>
      <w:r w:rsidRPr="00652CB8">
        <w:rPr>
          <w:rStyle w:val="Strong"/>
        </w:rPr>
        <w:t>Specialised land and specialised buildings:</w:t>
      </w:r>
      <w:r w:rsidRPr="00AB62BD">
        <w:rPr>
          <w:rStyle w:val="Strong"/>
        </w:rPr>
        <w:t xml:space="preserve"> </w:t>
      </w:r>
      <w:r w:rsidRPr="00AB62BD">
        <w:rPr>
          <w:lang w:eastAsia="en-AU"/>
        </w:rPr>
        <w:t>The market approach is used for specialised land, although may be adjusted for a community service obligation (CSO) to reflect the specialised nature of the land being valued.</w:t>
      </w:r>
    </w:p>
    <w:p w:rsidR="00C232A3" w:rsidRPr="00AB62BD" w:rsidRDefault="00C232A3" w:rsidP="00C232A3">
      <w:pPr>
        <w:pStyle w:val="ARfinbody"/>
        <w:rPr>
          <w:lang w:eastAsia="en-AU"/>
        </w:rPr>
      </w:pPr>
      <w:r w:rsidRPr="00AB62BD">
        <w:rPr>
          <w:lang w:eastAsia="en-AU"/>
        </w:rPr>
        <w:t xml:space="preserve">The CSO adjustment is a reflection of the </w:t>
      </w:r>
      <w:proofErr w:type="spellStart"/>
      <w:r w:rsidRPr="00AB62BD">
        <w:rPr>
          <w:lang w:eastAsia="en-AU"/>
        </w:rPr>
        <w:t>valuer’s</w:t>
      </w:r>
      <w:proofErr w:type="spellEnd"/>
      <w:r w:rsidRPr="00AB62BD">
        <w:rPr>
          <w:lang w:eastAsia="en-AU"/>
        </w:rPr>
        <w:t xml:space="preserve">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with a CSO adjustment would be classified as Level 3 assets.</w:t>
      </w:r>
    </w:p>
    <w:p w:rsidR="00C232A3" w:rsidRPr="00AB62BD" w:rsidRDefault="00C232A3" w:rsidP="00C232A3">
      <w:pPr>
        <w:pStyle w:val="ARfinbody"/>
        <w:rPr>
          <w:lang w:eastAsia="en-AU"/>
        </w:rPr>
      </w:pPr>
      <w:r w:rsidRPr="00AB62BD">
        <w:rPr>
          <w:lang w:eastAsia="en-AU"/>
        </w:rPr>
        <w:t>For the majority of the department’s specialised buildings, the DRC method is used, adjusting for the associated depreciations. As depreciation adjustments are considered as significant, unobservable inputs in nature, specialised buildings are classified as Level 3 fair value measurements.</w:t>
      </w:r>
    </w:p>
    <w:p w:rsidR="00C232A3" w:rsidRPr="00AB62BD" w:rsidRDefault="00C232A3" w:rsidP="00C232A3">
      <w:pPr>
        <w:pStyle w:val="ARfinbody"/>
        <w:rPr>
          <w:lang w:eastAsia="en-AU"/>
        </w:rPr>
      </w:pPr>
      <w:r w:rsidRPr="00AB62BD">
        <w:rPr>
          <w:lang w:eastAsia="en-AU"/>
        </w:rPr>
        <w:t xml:space="preserve">An independent valuation of the departments’ specialised land and specialised buildings was performed by the </w:t>
      </w:r>
      <w:proofErr w:type="spellStart"/>
      <w:r w:rsidRPr="00AB62BD">
        <w:rPr>
          <w:lang w:eastAsia="en-AU"/>
        </w:rPr>
        <w:t>Valuer</w:t>
      </w:r>
      <w:proofErr w:type="spellEnd"/>
      <w:r w:rsidRPr="00AB62BD">
        <w:rPr>
          <w:lang w:eastAsia="en-AU"/>
        </w:rPr>
        <w:t>-General Victoria in June 2014 using either the market approach or the DRC approach.</w:t>
      </w:r>
    </w:p>
    <w:p w:rsidR="00C232A3" w:rsidRPr="00AB62BD" w:rsidRDefault="00C232A3" w:rsidP="00C232A3">
      <w:pPr>
        <w:pStyle w:val="ARfinbody"/>
        <w:rPr>
          <w:lang w:eastAsia="en-AU"/>
        </w:rPr>
      </w:pPr>
      <w:r w:rsidRPr="00AB62BD">
        <w:rPr>
          <w:lang w:eastAsia="en-AU"/>
        </w:rPr>
        <w:t xml:space="preserve">A managerial revaluation of the department’s land asset class was undertaken in </w:t>
      </w:r>
      <w:r>
        <w:rPr>
          <w:lang w:eastAsia="en-AU"/>
        </w:rPr>
        <w:t>2016–17</w:t>
      </w:r>
      <w:r w:rsidRPr="00AB62BD">
        <w:rPr>
          <w:lang w:eastAsia="en-AU"/>
        </w:rPr>
        <w:t xml:space="preserve"> and </w:t>
      </w:r>
      <w:r>
        <w:rPr>
          <w:lang w:eastAsia="en-AU"/>
        </w:rPr>
        <w:t>2015–16</w:t>
      </w:r>
      <w:r w:rsidRPr="00AB62BD">
        <w:rPr>
          <w:lang w:eastAsia="en-AU"/>
        </w:rPr>
        <w:t xml:space="preserve"> in accordance with FRD103F which specifies that </w:t>
      </w:r>
      <w:r>
        <w:rPr>
          <w:lang w:eastAsia="en-AU"/>
        </w:rPr>
        <w:t>‘</w:t>
      </w:r>
      <w:r w:rsidRPr="00AB62BD">
        <w:rPr>
          <w:lang w:eastAsia="en-AU"/>
        </w:rPr>
        <w:t xml:space="preserve">...a managerial revaluation will be performed in non-scheduled years, where the cumulative movement in indexed valuations is </w:t>
      </w:r>
      <w:r>
        <w:rPr>
          <w:lang w:eastAsia="en-AU"/>
        </w:rPr>
        <w:t>‘</w:t>
      </w:r>
      <w:r w:rsidRPr="00AB62BD">
        <w:rPr>
          <w:lang w:eastAsia="en-AU"/>
        </w:rPr>
        <w:t>material</w:t>
      </w:r>
      <w:r>
        <w:rPr>
          <w:lang w:eastAsia="en-AU"/>
        </w:rPr>
        <w:t>’</w:t>
      </w:r>
      <w:r w:rsidRPr="00AB62BD">
        <w:rPr>
          <w:lang w:eastAsia="en-AU"/>
        </w:rPr>
        <w:t xml:space="preserve"> (greater than 10%)</w:t>
      </w:r>
      <w:r>
        <w:rPr>
          <w:lang w:eastAsia="en-AU"/>
        </w:rPr>
        <w:t>’</w:t>
      </w:r>
      <w:r w:rsidRPr="00AB62BD">
        <w:rPr>
          <w:lang w:eastAsia="en-AU"/>
        </w:rPr>
        <w:t xml:space="preserve">. The cumulative movement for the department’s property asset class since the last scheduled revaluation was 35.6% at 30 June 2017 (2016: 19.5%), and a revaluation was performed using the indexed valuations provided by the Victorian </w:t>
      </w:r>
      <w:proofErr w:type="spellStart"/>
      <w:r w:rsidRPr="00AB62BD">
        <w:rPr>
          <w:lang w:eastAsia="en-AU"/>
        </w:rPr>
        <w:t>Valuer</w:t>
      </w:r>
      <w:proofErr w:type="spellEnd"/>
      <w:r w:rsidRPr="00AB62BD">
        <w:rPr>
          <w:lang w:eastAsia="en-AU"/>
        </w:rPr>
        <w:t xml:space="preserve">-General. The effective date of the valuation is 30 June 2017 for </w:t>
      </w:r>
      <w:r>
        <w:rPr>
          <w:lang w:eastAsia="en-AU"/>
        </w:rPr>
        <w:t>2016–17</w:t>
      </w:r>
      <w:r w:rsidRPr="00AB62BD">
        <w:rPr>
          <w:lang w:eastAsia="en-AU"/>
        </w:rPr>
        <w:t xml:space="preserve"> (30 June 2016 for </w:t>
      </w:r>
      <w:r>
        <w:rPr>
          <w:lang w:eastAsia="en-AU"/>
        </w:rPr>
        <w:t>2015–16</w:t>
      </w:r>
      <w:r w:rsidRPr="00AB62BD">
        <w:rPr>
          <w:lang w:eastAsia="en-AU"/>
        </w:rPr>
        <w:t>). The cumulative movement in the department’s building asset class was below the 10% threshold needed to trigger an interim managerial revaluation.</w:t>
      </w:r>
    </w:p>
    <w:p w:rsidR="00C232A3" w:rsidRPr="00AB62BD" w:rsidRDefault="00C232A3" w:rsidP="00C232A3">
      <w:pPr>
        <w:pStyle w:val="ARfinbody"/>
        <w:rPr>
          <w:lang w:eastAsia="en-AU"/>
        </w:rPr>
      </w:pPr>
      <w:r w:rsidRPr="00652CB8">
        <w:rPr>
          <w:rStyle w:val="Strong"/>
        </w:rPr>
        <w:t>Vehicles</w:t>
      </w:r>
      <w:r w:rsidRPr="00AB62BD">
        <w:rPr>
          <w:lang w:eastAsia="en-AU"/>
        </w:rPr>
        <w:t xml:space="preserve"> 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rsidR="00C232A3" w:rsidRPr="00AB62BD" w:rsidRDefault="00C232A3" w:rsidP="00C232A3">
      <w:pPr>
        <w:pStyle w:val="ARfinbody"/>
        <w:rPr>
          <w:lang w:eastAsia="en-AU"/>
        </w:rPr>
      </w:pPr>
      <w:r w:rsidRPr="00652CB8">
        <w:rPr>
          <w:rStyle w:val="Strong"/>
        </w:rPr>
        <w:t>Plant and equipment</w:t>
      </w:r>
      <w:r w:rsidRPr="00AB62BD">
        <w:rPr>
          <w:lang w:eastAsia="en-AU"/>
        </w:rPr>
        <w:t xml:space="preserve"> is held at fair value. When plant and equipment is specialised in use, such that it is rarely sold other than as part of a going concern, fair value is determined using the depreciated replacement cost method.</w:t>
      </w:r>
    </w:p>
    <w:p w:rsidR="00C232A3" w:rsidRPr="00AB62BD" w:rsidRDefault="00C232A3" w:rsidP="00C232A3">
      <w:pPr>
        <w:pStyle w:val="ARfinbody"/>
        <w:rPr>
          <w:lang w:eastAsia="en-AU"/>
        </w:rPr>
      </w:pPr>
      <w:r w:rsidRPr="00AB62BD">
        <w:rPr>
          <w:lang w:eastAsia="en-AU"/>
        </w:rPr>
        <w:t>There were no changes in valuation techniques throughout the period to 30 June 2017.</w:t>
      </w:r>
    </w:p>
    <w:p w:rsidR="00C232A3" w:rsidRPr="00AB62BD" w:rsidRDefault="00C232A3" w:rsidP="00C232A3">
      <w:pPr>
        <w:pStyle w:val="ARfinbody"/>
        <w:rPr>
          <w:lang w:eastAsia="en-AU"/>
        </w:rPr>
      </w:pPr>
      <w:r w:rsidRPr="00AB62BD">
        <w:rPr>
          <w:lang w:eastAsia="en-AU"/>
        </w:rPr>
        <w:t>For all assets measured at fair value, the current use is consi</w:t>
      </w:r>
      <w:r>
        <w:rPr>
          <w:lang w:eastAsia="en-AU"/>
        </w:rPr>
        <w:t>dered the highest and best use.</w:t>
      </w:r>
    </w:p>
    <w:p w:rsidR="00C232A3" w:rsidRDefault="00C232A3" w:rsidP="00C232A3">
      <w:pPr>
        <w:pStyle w:val="ARfinbody"/>
        <w:rPr>
          <w:rStyle w:val="Strong"/>
          <w:rFonts w:cs="Arial"/>
          <w:bCs w:val="0"/>
        </w:rPr>
        <w:sectPr w:rsidR="00C232A3" w:rsidSect="00C232A3">
          <w:headerReference w:type="even" r:id="rId157"/>
          <w:headerReference w:type="default" r:id="rId158"/>
          <w:footerReference w:type="even" r:id="rId159"/>
          <w:footerReference w:type="default" r:id="rId160"/>
          <w:headerReference w:type="first" r:id="rId161"/>
          <w:footerReference w:type="first" r:id="rId162"/>
          <w:endnotePr>
            <w:numFmt w:val="decimal"/>
          </w:endnotePr>
          <w:pgSz w:w="11900" w:h="16840" w:code="9"/>
          <w:pgMar w:top="1531" w:right="851" w:bottom="680" w:left="1418" w:header="510" w:footer="340" w:gutter="0"/>
          <w:cols w:space="454"/>
        </w:sectPr>
      </w:pPr>
    </w:p>
    <w:p w:rsidR="00C232A3" w:rsidRPr="006402A9" w:rsidRDefault="00C232A3" w:rsidP="00FB460C">
      <w:pPr>
        <w:pStyle w:val="Heading6"/>
      </w:pPr>
      <w:r w:rsidRPr="006402A9">
        <w:lastRenderedPageBreak/>
        <w:t>Reconciliation of Level 3 fair value movements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521"/>
        <w:gridCol w:w="1134"/>
        <w:gridCol w:w="1134"/>
        <w:gridCol w:w="1134"/>
        <w:gridCol w:w="1134"/>
        <w:gridCol w:w="1134"/>
        <w:gridCol w:w="1134"/>
        <w:gridCol w:w="1134"/>
      </w:tblGrid>
      <w:tr w:rsidR="00C232A3" w:rsidRPr="00AB62BD" w:rsidTr="00C232A3">
        <w:trPr>
          <w:cantSplit/>
          <w:tblHeader/>
        </w:trPr>
        <w:tc>
          <w:tcPr>
            <w:tcW w:w="6521" w:type="dxa"/>
            <w:tcBorders>
              <w:bottom w:val="single" w:sz="4" w:space="0" w:color="auto"/>
            </w:tcBorders>
            <w:vAlign w:val="bottom"/>
          </w:tcPr>
          <w:p w:rsidR="00C232A3" w:rsidRPr="00C32409" w:rsidRDefault="00C232A3" w:rsidP="00C232A3">
            <w:pPr>
              <w:pStyle w:val="ARfintablecolhead"/>
            </w:pPr>
            <w:r w:rsidRPr="00C32409">
              <w:t>2017</w:t>
            </w:r>
          </w:p>
        </w:tc>
        <w:tc>
          <w:tcPr>
            <w:tcW w:w="1134" w:type="dxa"/>
            <w:tcBorders>
              <w:bottom w:val="single" w:sz="4" w:space="0" w:color="auto"/>
            </w:tcBorders>
            <w:vAlign w:val="bottom"/>
          </w:tcPr>
          <w:p w:rsidR="00C232A3" w:rsidRPr="00C32409" w:rsidRDefault="00C232A3" w:rsidP="00C232A3">
            <w:pPr>
              <w:pStyle w:val="ARfintablecolheadright"/>
            </w:pPr>
            <w:r>
              <w:t xml:space="preserve">Non-specialised </w:t>
            </w:r>
            <w:r w:rsidRPr="00C32409">
              <w:t>land</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Specialised </w:t>
            </w:r>
            <w:r w:rsidRPr="00C32409">
              <w:t>land</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Non-specialised </w:t>
            </w:r>
            <w:r w:rsidRPr="00C32409">
              <w:t>buildings</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Specialised </w:t>
            </w:r>
            <w:r w:rsidRPr="00C32409">
              <w:t>buildings</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Plant and </w:t>
            </w:r>
            <w:r w:rsidRPr="00C32409">
              <w:t>equipment</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rsidRPr="00C32409">
              <w:t>Motor vehicles</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rsidRPr="00C32409">
              <w:t>Total</w:t>
            </w:r>
          </w:p>
          <w:p w:rsidR="00C232A3" w:rsidRPr="00C32409" w:rsidRDefault="00C232A3" w:rsidP="00C232A3">
            <w:pPr>
              <w:pStyle w:val="ARfintablecolheadright"/>
            </w:pPr>
            <w:r w:rsidRPr="00C32409">
              <w:t>$M</w:t>
            </w:r>
          </w:p>
        </w:tc>
      </w:tr>
      <w:tr w:rsidR="00C232A3" w:rsidRPr="00AB62BD" w:rsidTr="00C232A3">
        <w:trPr>
          <w:cantSplit/>
        </w:trPr>
        <w:tc>
          <w:tcPr>
            <w:tcW w:w="6521" w:type="dxa"/>
            <w:tcBorders>
              <w:top w:val="single" w:sz="4" w:space="0" w:color="auto"/>
              <w:bottom w:val="single" w:sz="4" w:space="0" w:color="A6A6A6" w:themeColor="background1" w:themeShade="A6"/>
            </w:tcBorders>
          </w:tcPr>
          <w:p w:rsidR="00C232A3" w:rsidRPr="00AB62BD" w:rsidRDefault="00C232A3" w:rsidP="00C232A3">
            <w:pPr>
              <w:pStyle w:val="ARfintablebody"/>
              <w:spacing w:before="30"/>
              <w:rPr>
                <w:bCs/>
                <w:lang w:eastAsia="en-AU"/>
              </w:rPr>
            </w:pPr>
            <w:r w:rsidRPr="00AB62BD">
              <w:rPr>
                <w:rStyle w:val="Strong"/>
              </w:rPr>
              <w:t>Opening balance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4.4</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471.4</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0.5</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561.1</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14.1</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1.8</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1,053.2</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Machinery of Government transfer in/(out)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(86.1)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(127.4)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(214.2)</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Additions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3.8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3.8</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Pr>
                <w:lang w:eastAsia="en-AU"/>
              </w:rPr>
              <w:t>Capitalisation of work in progress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3.9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3.9</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Pr>
                <w:lang w:eastAsia="en-AU"/>
              </w:rPr>
              <w:t>Disposals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(9.9)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(9.9)</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Transfers in/(out) of Level 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(0.2)</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rStyle w:val="Strong"/>
                <w:bCs w:val="0"/>
              </w:rPr>
            </w:pPr>
            <w:r w:rsidRPr="00AB62BD">
              <w:rPr>
                <w:rStyle w:val="Strong"/>
              </w:rPr>
              <w:t>Gains or losses recognised in net result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r>
      <w:tr w:rsidR="00C232A3" w:rsidRPr="00AB62BD" w:rsidTr="00C232A3">
        <w:trPr>
          <w:cantSplit/>
        </w:trPr>
        <w:tc>
          <w:tcPr>
            <w:tcW w:w="6521" w:type="dxa"/>
            <w:tcBorders>
              <w:top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Depreciation</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(0.1)</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(21.2)</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(4.2)</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(0.3)</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(25.8)</w:t>
            </w:r>
          </w:p>
        </w:tc>
      </w:tr>
      <w:tr w:rsidR="00C232A3" w:rsidRPr="00AB62BD" w:rsidTr="00C232A3">
        <w:trPr>
          <w:cantSplit/>
        </w:trPr>
        <w:tc>
          <w:tcPr>
            <w:tcW w:w="6521" w:type="dxa"/>
            <w:tcBorders>
              <w:bottom w:val="single" w:sz="4" w:space="0" w:color="auto"/>
            </w:tcBorders>
          </w:tcPr>
          <w:p w:rsidR="00C232A3" w:rsidRPr="00AB62BD" w:rsidRDefault="00C232A3" w:rsidP="00C232A3">
            <w:pPr>
              <w:pStyle w:val="ARfintablebody"/>
              <w:spacing w:before="30"/>
              <w:rPr>
                <w:bCs/>
                <w:lang w:eastAsia="en-AU"/>
              </w:rPr>
            </w:pPr>
            <w:r w:rsidRPr="00AB62BD">
              <w:rPr>
                <w:rStyle w:val="Strong"/>
              </w:rPr>
              <w:t>Subtotal of gains or losses recognises in net result</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(0.1)</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(21.2)</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(4.2)</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(0.3)</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(25.8)</w:t>
            </w:r>
          </w:p>
        </w:tc>
      </w:tr>
      <w:tr w:rsidR="00C232A3" w:rsidRPr="00AB62BD" w:rsidTr="00C232A3">
        <w:trPr>
          <w:cantSplit/>
        </w:trPr>
        <w:tc>
          <w:tcPr>
            <w:tcW w:w="9923" w:type="dxa"/>
            <w:gridSpan w:val="4"/>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jc w:val="left"/>
              <w:rPr>
                <w:bCs/>
                <w:lang w:eastAsia="en-AU"/>
              </w:rPr>
            </w:pPr>
            <w:r w:rsidRPr="00AB62BD">
              <w:rPr>
                <w:rStyle w:val="Strong"/>
              </w:rPr>
              <w:t>Gains or losses recognised in other economic flows – other comprehensive income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p>
        </w:tc>
      </w:tr>
      <w:tr w:rsidR="00C232A3" w:rsidRPr="00AB62BD" w:rsidTr="00C232A3">
        <w:trPr>
          <w:cantSplit/>
        </w:trPr>
        <w:tc>
          <w:tcPr>
            <w:tcW w:w="6521" w:type="dxa"/>
            <w:tcBorders>
              <w:top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 xml:space="preserve"> Net revaluation increments/(decrements)</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0.7</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44.7</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10.6</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56.0</w:t>
            </w:r>
          </w:p>
        </w:tc>
      </w:tr>
      <w:tr w:rsidR="00C232A3" w:rsidRPr="00AB62BD" w:rsidTr="00C232A3">
        <w:trPr>
          <w:cantSplit/>
        </w:trPr>
        <w:tc>
          <w:tcPr>
            <w:tcW w:w="6521" w:type="dxa"/>
          </w:tcPr>
          <w:p w:rsidR="00C232A3" w:rsidRPr="00AB62BD" w:rsidRDefault="00C232A3" w:rsidP="00C232A3">
            <w:pPr>
              <w:pStyle w:val="ARfintablebody"/>
              <w:spacing w:before="30"/>
              <w:rPr>
                <w:bCs/>
                <w:lang w:eastAsia="en-AU"/>
              </w:rPr>
            </w:pPr>
            <w:r w:rsidRPr="00AB62BD">
              <w:rPr>
                <w:rStyle w:val="Strong"/>
              </w:rPr>
              <w:t>Subtotal of gains or losses recognised in other economic flows</w:t>
            </w:r>
          </w:p>
        </w:tc>
        <w:tc>
          <w:tcPr>
            <w:tcW w:w="1134" w:type="dxa"/>
          </w:tcPr>
          <w:p w:rsidR="00C232A3" w:rsidRPr="00AB62BD" w:rsidRDefault="00C232A3" w:rsidP="00C232A3">
            <w:pPr>
              <w:pStyle w:val="ARfintablebodyright"/>
              <w:spacing w:before="30"/>
              <w:rPr>
                <w:bCs/>
                <w:lang w:eastAsia="en-AU"/>
              </w:rPr>
            </w:pPr>
            <w:r w:rsidRPr="00AB62BD">
              <w:rPr>
                <w:rStyle w:val="Strong"/>
              </w:rPr>
              <w:t>0.7</w:t>
            </w:r>
          </w:p>
        </w:tc>
        <w:tc>
          <w:tcPr>
            <w:tcW w:w="1134" w:type="dxa"/>
          </w:tcPr>
          <w:p w:rsidR="00C232A3" w:rsidRPr="00AB62BD" w:rsidRDefault="00C232A3" w:rsidP="00C232A3">
            <w:pPr>
              <w:pStyle w:val="ARfintablebodyright"/>
              <w:spacing w:before="30"/>
              <w:rPr>
                <w:bCs/>
                <w:lang w:eastAsia="en-AU"/>
              </w:rPr>
            </w:pPr>
            <w:r w:rsidRPr="00AB62BD">
              <w:rPr>
                <w:rStyle w:val="Strong"/>
              </w:rPr>
              <w:t>44.7</w:t>
            </w:r>
          </w:p>
        </w:tc>
        <w:tc>
          <w:tcPr>
            <w:tcW w:w="1134" w:type="dxa"/>
          </w:tcPr>
          <w:p w:rsidR="00C232A3" w:rsidRPr="00AB62BD" w:rsidRDefault="00C232A3" w:rsidP="00C232A3">
            <w:pPr>
              <w:pStyle w:val="ARfintablebodyright"/>
              <w:spacing w:before="30"/>
              <w:rPr>
                <w:bCs/>
                <w:lang w:eastAsia="en-AU"/>
              </w:rPr>
            </w:pPr>
            <w:r>
              <w:rPr>
                <w:rStyle w:val="Strong"/>
              </w:rPr>
              <w:t>–</w:t>
            </w:r>
          </w:p>
        </w:tc>
        <w:tc>
          <w:tcPr>
            <w:tcW w:w="1134" w:type="dxa"/>
          </w:tcPr>
          <w:p w:rsidR="00C232A3" w:rsidRPr="00AB62BD" w:rsidRDefault="00C232A3" w:rsidP="00C232A3">
            <w:pPr>
              <w:pStyle w:val="ARfintablebodyright"/>
              <w:spacing w:before="30"/>
              <w:rPr>
                <w:bCs/>
                <w:lang w:eastAsia="en-AU"/>
              </w:rPr>
            </w:pPr>
            <w:r w:rsidRPr="00AB62BD">
              <w:rPr>
                <w:rStyle w:val="Strong"/>
              </w:rPr>
              <w:t>10.6</w:t>
            </w:r>
          </w:p>
        </w:tc>
        <w:tc>
          <w:tcPr>
            <w:tcW w:w="1134" w:type="dxa"/>
          </w:tcPr>
          <w:p w:rsidR="00C232A3" w:rsidRPr="00AB62BD" w:rsidRDefault="00C232A3" w:rsidP="00C232A3">
            <w:pPr>
              <w:pStyle w:val="ARfintablebodyright"/>
              <w:spacing w:before="30"/>
              <w:rPr>
                <w:bCs/>
                <w:lang w:eastAsia="en-AU"/>
              </w:rPr>
            </w:pPr>
            <w:r>
              <w:rPr>
                <w:rStyle w:val="Strong"/>
              </w:rPr>
              <w:t>–</w:t>
            </w:r>
          </w:p>
        </w:tc>
        <w:tc>
          <w:tcPr>
            <w:tcW w:w="1134" w:type="dxa"/>
          </w:tcPr>
          <w:p w:rsidR="00C232A3" w:rsidRPr="00AB62BD" w:rsidRDefault="00C232A3" w:rsidP="00C232A3">
            <w:pPr>
              <w:pStyle w:val="ARfintablebodyright"/>
              <w:spacing w:before="30"/>
              <w:rPr>
                <w:bCs/>
                <w:lang w:eastAsia="en-AU"/>
              </w:rPr>
            </w:pPr>
            <w:r>
              <w:rPr>
                <w:rStyle w:val="Strong"/>
              </w:rPr>
              <w:t>–</w:t>
            </w:r>
          </w:p>
        </w:tc>
        <w:tc>
          <w:tcPr>
            <w:tcW w:w="1134" w:type="dxa"/>
          </w:tcPr>
          <w:p w:rsidR="00C232A3" w:rsidRPr="00AB62BD" w:rsidRDefault="00C232A3" w:rsidP="00C232A3">
            <w:pPr>
              <w:pStyle w:val="ARfintablebodyright"/>
              <w:spacing w:before="30"/>
              <w:rPr>
                <w:bCs/>
                <w:lang w:eastAsia="en-AU"/>
              </w:rPr>
            </w:pPr>
            <w:r w:rsidRPr="00AB62BD">
              <w:rPr>
                <w:rStyle w:val="Strong"/>
              </w:rPr>
              <w:t>56.0</w:t>
            </w:r>
          </w:p>
        </w:tc>
      </w:tr>
      <w:tr w:rsidR="00C232A3" w:rsidRPr="00AB62BD" w:rsidTr="00C232A3">
        <w:trPr>
          <w:cantSplit/>
        </w:trPr>
        <w:tc>
          <w:tcPr>
            <w:tcW w:w="6521" w:type="dxa"/>
          </w:tcPr>
          <w:p w:rsidR="00C232A3" w:rsidRPr="00AB62BD" w:rsidRDefault="00C232A3" w:rsidP="00C232A3">
            <w:pPr>
              <w:pStyle w:val="ARfintablebody"/>
              <w:spacing w:before="30"/>
              <w:rPr>
                <w:bCs/>
                <w:lang w:eastAsia="en-AU"/>
              </w:rPr>
            </w:pPr>
            <w:r w:rsidRPr="00AB62BD">
              <w:rPr>
                <w:rStyle w:val="Strong"/>
              </w:rPr>
              <w:t>Closing balance</w:t>
            </w:r>
          </w:p>
        </w:tc>
        <w:tc>
          <w:tcPr>
            <w:tcW w:w="1134" w:type="dxa"/>
          </w:tcPr>
          <w:p w:rsidR="00C232A3" w:rsidRPr="00AB62BD" w:rsidRDefault="00C232A3" w:rsidP="00C232A3">
            <w:pPr>
              <w:pStyle w:val="ARfintablebodyright"/>
              <w:spacing w:before="30"/>
              <w:rPr>
                <w:bCs/>
                <w:lang w:eastAsia="en-AU"/>
              </w:rPr>
            </w:pPr>
            <w:r w:rsidRPr="00AB62BD">
              <w:rPr>
                <w:rStyle w:val="Strong"/>
              </w:rPr>
              <w:t>5.0</w:t>
            </w:r>
          </w:p>
        </w:tc>
        <w:tc>
          <w:tcPr>
            <w:tcW w:w="1134" w:type="dxa"/>
          </w:tcPr>
          <w:p w:rsidR="00C232A3" w:rsidRPr="00AB62BD" w:rsidRDefault="00C232A3" w:rsidP="00C232A3">
            <w:pPr>
              <w:pStyle w:val="ARfintablebodyright"/>
              <w:spacing w:before="30"/>
              <w:rPr>
                <w:bCs/>
                <w:lang w:eastAsia="en-AU"/>
              </w:rPr>
            </w:pPr>
            <w:r w:rsidRPr="00AB62BD">
              <w:rPr>
                <w:rStyle w:val="Strong"/>
              </w:rPr>
              <w:t>419.9</w:t>
            </w:r>
          </w:p>
        </w:tc>
        <w:tc>
          <w:tcPr>
            <w:tcW w:w="1134" w:type="dxa"/>
          </w:tcPr>
          <w:p w:rsidR="00C232A3" w:rsidRPr="00AB62BD" w:rsidRDefault="00C232A3" w:rsidP="00C232A3">
            <w:pPr>
              <w:pStyle w:val="ARfintablebodyright"/>
              <w:spacing w:before="30"/>
              <w:rPr>
                <w:bCs/>
                <w:lang w:eastAsia="en-AU"/>
              </w:rPr>
            </w:pPr>
            <w:r w:rsidRPr="00AB62BD">
              <w:rPr>
                <w:rStyle w:val="Strong"/>
              </w:rPr>
              <w:t>0.4</w:t>
            </w:r>
          </w:p>
        </w:tc>
        <w:tc>
          <w:tcPr>
            <w:tcW w:w="1134" w:type="dxa"/>
          </w:tcPr>
          <w:p w:rsidR="00C232A3" w:rsidRPr="00AB62BD" w:rsidRDefault="00C232A3" w:rsidP="00C232A3">
            <w:pPr>
              <w:pStyle w:val="ARfintablebodyright"/>
              <w:spacing w:before="30"/>
              <w:rPr>
                <w:bCs/>
                <w:lang w:eastAsia="en-AU"/>
              </w:rPr>
            </w:pPr>
            <w:r w:rsidRPr="00AB62BD">
              <w:rPr>
                <w:rStyle w:val="Strong"/>
              </w:rPr>
              <w:t>427.0</w:t>
            </w:r>
          </w:p>
        </w:tc>
        <w:tc>
          <w:tcPr>
            <w:tcW w:w="1134" w:type="dxa"/>
          </w:tcPr>
          <w:p w:rsidR="00C232A3" w:rsidRPr="00AB62BD" w:rsidRDefault="00C232A3" w:rsidP="00C232A3">
            <w:pPr>
              <w:pStyle w:val="ARfintablebodyright"/>
              <w:spacing w:before="30"/>
              <w:rPr>
                <w:bCs/>
                <w:lang w:eastAsia="en-AU"/>
              </w:rPr>
            </w:pPr>
            <w:r w:rsidRPr="00AB62BD">
              <w:rPr>
                <w:rStyle w:val="Strong"/>
              </w:rPr>
              <w:t>13.1</w:t>
            </w:r>
          </w:p>
        </w:tc>
        <w:tc>
          <w:tcPr>
            <w:tcW w:w="1134" w:type="dxa"/>
          </w:tcPr>
          <w:p w:rsidR="00C232A3" w:rsidRPr="00AB62BD" w:rsidRDefault="00C232A3" w:rsidP="00C232A3">
            <w:pPr>
              <w:pStyle w:val="ARfintablebodyright"/>
              <w:spacing w:before="30"/>
              <w:rPr>
                <w:bCs/>
                <w:lang w:eastAsia="en-AU"/>
              </w:rPr>
            </w:pPr>
            <w:r w:rsidRPr="00AB62BD">
              <w:rPr>
                <w:rStyle w:val="Strong"/>
              </w:rPr>
              <w:t>1.3</w:t>
            </w:r>
          </w:p>
        </w:tc>
        <w:tc>
          <w:tcPr>
            <w:tcW w:w="1134" w:type="dxa"/>
          </w:tcPr>
          <w:p w:rsidR="00C232A3" w:rsidRPr="00AB62BD" w:rsidRDefault="00C232A3" w:rsidP="00C232A3">
            <w:pPr>
              <w:pStyle w:val="ARfintablebodyright"/>
              <w:spacing w:before="30"/>
              <w:rPr>
                <w:bCs/>
                <w:lang w:eastAsia="en-AU"/>
              </w:rPr>
            </w:pPr>
            <w:r w:rsidRPr="00AB62BD">
              <w:rPr>
                <w:rStyle w:val="Strong"/>
              </w:rPr>
              <w:t>866.7</w:t>
            </w:r>
          </w:p>
        </w:tc>
      </w:tr>
    </w:tbl>
    <w:p w:rsidR="00C232A3" w:rsidRDefault="00C232A3" w:rsidP="00C232A3">
      <w:pPr>
        <w:pStyle w:val="ARbodynospace"/>
      </w:pP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521"/>
        <w:gridCol w:w="1134"/>
        <w:gridCol w:w="1134"/>
        <w:gridCol w:w="1134"/>
        <w:gridCol w:w="1134"/>
        <w:gridCol w:w="1134"/>
        <w:gridCol w:w="1134"/>
        <w:gridCol w:w="1134"/>
      </w:tblGrid>
      <w:tr w:rsidR="00C232A3" w:rsidRPr="00AB62BD" w:rsidTr="00C232A3">
        <w:trPr>
          <w:cantSplit/>
          <w:tblHeader/>
        </w:trPr>
        <w:tc>
          <w:tcPr>
            <w:tcW w:w="6521" w:type="dxa"/>
            <w:tcBorders>
              <w:bottom w:val="single" w:sz="4" w:space="0" w:color="auto"/>
            </w:tcBorders>
            <w:vAlign w:val="bottom"/>
          </w:tcPr>
          <w:p w:rsidR="00C232A3" w:rsidRPr="00C32409" w:rsidRDefault="00C232A3" w:rsidP="00C232A3">
            <w:pPr>
              <w:pStyle w:val="ARfintablecolhead"/>
            </w:pPr>
            <w:r w:rsidRPr="00C32409">
              <w:t>2016</w:t>
            </w:r>
          </w:p>
        </w:tc>
        <w:tc>
          <w:tcPr>
            <w:tcW w:w="1134" w:type="dxa"/>
            <w:tcBorders>
              <w:bottom w:val="single" w:sz="4" w:space="0" w:color="auto"/>
            </w:tcBorders>
            <w:vAlign w:val="bottom"/>
          </w:tcPr>
          <w:p w:rsidR="00C232A3" w:rsidRPr="00C32409" w:rsidRDefault="00C232A3" w:rsidP="00C232A3">
            <w:pPr>
              <w:pStyle w:val="ARfintablecolheadright"/>
            </w:pPr>
            <w:r>
              <w:t xml:space="preserve">Non-specialised </w:t>
            </w:r>
            <w:r w:rsidRPr="00C32409">
              <w:t>land</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Specialised </w:t>
            </w:r>
            <w:r w:rsidRPr="00C32409">
              <w:t>land</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Non-specialised </w:t>
            </w:r>
            <w:r w:rsidRPr="00C32409">
              <w:t>buildings</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Specialised </w:t>
            </w:r>
            <w:r w:rsidRPr="00C32409">
              <w:t>buildings</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t xml:space="preserve">Plant and </w:t>
            </w:r>
            <w:r w:rsidRPr="00C32409">
              <w:t>equipment</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rsidRPr="00C32409">
              <w:t>Motor vehicles</w:t>
            </w:r>
          </w:p>
          <w:p w:rsidR="00C232A3" w:rsidRPr="00C32409" w:rsidRDefault="00C232A3" w:rsidP="00C232A3">
            <w:pPr>
              <w:pStyle w:val="ARfintablecolheadright"/>
            </w:pPr>
            <w:r w:rsidRPr="00C32409">
              <w:t>$M</w:t>
            </w:r>
          </w:p>
        </w:tc>
        <w:tc>
          <w:tcPr>
            <w:tcW w:w="1134" w:type="dxa"/>
            <w:tcBorders>
              <w:bottom w:val="single" w:sz="4" w:space="0" w:color="auto"/>
            </w:tcBorders>
            <w:vAlign w:val="bottom"/>
          </w:tcPr>
          <w:p w:rsidR="00C232A3" w:rsidRPr="00C32409" w:rsidRDefault="00C232A3" w:rsidP="00C232A3">
            <w:pPr>
              <w:pStyle w:val="ARfintablecolheadright"/>
            </w:pPr>
            <w:r w:rsidRPr="00C32409">
              <w:t>Total</w:t>
            </w:r>
          </w:p>
          <w:p w:rsidR="00C232A3" w:rsidRPr="00C32409" w:rsidRDefault="00C232A3" w:rsidP="00C232A3">
            <w:pPr>
              <w:pStyle w:val="ARfintablecolheadright"/>
            </w:pPr>
            <w:r w:rsidRPr="00C32409">
              <w:t>$M</w:t>
            </w:r>
          </w:p>
        </w:tc>
      </w:tr>
      <w:tr w:rsidR="00C232A3" w:rsidRPr="00AB62BD" w:rsidTr="00C232A3">
        <w:trPr>
          <w:cantSplit/>
        </w:trPr>
        <w:tc>
          <w:tcPr>
            <w:tcW w:w="6521" w:type="dxa"/>
            <w:tcBorders>
              <w:top w:val="single" w:sz="4" w:space="0" w:color="auto"/>
              <w:bottom w:val="single" w:sz="4" w:space="0" w:color="A6A6A6" w:themeColor="background1" w:themeShade="A6"/>
            </w:tcBorders>
          </w:tcPr>
          <w:p w:rsidR="00C232A3" w:rsidRPr="00AB62BD" w:rsidRDefault="00C232A3" w:rsidP="00C232A3">
            <w:pPr>
              <w:pStyle w:val="ARfintablebody"/>
              <w:spacing w:before="30"/>
              <w:rPr>
                <w:bCs/>
                <w:lang w:eastAsia="en-AU"/>
              </w:rPr>
            </w:pPr>
            <w:r w:rsidRPr="00AB62BD">
              <w:rPr>
                <w:rStyle w:val="Strong"/>
              </w:rPr>
              <w:t>Opening balance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3.6</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429.9</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0.5</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555.2</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8.6</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sidRPr="00AB62BD">
              <w:rPr>
                <w:rStyle w:val="Strong"/>
              </w:rPr>
              <w:t>1.3</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bCs/>
                <w:lang w:eastAsia="en-AU"/>
              </w:rPr>
            </w:pPr>
            <w:r>
              <w:rPr>
                <w:rStyle w:val="Strong"/>
              </w:rPr>
              <w:t>999.1</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Pr>
                <w:lang w:eastAsia="en-AU"/>
              </w:rPr>
              <w:t>Equity transfer from another department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1.9</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Additions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22.7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28.0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11.4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63.1</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Disposals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(0.4)</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Transfer between classes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(23.5)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(23.5)</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Transfers in/(out) of Level 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2.3</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2.3</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spacing w:before="30"/>
              <w:rPr>
                <w:rStyle w:val="Strong"/>
                <w:bCs w:val="0"/>
              </w:rPr>
            </w:pPr>
            <w:r w:rsidRPr="00AB62BD">
              <w:rPr>
                <w:rStyle w:val="Strong"/>
              </w:rPr>
              <w:t>Gains or losses recognised in net result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Depreciation</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(24.4)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(5.5)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(30.4)</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Impairment loss</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r>
      <w:tr w:rsidR="00C232A3" w:rsidRPr="00AB62BD" w:rsidTr="00C232A3">
        <w:trPr>
          <w:cantSplit/>
        </w:trPr>
        <w:tc>
          <w:tcPr>
            <w:tcW w:w="652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Assets received free of charge</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4.5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6.0</w:t>
            </w:r>
          </w:p>
        </w:tc>
      </w:tr>
      <w:tr w:rsidR="00C232A3" w:rsidRPr="00AB62BD" w:rsidTr="00C232A3">
        <w:trPr>
          <w:cantSplit/>
        </w:trPr>
        <w:tc>
          <w:tcPr>
            <w:tcW w:w="6521" w:type="dxa"/>
            <w:tcBorders>
              <w:top w:val="single" w:sz="4" w:space="0" w:color="A6A6A6" w:themeColor="background1" w:themeShade="A6"/>
            </w:tcBorders>
          </w:tcPr>
          <w:p w:rsidR="00C232A3" w:rsidRPr="00AB62BD" w:rsidRDefault="00C232A3" w:rsidP="00C232A3">
            <w:pPr>
              <w:pStyle w:val="ARfintablebodyindent"/>
              <w:rPr>
                <w:lang w:eastAsia="en-AU"/>
              </w:rPr>
            </w:pPr>
            <w:r w:rsidRPr="00AB62BD">
              <w:rPr>
                <w:lang w:eastAsia="en-AU"/>
              </w:rPr>
              <w:t>Assets given free of charge</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(5.0)</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(1.3)</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(6.3)</w:t>
            </w:r>
          </w:p>
        </w:tc>
      </w:tr>
      <w:tr w:rsidR="00C232A3" w:rsidRPr="00AB62BD" w:rsidTr="00C232A3">
        <w:trPr>
          <w:cantSplit/>
        </w:trPr>
        <w:tc>
          <w:tcPr>
            <w:tcW w:w="6521" w:type="dxa"/>
            <w:tcBorders>
              <w:bottom w:val="single" w:sz="4" w:space="0" w:color="auto"/>
            </w:tcBorders>
          </w:tcPr>
          <w:p w:rsidR="00C232A3" w:rsidRPr="00AB62BD" w:rsidRDefault="00C232A3" w:rsidP="00C232A3">
            <w:pPr>
              <w:pStyle w:val="ARfintablebody"/>
              <w:spacing w:before="30"/>
              <w:rPr>
                <w:b/>
                <w:bCs/>
                <w:lang w:eastAsia="en-AU"/>
              </w:rPr>
            </w:pPr>
            <w:r w:rsidRPr="00AB62BD">
              <w:rPr>
                <w:rStyle w:val="Strong"/>
              </w:rPr>
              <w:t>Subtotal of gains or losses recognised in net result</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(3.5)</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(21.2)</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(5.5)</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(0.5)</w:t>
            </w:r>
          </w:p>
        </w:tc>
        <w:tc>
          <w:tcPr>
            <w:tcW w:w="1134" w:type="dxa"/>
            <w:tcBorders>
              <w:bottom w:val="single" w:sz="4" w:space="0" w:color="auto"/>
            </w:tcBorders>
          </w:tcPr>
          <w:p w:rsidR="00C232A3" w:rsidRPr="00AB62BD" w:rsidRDefault="00C232A3" w:rsidP="00C232A3">
            <w:pPr>
              <w:pStyle w:val="ARfintablebodyright"/>
              <w:spacing w:before="30"/>
              <w:rPr>
                <w:bCs/>
                <w:lang w:eastAsia="en-AU"/>
              </w:rPr>
            </w:pPr>
            <w:r w:rsidRPr="00AB62BD">
              <w:rPr>
                <w:rStyle w:val="Strong"/>
              </w:rPr>
              <w:t>(30.7)</w:t>
            </w:r>
          </w:p>
        </w:tc>
      </w:tr>
      <w:tr w:rsidR="00C232A3" w:rsidRPr="00AB62BD" w:rsidTr="00C232A3">
        <w:trPr>
          <w:cantSplit/>
        </w:trPr>
        <w:tc>
          <w:tcPr>
            <w:tcW w:w="9923" w:type="dxa"/>
            <w:gridSpan w:val="4"/>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jc w:val="left"/>
              <w:rPr>
                <w:rStyle w:val="Strong"/>
                <w:bCs w:val="0"/>
              </w:rPr>
            </w:pPr>
            <w:r w:rsidRPr="00AB62BD">
              <w:rPr>
                <w:rStyle w:val="Strong"/>
              </w:rPr>
              <w:t>Gains or losses recognised in other economic flows – other comprehensive income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spacing w:before="30"/>
              <w:rPr>
                <w:lang w:eastAsia="en-AU"/>
              </w:rPr>
            </w:pPr>
          </w:p>
        </w:tc>
      </w:tr>
      <w:tr w:rsidR="00C232A3" w:rsidRPr="00AB62BD" w:rsidTr="00C232A3">
        <w:trPr>
          <w:cantSplit/>
        </w:trPr>
        <w:tc>
          <w:tcPr>
            <w:tcW w:w="6521" w:type="dxa"/>
            <w:tcBorders>
              <w:top w:val="single" w:sz="4" w:space="0" w:color="A6A6A6" w:themeColor="background1" w:themeShade="A6"/>
            </w:tcBorders>
          </w:tcPr>
          <w:p w:rsidR="00C232A3" w:rsidRPr="00AB62BD" w:rsidRDefault="00C232A3" w:rsidP="00C232A3">
            <w:pPr>
              <w:pStyle w:val="ARfintablebody"/>
              <w:spacing w:before="30"/>
              <w:rPr>
                <w:lang w:eastAsia="en-AU"/>
              </w:rPr>
            </w:pPr>
            <w:r w:rsidRPr="00AB62BD">
              <w:rPr>
                <w:lang w:eastAsia="en-AU"/>
              </w:rPr>
              <w:t>Net revaluation increments/(decrements)</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0.8</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41.9</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(1.2)</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spacing w:before="30"/>
              <w:rPr>
                <w:lang w:eastAsia="en-AU"/>
              </w:rPr>
            </w:pPr>
            <w:r w:rsidRPr="00AB62BD">
              <w:rPr>
                <w:lang w:eastAsia="en-AU"/>
              </w:rPr>
              <w:t>41.5</w:t>
            </w:r>
          </w:p>
        </w:tc>
      </w:tr>
      <w:tr w:rsidR="00C232A3" w:rsidRPr="00AB62BD" w:rsidTr="00C232A3">
        <w:trPr>
          <w:cantSplit/>
        </w:trPr>
        <w:tc>
          <w:tcPr>
            <w:tcW w:w="6521" w:type="dxa"/>
          </w:tcPr>
          <w:p w:rsidR="00C232A3" w:rsidRPr="00AB62BD" w:rsidRDefault="00C232A3" w:rsidP="00C232A3">
            <w:pPr>
              <w:pStyle w:val="ARfintablebody"/>
              <w:spacing w:before="30"/>
              <w:rPr>
                <w:b/>
                <w:bCs/>
                <w:lang w:eastAsia="en-AU"/>
              </w:rPr>
            </w:pPr>
            <w:r w:rsidRPr="00AB62BD">
              <w:rPr>
                <w:rStyle w:val="Strong"/>
              </w:rPr>
              <w:t>Subtotal of gains or losses recognised in other economic flows</w:t>
            </w:r>
          </w:p>
        </w:tc>
        <w:tc>
          <w:tcPr>
            <w:tcW w:w="1134" w:type="dxa"/>
          </w:tcPr>
          <w:p w:rsidR="00C232A3" w:rsidRPr="00AB62BD" w:rsidRDefault="00C232A3" w:rsidP="00C232A3">
            <w:pPr>
              <w:pStyle w:val="ARfintablebodyright"/>
              <w:spacing w:before="30"/>
              <w:rPr>
                <w:bCs/>
                <w:lang w:eastAsia="en-AU"/>
              </w:rPr>
            </w:pPr>
            <w:r w:rsidRPr="00AB62BD">
              <w:rPr>
                <w:rStyle w:val="Strong"/>
              </w:rPr>
              <w:t>0.8</w:t>
            </w:r>
          </w:p>
        </w:tc>
        <w:tc>
          <w:tcPr>
            <w:tcW w:w="1134" w:type="dxa"/>
          </w:tcPr>
          <w:p w:rsidR="00C232A3" w:rsidRPr="00AB62BD" w:rsidRDefault="00C232A3" w:rsidP="00C232A3">
            <w:pPr>
              <w:pStyle w:val="ARfintablebodyright"/>
              <w:spacing w:before="30"/>
              <w:rPr>
                <w:bCs/>
                <w:lang w:eastAsia="en-AU"/>
              </w:rPr>
            </w:pPr>
            <w:r w:rsidRPr="00AB62BD">
              <w:rPr>
                <w:rStyle w:val="Strong"/>
              </w:rPr>
              <w:t>41.9</w:t>
            </w:r>
          </w:p>
        </w:tc>
        <w:tc>
          <w:tcPr>
            <w:tcW w:w="1134" w:type="dxa"/>
          </w:tcPr>
          <w:p w:rsidR="00C232A3" w:rsidRPr="00AB62BD" w:rsidRDefault="00C232A3" w:rsidP="00C232A3">
            <w:pPr>
              <w:pStyle w:val="ARfintablebodyright"/>
              <w:spacing w:before="30"/>
              <w:rPr>
                <w:bCs/>
                <w:lang w:eastAsia="en-AU"/>
              </w:rPr>
            </w:pPr>
            <w:r w:rsidRPr="00AB62BD">
              <w:rPr>
                <w:rStyle w:val="Strong"/>
              </w:rPr>
              <w:t>–</w:t>
            </w:r>
          </w:p>
        </w:tc>
        <w:tc>
          <w:tcPr>
            <w:tcW w:w="1134" w:type="dxa"/>
          </w:tcPr>
          <w:p w:rsidR="00C232A3" w:rsidRPr="00AB62BD" w:rsidRDefault="00C232A3" w:rsidP="00C232A3">
            <w:pPr>
              <w:pStyle w:val="ARfintablebodyright"/>
              <w:spacing w:before="30"/>
              <w:rPr>
                <w:bCs/>
                <w:lang w:eastAsia="en-AU"/>
              </w:rPr>
            </w:pPr>
            <w:r w:rsidRPr="00AB62BD">
              <w:rPr>
                <w:rStyle w:val="Strong"/>
              </w:rPr>
              <w:t>(1.2)</w:t>
            </w:r>
          </w:p>
        </w:tc>
        <w:tc>
          <w:tcPr>
            <w:tcW w:w="1134" w:type="dxa"/>
          </w:tcPr>
          <w:p w:rsidR="00C232A3" w:rsidRPr="00AB62BD" w:rsidRDefault="00C232A3" w:rsidP="00C232A3">
            <w:pPr>
              <w:pStyle w:val="ARfintablebodyright"/>
              <w:spacing w:before="30"/>
              <w:rPr>
                <w:bCs/>
                <w:lang w:eastAsia="en-AU"/>
              </w:rPr>
            </w:pPr>
            <w:r w:rsidRPr="00AB62BD">
              <w:rPr>
                <w:rStyle w:val="Strong"/>
              </w:rPr>
              <w:t>–</w:t>
            </w:r>
          </w:p>
        </w:tc>
        <w:tc>
          <w:tcPr>
            <w:tcW w:w="1134" w:type="dxa"/>
          </w:tcPr>
          <w:p w:rsidR="00C232A3" w:rsidRPr="00AB62BD" w:rsidRDefault="00C232A3" w:rsidP="00C232A3">
            <w:pPr>
              <w:pStyle w:val="ARfintablebodyright"/>
              <w:spacing w:before="30"/>
              <w:rPr>
                <w:bCs/>
                <w:lang w:eastAsia="en-AU"/>
              </w:rPr>
            </w:pPr>
            <w:r w:rsidRPr="00AB62BD">
              <w:rPr>
                <w:rStyle w:val="Strong"/>
              </w:rPr>
              <w:t>–</w:t>
            </w:r>
          </w:p>
        </w:tc>
        <w:tc>
          <w:tcPr>
            <w:tcW w:w="1134" w:type="dxa"/>
          </w:tcPr>
          <w:p w:rsidR="00C232A3" w:rsidRPr="00AB62BD" w:rsidRDefault="00C232A3" w:rsidP="00C232A3">
            <w:pPr>
              <w:pStyle w:val="ARfintablebodyright"/>
              <w:spacing w:before="30"/>
              <w:rPr>
                <w:bCs/>
                <w:lang w:eastAsia="en-AU"/>
              </w:rPr>
            </w:pPr>
            <w:r w:rsidRPr="00AB62BD">
              <w:rPr>
                <w:rStyle w:val="Strong"/>
              </w:rPr>
              <w:t>41.5</w:t>
            </w:r>
          </w:p>
        </w:tc>
      </w:tr>
      <w:tr w:rsidR="00C232A3" w:rsidRPr="00AB62BD" w:rsidTr="00C232A3">
        <w:trPr>
          <w:cantSplit/>
        </w:trPr>
        <w:tc>
          <w:tcPr>
            <w:tcW w:w="6521" w:type="dxa"/>
          </w:tcPr>
          <w:p w:rsidR="00C232A3" w:rsidRPr="00AB62BD" w:rsidRDefault="00C232A3" w:rsidP="00C232A3">
            <w:pPr>
              <w:pStyle w:val="ARfintablebody"/>
              <w:spacing w:before="30"/>
              <w:rPr>
                <w:b/>
                <w:bCs/>
                <w:lang w:eastAsia="en-AU"/>
              </w:rPr>
            </w:pPr>
            <w:r w:rsidRPr="00AB62BD">
              <w:rPr>
                <w:rStyle w:val="Strong"/>
              </w:rPr>
              <w:t>Closing balance</w:t>
            </w:r>
          </w:p>
        </w:tc>
        <w:tc>
          <w:tcPr>
            <w:tcW w:w="1134" w:type="dxa"/>
          </w:tcPr>
          <w:p w:rsidR="00C232A3" w:rsidRPr="00AB62BD" w:rsidRDefault="00C232A3" w:rsidP="00C232A3">
            <w:pPr>
              <w:pStyle w:val="ARfintablebodyright"/>
              <w:spacing w:before="30"/>
              <w:rPr>
                <w:bCs/>
                <w:lang w:eastAsia="en-AU"/>
              </w:rPr>
            </w:pPr>
            <w:r w:rsidRPr="00AB62BD">
              <w:rPr>
                <w:rStyle w:val="Strong"/>
              </w:rPr>
              <w:t>4.4</w:t>
            </w:r>
          </w:p>
        </w:tc>
        <w:tc>
          <w:tcPr>
            <w:tcW w:w="1134" w:type="dxa"/>
          </w:tcPr>
          <w:p w:rsidR="00C232A3" w:rsidRPr="00AB62BD" w:rsidRDefault="00C232A3" w:rsidP="00C232A3">
            <w:pPr>
              <w:pStyle w:val="ARfintablebodyright"/>
              <w:spacing w:before="30"/>
              <w:rPr>
                <w:bCs/>
                <w:lang w:eastAsia="en-AU"/>
              </w:rPr>
            </w:pPr>
            <w:r w:rsidRPr="00AB62BD">
              <w:rPr>
                <w:rStyle w:val="Strong"/>
              </w:rPr>
              <w:t>471.4</w:t>
            </w:r>
          </w:p>
        </w:tc>
        <w:tc>
          <w:tcPr>
            <w:tcW w:w="1134" w:type="dxa"/>
          </w:tcPr>
          <w:p w:rsidR="00C232A3" w:rsidRPr="00AB62BD" w:rsidRDefault="00C232A3" w:rsidP="00C232A3">
            <w:pPr>
              <w:pStyle w:val="ARfintablebodyright"/>
              <w:spacing w:before="30"/>
              <w:rPr>
                <w:bCs/>
                <w:lang w:eastAsia="en-AU"/>
              </w:rPr>
            </w:pPr>
            <w:r w:rsidRPr="00AB62BD">
              <w:rPr>
                <w:rStyle w:val="Strong"/>
              </w:rPr>
              <w:t>0.5</w:t>
            </w:r>
          </w:p>
        </w:tc>
        <w:tc>
          <w:tcPr>
            <w:tcW w:w="1134" w:type="dxa"/>
          </w:tcPr>
          <w:p w:rsidR="00C232A3" w:rsidRPr="00AB62BD" w:rsidRDefault="00C232A3" w:rsidP="00C232A3">
            <w:pPr>
              <w:pStyle w:val="ARfintablebodyright"/>
              <w:spacing w:before="30"/>
              <w:rPr>
                <w:bCs/>
                <w:lang w:eastAsia="en-AU"/>
              </w:rPr>
            </w:pPr>
            <w:r w:rsidRPr="00AB62BD">
              <w:rPr>
                <w:rStyle w:val="Strong"/>
              </w:rPr>
              <w:t>561.1</w:t>
            </w:r>
          </w:p>
        </w:tc>
        <w:tc>
          <w:tcPr>
            <w:tcW w:w="1134" w:type="dxa"/>
          </w:tcPr>
          <w:p w:rsidR="00C232A3" w:rsidRPr="00AB62BD" w:rsidRDefault="00C232A3" w:rsidP="00C232A3">
            <w:pPr>
              <w:pStyle w:val="ARfintablebodyright"/>
              <w:spacing w:before="30"/>
              <w:rPr>
                <w:bCs/>
                <w:lang w:eastAsia="en-AU"/>
              </w:rPr>
            </w:pPr>
            <w:r w:rsidRPr="00AB62BD">
              <w:rPr>
                <w:rStyle w:val="Strong"/>
              </w:rPr>
              <w:t>14.1</w:t>
            </w:r>
          </w:p>
        </w:tc>
        <w:tc>
          <w:tcPr>
            <w:tcW w:w="1134" w:type="dxa"/>
          </w:tcPr>
          <w:p w:rsidR="00C232A3" w:rsidRPr="00AB62BD" w:rsidRDefault="00C232A3" w:rsidP="00C232A3">
            <w:pPr>
              <w:pStyle w:val="ARfintablebodyright"/>
              <w:spacing w:before="30"/>
              <w:rPr>
                <w:bCs/>
                <w:lang w:eastAsia="en-AU"/>
              </w:rPr>
            </w:pPr>
            <w:r w:rsidRPr="00AB62BD">
              <w:rPr>
                <w:rStyle w:val="Strong"/>
              </w:rPr>
              <w:t>1.8</w:t>
            </w:r>
          </w:p>
        </w:tc>
        <w:tc>
          <w:tcPr>
            <w:tcW w:w="1134" w:type="dxa"/>
          </w:tcPr>
          <w:p w:rsidR="00C232A3" w:rsidRPr="00AB62BD" w:rsidRDefault="00C232A3" w:rsidP="00C232A3">
            <w:pPr>
              <w:pStyle w:val="ARfintablebodyright"/>
              <w:spacing w:before="30"/>
              <w:rPr>
                <w:rStyle w:val="Strong"/>
                <w:bCs w:val="0"/>
              </w:rPr>
            </w:pPr>
            <w:r w:rsidRPr="00AB62BD">
              <w:rPr>
                <w:rStyle w:val="Strong"/>
              </w:rPr>
              <w:t>1,053.2</w:t>
            </w:r>
          </w:p>
        </w:tc>
      </w:tr>
    </w:tbl>
    <w:p w:rsidR="00C232A3" w:rsidRDefault="00C232A3" w:rsidP="00C232A3">
      <w:pPr>
        <w:pStyle w:val="ARfinbody"/>
        <w:rPr>
          <w:lang w:eastAsia="en-AU"/>
        </w:rPr>
        <w:sectPr w:rsidR="00C232A3" w:rsidSect="00C232A3">
          <w:headerReference w:type="even" r:id="rId163"/>
          <w:headerReference w:type="default" r:id="rId164"/>
          <w:endnotePr>
            <w:numFmt w:val="decimal"/>
          </w:endnotePr>
          <w:pgSz w:w="16840" w:h="11900" w:orient="landscape" w:code="9"/>
          <w:pgMar w:top="1418" w:right="1531" w:bottom="851" w:left="851" w:header="794" w:footer="340" w:gutter="0"/>
          <w:cols w:space="454"/>
          <w:docGrid w:linePitch="272"/>
        </w:sectPr>
      </w:pPr>
    </w:p>
    <w:p w:rsidR="00C232A3" w:rsidRPr="006402A9" w:rsidRDefault="00C232A3" w:rsidP="005F3CDC">
      <w:pPr>
        <w:pStyle w:val="Heading6"/>
        <w:spacing w:before="0"/>
      </w:pPr>
      <w:r w:rsidRPr="006402A9">
        <w:lastRenderedPageBreak/>
        <w:t>Description of significant unobservable inputs to Level 3 valuations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2987"/>
        <w:gridCol w:w="3166"/>
        <w:gridCol w:w="3486"/>
      </w:tblGrid>
      <w:tr w:rsidR="00C232A3" w:rsidRPr="00AB62BD" w:rsidTr="00CC249F">
        <w:trPr>
          <w:cantSplit/>
          <w:tblHeader/>
        </w:trPr>
        <w:tc>
          <w:tcPr>
            <w:tcW w:w="2987" w:type="dxa"/>
            <w:tcBorders>
              <w:bottom w:val="single" w:sz="4" w:space="0" w:color="auto"/>
            </w:tcBorders>
          </w:tcPr>
          <w:p w:rsidR="00C232A3" w:rsidRPr="00D539A7" w:rsidRDefault="00C232A3" w:rsidP="00C232A3">
            <w:pPr>
              <w:pStyle w:val="ARfintablecolhead"/>
            </w:pPr>
          </w:p>
        </w:tc>
        <w:tc>
          <w:tcPr>
            <w:tcW w:w="3166" w:type="dxa"/>
            <w:tcBorders>
              <w:bottom w:val="single" w:sz="4" w:space="0" w:color="auto"/>
            </w:tcBorders>
          </w:tcPr>
          <w:p w:rsidR="00C232A3" w:rsidRPr="00D539A7" w:rsidRDefault="00C232A3" w:rsidP="00C232A3">
            <w:pPr>
              <w:pStyle w:val="ARfintablecolhead"/>
            </w:pPr>
            <w:r w:rsidRPr="00D539A7">
              <w:t>Valuation technique</w:t>
            </w:r>
          </w:p>
        </w:tc>
        <w:tc>
          <w:tcPr>
            <w:tcW w:w="3486" w:type="dxa"/>
            <w:tcBorders>
              <w:bottom w:val="single" w:sz="4" w:space="0" w:color="auto"/>
            </w:tcBorders>
          </w:tcPr>
          <w:p w:rsidR="00C232A3" w:rsidRPr="00D539A7" w:rsidRDefault="00C232A3" w:rsidP="00C232A3">
            <w:pPr>
              <w:pStyle w:val="ARfintablecolhead"/>
            </w:pPr>
            <w:r w:rsidRPr="00D539A7">
              <w:t>Significant Unobservable Inputs</w:t>
            </w:r>
          </w:p>
        </w:tc>
      </w:tr>
      <w:tr w:rsidR="00C232A3" w:rsidRPr="00AB62BD" w:rsidTr="00CC249F">
        <w:trPr>
          <w:cantSplit/>
        </w:trPr>
        <w:tc>
          <w:tcPr>
            <w:tcW w:w="2987"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Non-specialised land</w:t>
            </w:r>
          </w:p>
        </w:tc>
        <w:tc>
          <w:tcPr>
            <w:tcW w:w="3166"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Market approach</w:t>
            </w:r>
          </w:p>
        </w:tc>
        <w:tc>
          <w:tcPr>
            <w:tcW w:w="3486"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Community Service Obligation (CSO) adjustment</w:t>
            </w:r>
          </w:p>
        </w:tc>
      </w:tr>
      <w:tr w:rsidR="00C232A3" w:rsidRPr="00AB62BD" w:rsidTr="00CC249F">
        <w:trPr>
          <w:cantSplit/>
        </w:trPr>
        <w:tc>
          <w:tcPr>
            <w:tcW w:w="298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Specialised land</w:t>
            </w:r>
          </w:p>
        </w:tc>
        <w:tc>
          <w:tcPr>
            <w:tcW w:w="316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Market approach</w:t>
            </w:r>
          </w:p>
        </w:tc>
        <w:tc>
          <w:tcPr>
            <w:tcW w:w="34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Community Service Obligation (CSO) adjustment</w:t>
            </w:r>
          </w:p>
        </w:tc>
      </w:tr>
      <w:tr w:rsidR="00C232A3" w:rsidRPr="00AB62BD" w:rsidTr="00CC249F">
        <w:trPr>
          <w:cantSplit/>
        </w:trPr>
        <w:tc>
          <w:tcPr>
            <w:tcW w:w="298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Non-specialised buildings</w:t>
            </w:r>
          </w:p>
        </w:tc>
        <w:tc>
          <w:tcPr>
            <w:tcW w:w="316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Depreciated replacement cost</w:t>
            </w:r>
          </w:p>
        </w:tc>
        <w:tc>
          <w:tcPr>
            <w:tcW w:w="34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Direct cost per square metre</w:t>
            </w:r>
          </w:p>
        </w:tc>
      </w:tr>
      <w:tr w:rsidR="00C232A3" w:rsidRPr="00AB62BD" w:rsidTr="00CC249F">
        <w:trPr>
          <w:cantSplit/>
        </w:trPr>
        <w:tc>
          <w:tcPr>
            <w:tcW w:w="298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Specialised buildings</w:t>
            </w:r>
          </w:p>
        </w:tc>
        <w:tc>
          <w:tcPr>
            <w:tcW w:w="316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Depreciated replacement cost</w:t>
            </w:r>
          </w:p>
        </w:tc>
        <w:tc>
          <w:tcPr>
            <w:tcW w:w="34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Direct cost per square metre</w:t>
            </w:r>
          </w:p>
        </w:tc>
      </w:tr>
      <w:tr w:rsidR="00C232A3" w:rsidRPr="00AB62BD" w:rsidTr="00CC249F">
        <w:trPr>
          <w:cantSplit/>
        </w:trPr>
        <w:tc>
          <w:tcPr>
            <w:tcW w:w="298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Plant and equipment</w:t>
            </w:r>
          </w:p>
        </w:tc>
        <w:tc>
          <w:tcPr>
            <w:tcW w:w="316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Depreciated replacement cost</w:t>
            </w:r>
          </w:p>
        </w:tc>
        <w:tc>
          <w:tcPr>
            <w:tcW w:w="3486"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Useful life of equipment</w:t>
            </w:r>
          </w:p>
        </w:tc>
      </w:tr>
      <w:tr w:rsidR="00C232A3" w:rsidRPr="00AB62BD" w:rsidTr="00CC249F">
        <w:trPr>
          <w:cantSplit/>
        </w:trPr>
        <w:tc>
          <w:tcPr>
            <w:tcW w:w="2987" w:type="dxa"/>
            <w:tcBorders>
              <w:top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Vehicles</w:t>
            </w:r>
          </w:p>
        </w:tc>
        <w:tc>
          <w:tcPr>
            <w:tcW w:w="316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Depreciated replacement cost</w:t>
            </w:r>
          </w:p>
        </w:tc>
        <w:tc>
          <w:tcPr>
            <w:tcW w:w="3486"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Useful life of vehicles</w:t>
            </w:r>
          </w:p>
        </w:tc>
      </w:tr>
    </w:tbl>
    <w:p w:rsidR="00C232A3" w:rsidRDefault="00C232A3" w:rsidP="00C232A3">
      <w:pPr>
        <w:pStyle w:val="ARfinbodyaftertable"/>
      </w:pPr>
      <w:r w:rsidRPr="00C96126">
        <w:t>Significant unobservable inputs have remained unchanged since June 2016.</w:t>
      </w:r>
    </w:p>
    <w:p w:rsidR="00C232A3" w:rsidRPr="006402A9" w:rsidRDefault="00C232A3" w:rsidP="00FB460C">
      <w:pPr>
        <w:pStyle w:val="Heading6"/>
      </w:pPr>
      <w:r w:rsidRPr="006402A9">
        <w:t>Non-financial physical assets classified as held for sale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C232A3" w:rsidRPr="00AB62BD" w:rsidTr="00C232A3">
        <w:trPr>
          <w:cantSplit/>
          <w:tblHeader/>
        </w:trPr>
        <w:tc>
          <w:tcPr>
            <w:tcW w:w="5103" w:type="dxa"/>
            <w:tcBorders>
              <w:bottom w:val="single" w:sz="4" w:space="0" w:color="auto"/>
            </w:tcBorders>
            <w:vAlign w:val="bottom"/>
          </w:tcPr>
          <w:p w:rsidR="00C232A3" w:rsidRPr="00D539A7" w:rsidRDefault="00C232A3" w:rsidP="00C232A3">
            <w:pPr>
              <w:pStyle w:val="ARfintablecolhead"/>
            </w:pPr>
          </w:p>
        </w:tc>
        <w:tc>
          <w:tcPr>
            <w:tcW w:w="1134" w:type="dxa"/>
            <w:tcBorders>
              <w:bottom w:val="single" w:sz="4" w:space="0" w:color="auto"/>
            </w:tcBorders>
            <w:vAlign w:val="bottom"/>
          </w:tcPr>
          <w:p w:rsidR="00C232A3" w:rsidRPr="00D539A7" w:rsidRDefault="00C232A3" w:rsidP="00C232A3">
            <w:pPr>
              <w:pStyle w:val="ARfintablecolheadright"/>
            </w:pPr>
          </w:p>
        </w:tc>
        <w:tc>
          <w:tcPr>
            <w:tcW w:w="3402" w:type="dxa"/>
            <w:gridSpan w:val="3"/>
            <w:tcBorders>
              <w:bottom w:val="single" w:sz="4" w:space="0" w:color="auto"/>
            </w:tcBorders>
            <w:vAlign w:val="bottom"/>
          </w:tcPr>
          <w:p w:rsidR="00C232A3" w:rsidRPr="00D539A7" w:rsidRDefault="00C232A3" w:rsidP="00C232A3">
            <w:pPr>
              <w:pStyle w:val="ARfintablecolheadcentre"/>
            </w:pPr>
            <w:r>
              <w:t>Fair value measurement at end of reporting period using:</w:t>
            </w:r>
          </w:p>
        </w:tc>
      </w:tr>
      <w:tr w:rsidR="00C232A3" w:rsidRPr="00AB62BD" w:rsidTr="00C232A3">
        <w:trPr>
          <w:cantSplit/>
          <w:tblHeader/>
        </w:trPr>
        <w:tc>
          <w:tcPr>
            <w:tcW w:w="5103" w:type="dxa"/>
            <w:tcBorders>
              <w:bottom w:val="single" w:sz="4" w:space="0" w:color="auto"/>
            </w:tcBorders>
            <w:vAlign w:val="bottom"/>
          </w:tcPr>
          <w:p w:rsidR="00C232A3" w:rsidRPr="00D539A7" w:rsidRDefault="00C232A3" w:rsidP="00C232A3">
            <w:pPr>
              <w:pStyle w:val="ARfintablecolhead"/>
            </w:pPr>
            <w:r w:rsidRPr="00D539A7">
              <w:t>2017</w:t>
            </w:r>
          </w:p>
        </w:tc>
        <w:tc>
          <w:tcPr>
            <w:tcW w:w="1134" w:type="dxa"/>
            <w:tcBorders>
              <w:bottom w:val="single" w:sz="4" w:space="0" w:color="auto"/>
            </w:tcBorders>
            <w:vAlign w:val="bottom"/>
          </w:tcPr>
          <w:p w:rsidR="00C232A3" w:rsidRPr="00D539A7" w:rsidRDefault="00C232A3" w:rsidP="00C232A3">
            <w:pPr>
              <w:pStyle w:val="ARfintablecolheadright"/>
            </w:pPr>
            <w:r w:rsidRPr="00D539A7">
              <w:t>Carrying amount</w:t>
            </w:r>
          </w:p>
          <w:p w:rsidR="00C232A3" w:rsidRPr="00D539A7" w:rsidRDefault="00C232A3" w:rsidP="00C232A3">
            <w:pPr>
              <w:pStyle w:val="ARfintablecolheadright"/>
            </w:pPr>
            <w:r w:rsidRPr="00D539A7">
              <w:t>$M</w:t>
            </w:r>
          </w:p>
        </w:tc>
        <w:tc>
          <w:tcPr>
            <w:tcW w:w="1134" w:type="dxa"/>
            <w:tcBorders>
              <w:bottom w:val="single" w:sz="4" w:space="0" w:color="auto"/>
            </w:tcBorders>
            <w:vAlign w:val="bottom"/>
          </w:tcPr>
          <w:p w:rsidR="00C232A3" w:rsidRPr="00D539A7" w:rsidRDefault="00C232A3" w:rsidP="00C232A3">
            <w:pPr>
              <w:pStyle w:val="ARfintablecolheadright"/>
            </w:pPr>
            <w:r w:rsidRPr="00D539A7">
              <w:t>Level 1</w:t>
            </w:r>
            <w:r>
              <w:t xml:space="preserve"> </w:t>
            </w:r>
            <w:r w:rsidRPr="00D539A7">
              <w:rPr>
                <w:rStyle w:val="Superscriptbold"/>
              </w:rPr>
              <w:t>(</w:t>
            </w:r>
            <w:proofErr w:type="spellStart"/>
            <w:r w:rsidRPr="00D539A7">
              <w:rPr>
                <w:rStyle w:val="Superscriptbold"/>
              </w:rPr>
              <w:t>i</w:t>
            </w:r>
            <w:proofErr w:type="spellEnd"/>
            <w:r w:rsidRPr="00D539A7">
              <w:rPr>
                <w:rStyle w:val="Superscriptbold"/>
              </w:rPr>
              <w:t>)</w:t>
            </w:r>
          </w:p>
          <w:p w:rsidR="00C232A3" w:rsidRPr="00D539A7" w:rsidRDefault="00C232A3" w:rsidP="00C232A3">
            <w:pPr>
              <w:pStyle w:val="ARfintablecolheadright"/>
            </w:pPr>
            <w:r w:rsidRPr="00D539A7">
              <w:t>$M</w:t>
            </w:r>
          </w:p>
        </w:tc>
        <w:tc>
          <w:tcPr>
            <w:tcW w:w="1134" w:type="dxa"/>
            <w:tcBorders>
              <w:bottom w:val="single" w:sz="4" w:space="0" w:color="auto"/>
            </w:tcBorders>
            <w:vAlign w:val="bottom"/>
          </w:tcPr>
          <w:p w:rsidR="00C232A3" w:rsidRPr="00D539A7" w:rsidRDefault="00C232A3" w:rsidP="00C232A3">
            <w:pPr>
              <w:pStyle w:val="ARfintablecolheadright"/>
            </w:pPr>
            <w:r w:rsidRPr="00D539A7">
              <w:t>Level 2</w:t>
            </w:r>
            <w:r>
              <w:t xml:space="preserve"> </w:t>
            </w:r>
            <w:r w:rsidRPr="00D539A7">
              <w:rPr>
                <w:rStyle w:val="Superscriptbold"/>
              </w:rPr>
              <w:t>(</w:t>
            </w:r>
            <w:proofErr w:type="spellStart"/>
            <w:r w:rsidRPr="00D539A7">
              <w:rPr>
                <w:rStyle w:val="Superscriptbold"/>
              </w:rPr>
              <w:t>i</w:t>
            </w:r>
            <w:proofErr w:type="spellEnd"/>
            <w:r w:rsidRPr="00D539A7">
              <w:rPr>
                <w:rStyle w:val="Superscriptbold"/>
              </w:rPr>
              <w:t>)</w:t>
            </w:r>
          </w:p>
          <w:p w:rsidR="00C232A3" w:rsidRPr="00D539A7" w:rsidRDefault="00C232A3" w:rsidP="00C232A3">
            <w:pPr>
              <w:pStyle w:val="ARfintablecolheadright"/>
            </w:pPr>
            <w:r w:rsidRPr="00D539A7">
              <w:t>$M</w:t>
            </w:r>
          </w:p>
        </w:tc>
        <w:tc>
          <w:tcPr>
            <w:tcW w:w="1134" w:type="dxa"/>
            <w:tcBorders>
              <w:bottom w:val="single" w:sz="4" w:space="0" w:color="auto"/>
            </w:tcBorders>
            <w:vAlign w:val="bottom"/>
          </w:tcPr>
          <w:p w:rsidR="00C232A3" w:rsidRPr="00D539A7" w:rsidRDefault="00C232A3" w:rsidP="00C232A3">
            <w:pPr>
              <w:pStyle w:val="ARfintablecolheadright"/>
            </w:pPr>
            <w:r w:rsidRPr="00D539A7">
              <w:t>Level 3</w:t>
            </w:r>
            <w:r>
              <w:t xml:space="preserve"> </w:t>
            </w:r>
            <w:r w:rsidRPr="00D539A7">
              <w:rPr>
                <w:rStyle w:val="Superscriptbold"/>
              </w:rPr>
              <w:t>(</w:t>
            </w:r>
            <w:proofErr w:type="spellStart"/>
            <w:r w:rsidRPr="00D539A7">
              <w:rPr>
                <w:rStyle w:val="Superscriptbold"/>
              </w:rPr>
              <w:t>i</w:t>
            </w:r>
            <w:proofErr w:type="spellEnd"/>
            <w:r w:rsidRPr="00D539A7">
              <w:rPr>
                <w:rStyle w:val="Superscriptbold"/>
              </w:rPr>
              <w:t>)</w:t>
            </w:r>
          </w:p>
          <w:p w:rsidR="00C232A3" w:rsidRPr="00D539A7" w:rsidRDefault="00C232A3" w:rsidP="00C232A3">
            <w:pPr>
              <w:pStyle w:val="ARfintablecolheadright"/>
            </w:pPr>
            <w:r w:rsidRPr="00D539A7">
              <w:t>$M</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Land held for sale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land</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land at fair value held for sale</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0.1</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0.1</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Buildings held for sale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building</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Pr>
          <w:p w:rsidR="00C232A3" w:rsidRPr="00AB62BD" w:rsidRDefault="00C232A3" w:rsidP="00C232A3">
            <w:pPr>
              <w:pStyle w:val="ARfintablebody"/>
              <w:rPr>
                <w:bCs/>
                <w:lang w:eastAsia="en-AU"/>
              </w:rPr>
            </w:pPr>
            <w:r w:rsidRPr="00AB62BD">
              <w:rPr>
                <w:rStyle w:val="Strong"/>
              </w:rPr>
              <w:t>Total buildings held for sale</w:t>
            </w:r>
          </w:p>
        </w:tc>
        <w:tc>
          <w:tcPr>
            <w:tcW w:w="1134" w:type="dxa"/>
          </w:tcPr>
          <w:p w:rsidR="00C232A3" w:rsidRPr="00AB62BD" w:rsidRDefault="00C232A3" w:rsidP="00C232A3">
            <w:pPr>
              <w:pStyle w:val="ARfintablebodyright"/>
              <w:rPr>
                <w:b/>
                <w:bCs/>
                <w:lang w:eastAsia="en-AU"/>
              </w:rPr>
            </w:pPr>
            <w:r w:rsidRPr="00AB62BD">
              <w:rPr>
                <w:rStyle w:val="Strong"/>
              </w:rPr>
              <w:t>2.9</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2.9</w:t>
            </w:r>
          </w:p>
        </w:tc>
        <w:tc>
          <w:tcPr>
            <w:tcW w:w="1134" w:type="dxa"/>
          </w:tcPr>
          <w:p w:rsidR="00C232A3" w:rsidRPr="00AB62BD" w:rsidRDefault="00C232A3" w:rsidP="00C232A3">
            <w:pPr>
              <w:pStyle w:val="ARfintablebodyright"/>
              <w:rPr>
                <w:b/>
                <w:bCs/>
                <w:lang w:eastAsia="en-AU"/>
              </w:rPr>
            </w:pPr>
            <w:r w:rsidRPr="00AB62BD">
              <w:rPr>
                <w:rStyle w:val="Strong"/>
              </w:rPr>
              <w:t>–</w:t>
            </w:r>
          </w:p>
        </w:tc>
      </w:tr>
    </w:tbl>
    <w:p w:rsidR="00C232A3" w:rsidRPr="00AB62BD" w:rsidRDefault="00C232A3" w:rsidP="00C232A3">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C232A3" w:rsidRPr="00AB62BD" w:rsidTr="00C232A3">
        <w:trPr>
          <w:cantSplit/>
          <w:tblHeader/>
        </w:trPr>
        <w:tc>
          <w:tcPr>
            <w:tcW w:w="5103" w:type="dxa"/>
            <w:tcBorders>
              <w:bottom w:val="single" w:sz="4" w:space="0" w:color="auto"/>
            </w:tcBorders>
            <w:vAlign w:val="bottom"/>
          </w:tcPr>
          <w:p w:rsidR="00C232A3" w:rsidRPr="00D539A7" w:rsidRDefault="00C232A3" w:rsidP="00C232A3">
            <w:pPr>
              <w:pStyle w:val="ARfintablecolhead"/>
            </w:pPr>
          </w:p>
        </w:tc>
        <w:tc>
          <w:tcPr>
            <w:tcW w:w="1134" w:type="dxa"/>
            <w:tcBorders>
              <w:bottom w:val="single" w:sz="4" w:space="0" w:color="auto"/>
            </w:tcBorders>
            <w:vAlign w:val="bottom"/>
          </w:tcPr>
          <w:p w:rsidR="00C232A3" w:rsidRPr="00D539A7" w:rsidRDefault="00C232A3" w:rsidP="00C232A3">
            <w:pPr>
              <w:pStyle w:val="ARfintablecolheadright"/>
            </w:pPr>
          </w:p>
        </w:tc>
        <w:tc>
          <w:tcPr>
            <w:tcW w:w="3402" w:type="dxa"/>
            <w:gridSpan w:val="3"/>
            <w:tcBorders>
              <w:bottom w:val="single" w:sz="4" w:space="0" w:color="auto"/>
            </w:tcBorders>
            <w:vAlign w:val="bottom"/>
          </w:tcPr>
          <w:p w:rsidR="00C232A3" w:rsidRPr="00D539A7" w:rsidRDefault="00C232A3" w:rsidP="00C232A3">
            <w:pPr>
              <w:pStyle w:val="ARfintablecolheadcentre"/>
            </w:pPr>
            <w:r>
              <w:t>Fair value measurement at end of reporting period using:</w:t>
            </w:r>
          </w:p>
        </w:tc>
      </w:tr>
      <w:tr w:rsidR="00C232A3" w:rsidRPr="00AB62BD" w:rsidTr="00C232A3">
        <w:trPr>
          <w:cantSplit/>
          <w:tblHeader/>
        </w:trPr>
        <w:tc>
          <w:tcPr>
            <w:tcW w:w="5103" w:type="dxa"/>
            <w:tcBorders>
              <w:bottom w:val="single" w:sz="4" w:space="0" w:color="auto"/>
            </w:tcBorders>
            <w:vAlign w:val="bottom"/>
          </w:tcPr>
          <w:p w:rsidR="00C232A3" w:rsidRPr="00D539A7" w:rsidRDefault="00C232A3" w:rsidP="00C232A3">
            <w:pPr>
              <w:pStyle w:val="ARfintablecolhead"/>
            </w:pPr>
            <w:r w:rsidRPr="00D539A7">
              <w:t>2016</w:t>
            </w:r>
          </w:p>
        </w:tc>
        <w:tc>
          <w:tcPr>
            <w:tcW w:w="1134" w:type="dxa"/>
            <w:tcBorders>
              <w:bottom w:val="single" w:sz="4" w:space="0" w:color="auto"/>
            </w:tcBorders>
            <w:vAlign w:val="bottom"/>
          </w:tcPr>
          <w:p w:rsidR="00AA035A" w:rsidRDefault="00C232A3" w:rsidP="00C232A3">
            <w:pPr>
              <w:pStyle w:val="ARfintablecolheadright"/>
            </w:pPr>
            <w:r w:rsidRPr="00D539A7">
              <w:t>Carrying</w:t>
            </w:r>
          </w:p>
          <w:p w:rsidR="00C232A3" w:rsidRPr="00D539A7" w:rsidRDefault="00C232A3" w:rsidP="00C232A3">
            <w:pPr>
              <w:pStyle w:val="ARfintablecolheadright"/>
            </w:pPr>
            <w:r w:rsidRPr="00D539A7">
              <w:t>amount</w:t>
            </w:r>
          </w:p>
          <w:p w:rsidR="00C232A3" w:rsidRPr="00D539A7" w:rsidRDefault="00C232A3" w:rsidP="00C232A3">
            <w:pPr>
              <w:pStyle w:val="ARfintablecolheadright"/>
            </w:pPr>
            <w:r w:rsidRPr="00D539A7">
              <w:t>$M</w:t>
            </w:r>
          </w:p>
        </w:tc>
        <w:tc>
          <w:tcPr>
            <w:tcW w:w="1134" w:type="dxa"/>
            <w:tcBorders>
              <w:bottom w:val="single" w:sz="4" w:space="0" w:color="auto"/>
            </w:tcBorders>
            <w:vAlign w:val="bottom"/>
          </w:tcPr>
          <w:p w:rsidR="00C232A3" w:rsidRPr="00D539A7" w:rsidRDefault="00C232A3" w:rsidP="00C232A3">
            <w:pPr>
              <w:pStyle w:val="ARfintablecolheadright"/>
            </w:pPr>
            <w:r w:rsidRPr="00D539A7">
              <w:t>Level 1</w:t>
            </w:r>
            <w:r>
              <w:t xml:space="preserve"> </w:t>
            </w:r>
            <w:r w:rsidRPr="00D539A7">
              <w:rPr>
                <w:rStyle w:val="Superscriptbold"/>
              </w:rPr>
              <w:t>(</w:t>
            </w:r>
            <w:proofErr w:type="spellStart"/>
            <w:r w:rsidRPr="00D539A7">
              <w:rPr>
                <w:rStyle w:val="Superscriptbold"/>
              </w:rPr>
              <w:t>i</w:t>
            </w:r>
            <w:proofErr w:type="spellEnd"/>
            <w:r w:rsidRPr="00D539A7">
              <w:rPr>
                <w:rStyle w:val="Superscriptbold"/>
              </w:rPr>
              <w:t>)</w:t>
            </w:r>
          </w:p>
          <w:p w:rsidR="00C232A3" w:rsidRPr="00D539A7" w:rsidRDefault="00C232A3" w:rsidP="00C232A3">
            <w:pPr>
              <w:pStyle w:val="ARfintablecolheadright"/>
            </w:pPr>
            <w:r w:rsidRPr="00D539A7">
              <w:t>$M</w:t>
            </w:r>
          </w:p>
        </w:tc>
        <w:tc>
          <w:tcPr>
            <w:tcW w:w="1134" w:type="dxa"/>
            <w:tcBorders>
              <w:bottom w:val="single" w:sz="4" w:space="0" w:color="auto"/>
            </w:tcBorders>
            <w:vAlign w:val="bottom"/>
          </w:tcPr>
          <w:p w:rsidR="00C232A3" w:rsidRPr="00D539A7" w:rsidRDefault="00C232A3" w:rsidP="00C232A3">
            <w:pPr>
              <w:pStyle w:val="ARfintablecolheadright"/>
            </w:pPr>
            <w:r w:rsidRPr="00D539A7">
              <w:t>Level 2</w:t>
            </w:r>
            <w:r>
              <w:t xml:space="preserve"> </w:t>
            </w:r>
            <w:r w:rsidRPr="00D539A7">
              <w:rPr>
                <w:rStyle w:val="Superscriptbold"/>
              </w:rPr>
              <w:t>(</w:t>
            </w:r>
            <w:proofErr w:type="spellStart"/>
            <w:r w:rsidRPr="00D539A7">
              <w:rPr>
                <w:rStyle w:val="Superscriptbold"/>
              </w:rPr>
              <w:t>i</w:t>
            </w:r>
            <w:proofErr w:type="spellEnd"/>
            <w:r w:rsidRPr="00D539A7">
              <w:rPr>
                <w:rStyle w:val="Superscriptbold"/>
              </w:rPr>
              <w:t>)</w:t>
            </w:r>
          </w:p>
          <w:p w:rsidR="00C232A3" w:rsidRPr="00D539A7" w:rsidRDefault="00C232A3" w:rsidP="00C232A3">
            <w:pPr>
              <w:pStyle w:val="ARfintablecolheadright"/>
            </w:pPr>
            <w:r w:rsidRPr="00D539A7">
              <w:t>$M</w:t>
            </w:r>
          </w:p>
        </w:tc>
        <w:tc>
          <w:tcPr>
            <w:tcW w:w="1134" w:type="dxa"/>
            <w:tcBorders>
              <w:bottom w:val="single" w:sz="4" w:space="0" w:color="auto"/>
            </w:tcBorders>
            <w:vAlign w:val="bottom"/>
          </w:tcPr>
          <w:p w:rsidR="00C232A3" w:rsidRPr="00D539A7" w:rsidRDefault="00C232A3" w:rsidP="00C232A3">
            <w:pPr>
              <w:pStyle w:val="ARfintablecolheadright"/>
            </w:pPr>
            <w:r w:rsidRPr="00D539A7">
              <w:t>Level 3</w:t>
            </w:r>
            <w:r>
              <w:t xml:space="preserve"> </w:t>
            </w:r>
            <w:r w:rsidRPr="00D539A7">
              <w:rPr>
                <w:rStyle w:val="Superscriptbold"/>
              </w:rPr>
              <w:t>(</w:t>
            </w:r>
            <w:proofErr w:type="spellStart"/>
            <w:r w:rsidRPr="00D539A7">
              <w:rPr>
                <w:rStyle w:val="Superscriptbold"/>
              </w:rPr>
              <w:t>i</w:t>
            </w:r>
            <w:proofErr w:type="spellEnd"/>
            <w:r w:rsidRPr="00D539A7">
              <w:rPr>
                <w:rStyle w:val="Superscriptbold"/>
              </w:rPr>
              <w:t>)</w:t>
            </w:r>
          </w:p>
          <w:p w:rsidR="00C232A3" w:rsidRPr="00D539A7" w:rsidRDefault="00C232A3" w:rsidP="00C232A3">
            <w:pPr>
              <w:pStyle w:val="ARfintablecolheadright"/>
            </w:pPr>
            <w:r w:rsidRPr="00D539A7">
              <w:t>$M</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Land held for sale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land</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23.7</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23.5</w:t>
            </w:r>
          </w:p>
        </w:tc>
      </w:tr>
      <w:tr w:rsidR="00C232A3" w:rsidRPr="00AB62BD" w:rsidTr="00C232A3">
        <w:trPr>
          <w:cantSplit/>
        </w:trPr>
        <w:tc>
          <w:tcPr>
            <w:tcW w:w="5103"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land at fair value held for sale</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23.7</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0.2</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23.5</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Buildings held for sale</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Specialised building</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Pr>
          <w:p w:rsidR="00C232A3" w:rsidRPr="00AB62BD" w:rsidRDefault="00C232A3" w:rsidP="00C232A3">
            <w:pPr>
              <w:pStyle w:val="ARfintablebody"/>
              <w:rPr>
                <w:bCs/>
                <w:lang w:eastAsia="en-AU"/>
              </w:rPr>
            </w:pPr>
            <w:r w:rsidRPr="00AB62BD">
              <w:rPr>
                <w:rStyle w:val="Strong"/>
              </w:rPr>
              <w:t>Total buildings held for sale</w:t>
            </w:r>
          </w:p>
        </w:tc>
        <w:tc>
          <w:tcPr>
            <w:tcW w:w="1134" w:type="dxa"/>
          </w:tcPr>
          <w:p w:rsidR="00C232A3" w:rsidRPr="00AB62BD" w:rsidRDefault="00C232A3" w:rsidP="00C232A3">
            <w:pPr>
              <w:pStyle w:val="ARfintablebodyright"/>
              <w:rPr>
                <w:b/>
                <w:bCs/>
                <w:lang w:eastAsia="en-AU"/>
              </w:rPr>
            </w:pPr>
            <w:r w:rsidRPr="00AB62BD">
              <w:rPr>
                <w:rStyle w:val="Strong"/>
              </w:rPr>
              <w:t>2.0</w:t>
            </w:r>
          </w:p>
        </w:tc>
        <w:tc>
          <w:tcPr>
            <w:tcW w:w="1134" w:type="dxa"/>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b/>
                <w:bCs/>
                <w:lang w:eastAsia="en-AU"/>
              </w:rPr>
            </w:pPr>
            <w:r w:rsidRPr="00AB62BD">
              <w:rPr>
                <w:rStyle w:val="Strong"/>
              </w:rPr>
              <w:t>2.0</w:t>
            </w:r>
          </w:p>
        </w:tc>
        <w:tc>
          <w:tcPr>
            <w:tcW w:w="1134" w:type="dxa"/>
          </w:tcPr>
          <w:p w:rsidR="00C232A3" w:rsidRPr="00AB62BD" w:rsidRDefault="00C232A3" w:rsidP="00C232A3">
            <w:pPr>
              <w:pStyle w:val="ARfintablebodyright"/>
              <w:rPr>
                <w:rStyle w:val="Strong"/>
                <w:bCs w:val="0"/>
              </w:rPr>
            </w:pPr>
            <w:r w:rsidRPr="00AB62BD">
              <w:rPr>
                <w:rStyle w:val="Strong"/>
              </w:rPr>
              <w:t>–</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Classified in accordance with the fair value hierarchy.</w:t>
      </w:r>
    </w:p>
    <w:p w:rsidR="00C232A3" w:rsidRPr="00AB62BD" w:rsidRDefault="00C232A3" w:rsidP="00C232A3">
      <w:pPr>
        <w:pStyle w:val="ARfinbodyaftertable"/>
      </w:pPr>
      <w:r w:rsidRPr="00AB62BD">
        <w:t xml:space="preserve">There have been no transfers between levels during </w:t>
      </w:r>
      <w:r>
        <w:t>2016–17</w:t>
      </w:r>
      <w:r w:rsidRPr="00AB62BD">
        <w:t>.</w:t>
      </w:r>
    </w:p>
    <w:p w:rsidR="00C232A3" w:rsidRDefault="00C232A3" w:rsidP="00300E48">
      <w:pPr>
        <w:pStyle w:val="ARbody"/>
        <w:rPr>
          <w:rFonts w:eastAsia="MS Gothic"/>
          <w:color w:val="004C97"/>
          <w:lang w:eastAsia="en-AU"/>
        </w:rPr>
      </w:pPr>
      <w:r>
        <w:br w:type="page"/>
      </w:r>
    </w:p>
    <w:p w:rsidR="00C232A3" w:rsidRPr="00A15588" w:rsidRDefault="00C232A3" w:rsidP="00C232A3">
      <w:pPr>
        <w:pStyle w:val="Heading3"/>
      </w:pPr>
      <w:bookmarkStart w:id="102" w:name="_Toc493069498"/>
      <w:r w:rsidRPr="00A15588">
        <w:lastRenderedPageBreak/>
        <w:t>9. Other disclosures</w:t>
      </w:r>
      <w:bookmarkEnd w:id="102"/>
    </w:p>
    <w:p w:rsidR="00C232A3" w:rsidRPr="00A15588" w:rsidRDefault="00C232A3" w:rsidP="00C232A3">
      <w:pPr>
        <w:pStyle w:val="Heading4"/>
      </w:pPr>
      <w:r w:rsidRPr="00A15588">
        <w:t>Introduction</w:t>
      </w:r>
    </w:p>
    <w:p w:rsidR="00C232A3" w:rsidRPr="00AB62BD" w:rsidRDefault="00C232A3" w:rsidP="00C232A3">
      <w:pPr>
        <w:pStyle w:val="ARfinbody"/>
        <w:rPr>
          <w:lang w:eastAsia="en-AU"/>
        </w:rPr>
      </w:pPr>
      <w:r w:rsidRPr="00AB62BD">
        <w:rPr>
          <w:lang w:eastAsia="en-AU"/>
        </w:rPr>
        <w:t>This section includes additional material disclosures required by accounting standards or otherwise, for the understanding of this financial report.</w:t>
      </w:r>
    </w:p>
    <w:p w:rsidR="00C232A3" w:rsidRPr="003B4DD4" w:rsidRDefault="00C232A3" w:rsidP="00C232A3">
      <w:pPr>
        <w:pStyle w:val="Heading4"/>
      </w:pPr>
      <w:r w:rsidRPr="003B4DD4">
        <w:t>Structure</w:t>
      </w:r>
    </w:p>
    <w:p w:rsidR="00C232A3" w:rsidRPr="00AB62BD" w:rsidRDefault="00C232A3" w:rsidP="00C232A3">
      <w:pPr>
        <w:pStyle w:val="ARfinstructure1"/>
      </w:pPr>
      <w:r>
        <w:t>9.1</w:t>
      </w:r>
      <w:r>
        <w:tab/>
      </w:r>
      <w:r w:rsidRPr="00AB62BD">
        <w:t>Ex-gratia expenses</w:t>
      </w:r>
    </w:p>
    <w:p w:rsidR="00C232A3" w:rsidRPr="00AB62BD" w:rsidRDefault="00C232A3" w:rsidP="00C232A3">
      <w:pPr>
        <w:pStyle w:val="ARfinstructure1"/>
      </w:pPr>
      <w:r>
        <w:t>9.2</w:t>
      </w:r>
      <w:r>
        <w:tab/>
      </w:r>
      <w:r w:rsidRPr="00AB62BD">
        <w:t>Other economic flows included in net result</w:t>
      </w:r>
    </w:p>
    <w:p w:rsidR="00C232A3" w:rsidRPr="00AB62BD" w:rsidRDefault="00C232A3" w:rsidP="00C232A3">
      <w:pPr>
        <w:pStyle w:val="ARfinstructure1"/>
      </w:pPr>
      <w:r>
        <w:t>9.3</w:t>
      </w:r>
      <w:r>
        <w:tab/>
      </w:r>
      <w:r w:rsidRPr="00AB62BD">
        <w:t>Non-current assets held for sale</w:t>
      </w:r>
    </w:p>
    <w:p w:rsidR="00C232A3" w:rsidRPr="00AB62BD" w:rsidRDefault="00C232A3" w:rsidP="00C232A3">
      <w:pPr>
        <w:pStyle w:val="ARfinstructure1"/>
      </w:pPr>
      <w:r w:rsidRPr="00AB62BD">
        <w:t>9.4</w:t>
      </w:r>
      <w:r>
        <w:tab/>
      </w:r>
      <w:r w:rsidRPr="00AB62BD">
        <w:t>Reserves</w:t>
      </w:r>
    </w:p>
    <w:p w:rsidR="00C232A3" w:rsidRPr="00AB62BD" w:rsidRDefault="00C232A3" w:rsidP="00C232A3">
      <w:pPr>
        <w:pStyle w:val="ARfinstructure1"/>
      </w:pPr>
      <w:r>
        <w:t>9.5</w:t>
      </w:r>
      <w:r>
        <w:tab/>
      </w:r>
      <w:r w:rsidRPr="00AB62BD">
        <w:t>Entities consolidated pursuant to section 53(1)(b) of the FMA</w:t>
      </w:r>
    </w:p>
    <w:p w:rsidR="00C232A3" w:rsidRPr="00AB62BD" w:rsidRDefault="00C232A3" w:rsidP="00C232A3">
      <w:pPr>
        <w:pStyle w:val="ARfinstructure1"/>
      </w:pPr>
      <w:r>
        <w:t>9.6</w:t>
      </w:r>
      <w:r>
        <w:tab/>
      </w:r>
      <w:r w:rsidRPr="00AB62BD">
        <w:t>Responsible persons</w:t>
      </w:r>
    </w:p>
    <w:p w:rsidR="00C232A3" w:rsidRPr="00AB62BD" w:rsidRDefault="00C232A3" w:rsidP="00C232A3">
      <w:pPr>
        <w:pStyle w:val="ARfinstructure1"/>
      </w:pPr>
      <w:r>
        <w:t>9.7</w:t>
      </w:r>
      <w:r>
        <w:tab/>
      </w:r>
      <w:r w:rsidRPr="00AB62BD">
        <w:t>Remuneration of executives</w:t>
      </w:r>
    </w:p>
    <w:p w:rsidR="00C232A3" w:rsidRPr="00AB62BD" w:rsidRDefault="00C232A3" w:rsidP="00C232A3">
      <w:pPr>
        <w:pStyle w:val="ARfinstructure1"/>
      </w:pPr>
      <w:r>
        <w:t>9.8</w:t>
      </w:r>
      <w:r>
        <w:tab/>
      </w:r>
      <w:r w:rsidRPr="00AB62BD">
        <w:t>Related parties</w:t>
      </w:r>
    </w:p>
    <w:p w:rsidR="00C232A3" w:rsidRPr="00AB62BD" w:rsidRDefault="00C232A3" w:rsidP="00C232A3">
      <w:pPr>
        <w:pStyle w:val="ARfinstructure1"/>
      </w:pPr>
      <w:r>
        <w:t>9.9</w:t>
      </w:r>
      <w:r>
        <w:tab/>
      </w:r>
      <w:r w:rsidRPr="00AB62BD">
        <w:t>Remuneration of auditors</w:t>
      </w:r>
    </w:p>
    <w:p w:rsidR="00C232A3" w:rsidRPr="00AB62BD" w:rsidRDefault="00C232A3" w:rsidP="00C232A3">
      <w:pPr>
        <w:pStyle w:val="ARfinstructure1"/>
      </w:pPr>
      <w:r>
        <w:t>9.10</w:t>
      </w:r>
      <w:r>
        <w:tab/>
      </w:r>
      <w:r w:rsidRPr="00AB62BD">
        <w:t>Subsequent events</w:t>
      </w:r>
    </w:p>
    <w:p w:rsidR="00C232A3" w:rsidRPr="00AB62BD" w:rsidRDefault="00C232A3" w:rsidP="00C232A3">
      <w:pPr>
        <w:pStyle w:val="ARfinstructure1"/>
      </w:pPr>
      <w:r>
        <w:t>9.11</w:t>
      </w:r>
      <w:r>
        <w:tab/>
      </w:r>
      <w:r w:rsidRPr="00AB62BD">
        <w:t>Other accounting policies</w:t>
      </w:r>
    </w:p>
    <w:p w:rsidR="00C232A3" w:rsidRPr="00AB62BD" w:rsidRDefault="00C232A3" w:rsidP="00C232A3">
      <w:pPr>
        <w:pStyle w:val="ARfinstructure1"/>
      </w:pPr>
      <w:r>
        <w:t>9.12</w:t>
      </w:r>
      <w:r>
        <w:tab/>
      </w:r>
      <w:r w:rsidRPr="00AB62BD">
        <w:t>Australian Accounting Standards issued that are not yet effective</w:t>
      </w:r>
    </w:p>
    <w:p w:rsidR="00C232A3" w:rsidRPr="00AB62BD" w:rsidRDefault="00C232A3" w:rsidP="00C232A3">
      <w:pPr>
        <w:pStyle w:val="ARfinstructure1"/>
      </w:pPr>
      <w:r>
        <w:t>9.13</w:t>
      </w:r>
      <w:r>
        <w:tab/>
      </w:r>
      <w:r w:rsidRPr="00AB62BD">
        <w:t>Glossary of technical terms</w:t>
      </w:r>
    </w:p>
    <w:p w:rsidR="00C232A3" w:rsidRPr="00AB62BD" w:rsidRDefault="00C232A3" w:rsidP="00C232A3">
      <w:pPr>
        <w:pStyle w:val="ARfinstructure1"/>
      </w:pPr>
      <w:r>
        <w:t>9.14</w:t>
      </w:r>
      <w:r>
        <w:tab/>
      </w:r>
      <w:r w:rsidRPr="00AB62BD">
        <w:t>Style conventions</w:t>
      </w:r>
    </w:p>
    <w:p w:rsidR="00C232A3" w:rsidRPr="003B4DD4" w:rsidRDefault="00C232A3" w:rsidP="00C232A3">
      <w:pPr>
        <w:pStyle w:val="Heading4"/>
      </w:pPr>
      <w:bookmarkStart w:id="103" w:name="_Ref492907410"/>
      <w:r w:rsidRPr="003B4DD4">
        <w:t>9.1 Ex-gratia expenses</w:t>
      </w:r>
      <w:bookmarkEnd w:id="103"/>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C232A3" w:rsidRPr="00AB62BD" w:rsidTr="00CC249F">
        <w:trPr>
          <w:cantSplit/>
          <w:tblHeader/>
        </w:trPr>
        <w:tc>
          <w:tcPr>
            <w:tcW w:w="7371" w:type="dxa"/>
            <w:tcBorders>
              <w:bottom w:val="single" w:sz="4" w:space="0" w:color="auto"/>
            </w:tcBorders>
            <w:vAlign w:val="bottom"/>
          </w:tcPr>
          <w:p w:rsidR="00C232A3" w:rsidRPr="009314ED" w:rsidRDefault="00C232A3" w:rsidP="00C232A3">
            <w:pPr>
              <w:pStyle w:val="ARfintablecolheadright"/>
            </w:pPr>
          </w:p>
        </w:tc>
        <w:tc>
          <w:tcPr>
            <w:tcW w:w="1134" w:type="dxa"/>
            <w:tcBorders>
              <w:bottom w:val="single" w:sz="4" w:space="0" w:color="auto"/>
            </w:tcBorders>
            <w:shd w:val="clear" w:color="auto" w:fill="E7E6E6"/>
            <w:vAlign w:val="bottom"/>
          </w:tcPr>
          <w:p w:rsidR="00C232A3" w:rsidRPr="009314ED" w:rsidRDefault="00C232A3" w:rsidP="00C232A3">
            <w:pPr>
              <w:pStyle w:val="ARfintablecolheadright"/>
            </w:pPr>
            <w:r w:rsidRPr="009314ED">
              <w:t>2017</w:t>
            </w:r>
          </w:p>
          <w:p w:rsidR="00C232A3" w:rsidRPr="009314ED" w:rsidRDefault="00C232A3" w:rsidP="00C232A3">
            <w:pPr>
              <w:pStyle w:val="ARfintablecolheadright"/>
            </w:pPr>
            <w:r w:rsidRPr="009314ED">
              <w:t>$M</w:t>
            </w:r>
          </w:p>
        </w:tc>
        <w:tc>
          <w:tcPr>
            <w:tcW w:w="1134" w:type="dxa"/>
            <w:tcBorders>
              <w:bottom w:val="single" w:sz="4" w:space="0" w:color="auto"/>
            </w:tcBorders>
            <w:vAlign w:val="bottom"/>
          </w:tcPr>
          <w:p w:rsidR="00C232A3" w:rsidRPr="009314ED" w:rsidRDefault="00C232A3" w:rsidP="00C232A3">
            <w:pPr>
              <w:pStyle w:val="ARfintablecolheadright"/>
            </w:pPr>
            <w:r w:rsidRPr="009314ED">
              <w:t>2016</w:t>
            </w:r>
          </w:p>
          <w:p w:rsidR="00C232A3" w:rsidRPr="009314ED" w:rsidRDefault="00C232A3" w:rsidP="00C232A3">
            <w:pPr>
              <w:pStyle w:val="ARfintablecolheadright"/>
            </w:pPr>
            <w:r w:rsidRPr="009314ED">
              <w:t>$M</w:t>
            </w:r>
          </w:p>
        </w:tc>
      </w:tr>
      <w:tr w:rsidR="00C232A3" w:rsidRPr="00AB62BD" w:rsidTr="00CC249F">
        <w:trPr>
          <w:cantSplit/>
        </w:trPr>
        <w:tc>
          <w:tcPr>
            <w:tcW w:w="7371" w:type="dxa"/>
            <w:tcBorders>
              <w:top w:val="single" w:sz="4" w:space="0" w:color="auto"/>
            </w:tcBorders>
          </w:tcPr>
          <w:p w:rsidR="00C232A3" w:rsidRPr="00AB62BD" w:rsidRDefault="00C232A3" w:rsidP="00C232A3">
            <w:pPr>
              <w:pStyle w:val="ARfintablebody"/>
              <w:rPr>
                <w:lang w:eastAsia="en-AU"/>
              </w:rPr>
            </w:pPr>
            <w:r w:rsidRPr="00AB62BD">
              <w:rPr>
                <w:lang w:eastAsia="en-AU"/>
              </w:rPr>
              <w:t>Compensation for economic loss</w:t>
            </w:r>
          </w:p>
        </w:tc>
        <w:tc>
          <w:tcPr>
            <w:tcW w:w="1134" w:type="dxa"/>
            <w:tcBorders>
              <w:top w:val="single" w:sz="4" w:space="0" w:color="auto"/>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uto"/>
            </w:tcBorders>
          </w:tcPr>
          <w:p w:rsidR="00C232A3" w:rsidRPr="00AB62BD" w:rsidRDefault="00C232A3" w:rsidP="00C232A3">
            <w:pPr>
              <w:pStyle w:val="ARfintablebodyright"/>
              <w:rPr>
                <w:lang w:eastAsia="en-AU"/>
              </w:rPr>
            </w:pPr>
            <w:r w:rsidRPr="00AB62BD">
              <w:rPr>
                <w:lang w:eastAsia="en-AU"/>
              </w:rPr>
              <w:t>2.8</w:t>
            </w:r>
          </w:p>
        </w:tc>
      </w:tr>
      <w:tr w:rsidR="00C232A3" w:rsidRPr="00AB62BD" w:rsidTr="00CC249F">
        <w:trPr>
          <w:cantSplit/>
        </w:trPr>
        <w:tc>
          <w:tcPr>
            <w:tcW w:w="7371" w:type="dxa"/>
          </w:tcPr>
          <w:p w:rsidR="00C232A3" w:rsidRPr="00AB62BD" w:rsidRDefault="00C232A3" w:rsidP="00C232A3">
            <w:pPr>
              <w:pStyle w:val="ARfintablebody"/>
              <w:rPr>
                <w:b/>
                <w:bCs/>
                <w:vertAlign w:val="superscript"/>
                <w:lang w:eastAsia="en-AU"/>
              </w:rPr>
            </w:pPr>
            <w:r w:rsidRPr="00AB62BD">
              <w:rPr>
                <w:rStyle w:val="Strong"/>
              </w:rPr>
              <w:t xml:space="preserve">Total ex-gratia expenses </w:t>
            </w:r>
            <w:r w:rsidRPr="00B578D9">
              <w:rPr>
                <w:rStyle w:val="Superscriptbold"/>
              </w:rPr>
              <w:t>(</w:t>
            </w:r>
            <w:proofErr w:type="spellStart"/>
            <w:r w:rsidRPr="00B578D9">
              <w:rPr>
                <w:rStyle w:val="Superscriptbold"/>
              </w:rPr>
              <w:t>i</w:t>
            </w:r>
            <w:proofErr w:type="spellEnd"/>
            <w:r w:rsidRPr="00B578D9">
              <w:rPr>
                <w:rStyle w:val="Superscriptbold"/>
              </w:rPr>
              <w:t>)</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w:t>
            </w:r>
          </w:p>
        </w:tc>
        <w:tc>
          <w:tcPr>
            <w:tcW w:w="1134" w:type="dxa"/>
          </w:tcPr>
          <w:p w:rsidR="00C232A3" w:rsidRPr="00AB62BD" w:rsidRDefault="00C232A3" w:rsidP="00C232A3">
            <w:pPr>
              <w:pStyle w:val="ARfintablebodyright"/>
              <w:rPr>
                <w:rStyle w:val="Strong"/>
                <w:bCs w:val="0"/>
              </w:rPr>
            </w:pPr>
            <w:r w:rsidRPr="00AB62BD">
              <w:rPr>
                <w:rStyle w:val="Strong"/>
              </w:rPr>
              <w:t>2.8</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The total for ex-gratia expenses is also presented in Note 3.1.5 Other operating expenses.</w:t>
      </w:r>
    </w:p>
    <w:p w:rsidR="00C232A3" w:rsidRPr="003B4DD4" w:rsidRDefault="00C232A3" w:rsidP="00C232A3">
      <w:pPr>
        <w:pStyle w:val="Heading4"/>
      </w:pPr>
      <w:r w:rsidRPr="003B4DD4">
        <w:t>9.2 Other economic flows included in net result</w:t>
      </w:r>
    </w:p>
    <w:p w:rsidR="00C232A3" w:rsidRPr="00AB62BD" w:rsidRDefault="00C232A3" w:rsidP="00C232A3">
      <w:pPr>
        <w:pStyle w:val="ARfinbody"/>
        <w:rPr>
          <w:lang w:eastAsia="en-AU"/>
        </w:rPr>
      </w:pPr>
      <w:r w:rsidRPr="00AB62BD">
        <w:rPr>
          <w:lang w:eastAsia="en-AU"/>
        </w:rPr>
        <w:t>Other economic flows are changes in the volume or value of an asset or liability that do not result from transactions. Other gains/(losses) from other economic flows include the gains or losses from:</w:t>
      </w:r>
    </w:p>
    <w:p w:rsidR="00C232A3" w:rsidRPr="00AB62BD" w:rsidRDefault="00C232A3" w:rsidP="00C232A3">
      <w:pPr>
        <w:pStyle w:val="ARfinbullet1"/>
        <w:rPr>
          <w:lang w:eastAsia="en-AU"/>
        </w:rPr>
      </w:pPr>
      <w:r w:rsidRPr="00AB62BD">
        <w:rPr>
          <w:lang w:eastAsia="en-AU"/>
        </w:rPr>
        <w:t>the revaluation of the present value of the long service leave liability due to changes in the bond interest rates and the effects of changes in actuarial assumptions,</w:t>
      </w:r>
    </w:p>
    <w:p w:rsidR="00C232A3" w:rsidRPr="00AB62BD" w:rsidRDefault="00C232A3" w:rsidP="00C232A3">
      <w:pPr>
        <w:pStyle w:val="ARfinbullet1"/>
        <w:rPr>
          <w:lang w:eastAsia="en-AU"/>
        </w:rPr>
      </w:pPr>
      <w:r w:rsidRPr="00AB62BD">
        <w:rPr>
          <w:lang w:eastAsia="en-AU"/>
        </w:rPr>
        <w:t>other revaluations on the value of outstanding insurance claims and liabilities, and</w:t>
      </w:r>
    </w:p>
    <w:p w:rsidR="00C232A3" w:rsidRPr="00AB62BD" w:rsidRDefault="00C232A3" w:rsidP="00C232A3">
      <w:pPr>
        <w:pStyle w:val="ARfinbullet1"/>
        <w:rPr>
          <w:lang w:eastAsia="en-AU"/>
        </w:rPr>
      </w:pPr>
      <w:r w:rsidRPr="00AB62BD">
        <w:rPr>
          <w:lang w:eastAsia="en-AU"/>
        </w:rPr>
        <w:t>bad debt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9314ED" w:rsidRDefault="00C232A3" w:rsidP="00C232A3">
            <w:pPr>
              <w:pStyle w:val="ARfintablecolheadright"/>
            </w:pPr>
          </w:p>
        </w:tc>
        <w:tc>
          <w:tcPr>
            <w:tcW w:w="1134" w:type="dxa"/>
            <w:tcBorders>
              <w:bottom w:val="single" w:sz="4" w:space="0" w:color="auto"/>
            </w:tcBorders>
            <w:shd w:val="clear" w:color="auto" w:fill="E7E6E6"/>
            <w:vAlign w:val="bottom"/>
          </w:tcPr>
          <w:p w:rsidR="00C232A3" w:rsidRPr="009314ED" w:rsidRDefault="00C232A3" w:rsidP="00C232A3">
            <w:pPr>
              <w:pStyle w:val="ARfintablecolheadright"/>
            </w:pPr>
            <w:r w:rsidRPr="009314ED">
              <w:t>2017</w:t>
            </w:r>
          </w:p>
          <w:p w:rsidR="00C232A3" w:rsidRPr="009314ED" w:rsidRDefault="00C232A3" w:rsidP="00C232A3">
            <w:pPr>
              <w:pStyle w:val="ARfintablecolheadright"/>
            </w:pPr>
            <w:r w:rsidRPr="009314ED">
              <w:t>$M</w:t>
            </w:r>
          </w:p>
        </w:tc>
        <w:tc>
          <w:tcPr>
            <w:tcW w:w="1134" w:type="dxa"/>
            <w:tcBorders>
              <w:bottom w:val="single" w:sz="4" w:space="0" w:color="auto"/>
            </w:tcBorders>
            <w:vAlign w:val="bottom"/>
          </w:tcPr>
          <w:p w:rsidR="00C232A3" w:rsidRPr="009314ED" w:rsidRDefault="00C232A3" w:rsidP="00C232A3">
            <w:pPr>
              <w:pStyle w:val="ARfintablecolheadright"/>
            </w:pPr>
            <w:r w:rsidRPr="009314ED">
              <w:t>2016</w:t>
            </w:r>
          </w:p>
          <w:p w:rsidR="00C232A3" w:rsidRPr="009314ED" w:rsidRDefault="00C232A3" w:rsidP="00C232A3">
            <w:pPr>
              <w:pStyle w:val="ARfintablecolheadright"/>
            </w:pPr>
            <w:r w:rsidRPr="009314ED">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(a) Net gain/(loss) on non-financial assets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Revenue from disposal of non-financial physical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Land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61.6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58.4</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Buildings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67.5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83.0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Shared home ownership scheme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2.8</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1.9</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Miscellaneous assets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11.9</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14.6</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revenue from disposal of non-financial physical assets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143.8</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157.8</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Costs on disposal of non-financial physical assets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Land</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65.6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57.0</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Buildings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61.4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81.3</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 xml:space="preserve">Shared home ownership scheme </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Community services properties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Miscellaneous assets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17.3</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15.5</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costs on disposal of non-financial physical assets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149.7</w:t>
            </w:r>
          </w:p>
        </w:tc>
        <w:tc>
          <w:tcPr>
            <w:tcW w:w="1134" w:type="dxa"/>
          </w:tcPr>
          <w:p w:rsidR="00C232A3" w:rsidRPr="00AB62BD" w:rsidRDefault="00C232A3" w:rsidP="00C232A3">
            <w:pPr>
              <w:pStyle w:val="ARfintablebodyright"/>
              <w:rPr>
                <w:b/>
                <w:bCs/>
                <w:lang w:eastAsia="en-AU"/>
              </w:rPr>
            </w:pPr>
            <w:r w:rsidRPr="00AB62BD">
              <w:rPr>
                <w:rStyle w:val="Strong"/>
              </w:rPr>
              <w:t>156.9</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Net gain/(loss) on non-financial assets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(6.0)</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0.9</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(b) Net gain/(loss) on financial instruments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Net gain/(loss) on financial instruments and statutory receivables/payables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r>
      <w:tr w:rsidR="00C232A3" w:rsidRPr="00AB62BD" w:rsidTr="00C232A3">
        <w:trPr>
          <w:cantSplit/>
        </w:trPr>
        <w:tc>
          <w:tcPr>
            <w:tcW w:w="7371" w:type="dxa"/>
            <w:tcBorders>
              <w:bottom w:val="single" w:sz="4" w:space="0" w:color="auto"/>
            </w:tcBorders>
          </w:tcPr>
          <w:p w:rsidR="00C232A3" w:rsidRPr="00AB62BD" w:rsidRDefault="00C232A3" w:rsidP="00C232A3">
            <w:pPr>
              <w:pStyle w:val="ARfintablebody"/>
              <w:rPr>
                <w:bCs/>
                <w:lang w:eastAsia="en-AU"/>
              </w:rPr>
            </w:pPr>
            <w:r w:rsidRPr="00AB62BD">
              <w:rPr>
                <w:rStyle w:val="Strong"/>
              </w:rPr>
              <w:t>Total net gain/(loss) on financial instruments</w:t>
            </w:r>
          </w:p>
        </w:tc>
        <w:tc>
          <w:tcPr>
            <w:tcW w:w="1134" w:type="dxa"/>
            <w:tcBorders>
              <w:bottom w:val="single" w:sz="4" w:space="0" w:color="auto"/>
            </w:tcBorders>
            <w:shd w:val="clear" w:color="auto" w:fill="E7E6E6"/>
          </w:tcPr>
          <w:p w:rsidR="00C232A3" w:rsidRPr="00AB62BD" w:rsidRDefault="00C232A3" w:rsidP="00C232A3">
            <w:pPr>
              <w:pStyle w:val="ARfintablebodyright"/>
              <w:rPr>
                <w:b/>
                <w:bCs/>
                <w:lang w:eastAsia="en-AU"/>
              </w:rPr>
            </w:pPr>
            <w:r w:rsidRPr="00AB62BD">
              <w:rPr>
                <w:rStyle w:val="Strong"/>
              </w:rPr>
              <w:t>1.5</w:t>
            </w:r>
          </w:p>
        </w:tc>
        <w:tc>
          <w:tcPr>
            <w:tcW w:w="1134" w:type="dxa"/>
            <w:tcBorders>
              <w:bottom w:val="single" w:sz="4" w:space="0" w:color="auto"/>
            </w:tcBorders>
          </w:tcPr>
          <w:p w:rsidR="00C232A3" w:rsidRPr="00AB62BD" w:rsidRDefault="00C232A3" w:rsidP="00C232A3">
            <w:pPr>
              <w:pStyle w:val="ARfintablebodyright"/>
              <w:rPr>
                <w:b/>
                <w:bCs/>
                <w:lang w:eastAsia="en-AU"/>
              </w:rPr>
            </w:pPr>
            <w:r w:rsidRPr="00AB62BD">
              <w:rPr>
                <w:rStyle w:val="Strong"/>
              </w:rPr>
              <w:t>0.6</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5F3CDC">
            <w:pPr>
              <w:pStyle w:val="ARfintablebody"/>
              <w:keepNext/>
              <w:rPr>
                <w:rStyle w:val="Strong"/>
                <w:bCs w:val="0"/>
              </w:rPr>
            </w:pPr>
            <w:r w:rsidRPr="00AB62BD">
              <w:rPr>
                <w:rStyle w:val="Strong"/>
              </w:rPr>
              <w:lastRenderedPageBreak/>
              <w:t>(c) Other gains/(losses) from other economic flows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Net gain/(loss) arising from revaluation of long service leave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(18.2)</w:t>
            </w: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Revaluation and adjustments of 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6.1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3.2</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Bad debt expenses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(7.1)</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Total other gains/(losses) from other economic flows</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(0.6)</w:t>
            </w:r>
          </w:p>
        </w:tc>
        <w:tc>
          <w:tcPr>
            <w:tcW w:w="1134" w:type="dxa"/>
          </w:tcPr>
          <w:p w:rsidR="00C232A3" w:rsidRPr="00AB62BD" w:rsidRDefault="00C232A3" w:rsidP="00C232A3">
            <w:pPr>
              <w:pStyle w:val="ARfintablebodyright"/>
              <w:rPr>
                <w:rStyle w:val="Strong"/>
                <w:bCs w:val="0"/>
              </w:rPr>
            </w:pPr>
            <w:r w:rsidRPr="00AB62BD">
              <w:rPr>
                <w:rStyle w:val="Strong"/>
              </w:rPr>
              <w:t>(22.1)</w:t>
            </w:r>
          </w:p>
        </w:tc>
      </w:tr>
    </w:tbl>
    <w:p w:rsidR="00C232A3" w:rsidRPr="00A15588" w:rsidRDefault="00C232A3" w:rsidP="00C232A3">
      <w:pPr>
        <w:pStyle w:val="Heading4"/>
      </w:pPr>
      <w:bookmarkStart w:id="104" w:name="_Ref492907631"/>
      <w:r w:rsidRPr="00A15588">
        <w:t>9.3 Non-financial assets held for sale</w:t>
      </w:r>
      <w:bookmarkEnd w:id="104"/>
    </w:p>
    <w:p w:rsidR="00C232A3" w:rsidRPr="00AB62BD" w:rsidRDefault="00C232A3" w:rsidP="00C232A3">
      <w:pPr>
        <w:pStyle w:val="ARfinbody"/>
        <w:rPr>
          <w:lang w:eastAsia="en-AU"/>
        </w:rPr>
      </w:pPr>
      <w:r w:rsidRPr="00AB62BD">
        <w:rPr>
          <w:lang w:eastAsia="en-AU"/>
        </w:rPr>
        <w:t>In addition to the assets and liabilities disclosed above, the following non-financial assets held for sale exist at the reporting date: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C232A3" w:rsidRPr="00AB62BD" w:rsidTr="00CC249F">
        <w:trPr>
          <w:cantSplit/>
          <w:tblHeader/>
        </w:trPr>
        <w:tc>
          <w:tcPr>
            <w:tcW w:w="7371" w:type="dxa"/>
            <w:tcBorders>
              <w:bottom w:val="single" w:sz="4" w:space="0" w:color="auto"/>
            </w:tcBorders>
            <w:vAlign w:val="bottom"/>
          </w:tcPr>
          <w:p w:rsidR="00C232A3" w:rsidRPr="00014BAC" w:rsidRDefault="00C232A3" w:rsidP="00C232A3">
            <w:pPr>
              <w:pStyle w:val="ARfintablecolheadright"/>
            </w:pPr>
          </w:p>
        </w:tc>
        <w:tc>
          <w:tcPr>
            <w:tcW w:w="1134" w:type="dxa"/>
            <w:tcBorders>
              <w:bottom w:val="single" w:sz="4" w:space="0" w:color="auto"/>
            </w:tcBorders>
            <w:shd w:val="clear" w:color="auto" w:fill="E7E6E6"/>
            <w:vAlign w:val="bottom"/>
          </w:tcPr>
          <w:p w:rsidR="00C232A3" w:rsidRPr="00014BAC" w:rsidRDefault="00C232A3" w:rsidP="00C232A3">
            <w:pPr>
              <w:pStyle w:val="ARfintablecolheadright"/>
            </w:pPr>
            <w:r w:rsidRPr="00014BAC">
              <w:t>2017</w:t>
            </w:r>
          </w:p>
          <w:p w:rsidR="00C232A3" w:rsidRPr="00014BAC" w:rsidRDefault="00C232A3" w:rsidP="00C232A3">
            <w:pPr>
              <w:pStyle w:val="ARfintablecolheadright"/>
            </w:pPr>
            <w:r w:rsidRPr="00014BAC">
              <w:t>$M</w:t>
            </w:r>
          </w:p>
        </w:tc>
        <w:tc>
          <w:tcPr>
            <w:tcW w:w="1134" w:type="dxa"/>
            <w:tcBorders>
              <w:bottom w:val="single" w:sz="4" w:space="0" w:color="auto"/>
            </w:tcBorders>
            <w:vAlign w:val="bottom"/>
          </w:tcPr>
          <w:p w:rsidR="00C232A3" w:rsidRPr="00014BAC" w:rsidRDefault="00C232A3" w:rsidP="00C232A3">
            <w:pPr>
              <w:pStyle w:val="ARfintablecolheadright"/>
            </w:pPr>
            <w:r w:rsidRPr="00014BAC">
              <w:t>2016</w:t>
            </w:r>
          </w:p>
          <w:p w:rsidR="00C232A3" w:rsidRPr="00014BAC" w:rsidRDefault="00C232A3" w:rsidP="00C232A3">
            <w:pPr>
              <w:pStyle w:val="ARfintablecolheadright"/>
            </w:pPr>
            <w:r w:rsidRPr="00014BAC">
              <w:t>$M</w:t>
            </w:r>
          </w:p>
        </w:tc>
      </w:tr>
      <w:tr w:rsidR="00C232A3" w:rsidRPr="00AB62BD" w:rsidTr="00CC249F">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bCs/>
                <w:lang w:eastAsia="en-AU"/>
              </w:rPr>
            </w:pPr>
            <w:r w:rsidRPr="00AB62BD">
              <w:rPr>
                <w:rStyle w:val="Strong"/>
              </w:rPr>
              <w:t>Non-financial assets classified as held for sale</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rStyle w:val="Strong"/>
                <w:bCs w:val="0"/>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C249F">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Buildings held for sale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2.0</w:t>
            </w:r>
          </w:p>
        </w:tc>
      </w:tr>
      <w:tr w:rsidR="00C232A3" w:rsidRPr="00AB62BD" w:rsidTr="00CC249F">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Land held for sale</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23.7</w:t>
            </w:r>
          </w:p>
        </w:tc>
      </w:tr>
      <w:tr w:rsidR="00C232A3" w:rsidRPr="00AB62BD" w:rsidTr="00CC249F">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Plant, equipment and vehicles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0.8</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0.6</w:t>
            </w:r>
          </w:p>
        </w:tc>
      </w:tr>
      <w:tr w:rsidR="00C232A3" w:rsidRPr="00AB62BD" w:rsidTr="00CC249F">
        <w:trPr>
          <w:cantSplit/>
        </w:trPr>
        <w:tc>
          <w:tcPr>
            <w:tcW w:w="7371" w:type="dxa"/>
          </w:tcPr>
          <w:p w:rsidR="00C232A3" w:rsidRPr="00AB62BD" w:rsidRDefault="00C232A3" w:rsidP="00C232A3">
            <w:pPr>
              <w:pStyle w:val="ARfintablebody"/>
              <w:rPr>
                <w:bCs/>
                <w:lang w:eastAsia="en-AU"/>
              </w:rPr>
            </w:pPr>
            <w:r w:rsidRPr="00AB62BD">
              <w:rPr>
                <w:rStyle w:val="Strong"/>
              </w:rPr>
              <w:t>Total non-financial assets classified as held for sale</w:t>
            </w:r>
          </w:p>
        </w:tc>
        <w:tc>
          <w:tcPr>
            <w:tcW w:w="1134" w:type="dxa"/>
            <w:shd w:val="clear" w:color="auto" w:fill="E7E6E6"/>
          </w:tcPr>
          <w:p w:rsidR="00C232A3" w:rsidRPr="00AB62BD" w:rsidRDefault="00C232A3" w:rsidP="00C232A3">
            <w:pPr>
              <w:pStyle w:val="ARfintablebodyright"/>
              <w:rPr>
                <w:bCs/>
                <w:lang w:eastAsia="en-AU"/>
              </w:rPr>
            </w:pPr>
            <w:r w:rsidRPr="00AB62BD">
              <w:rPr>
                <w:rStyle w:val="Strong"/>
              </w:rPr>
              <w:t>3.8</w:t>
            </w:r>
          </w:p>
        </w:tc>
        <w:tc>
          <w:tcPr>
            <w:tcW w:w="1134" w:type="dxa"/>
          </w:tcPr>
          <w:p w:rsidR="00C232A3" w:rsidRPr="00AB62BD" w:rsidRDefault="00C232A3" w:rsidP="00C232A3">
            <w:pPr>
              <w:pStyle w:val="ARfintablebodyright"/>
              <w:rPr>
                <w:rStyle w:val="Strong"/>
                <w:bCs w:val="0"/>
              </w:rPr>
            </w:pPr>
            <w:r w:rsidRPr="00AB62BD">
              <w:rPr>
                <w:rStyle w:val="Strong"/>
              </w:rPr>
              <w:t>26.3</w:t>
            </w:r>
          </w:p>
        </w:tc>
      </w:tr>
    </w:tbl>
    <w:p w:rsidR="00C232A3" w:rsidRPr="00D11896" w:rsidRDefault="00C232A3" w:rsidP="00C232A3">
      <w:pPr>
        <w:pStyle w:val="Heading5"/>
        <w:rPr>
          <w:rStyle w:val="Strong"/>
        </w:rPr>
      </w:pPr>
      <w:bookmarkStart w:id="105" w:name="_Ref492907644"/>
      <w:r w:rsidRPr="00D11896">
        <w:rPr>
          <w:rStyle w:val="Strong"/>
        </w:rPr>
        <w:t>Measurement of non-financial physical assets</w:t>
      </w:r>
      <w:bookmarkEnd w:id="105"/>
    </w:p>
    <w:p w:rsidR="00C232A3" w:rsidRPr="00AB62BD" w:rsidRDefault="00C232A3" w:rsidP="00C232A3">
      <w:pPr>
        <w:pStyle w:val="ARfinbody"/>
        <w:rPr>
          <w:lang w:eastAsia="en-AU"/>
        </w:rPr>
      </w:pPr>
      <w:r w:rsidRPr="00AB62BD">
        <w:rPr>
          <w:lang w:eastAsia="en-AU"/>
        </w:rPr>
        <w:t>Non-financial physical assets are treated as current and classified as held for sale if their carrying amount will be recovered through a sale transaction rather than through continuing use.</w:t>
      </w:r>
    </w:p>
    <w:p w:rsidR="00C232A3" w:rsidRPr="00AB62BD" w:rsidRDefault="00C232A3" w:rsidP="00C232A3">
      <w:pPr>
        <w:pStyle w:val="ARfinbody"/>
        <w:rPr>
          <w:lang w:eastAsia="en-AU"/>
        </w:rPr>
      </w:pPr>
      <w:r w:rsidRPr="00AB62BD">
        <w:rPr>
          <w:lang w:eastAsia="en-AU"/>
        </w:rPr>
        <w:t>This condition is regarded as met only when:</w:t>
      </w:r>
    </w:p>
    <w:p w:rsidR="00C232A3" w:rsidRPr="00AB62BD" w:rsidRDefault="00C232A3" w:rsidP="00C232A3">
      <w:pPr>
        <w:pStyle w:val="ARfinbullet1"/>
        <w:rPr>
          <w:lang w:eastAsia="en-AU"/>
        </w:rPr>
      </w:pPr>
      <w:r w:rsidRPr="00AB62BD">
        <w:rPr>
          <w:lang w:eastAsia="en-AU"/>
        </w:rPr>
        <w:t>the asset is available for immediate use in the current condition; and</w:t>
      </w:r>
    </w:p>
    <w:p w:rsidR="00C232A3" w:rsidRPr="00AB62BD" w:rsidRDefault="00C232A3" w:rsidP="00C232A3">
      <w:pPr>
        <w:pStyle w:val="ARfinbullet1"/>
        <w:rPr>
          <w:lang w:eastAsia="en-AU"/>
        </w:rPr>
      </w:pPr>
      <w:r w:rsidRPr="00AB62BD">
        <w:rPr>
          <w:lang w:eastAsia="en-AU"/>
        </w:rPr>
        <w:t>the sale is highly probable and the asset sale is expected to be completed within 12 months from the date of classification.</w:t>
      </w:r>
    </w:p>
    <w:p w:rsidR="00C232A3" w:rsidRPr="00AB62BD" w:rsidRDefault="00C232A3" w:rsidP="00C232A3">
      <w:pPr>
        <w:pStyle w:val="ARfinbody"/>
        <w:rPr>
          <w:lang w:eastAsia="en-AU"/>
        </w:rPr>
      </w:pPr>
      <w:r w:rsidRPr="00AB62BD">
        <w:rPr>
          <w:lang w:eastAsia="en-AU"/>
        </w:rPr>
        <w:t>These non-financial physical assets, related liabilities and financial assets are measured at the lower of carrying amount and fair value less costs to sell, and are not subject to depreciation or amortisation.</w:t>
      </w:r>
    </w:p>
    <w:p w:rsidR="00C232A3" w:rsidRPr="00A15588" w:rsidRDefault="00C232A3" w:rsidP="00C232A3">
      <w:pPr>
        <w:pStyle w:val="Heading4"/>
      </w:pPr>
      <w:r w:rsidRPr="00A15588">
        <w:t>9.4 Reserves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tcBorders>
              <w:bottom w:val="single" w:sz="4" w:space="0" w:color="auto"/>
            </w:tcBorders>
            <w:vAlign w:val="bottom"/>
          </w:tcPr>
          <w:p w:rsidR="00C232A3" w:rsidRPr="00014BAC" w:rsidRDefault="00C232A3" w:rsidP="00C232A3">
            <w:pPr>
              <w:pStyle w:val="ARfintablecolheadright"/>
            </w:pPr>
          </w:p>
        </w:tc>
        <w:tc>
          <w:tcPr>
            <w:tcW w:w="1134" w:type="dxa"/>
            <w:tcBorders>
              <w:bottom w:val="single" w:sz="4" w:space="0" w:color="auto"/>
            </w:tcBorders>
            <w:shd w:val="clear" w:color="auto" w:fill="E7E6E6"/>
            <w:vAlign w:val="bottom"/>
          </w:tcPr>
          <w:p w:rsidR="00C232A3" w:rsidRPr="00014BAC" w:rsidRDefault="00C232A3" w:rsidP="00C232A3">
            <w:pPr>
              <w:pStyle w:val="ARfintablecolheadright"/>
            </w:pPr>
            <w:r w:rsidRPr="00014BAC">
              <w:t>2017</w:t>
            </w:r>
          </w:p>
          <w:p w:rsidR="00C232A3" w:rsidRPr="00014BAC" w:rsidRDefault="00C232A3" w:rsidP="00C232A3">
            <w:pPr>
              <w:pStyle w:val="ARfintablecolheadright"/>
            </w:pPr>
            <w:r w:rsidRPr="00014BAC">
              <w:t>$M</w:t>
            </w:r>
          </w:p>
        </w:tc>
        <w:tc>
          <w:tcPr>
            <w:tcW w:w="1134" w:type="dxa"/>
            <w:tcBorders>
              <w:bottom w:val="single" w:sz="4" w:space="0" w:color="auto"/>
            </w:tcBorders>
            <w:vAlign w:val="bottom"/>
          </w:tcPr>
          <w:p w:rsidR="00C232A3" w:rsidRPr="00014BAC" w:rsidRDefault="00C232A3" w:rsidP="00C232A3">
            <w:pPr>
              <w:pStyle w:val="ARfintablecolheadright"/>
            </w:pPr>
            <w:r w:rsidRPr="00014BAC">
              <w:t>2016</w:t>
            </w:r>
          </w:p>
          <w:p w:rsidR="00C232A3" w:rsidRPr="00014BAC" w:rsidRDefault="00C232A3" w:rsidP="00C232A3">
            <w:pPr>
              <w:pStyle w:val="ARfintablecolheadright"/>
            </w:pPr>
            <w:r w:rsidRPr="00014BAC">
              <w:t>$M</w:t>
            </w:r>
          </w:p>
        </w:tc>
      </w:tr>
      <w:tr w:rsidR="00C232A3" w:rsidRPr="00AB62BD" w:rsidTr="00C232A3">
        <w:trPr>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rStyle w:val="Strong"/>
                <w:bCs w:val="0"/>
              </w:rPr>
            </w:pPr>
            <w:r w:rsidRPr="00AB62BD">
              <w:rPr>
                <w:rStyle w:val="Strong"/>
              </w:rPr>
              <w:t>Physical asset revaluation surplus</w:t>
            </w:r>
            <w:r>
              <w:rPr>
                <w:rStyle w:val="Strong"/>
              </w:rPr>
              <w:t xml:space="preserve"> </w:t>
            </w:r>
            <w:r w:rsidRPr="00014BAC">
              <w:rPr>
                <w:rStyle w:val="Superscriptbold"/>
              </w:rPr>
              <w:t>(</w:t>
            </w:r>
            <w:proofErr w:type="spellStart"/>
            <w:r w:rsidRPr="00014BAC">
              <w:rPr>
                <w:rStyle w:val="Superscriptbold"/>
              </w:rPr>
              <w:t>i</w:t>
            </w:r>
            <w:proofErr w:type="spellEnd"/>
            <w:r w:rsidRPr="00014BAC">
              <w:rPr>
                <w:rStyle w:val="Superscriptbold"/>
              </w:rPr>
              <w:t>)</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p>
        </w:tc>
      </w:tr>
      <w:tr w:rsidR="00C232A3" w:rsidRPr="00AB62BD" w:rsidTr="00C232A3">
        <w:trPr>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2,545.1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76.4</w:t>
            </w:r>
          </w:p>
        </w:tc>
      </w:tr>
      <w:tr w:rsidR="00C232A3" w:rsidRPr="00AB62BD" w:rsidTr="00C232A3">
        <w:trPr>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Revaluation increments/(decrements) of land and buildings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1,997.0</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2,468.7</w:t>
            </w:r>
          </w:p>
        </w:tc>
      </w:tr>
      <w:tr w:rsidR="00C232A3" w:rsidRPr="00AB62BD" w:rsidTr="00C232A3">
        <w:trPr>
          <w:cantSplit/>
        </w:trPr>
        <w:tc>
          <w:tcPr>
            <w:tcW w:w="7371" w:type="dxa"/>
          </w:tcPr>
          <w:p w:rsidR="00C232A3" w:rsidRPr="00AB62BD" w:rsidRDefault="00C232A3" w:rsidP="00C232A3">
            <w:pPr>
              <w:pStyle w:val="ARfintablebody"/>
              <w:rPr>
                <w:bCs/>
                <w:lang w:eastAsia="en-AU"/>
              </w:rPr>
            </w:pPr>
            <w:r w:rsidRPr="00AB62BD">
              <w:rPr>
                <w:rStyle w:val="Strong"/>
              </w:rPr>
              <w:t>Balance at the end of financial year</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4,542.1</w:t>
            </w:r>
          </w:p>
        </w:tc>
        <w:tc>
          <w:tcPr>
            <w:tcW w:w="1134" w:type="dxa"/>
          </w:tcPr>
          <w:p w:rsidR="00C232A3" w:rsidRPr="00AB62BD" w:rsidRDefault="00C232A3" w:rsidP="00C232A3">
            <w:pPr>
              <w:pStyle w:val="ARfintablebodyright"/>
              <w:rPr>
                <w:rStyle w:val="Strong"/>
                <w:bCs w:val="0"/>
              </w:rPr>
            </w:pPr>
            <w:r w:rsidRPr="00AB62BD">
              <w:rPr>
                <w:rStyle w:val="Strong"/>
              </w:rPr>
              <w:t>2,545.1</w:t>
            </w:r>
          </w:p>
        </w:tc>
      </w:tr>
    </w:tbl>
    <w:p w:rsidR="00C232A3" w:rsidRPr="00AB62BD" w:rsidRDefault="00C232A3" w:rsidP="00C232A3">
      <w:pPr>
        <w:pStyle w:val="ARfintablefootnote"/>
        <w:rPr>
          <w:lang w:eastAsia="en-AU"/>
        </w:rPr>
      </w:pPr>
      <w:r w:rsidRPr="00AB62BD">
        <w:rPr>
          <w:lang w:eastAsia="en-AU"/>
        </w:rPr>
        <w:t>Note:</w:t>
      </w:r>
    </w:p>
    <w:p w:rsidR="00C232A3" w:rsidRPr="00AB62BD" w:rsidRDefault="00C232A3" w:rsidP="00C232A3">
      <w:pPr>
        <w:pStyle w:val="ARfintablefootnoteroman"/>
      </w:pPr>
      <w:r>
        <w:t>(</w:t>
      </w:r>
      <w:proofErr w:type="spellStart"/>
      <w:r>
        <w:t>i</w:t>
      </w:r>
      <w:proofErr w:type="spellEnd"/>
      <w:r>
        <w:t>)</w:t>
      </w:r>
      <w:r>
        <w:tab/>
      </w:r>
      <w:r w:rsidRPr="00AB62BD">
        <w:t xml:space="preserve">The </w:t>
      </w:r>
      <w:r>
        <w:t>physical assets revaluation surplus arises on the revaluation of land and buildings</w:t>
      </w:r>
      <w:r w:rsidRPr="00AB62BD">
        <w:t>.</w:t>
      </w:r>
    </w:p>
    <w:p w:rsidR="00C232A3" w:rsidRDefault="00C232A3" w:rsidP="00C232A3">
      <w:pPr>
        <w:pStyle w:val="ARfinbody"/>
        <w:rPr>
          <w:rStyle w:val="Strong"/>
          <w:rFonts w:cs="Arial"/>
          <w:bCs w:val="0"/>
        </w:rPr>
        <w:sectPr w:rsidR="00C232A3" w:rsidSect="00C232A3">
          <w:headerReference w:type="even" r:id="rId165"/>
          <w:headerReference w:type="default" r:id="rId166"/>
          <w:footerReference w:type="even" r:id="rId167"/>
          <w:footerReference w:type="default" r:id="rId168"/>
          <w:headerReference w:type="first" r:id="rId169"/>
          <w:footerReference w:type="first" r:id="rId170"/>
          <w:endnotePr>
            <w:numFmt w:val="decimal"/>
          </w:endnotePr>
          <w:pgSz w:w="11900" w:h="16840" w:code="9"/>
          <w:pgMar w:top="1531" w:right="851" w:bottom="680" w:left="1418" w:header="510" w:footer="340" w:gutter="0"/>
          <w:cols w:space="454"/>
        </w:sectPr>
      </w:pPr>
    </w:p>
    <w:p w:rsidR="00C232A3" w:rsidRPr="00777E9B" w:rsidRDefault="00C232A3" w:rsidP="00C232A3">
      <w:pPr>
        <w:pStyle w:val="Heading4"/>
        <w:spacing w:before="0"/>
      </w:pPr>
      <w:r w:rsidRPr="00777E9B">
        <w:lastRenderedPageBreak/>
        <w:t>9.5 Entities consolidated pursuant to section 53(1)(b) of the FMA</w:t>
      </w:r>
    </w:p>
    <w:p w:rsidR="00C232A3" w:rsidRPr="00AB62BD" w:rsidRDefault="00C232A3" w:rsidP="00C232A3">
      <w:pPr>
        <w:pStyle w:val="ARfinbody"/>
        <w:rPr>
          <w:lang w:eastAsia="en-AU"/>
        </w:rPr>
      </w:pPr>
      <w:r w:rsidRPr="00AB62BD">
        <w:rPr>
          <w:lang w:eastAsia="en-AU"/>
        </w:rPr>
        <w:t>The following four entities have been consolidated into the department’s financial statements pursuant to a determination made by the Minister for Finance under section 53(1)(b) of the FMA:</w:t>
      </w:r>
    </w:p>
    <w:p w:rsidR="00C232A3" w:rsidRPr="00AB62BD" w:rsidRDefault="00C232A3" w:rsidP="00C232A3">
      <w:pPr>
        <w:pStyle w:val="ARfinbullet1"/>
        <w:rPr>
          <w:lang w:eastAsia="en-AU"/>
        </w:rPr>
      </w:pPr>
      <w:r w:rsidRPr="00AB62BD">
        <w:rPr>
          <w:lang w:eastAsia="en-AU"/>
        </w:rPr>
        <w:t>Mental Health Complaints Commissioner;</w:t>
      </w:r>
    </w:p>
    <w:p w:rsidR="00C232A3" w:rsidRPr="00AB62BD" w:rsidRDefault="00C232A3" w:rsidP="00C232A3">
      <w:pPr>
        <w:pStyle w:val="ARfinbullet1"/>
        <w:rPr>
          <w:lang w:eastAsia="en-AU"/>
        </w:rPr>
      </w:pPr>
      <w:r w:rsidRPr="00AB62BD">
        <w:rPr>
          <w:lang w:eastAsia="en-AU"/>
        </w:rPr>
        <w:t>Mental Health Tribunal;</w:t>
      </w:r>
    </w:p>
    <w:p w:rsidR="00C232A3" w:rsidRPr="00AB62BD" w:rsidRDefault="00C232A3" w:rsidP="00C232A3">
      <w:pPr>
        <w:pStyle w:val="ARfinbullet1"/>
        <w:rPr>
          <w:lang w:eastAsia="en-AU"/>
        </w:rPr>
      </w:pPr>
      <w:r w:rsidRPr="00AB62BD">
        <w:rPr>
          <w:lang w:eastAsia="en-AU"/>
        </w:rPr>
        <w:t>Commission for Children and Young People; and</w:t>
      </w:r>
    </w:p>
    <w:p w:rsidR="00C232A3" w:rsidRPr="00AB62BD" w:rsidRDefault="00C232A3" w:rsidP="00C232A3">
      <w:pPr>
        <w:pStyle w:val="ARfinbullet1"/>
        <w:rPr>
          <w:lang w:eastAsia="en-AU"/>
        </w:rPr>
      </w:pPr>
      <w:r w:rsidRPr="00AB62BD">
        <w:rPr>
          <w:lang w:eastAsia="en-AU"/>
        </w:rPr>
        <w:t>the Director of Housing.</w:t>
      </w:r>
    </w:p>
    <w:p w:rsidR="00C232A3" w:rsidRPr="00AB62BD" w:rsidRDefault="00C232A3" w:rsidP="00C232A3">
      <w:pPr>
        <w:pStyle w:val="ARfinbody"/>
        <w:rPr>
          <w:lang w:eastAsia="en-AU"/>
        </w:rPr>
      </w:pPr>
      <w:r w:rsidRPr="00AB62BD">
        <w:rPr>
          <w:lang w:eastAsia="en-AU"/>
        </w:rPr>
        <w:t xml:space="preserve">The financial effects of each of those entities, except Director of Housing, were trivial to the departmental consolidated group, both individually and in aggregate. Therefore, those entities are reported </w:t>
      </w:r>
      <w:r w:rsidR="0023764F">
        <w:rPr>
          <w:lang w:eastAsia="en-AU"/>
        </w:rPr>
        <w:br/>
      </w:r>
      <w:r w:rsidRPr="00AB62BD">
        <w:rPr>
          <w:lang w:eastAsia="en-AU"/>
        </w:rPr>
        <w:t>in aggregate, together with the department in the table below.</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387"/>
        <w:gridCol w:w="1134"/>
        <w:gridCol w:w="1134"/>
        <w:gridCol w:w="1134"/>
        <w:gridCol w:w="1134"/>
        <w:gridCol w:w="1134"/>
        <w:gridCol w:w="1134"/>
        <w:gridCol w:w="1134"/>
        <w:gridCol w:w="1134"/>
      </w:tblGrid>
      <w:tr w:rsidR="00C232A3" w:rsidRPr="00AB62BD" w:rsidTr="005F3CDC">
        <w:trPr>
          <w:cantSplit/>
          <w:tblHeader/>
        </w:trPr>
        <w:tc>
          <w:tcPr>
            <w:tcW w:w="5387" w:type="dxa"/>
            <w:tcBorders>
              <w:bottom w:val="single" w:sz="4" w:space="0" w:color="auto"/>
            </w:tcBorders>
            <w:vAlign w:val="bottom"/>
          </w:tcPr>
          <w:p w:rsidR="00C232A3" w:rsidRPr="00AB62BD" w:rsidRDefault="00C232A3" w:rsidP="00C232A3">
            <w:pPr>
              <w:pStyle w:val="ARfintablecolheadright"/>
              <w:rPr>
                <w:lang w:eastAsia="en-AU"/>
              </w:rPr>
            </w:pPr>
          </w:p>
        </w:tc>
        <w:tc>
          <w:tcPr>
            <w:tcW w:w="2268" w:type="dxa"/>
            <w:gridSpan w:val="2"/>
            <w:tcBorders>
              <w:bottom w:val="single" w:sz="4" w:space="0" w:color="auto"/>
            </w:tcBorders>
            <w:shd w:val="clear" w:color="auto" w:fill="auto"/>
            <w:vAlign w:val="bottom"/>
          </w:tcPr>
          <w:p w:rsidR="00C232A3" w:rsidRPr="00014BAC" w:rsidRDefault="00C232A3" w:rsidP="00C232A3">
            <w:pPr>
              <w:pStyle w:val="ARfintablecolheadcentre"/>
            </w:pPr>
            <w:r>
              <w:t>Department of Health and Human Services (DHHS) and other section 53 (1)(b) entities</w:t>
            </w:r>
          </w:p>
        </w:tc>
        <w:tc>
          <w:tcPr>
            <w:tcW w:w="2268" w:type="dxa"/>
            <w:gridSpan w:val="2"/>
            <w:tcBorders>
              <w:bottom w:val="single" w:sz="4" w:space="0" w:color="auto"/>
            </w:tcBorders>
            <w:shd w:val="clear" w:color="auto" w:fill="auto"/>
            <w:vAlign w:val="bottom"/>
          </w:tcPr>
          <w:p w:rsidR="00C232A3" w:rsidRPr="00014BAC" w:rsidRDefault="00C232A3" w:rsidP="00C232A3">
            <w:pPr>
              <w:pStyle w:val="ARfintablecolheadcentre"/>
            </w:pPr>
            <w:r>
              <w:t>Director of Housing</w:t>
            </w:r>
          </w:p>
        </w:tc>
        <w:tc>
          <w:tcPr>
            <w:tcW w:w="2268" w:type="dxa"/>
            <w:gridSpan w:val="2"/>
            <w:tcBorders>
              <w:bottom w:val="single" w:sz="4" w:space="0" w:color="auto"/>
            </w:tcBorders>
            <w:shd w:val="clear" w:color="auto" w:fill="auto"/>
            <w:vAlign w:val="bottom"/>
          </w:tcPr>
          <w:p w:rsidR="00C232A3" w:rsidRPr="00014BAC" w:rsidRDefault="00C232A3" w:rsidP="00C232A3">
            <w:pPr>
              <w:pStyle w:val="ARfintablecolheadcentre"/>
            </w:pPr>
            <w:r>
              <w:t>Eliminations and adjustments</w:t>
            </w:r>
          </w:p>
        </w:tc>
        <w:tc>
          <w:tcPr>
            <w:tcW w:w="2268" w:type="dxa"/>
            <w:gridSpan w:val="2"/>
            <w:tcBorders>
              <w:bottom w:val="single" w:sz="4" w:space="0" w:color="auto"/>
            </w:tcBorders>
            <w:shd w:val="clear" w:color="auto" w:fill="auto"/>
            <w:vAlign w:val="bottom"/>
          </w:tcPr>
          <w:p w:rsidR="00C232A3" w:rsidRPr="00014BAC" w:rsidRDefault="00C232A3" w:rsidP="00C232A3">
            <w:pPr>
              <w:pStyle w:val="ARfintablecolheadcentre"/>
            </w:pPr>
            <w:r>
              <w:t>DHHS consolidated group</w:t>
            </w:r>
          </w:p>
        </w:tc>
      </w:tr>
      <w:tr w:rsidR="00C232A3" w:rsidRPr="00AB62BD" w:rsidTr="00C232A3">
        <w:trPr>
          <w:cantSplit/>
          <w:tblHeader/>
        </w:trPr>
        <w:tc>
          <w:tcPr>
            <w:tcW w:w="5387" w:type="dxa"/>
            <w:tcBorders>
              <w:bottom w:val="single" w:sz="4" w:space="0" w:color="auto"/>
            </w:tcBorders>
            <w:vAlign w:val="bottom"/>
          </w:tcPr>
          <w:p w:rsidR="00C232A3" w:rsidRPr="00AB62BD" w:rsidRDefault="00C232A3" w:rsidP="00C232A3">
            <w:pPr>
              <w:pStyle w:val="ARfintablecolheadright"/>
              <w:rPr>
                <w:lang w:eastAsia="en-AU"/>
              </w:rPr>
            </w:pPr>
          </w:p>
        </w:tc>
        <w:tc>
          <w:tcPr>
            <w:tcW w:w="1134" w:type="dxa"/>
            <w:tcBorders>
              <w:bottom w:val="single" w:sz="4" w:space="0" w:color="auto"/>
            </w:tcBorders>
            <w:shd w:val="clear" w:color="auto" w:fill="E7E6E6"/>
            <w:vAlign w:val="bottom"/>
          </w:tcPr>
          <w:p w:rsidR="00C232A3" w:rsidRPr="00014BAC" w:rsidRDefault="00C232A3" w:rsidP="00C232A3">
            <w:pPr>
              <w:pStyle w:val="ARfintablecolheadright"/>
            </w:pPr>
            <w:r w:rsidRPr="00014BAC">
              <w:t>2017</w:t>
            </w:r>
          </w:p>
          <w:p w:rsidR="00C232A3" w:rsidRPr="00014BAC" w:rsidRDefault="00C232A3" w:rsidP="00C232A3">
            <w:pPr>
              <w:pStyle w:val="ARfintablecolheadright"/>
            </w:pPr>
            <w:r w:rsidRPr="00014BAC">
              <w:t>$M</w:t>
            </w:r>
          </w:p>
        </w:tc>
        <w:tc>
          <w:tcPr>
            <w:tcW w:w="1134" w:type="dxa"/>
            <w:tcBorders>
              <w:bottom w:val="single" w:sz="4" w:space="0" w:color="auto"/>
            </w:tcBorders>
            <w:vAlign w:val="bottom"/>
          </w:tcPr>
          <w:p w:rsidR="00C232A3" w:rsidRPr="00014BAC" w:rsidRDefault="00C232A3" w:rsidP="00C232A3">
            <w:pPr>
              <w:pStyle w:val="ARfintablecolheadright"/>
            </w:pPr>
            <w:r w:rsidRPr="00014BAC">
              <w:t>2016</w:t>
            </w:r>
          </w:p>
          <w:p w:rsidR="00C232A3" w:rsidRPr="00014BAC" w:rsidRDefault="00C232A3" w:rsidP="00C232A3">
            <w:pPr>
              <w:pStyle w:val="ARfintablecolheadright"/>
            </w:pPr>
            <w:r w:rsidRPr="00014BAC">
              <w:t>$M</w:t>
            </w:r>
          </w:p>
        </w:tc>
        <w:tc>
          <w:tcPr>
            <w:tcW w:w="1134" w:type="dxa"/>
            <w:tcBorders>
              <w:bottom w:val="single" w:sz="4" w:space="0" w:color="auto"/>
            </w:tcBorders>
            <w:shd w:val="clear" w:color="auto" w:fill="E7E6E6"/>
            <w:vAlign w:val="bottom"/>
          </w:tcPr>
          <w:p w:rsidR="00C232A3" w:rsidRPr="00014BAC" w:rsidRDefault="00C232A3" w:rsidP="00C232A3">
            <w:pPr>
              <w:pStyle w:val="ARfintablecolheadright"/>
            </w:pPr>
            <w:r w:rsidRPr="00014BAC">
              <w:t>2017</w:t>
            </w:r>
          </w:p>
          <w:p w:rsidR="00C232A3" w:rsidRPr="00014BAC" w:rsidRDefault="00C232A3" w:rsidP="00C232A3">
            <w:pPr>
              <w:pStyle w:val="ARfintablecolheadright"/>
            </w:pPr>
            <w:r w:rsidRPr="00014BAC">
              <w:t>$M</w:t>
            </w:r>
          </w:p>
        </w:tc>
        <w:tc>
          <w:tcPr>
            <w:tcW w:w="1134" w:type="dxa"/>
            <w:tcBorders>
              <w:bottom w:val="single" w:sz="4" w:space="0" w:color="auto"/>
            </w:tcBorders>
            <w:vAlign w:val="bottom"/>
          </w:tcPr>
          <w:p w:rsidR="00C232A3" w:rsidRPr="00014BAC" w:rsidRDefault="00C232A3" w:rsidP="00C232A3">
            <w:pPr>
              <w:pStyle w:val="ARfintablecolheadright"/>
            </w:pPr>
            <w:r w:rsidRPr="00014BAC">
              <w:t>2016</w:t>
            </w:r>
          </w:p>
          <w:p w:rsidR="00C232A3" w:rsidRPr="00014BAC" w:rsidRDefault="00C232A3" w:rsidP="00C232A3">
            <w:pPr>
              <w:pStyle w:val="ARfintablecolheadright"/>
            </w:pPr>
            <w:r w:rsidRPr="00014BAC">
              <w:t>$M</w:t>
            </w:r>
          </w:p>
        </w:tc>
        <w:tc>
          <w:tcPr>
            <w:tcW w:w="1134" w:type="dxa"/>
            <w:tcBorders>
              <w:bottom w:val="single" w:sz="4" w:space="0" w:color="auto"/>
            </w:tcBorders>
            <w:shd w:val="clear" w:color="auto" w:fill="E7E6E6"/>
            <w:vAlign w:val="bottom"/>
          </w:tcPr>
          <w:p w:rsidR="00C232A3" w:rsidRPr="00014BAC" w:rsidRDefault="00C232A3" w:rsidP="00C232A3">
            <w:pPr>
              <w:pStyle w:val="ARfintablecolheadright"/>
            </w:pPr>
            <w:r w:rsidRPr="00014BAC">
              <w:t>2017</w:t>
            </w:r>
          </w:p>
          <w:p w:rsidR="00C232A3" w:rsidRPr="00014BAC" w:rsidRDefault="00C232A3" w:rsidP="00C232A3">
            <w:pPr>
              <w:pStyle w:val="ARfintablecolheadright"/>
            </w:pPr>
            <w:r w:rsidRPr="00014BAC">
              <w:t>$M</w:t>
            </w:r>
          </w:p>
        </w:tc>
        <w:tc>
          <w:tcPr>
            <w:tcW w:w="1134" w:type="dxa"/>
            <w:tcBorders>
              <w:bottom w:val="single" w:sz="4" w:space="0" w:color="auto"/>
            </w:tcBorders>
            <w:vAlign w:val="bottom"/>
          </w:tcPr>
          <w:p w:rsidR="00C232A3" w:rsidRPr="00014BAC" w:rsidRDefault="00C232A3" w:rsidP="00C232A3">
            <w:pPr>
              <w:pStyle w:val="ARfintablecolheadright"/>
            </w:pPr>
            <w:r w:rsidRPr="00014BAC">
              <w:t>2016</w:t>
            </w:r>
          </w:p>
          <w:p w:rsidR="00C232A3" w:rsidRPr="00014BAC" w:rsidRDefault="00C232A3" w:rsidP="00C232A3">
            <w:pPr>
              <w:pStyle w:val="ARfintablecolheadright"/>
            </w:pPr>
            <w:r w:rsidRPr="00014BAC">
              <w:t>$M</w:t>
            </w:r>
          </w:p>
        </w:tc>
        <w:tc>
          <w:tcPr>
            <w:tcW w:w="1134" w:type="dxa"/>
            <w:tcBorders>
              <w:bottom w:val="single" w:sz="4" w:space="0" w:color="auto"/>
            </w:tcBorders>
            <w:shd w:val="clear" w:color="auto" w:fill="E7E6E6"/>
            <w:vAlign w:val="bottom"/>
          </w:tcPr>
          <w:p w:rsidR="00C232A3" w:rsidRPr="00014BAC" w:rsidRDefault="00C232A3" w:rsidP="00C232A3">
            <w:pPr>
              <w:pStyle w:val="ARfintablecolheadright"/>
            </w:pPr>
            <w:r w:rsidRPr="00014BAC">
              <w:t>2017</w:t>
            </w:r>
          </w:p>
          <w:p w:rsidR="00C232A3" w:rsidRPr="00014BAC" w:rsidRDefault="00C232A3" w:rsidP="00C232A3">
            <w:pPr>
              <w:pStyle w:val="ARfintablecolheadright"/>
            </w:pPr>
            <w:r w:rsidRPr="00014BAC">
              <w:t>$M</w:t>
            </w:r>
          </w:p>
        </w:tc>
        <w:tc>
          <w:tcPr>
            <w:tcW w:w="1134" w:type="dxa"/>
            <w:tcBorders>
              <w:bottom w:val="single" w:sz="4" w:space="0" w:color="auto"/>
            </w:tcBorders>
            <w:vAlign w:val="bottom"/>
          </w:tcPr>
          <w:p w:rsidR="00C232A3" w:rsidRPr="00014BAC" w:rsidRDefault="00C232A3" w:rsidP="00C232A3">
            <w:pPr>
              <w:pStyle w:val="ARfintablecolheadright"/>
            </w:pPr>
            <w:r w:rsidRPr="00014BAC">
              <w:t>2016</w:t>
            </w:r>
          </w:p>
          <w:p w:rsidR="00C232A3" w:rsidRPr="00014BAC" w:rsidRDefault="00C232A3" w:rsidP="00C232A3">
            <w:pPr>
              <w:pStyle w:val="ARfintablecolheadright"/>
            </w:pPr>
            <w:r w:rsidRPr="00014BAC">
              <w:t>$M</w:t>
            </w:r>
          </w:p>
        </w:tc>
      </w:tr>
      <w:tr w:rsidR="00C232A3" w:rsidRPr="00AB62BD" w:rsidTr="00C232A3">
        <w:trPr>
          <w:cantSplit/>
        </w:trPr>
        <w:tc>
          <w:tcPr>
            <w:tcW w:w="5387"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Total income from transactions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15,681.2</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14,655.6</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1,015.1</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1,288.3</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(17.7)</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16,678.6</w:t>
            </w:r>
          </w:p>
        </w:tc>
        <w:tc>
          <w:tcPr>
            <w:tcW w:w="1134"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15,939.8</w:t>
            </w:r>
          </w:p>
        </w:tc>
      </w:tr>
      <w:tr w:rsidR="00C232A3" w:rsidRPr="00AB62BD" w:rsidTr="00C232A3">
        <w:trPr>
          <w:cantSplit/>
        </w:trPr>
        <w:tc>
          <w:tcPr>
            <w:tcW w:w="538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Total expenses from transactions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15,588.0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14,305.2</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1,369.5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1,016.6</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(4.0)</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16,939.7</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15,317.8</w:t>
            </w:r>
          </w:p>
        </w:tc>
      </w:tr>
      <w:tr w:rsidR="00C232A3" w:rsidRPr="00AB62BD" w:rsidTr="00C232A3">
        <w:trPr>
          <w:cantSplit/>
        </w:trPr>
        <w:tc>
          <w:tcPr>
            <w:tcW w:w="538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Net result from transactions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93.2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350.4</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(354.4)</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271.7</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(261.2)</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622.1</w:t>
            </w:r>
          </w:p>
        </w:tc>
      </w:tr>
      <w:tr w:rsidR="00C232A3" w:rsidRPr="00AB62BD" w:rsidTr="00C232A3">
        <w:trPr>
          <w:cantSplit/>
        </w:trPr>
        <w:tc>
          <w:tcPr>
            <w:tcW w:w="538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Total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4,774.0</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4,702.8</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25,073.6</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23,469.0</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(16.1)</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(8.6)</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29,831.5</w:t>
            </w:r>
          </w:p>
        </w:tc>
        <w:tc>
          <w:tcPr>
            <w:tcW w:w="1134"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28,163.2</w:t>
            </w:r>
          </w:p>
        </w:tc>
      </w:tr>
      <w:tr w:rsidR="00C232A3" w:rsidRPr="00AB62BD" w:rsidTr="00C232A3">
        <w:trPr>
          <w:cantSplit/>
        </w:trPr>
        <w:tc>
          <w:tcPr>
            <w:tcW w:w="5387"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Total liabilities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1,637.2</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1,384.1</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174.4</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166.8</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(16.1)</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(8.6)</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1,795.5</w:t>
            </w:r>
          </w:p>
        </w:tc>
        <w:tc>
          <w:tcPr>
            <w:tcW w:w="1134"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1,542.3</w:t>
            </w:r>
          </w:p>
        </w:tc>
      </w:tr>
    </w:tbl>
    <w:p w:rsidR="00C232A3" w:rsidRPr="00AB62BD" w:rsidRDefault="00C232A3" w:rsidP="00C232A3">
      <w:pPr>
        <w:pStyle w:val="ARfinbody"/>
        <w:rPr>
          <w:lang w:eastAsia="en-AU"/>
        </w:rPr>
      </w:pPr>
    </w:p>
    <w:p w:rsidR="00C232A3" w:rsidRDefault="00C232A3" w:rsidP="00C232A3">
      <w:pPr>
        <w:pStyle w:val="ARfinbody"/>
        <w:rPr>
          <w:lang w:eastAsia="en-AU"/>
        </w:rPr>
        <w:sectPr w:rsidR="00C232A3" w:rsidSect="00C232A3">
          <w:headerReference w:type="even" r:id="rId171"/>
          <w:headerReference w:type="default" r:id="rId172"/>
          <w:endnotePr>
            <w:numFmt w:val="decimal"/>
          </w:endnotePr>
          <w:pgSz w:w="16840" w:h="11900" w:orient="landscape" w:code="9"/>
          <w:pgMar w:top="1418" w:right="1531" w:bottom="851" w:left="851" w:header="794" w:footer="340" w:gutter="0"/>
          <w:cols w:space="454"/>
          <w:docGrid w:linePitch="272"/>
        </w:sectPr>
      </w:pPr>
    </w:p>
    <w:p w:rsidR="00C232A3" w:rsidRPr="00A15588" w:rsidRDefault="00C232A3" w:rsidP="000F7961">
      <w:pPr>
        <w:pStyle w:val="Heading4"/>
        <w:spacing w:before="0"/>
      </w:pPr>
      <w:bookmarkStart w:id="106" w:name="_Ref492907576"/>
      <w:r w:rsidRPr="00A15588">
        <w:lastRenderedPageBreak/>
        <w:t>9.6 Responsible persons</w:t>
      </w:r>
      <w:bookmarkEnd w:id="106"/>
    </w:p>
    <w:p w:rsidR="00C232A3" w:rsidRPr="00AB62BD" w:rsidRDefault="00C232A3" w:rsidP="00C232A3">
      <w:pPr>
        <w:pStyle w:val="ARfinbody"/>
        <w:rPr>
          <w:lang w:eastAsia="en-AU"/>
        </w:rPr>
      </w:pPr>
      <w:r w:rsidRPr="00AB62BD">
        <w:rPr>
          <w:lang w:eastAsia="en-AU"/>
        </w:rPr>
        <w:t xml:space="preserve">In accordance with the Directions of the Minister for Finance under the </w:t>
      </w:r>
      <w:r w:rsidRPr="00777E9B">
        <w:rPr>
          <w:rStyle w:val="Emphasis"/>
        </w:rPr>
        <w:t>Financial Management Act 1994</w:t>
      </w:r>
      <w:r w:rsidRPr="00AB62BD">
        <w:rPr>
          <w:lang w:eastAsia="en-AU"/>
        </w:rPr>
        <w:t xml:space="preserve"> the following disclosures are made for the responsible persons for the reporting period.</w:t>
      </w:r>
    </w:p>
    <w:p w:rsidR="00C232A3" w:rsidRPr="00D11896" w:rsidRDefault="00C232A3" w:rsidP="00C232A3">
      <w:pPr>
        <w:pStyle w:val="Heading5"/>
        <w:rPr>
          <w:rStyle w:val="Strong"/>
        </w:rPr>
      </w:pPr>
      <w:r w:rsidRPr="00D11896">
        <w:rPr>
          <w:rStyle w:val="Strong"/>
        </w:rPr>
        <w:t>Names</w:t>
      </w:r>
    </w:p>
    <w:p w:rsidR="00C232A3" w:rsidRPr="00AB62BD" w:rsidRDefault="00C232A3" w:rsidP="00C232A3">
      <w:pPr>
        <w:pStyle w:val="ARfinbody"/>
        <w:rPr>
          <w:lang w:eastAsia="en-AU"/>
        </w:rPr>
      </w:pPr>
      <w:r w:rsidRPr="00AB62BD">
        <w:rPr>
          <w:lang w:eastAsia="en-AU"/>
        </w:rPr>
        <w:t xml:space="preserve">The persons who held the positions of ministers and </w:t>
      </w:r>
      <w:r w:rsidR="005B7819">
        <w:rPr>
          <w:lang w:eastAsia="en-AU"/>
        </w:rPr>
        <w:t>responsible bodies</w:t>
      </w:r>
      <w:r w:rsidRPr="00AB62BD">
        <w:rPr>
          <w:lang w:eastAsia="en-AU"/>
        </w:rPr>
        <w:t xml:space="preserve"> in the department are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80" w:firstRow="0" w:lastRow="0" w:firstColumn="1" w:lastColumn="0" w:noHBand="1" w:noVBand="1"/>
      </w:tblPr>
      <w:tblGrid>
        <w:gridCol w:w="3402"/>
        <w:gridCol w:w="2835"/>
        <w:gridCol w:w="3402"/>
      </w:tblGrid>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Minister for Ambulance Services</w:t>
            </w:r>
          </w:p>
        </w:tc>
        <w:tc>
          <w:tcPr>
            <w:tcW w:w="2835" w:type="dxa"/>
          </w:tcPr>
          <w:p w:rsidR="00C232A3" w:rsidRPr="00AB62BD" w:rsidRDefault="00C232A3" w:rsidP="00C232A3">
            <w:pPr>
              <w:pStyle w:val="ARfintablebody"/>
              <w:rPr>
                <w:lang w:eastAsia="en-AU"/>
              </w:rPr>
            </w:pPr>
            <w:r w:rsidRPr="00AB62BD">
              <w:rPr>
                <w:lang w:eastAsia="en-AU"/>
              </w:rPr>
              <w:t>The Hon. Jill Hennessy MP</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Minister for Health</w:t>
            </w:r>
          </w:p>
        </w:tc>
        <w:tc>
          <w:tcPr>
            <w:tcW w:w="2835" w:type="dxa"/>
          </w:tcPr>
          <w:p w:rsidR="00C232A3" w:rsidRPr="00AB62BD" w:rsidRDefault="00C232A3" w:rsidP="00C232A3">
            <w:pPr>
              <w:pStyle w:val="ARfintablebody"/>
              <w:rPr>
                <w:lang w:eastAsia="en-AU"/>
              </w:rPr>
            </w:pPr>
            <w:r w:rsidRPr="00AB62BD">
              <w:rPr>
                <w:lang w:eastAsia="en-AU"/>
              </w:rPr>
              <w:t>The Hon. Jill Hennessy MP</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Minister for Housing, Disability and Ageing</w:t>
            </w:r>
          </w:p>
        </w:tc>
        <w:tc>
          <w:tcPr>
            <w:tcW w:w="2835" w:type="dxa"/>
          </w:tcPr>
          <w:p w:rsidR="00C232A3" w:rsidRPr="00AB62BD" w:rsidRDefault="00C232A3" w:rsidP="00C232A3">
            <w:pPr>
              <w:pStyle w:val="ARfintablebody"/>
              <w:rPr>
                <w:lang w:eastAsia="en-AU"/>
              </w:rPr>
            </w:pPr>
            <w:r w:rsidRPr="00AB62BD">
              <w:rPr>
                <w:lang w:eastAsia="en-AU"/>
              </w:rPr>
              <w:t>The Hon. Martin Foley MP</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Minister for Mental Health</w:t>
            </w:r>
          </w:p>
        </w:tc>
        <w:tc>
          <w:tcPr>
            <w:tcW w:w="2835" w:type="dxa"/>
          </w:tcPr>
          <w:p w:rsidR="00C232A3" w:rsidRPr="00AB62BD" w:rsidRDefault="00C232A3" w:rsidP="00C232A3">
            <w:pPr>
              <w:pStyle w:val="ARfintablebody"/>
              <w:rPr>
                <w:lang w:eastAsia="en-AU"/>
              </w:rPr>
            </w:pPr>
            <w:r w:rsidRPr="00AB62BD">
              <w:rPr>
                <w:lang w:eastAsia="en-AU"/>
              </w:rPr>
              <w:t>The Hon. Martin Foley MP</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Minister for Families and Children</w:t>
            </w:r>
          </w:p>
        </w:tc>
        <w:tc>
          <w:tcPr>
            <w:tcW w:w="2835" w:type="dxa"/>
          </w:tcPr>
          <w:p w:rsidR="00C232A3" w:rsidRPr="00AB62BD" w:rsidRDefault="00C232A3" w:rsidP="00C232A3">
            <w:pPr>
              <w:pStyle w:val="ARfintablebody"/>
              <w:rPr>
                <w:lang w:eastAsia="en-AU"/>
              </w:rPr>
            </w:pPr>
            <w:r w:rsidRPr="00AB62BD">
              <w:rPr>
                <w:lang w:eastAsia="en-AU"/>
              </w:rPr>
              <w:t xml:space="preserve">The Hon. Jenny </w:t>
            </w:r>
            <w:proofErr w:type="spellStart"/>
            <w:r w:rsidRPr="00AB62BD">
              <w:rPr>
                <w:lang w:eastAsia="en-AU"/>
              </w:rPr>
              <w:t>Mikakos</w:t>
            </w:r>
            <w:proofErr w:type="spellEnd"/>
            <w:r w:rsidRPr="00AB62BD">
              <w:rPr>
                <w:lang w:eastAsia="en-AU"/>
              </w:rPr>
              <w:t xml:space="preserve"> MLC</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Minister for Youth Affairs</w:t>
            </w:r>
          </w:p>
        </w:tc>
        <w:tc>
          <w:tcPr>
            <w:tcW w:w="2835" w:type="dxa"/>
          </w:tcPr>
          <w:p w:rsidR="00C232A3" w:rsidRPr="00AB62BD" w:rsidRDefault="00C232A3" w:rsidP="00C232A3">
            <w:pPr>
              <w:pStyle w:val="ARfintablebody"/>
              <w:rPr>
                <w:lang w:eastAsia="en-AU"/>
              </w:rPr>
            </w:pPr>
            <w:r w:rsidRPr="00AB62BD">
              <w:rPr>
                <w:lang w:eastAsia="en-AU"/>
              </w:rPr>
              <w:t xml:space="preserve">The Hon. Jenny </w:t>
            </w:r>
            <w:proofErr w:type="spellStart"/>
            <w:r w:rsidRPr="00AB62BD">
              <w:rPr>
                <w:lang w:eastAsia="en-AU"/>
              </w:rPr>
              <w:t>Mikakos</w:t>
            </w:r>
            <w:proofErr w:type="spellEnd"/>
            <w:r w:rsidRPr="00AB62BD">
              <w:rPr>
                <w:lang w:eastAsia="en-AU"/>
              </w:rPr>
              <w:t xml:space="preserve"> MLC</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Minister for Sport</w:t>
            </w:r>
          </w:p>
        </w:tc>
        <w:tc>
          <w:tcPr>
            <w:tcW w:w="2835" w:type="dxa"/>
          </w:tcPr>
          <w:p w:rsidR="00C232A3" w:rsidRPr="00AB62BD" w:rsidRDefault="00C232A3" w:rsidP="00C232A3">
            <w:pPr>
              <w:pStyle w:val="ARfintablebody"/>
              <w:rPr>
                <w:lang w:eastAsia="en-AU"/>
              </w:rPr>
            </w:pPr>
            <w:r w:rsidRPr="00AB62BD">
              <w:rPr>
                <w:lang w:eastAsia="en-AU"/>
              </w:rPr>
              <w:t xml:space="preserve">The Hon. John </w:t>
            </w:r>
            <w:proofErr w:type="spellStart"/>
            <w:r w:rsidRPr="00AB62BD">
              <w:rPr>
                <w:lang w:eastAsia="en-AU"/>
              </w:rPr>
              <w:t>Eren</w:t>
            </w:r>
            <w:proofErr w:type="spellEnd"/>
            <w:r w:rsidRPr="00AB62BD">
              <w:rPr>
                <w:lang w:eastAsia="en-AU"/>
              </w:rPr>
              <w:t xml:space="preserve"> MP</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Secretary, Department of Health and Human Services</w:t>
            </w:r>
          </w:p>
        </w:tc>
        <w:tc>
          <w:tcPr>
            <w:tcW w:w="2835" w:type="dxa"/>
          </w:tcPr>
          <w:p w:rsidR="00C232A3" w:rsidRPr="00AB62BD" w:rsidRDefault="00C232A3" w:rsidP="00C232A3">
            <w:pPr>
              <w:pStyle w:val="ARfintablebody"/>
              <w:rPr>
                <w:lang w:eastAsia="en-AU"/>
              </w:rPr>
            </w:pPr>
            <w:r w:rsidRPr="00AB62BD">
              <w:rPr>
                <w:lang w:eastAsia="en-AU"/>
              </w:rPr>
              <w:t>Kym Peake</w:t>
            </w:r>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Acting Secretary, Department of Health and Human Services</w:t>
            </w:r>
          </w:p>
        </w:tc>
        <w:tc>
          <w:tcPr>
            <w:tcW w:w="2835" w:type="dxa"/>
          </w:tcPr>
          <w:p w:rsidR="00C232A3" w:rsidRPr="00AB62BD" w:rsidRDefault="00C232A3" w:rsidP="00C232A3">
            <w:pPr>
              <w:pStyle w:val="ARfintablebody"/>
              <w:rPr>
                <w:lang w:eastAsia="en-AU"/>
              </w:rPr>
            </w:pPr>
            <w:r w:rsidRPr="00AB62BD">
              <w:rPr>
                <w:lang w:eastAsia="en-AU"/>
              </w:rPr>
              <w:t xml:space="preserve">Melissa </w:t>
            </w:r>
            <w:proofErr w:type="spellStart"/>
            <w:r>
              <w:rPr>
                <w:lang w:eastAsia="en-AU"/>
              </w:rPr>
              <w:t>Skilbeck</w:t>
            </w:r>
            <w:proofErr w:type="spellEnd"/>
            <w:r w:rsidRPr="00AB62BD">
              <w:rPr>
                <w:lang w:eastAsia="en-AU"/>
              </w:rPr>
              <w:t xml:space="preserve"> </w:t>
            </w:r>
          </w:p>
        </w:tc>
        <w:tc>
          <w:tcPr>
            <w:tcW w:w="3402" w:type="dxa"/>
          </w:tcPr>
          <w:p w:rsidR="00C232A3" w:rsidRPr="00AB62BD" w:rsidRDefault="00C232A3" w:rsidP="00C232A3">
            <w:pPr>
              <w:pStyle w:val="ARfintablebody"/>
              <w:rPr>
                <w:lang w:eastAsia="en-AU"/>
              </w:rPr>
            </w:pPr>
            <w:r w:rsidRPr="00AB62BD">
              <w:rPr>
                <w:lang w:eastAsia="en-AU"/>
              </w:rPr>
              <w:t>17 September 2016 to 2 October 2016</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Acting Secretary, Department of Health and Human Services</w:t>
            </w:r>
          </w:p>
        </w:tc>
        <w:tc>
          <w:tcPr>
            <w:tcW w:w="2835" w:type="dxa"/>
          </w:tcPr>
          <w:p w:rsidR="00C232A3" w:rsidRPr="00AB62BD" w:rsidRDefault="00C232A3" w:rsidP="00C232A3">
            <w:pPr>
              <w:pStyle w:val="ARfintablebody"/>
              <w:rPr>
                <w:lang w:eastAsia="en-AU"/>
              </w:rPr>
            </w:pPr>
            <w:r>
              <w:rPr>
                <w:lang w:eastAsia="en-AU"/>
              </w:rPr>
              <w:t>Terry</w:t>
            </w:r>
            <w:r w:rsidRPr="00AB62BD">
              <w:rPr>
                <w:lang w:eastAsia="en-AU"/>
              </w:rPr>
              <w:t xml:space="preserve"> Symonds</w:t>
            </w:r>
          </w:p>
        </w:tc>
        <w:tc>
          <w:tcPr>
            <w:tcW w:w="3402" w:type="dxa"/>
          </w:tcPr>
          <w:p w:rsidR="00C232A3" w:rsidRPr="00AB62BD" w:rsidRDefault="00C232A3" w:rsidP="00C232A3">
            <w:pPr>
              <w:pStyle w:val="ARfintablebody"/>
              <w:rPr>
                <w:lang w:eastAsia="en-AU"/>
              </w:rPr>
            </w:pPr>
            <w:r w:rsidRPr="00AB62BD">
              <w:rPr>
                <w:lang w:eastAsia="en-AU"/>
              </w:rPr>
              <w:t>29 December 2016 to 9 January 2017</w:t>
            </w:r>
          </w:p>
        </w:tc>
      </w:tr>
      <w:tr w:rsidR="00C232A3" w:rsidRPr="00AB62BD" w:rsidTr="00CC249F">
        <w:trPr>
          <w:cantSplit/>
        </w:trPr>
        <w:tc>
          <w:tcPr>
            <w:tcW w:w="3402" w:type="dxa"/>
          </w:tcPr>
          <w:p w:rsidR="00C232A3" w:rsidRPr="00AB62BD" w:rsidRDefault="00C232A3" w:rsidP="00C232A3">
            <w:pPr>
              <w:pStyle w:val="ARfintablebody"/>
              <w:rPr>
                <w:i/>
                <w:iCs/>
                <w:lang w:eastAsia="en-AU"/>
              </w:rPr>
            </w:pPr>
            <w:r w:rsidRPr="00AB62BD">
              <w:rPr>
                <w:lang w:eastAsia="en-AU"/>
              </w:rPr>
              <w:t xml:space="preserve">Director of Housing under the </w:t>
            </w:r>
            <w:r w:rsidRPr="00AB62BD">
              <w:rPr>
                <w:rStyle w:val="Emphasis"/>
              </w:rPr>
              <w:t>Housing Act 1983</w:t>
            </w:r>
          </w:p>
        </w:tc>
        <w:tc>
          <w:tcPr>
            <w:tcW w:w="2835" w:type="dxa"/>
          </w:tcPr>
          <w:p w:rsidR="00C232A3" w:rsidRPr="00AB62BD" w:rsidRDefault="00C232A3" w:rsidP="00C232A3">
            <w:pPr>
              <w:pStyle w:val="ARfintablebody"/>
              <w:rPr>
                <w:lang w:eastAsia="en-AU"/>
              </w:rPr>
            </w:pPr>
            <w:r>
              <w:rPr>
                <w:lang w:eastAsia="en-AU"/>
              </w:rPr>
              <w:t>Nick</w:t>
            </w:r>
            <w:r w:rsidRPr="00AB62BD">
              <w:rPr>
                <w:lang w:eastAsia="en-AU"/>
              </w:rPr>
              <w:t xml:space="preserve"> </w:t>
            </w:r>
            <w:proofErr w:type="spellStart"/>
            <w:r w:rsidRPr="00AB62BD">
              <w:rPr>
                <w:lang w:eastAsia="en-AU"/>
              </w:rPr>
              <w:t>Foa</w:t>
            </w:r>
            <w:proofErr w:type="spellEnd"/>
          </w:p>
        </w:tc>
        <w:tc>
          <w:tcPr>
            <w:tcW w:w="3402" w:type="dxa"/>
          </w:tcPr>
          <w:p w:rsidR="00C232A3" w:rsidRPr="00AB62BD" w:rsidRDefault="00C232A3" w:rsidP="00C232A3">
            <w:pPr>
              <w:pStyle w:val="ARfintablebody"/>
              <w:rPr>
                <w:lang w:eastAsia="en-AU"/>
              </w:rPr>
            </w:pPr>
            <w:r w:rsidRPr="00AB62BD">
              <w:rPr>
                <w:lang w:eastAsia="en-AU"/>
              </w:rPr>
              <w:t>1 July 2016 to 30 June 2017</w:t>
            </w:r>
          </w:p>
        </w:tc>
      </w:tr>
      <w:tr w:rsidR="00C232A3" w:rsidRPr="00AB62BD" w:rsidTr="00CC249F">
        <w:trPr>
          <w:cantSplit/>
        </w:trPr>
        <w:tc>
          <w:tcPr>
            <w:tcW w:w="3402" w:type="dxa"/>
          </w:tcPr>
          <w:p w:rsidR="00C232A3" w:rsidRPr="00AB62BD" w:rsidRDefault="00C232A3" w:rsidP="00C232A3">
            <w:pPr>
              <w:pStyle w:val="ARfintablebody"/>
              <w:rPr>
                <w:lang w:eastAsia="en-AU"/>
              </w:rPr>
            </w:pPr>
            <w:r w:rsidRPr="00AB62BD">
              <w:rPr>
                <w:lang w:eastAsia="en-AU"/>
              </w:rPr>
              <w:t>Acting Director of Housing under the Housing Act 1983</w:t>
            </w:r>
          </w:p>
        </w:tc>
        <w:tc>
          <w:tcPr>
            <w:tcW w:w="2835" w:type="dxa"/>
          </w:tcPr>
          <w:p w:rsidR="00C232A3" w:rsidRPr="00AB62BD" w:rsidRDefault="00C232A3" w:rsidP="00C232A3">
            <w:pPr>
              <w:pStyle w:val="ARfintablebody"/>
              <w:rPr>
                <w:lang w:eastAsia="en-AU"/>
              </w:rPr>
            </w:pPr>
            <w:r w:rsidRPr="00AB62BD">
              <w:rPr>
                <w:lang w:eastAsia="en-AU"/>
              </w:rPr>
              <w:t>Fiona Williams</w:t>
            </w:r>
          </w:p>
        </w:tc>
        <w:tc>
          <w:tcPr>
            <w:tcW w:w="3402" w:type="dxa"/>
          </w:tcPr>
          <w:p w:rsidR="00C232A3" w:rsidRPr="00AB62BD" w:rsidRDefault="00C232A3" w:rsidP="00C232A3">
            <w:pPr>
              <w:pStyle w:val="ARfintablebody"/>
              <w:rPr>
                <w:lang w:eastAsia="en-AU"/>
              </w:rPr>
            </w:pPr>
            <w:r w:rsidRPr="00AB62BD">
              <w:rPr>
                <w:lang w:eastAsia="en-AU"/>
              </w:rPr>
              <w:t>21 December 2016 to 7 January 2017</w:t>
            </w:r>
          </w:p>
        </w:tc>
      </w:tr>
    </w:tbl>
    <w:p w:rsidR="00C232A3" w:rsidRPr="00D11896" w:rsidRDefault="00C232A3" w:rsidP="00C232A3">
      <w:pPr>
        <w:pStyle w:val="Heading5"/>
        <w:rPr>
          <w:rStyle w:val="Strong"/>
        </w:rPr>
      </w:pPr>
      <w:bookmarkStart w:id="107" w:name="_Ref492907585"/>
      <w:r w:rsidRPr="00D11896">
        <w:rPr>
          <w:rStyle w:val="Strong"/>
        </w:rPr>
        <w:t>Remuneration</w:t>
      </w:r>
      <w:bookmarkEnd w:id="107"/>
    </w:p>
    <w:p w:rsidR="00C232A3" w:rsidRPr="00AB62BD" w:rsidRDefault="00C232A3" w:rsidP="00C232A3">
      <w:pPr>
        <w:pStyle w:val="ARfinbody"/>
        <w:rPr>
          <w:lang w:eastAsia="en-AU"/>
        </w:rPr>
      </w:pPr>
      <w:r w:rsidRPr="00AB62BD">
        <w:rPr>
          <w:lang w:eastAsia="en-AU"/>
        </w:rPr>
        <w:t xml:space="preserve">Remuneration received or receivable by the </w:t>
      </w:r>
      <w:r w:rsidR="005B7819">
        <w:rPr>
          <w:lang w:eastAsia="en-AU"/>
        </w:rPr>
        <w:t>responsible bodies</w:t>
      </w:r>
      <w:r w:rsidRPr="00AB62BD">
        <w:rPr>
          <w:lang w:eastAsia="en-AU"/>
        </w:rPr>
        <w:t xml:space="preserve"> in connection with the management of the department during the reporting period was in the range: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237"/>
        <w:gridCol w:w="1701"/>
        <w:gridCol w:w="1701"/>
      </w:tblGrid>
      <w:tr w:rsidR="00C232A3" w:rsidRPr="00AB62BD" w:rsidTr="00C232A3">
        <w:trPr>
          <w:cantSplit/>
          <w:tblHeader/>
        </w:trPr>
        <w:tc>
          <w:tcPr>
            <w:tcW w:w="6237" w:type="dxa"/>
            <w:vMerge w:val="restart"/>
            <w:vAlign w:val="bottom"/>
          </w:tcPr>
          <w:p w:rsidR="00C232A3" w:rsidRPr="00014BAC" w:rsidRDefault="00C232A3" w:rsidP="00C232A3">
            <w:pPr>
              <w:pStyle w:val="ARfintablecolhead"/>
            </w:pPr>
            <w:r w:rsidRPr="00014BAC">
              <w:t>Income band</w:t>
            </w:r>
          </w:p>
        </w:tc>
        <w:tc>
          <w:tcPr>
            <w:tcW w:w="3402" w:type="dxa"/>
            <w:gridSpan w:val="2"/>
            <w:vAlign w:val="bottom"/>
          </w:tcPr>
          <w:p w:rsidR="00C232A3" w:rsidRPr="00AB62BD" w:rsidRDefault="00C232A3" w:rsidP="00C232A3">
            <w:pPr>
              <w:pStyle w:val="ARfintablecolheadcentre"/>
              <w:rPr>
                <w:color w:val="000000"/>
                <w:vertAlign w:val="superscript"/>
              </w:rPr>
            </w:pPr>
          </w:p>
        </w:tc>
      </w:tr>
      <w:tr w:rsidR="00C232A3" w:rsidRPr="00AB62BD" w:rsidTr="00C232A3">
        <w:trPr>
          <w:cantSplit/>
          <w:tblHeader/>
        </w:trPr>
        <w:tc>
          <w:tcPr>
            <w:tcW w:w="6237"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701" w:type="dxa"/>
            <w:tcBorders>
              <w:bottom w:val="single" w:sz="4" w:space="0" w:color="auto"/>
            </w:tcBorders>
            <w:vAlign w:val="bottom"/>
          </w:tcPr>
          <w:p w:rsidR="00C232A3" w:rsidRPr="00014BAC" w:rsidRDefault="00C232A3" w:rsidP="00C232A3">
            <w:pPr>
              <w:pStyle w:val="ARfintablecolheadright"/>
            </w:pPr>
            <w:r w:rsidRPr="00014BAC">
              <w:t>30 June 2017</w:t>
            </w:r>
          </w:p>
        </w:tc>
        <w:tc>
          <w:tcPr>
            <w:tcW w:w="1701" w:type="dxa"/>
            <w:tcBorders>
              <w:bottom w:val="single" w:sz="4" w:space="0" w:color="auto"/>
            </w:tcBorders>
            <w:vAlign w:val="bottom"/>
          </w:tcPr>
          <w:p w:rsidR="00C232A3" w:rsidRPr="00014BAC" w:rsidRDefault="00C232A3" w:rsidP="00C232A3">
            <w:pPr>
              <w:pStyle w:val="ARfintablecolheadright"/>
            </w:pPr>
            <w:r w:rsidRPr="00014BAC">
              <w:t>30 June 2016</w:t>
            </w:r>
          </w:p>
        </w:tc>
      </w:tr>
      <w:tr w:rsidR="00C232A3" w:rsidRPr="00AB62BD" w:rsidTr="00C232A3">
        <w:trPr>
          <w:cantSplit/>
        </w:trPr>
        <w:tc>
          <w:tcPr>
            <w:tcW w:w="6237"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$110,000 – $119,999</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$140,000 – $149,999</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$310,000 – $319,999</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$340,000 – $349,999</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1</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Pr>
                <w:lang w:eastAsia="en-AU"/>
              </w:rPr>
              <w:t>$370,000 – $37</w:t>
            </w:r>
            <w:r w:rsidRPr="00AB62BD">
              <w:rPr>
                <w:lang w:eastAsia="en-AU"/>
              </w:rPr>
              <w:t>9,999</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6237"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Pr>
                <w:lang w:eastAsia="en-AU"/>
              </w:rPr>
              <w:t>$530,000 – $53</w:t>
            </w:r>
            <w:r w:rsidRPr="00AB62BD">
              <w:rPr>
                <w:lang w:eastAsia="en-AU"/>
              </w:rPr>
              <w:t>9,999</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1</w:t>
            </w:r>
          </w:p>
        </w:tc>
        <w:tc>
          <w:tcPr>
            <w:tcW w:w="170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6237" w:type="dxa"/>
          </w:tcPr>
          <w:p w:rsidR="00C232A3" w:rsidRPr="00AB62BD" w:rsidRDefault="00C232A3" w:rsidP="00C232A3">
            <w:pPr>
              <w:pStyle w:val="ARfintablebody"/>
              <w:rPr>
                <w:b/>
                <w:bCs/>
                <w:lang w:eastAsia="en-AU"/>
              </w:rPr>
            </w:pPr>
            <w:r w:rsidRPr="00AB62BD">
              <w:rPr>
                <w:rStyle w:val="Strong"/>
              </w:rPr>
              <w:t>Total</w:t>
            </w:r>
          </w:p>
        </w:tc>
        <w:tc>
          <w:tcPr>
            <w:tcW w:w="1701" w:type="dxa"/>
          </w:tcPr>
          <w:p w:rsidR="00C232A3" w:rsidRPr="00AB62BD" w:rsidRDefault="00C232A3" w:rsidP="00C232A3">
            <w:pPr>
              <w:pStyle w:val="ARfintablebodyright"/>
              <w:rPr>
                <w:b/>
                <w:bCs/>
                <w:lang w:eastAsia="en-AU"/>
              </w:rPr>
            </w:pPr>
            <w:r>
              <w:rPr>
                <w:rStyle w:val="Strong"/>
              </w:rPr>
              <w:t>2</w:t>
            </w:r>
          </w:p>
        </w:tc>
        <w:tc>
          <w:tcPr>
            <w:tcW w:w="1701" w:type="dxa"/>
          </w:tcPr>
          <w:p w:rsidR="00C232A3" w:rsidRPr="00AB62BD" w:rsidRDefault="00C232A3" w:rsidP="00C232A3">
            <w:pPr>
              <w:pStyle w:val="ARfintablebodyright"/>
              <w:rPr>
                <w:rStyle w:val="Strong"/>
                <w:bCs w:val="0"/>
              </w:rPr>
            </w:pPr>
            <w:r w:rsidRPr="00AB62BD">
              <w:rPr>
                <w:rStyle w:val="Strong"/>
              </w:rPr>
              <w:t>4</w:t>
            </w:r>
          </w:p>
        </w:tc>
      </w:tr>
    </w:tbl>
    <w:p w:rsidR="00C232A3" w:rsidRPr="00A15588" w:rsidRDefault="00C232A3" w:rsidP="00C232A3">
      <w:pPr>
        <w:pStyle w:val="Heading4"/>
      </w:pPr>
      <w:r w:rsidRPr="00A15588">
        <w:t>9.7 Remuneration of executives</w:t>
      </w:r>
    </w:p>
    <w:p w:rsidR="00C232A3" w:rsidRPr="00AB62BD" w:rsidRDefault="00AC38D9" w:rsidP="00C232A3">
      <w:pPr>
        <w:pStyle w:val="ARfinbody"/>
        <w:rPr>
          <w:lang w:eastAsia="en-AU"/>
        </w:rPr>
      </w:pPr>
      <w:r>
        <w:rPr>
          <w:lang w:eastAsia="en-AU"/>
        </w:rPr>
        <w:t>The number</w:t>
      </w:r>
      <w:r w:rsidR="00C232A3" w:rsidRPr="00AB62BD">
        <w:rPr>
          <w:lang w:eastAsia="en-AU"/>
        </w:rPr>
        <w:t xml:space="preserve"> of executive officers, other than ministers and </w:t>
      </w:r>
      <w:r w:rsidR="007E2019">
        <w:rPr>
          <w:lang w:eastAsia="en-AU"/>
        </w:rPr>
        <w:t>accountable officers</w:t>
      </w:r>
      <w:r w:rsidR="00C232A3" w:rsidRPr="00AB62BD">
        <w:rPr>
          <w:lang w:eastAsia="en-AU"/>
        </w:rPr>
        <w:t>, and their total remuneration during the reporting period are shown in the table below. The total annualised employee equivalent provides a measure of full time equivalent executive officers over the reporting period.</w:t>
      </w:r>
    </w:p>
    <w:p w:rsidR="00C232A3" w:rsidRPr="00AB62BD" w:rsidRDefault="00C232A3" w:rsidP="00C232A3">
      <w:pPr>
        <w:pStyle w:val="ARfinbody"/>
        <w:rPr>
          <w:lang w:eastAsia="en-AU"/>
        </w:rPr>
      </w:pPr>
      <w:r w:rsidRPr="00AB62BD">
        <w:rPr>
          <w:lang w:eastAsia="en-AU"/>
        </w:rPr>
        <w:t>Remuneration comprises employee benefits in all forms of consideration paid, payable or provided by the entity, or on behalf of the entity, in exchange for services rendered, and is disclosed in the following categories.</w:t>
      </w:r>
    </w:p>
    <w:p w:rsidR="00C232A3" w:rsidRPr="00AB62BD" w:rsidRDefault="00C232A3" w:rsidP="00C232A3">
      <w:pPr>
        <w:pStyle w:val="ARfinbody"/>
        <w:rPr>
          <w:lang w:eastAsia="en-AU"/>
        </w:rPr>
      </w:pPr>
      <w:r w:rsidRPr="00777E9B">
        <w:rPr>
          <w:rStyle w:val="Strong"/>
        </w:rPr>
        <w:t>Short-term employee benefits</w:t>
      </w:r>
      <w:r w:rsidRPr="00AB62BD">
        <w:rPr>
          <w:lang w:eastAsia="en-AU"/>
        </w:rPr>
        <w:t xml:space="preserve"> include amounts such as wages, salaries, annual leave or sick leave that are usually paid or payable on a regular basis, as well as non-monetary benefits such as allowances and free or subsidised goods or services.</w:t>
      </w:r>
    </w:p>
    <w:p w:rsidR="00C232A3" w:rsidRPr="00AB62BD" w:rsidRDefault="00C232A3" w:rsidP="00C232A3">
      <w:pPr>
        <w:pStyle w:val="ARfinbody"/>
        <w:rPr>
          <w:lang w:eastAsia="en-AU"/>
        </w:rPr>
      </w:pPr>
      <w:r w:rsidRPr="00777E9B">
        <w:rPr>
          <w:rStyle w:val="Strong"/>
        </w:rPr>
        <w:t>Post-employment benefits</w:t>
      </w:r>
      <w:r w:rsidRPr="00AB62BD">
        <w:rPr>
          <w:lang w:eastAsia="en-AU"/>
        </w:rPr>
        <w:t xml:space="preserve"> include pensions and other retirement benefits paid or payable on a discrete basis when employment has ceased.</w:t>
      </w:r>
    </w:p>
    <w:p w:rsidR="00C232A3" w:rsidRPr="00AB62BD" w:rsidRDefault="00C232A3" w:rsidP="00C232A3">
      <w:pPr>
        <w:pStyle w:val="ARfinbody"/>
        <w:rPr>
          <w:lang w:eastAsia="en-AU"/>
        </w:rPr>
      </w:pPr>
      <w:r w:rsidRPr="00777E9B">
        <w:rPr>
          <w:rStyle w:val="Strong"/>
        </w:rPr>
        <w:t>Other long-term benefits</w:t>
      </w:r>
      <w:r w:rsidRPr="00AB62BD">
        <w:rPr>
          <w:lang w:eastAsia="en-AU"/>
        </w:rPr>
        <w:t xml:space="preserve"> include long service leave, other long-service benefit or deferred compensation.</w:t>
      </w:r>
    </w:p>
    <w:p w:rsidR="00C232A3" w:rsidRPr="00AB62BD" w:rsidRDefault="00C232A3" w:rsidP="00C232A3">
      <w:pPr>
        <w:pStyle w:val="ARfinbody"/>
        <w:rPr>
          <w:lang w:eastAsia="en-AU"/>
        </w:rPr>
      </w:pPr>
      <w:r w:rsidRPr="00777E9B">
        <w:rPr>
          <w:rStyle w:val="Strong"/>
        </w:rPr>
        <w:t>Termination benefits</w:t>
      </w:r>
      <w:r w:rsidRPr="00AB62BD">
        <w:rPr>
          <w:lang w:eastAsia="en-AU"/>
        </w:rPr>
        <w:t xml:space="preserve"> include termination of employment payments, such as severance packages.</w:t>
      </w:r>
    </w:p>
    <w:p w:rsidR="00C232A3" w:rsidRPr="00AB62BD" w:rsidRDefault="00C232A3" w:rsidP="00C232A3">
      <w:pPr>
        <w:pStyle w:val="ARfinbody"/>
        <w:rPr>
          <w:lang w:eastAsia="en-AU"/>
        </w:rPr>
      </w:pPr>
      <w:r w:rsidRPr="00777E9B">
        <w:rPr>
          <w:rStyle w:val="Strong"/>
        </w:rPr>
        <w:t>Share-based payments</w:t>
      </w:r>
      <w:r w:rsidRPr="00AB62BD">
        <w:rPr>
          <w:lang w:eastAsia="en-AU"/>
        </w:rPr>
        <w:t xml:space="preserve"> are cash or other assets paid or payable as agreed between the entity and the employee, provided specific vesting conditions, if any, are met.</w:t>
      </w:r>
    </w:p>
    <w:p w:rsidR="00C232A3" w:rsidRDefault="00C232A3" w:rsidP="00300E48">
      <w:pPr>
        <w:pStyle w:val="ARbody"/>
        <w:rPr>
          <w:sz w:val="19"/>
        </w:rPr>
      </w:pPr>
      <w:r>
        <w:br w:type="page"/>
      </w:r>
    </w:p>
    <w:p w:rsidR="00C232A3" w:rsidRPr="00D11896" w:rsidRDefault="00C232A3" w:rsidP="00C232A3">
      <w:pPr>
        <w:pStyle w:val="Heading5"/>
        <w:rPr>
          <w:rStyle w:val="Strong"/>
        </w:rPr>
      </w:pPr>
      <w:r w:rsidRPr="00D11896">
        <w:rPr>
          <w:rStyle w:val="Strong"/>
        </w:rPr>
        <w:lastRenderedPageBreak/>
        <w:t>Remuneration of executive officers (including Key Management Personnel disclosed in Note 9.8)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50"/>
        <w:gridCol w:w="1131"/>
        <w:gridCol w:w="1131"/>
        <w:gridCol w:w="27"/>
      </w:tblGrid>
      <w:tr w:rsidR="00C232A3" w:rsidRPr="00AB62BD" w:rsidTr="00C232A3">
        <w:trPr>
          <w:cantSplit/>
          <w:tblHeader/>
        </w:trPr>
        <w:tc>
          <w:tcPr>
            <w:tcW w:w="7371" w:type="dxa"/>
            <w:vMerge w:val="restart"/>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134" w:type="dxa"/>
            <w:gridSpan w:val="3"/>
            <w:vAlign w:val="bottom"/>
          </w:tcPr>
          <w:p w:rsidR="00C232A3" w:rsidRPr="00DA2486" w:rsidRDefault="00C232A3" w:rsidP="00C232A3">
            <w:pPr>
              <w:pStyle w:val="ARfintablecolheadcentre"/>
            </w:pPr>
            <w:r w:rsidRPr="00DA2486">
              <w:t>Total remuneration</w:t>
            </w:r>
          </w:p>
        </w:tc>
      </w:tr>
      <w:tr w:rsidR="00C232A3" w:rsidRPr="00AB62BD" w:rsidTr="00C232A3">
        <w:trPr>
          <w:gridAfter w:val="1"/>
          <w:wAfter w:w="27" w:type="dxa"/>
          <w:cantSplit/>
          <w:tblHeader/>
        </w:trPr>
        <w:tc>
          <w:tcPr>
            <w:tcW w:w="7371" w:type="dxa"/>
            <w:vMerge/>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1134" w:type="dxa"/>
            <w:tcBorders>
              <w:bottom w:val="single" w:sz="4" w:space="0" w:color="auto"/>
            </w:tcBorders>
            <w:shd w:val="clear" w:color="auto" w:fill="E7E6E6"/>
            <w:vAlign w:val="bottom"/>
          </w:tcPr>
          <w:p w:rsidR="00C232A3" w:rsidRPr="00DA2486" w:rsidRDefault="00C232A3" w:rsidP="00C232A3">
            <w:pPr>
              <w:pStyle w:val="ARfintablecolheadright"/>
            </w:pPr>
            <w:r w:rsidRPr="00DA2486">
              <w:t>2017</w:t>
            </w:r>
          </w:p>
          <w:p w:rsidR="00C232A3" w:rsidRPr="00DA2486" w:rsidRDefault="00C232A3" w:rsidP="00C232A3">
            <w:pPr>
              <w:pStyle w:val="ARfintablecolheadright"/>
            </w:pPr>
            <w:r w:rsidRPr="00DA2486">
              <w:t>$</w:t>
            </w:r>
            <w:r>
              <w:t>M</w:t>
            </w:r>
          </w:p>
        </w:tc>
        <w:tc>
          <w:tcPr>
            <w:tcW w:w="1134" w:type="dxa"/>
            <w:tcBorders>
              <w:bottom w:val="single" w:sz="4" w:space="0" w:color="auto"/>
            </w:tcBorders>
            <w:vAlign w:val="bottom"/>
          </w:tcPr>
          <w:p w:rsidR="00C232A3" w:rsidRPr="00DA2486" w:rsidRDefault="00C232A3" w:rsidP="00C232A3">
            <w:pPr>
              <w:pStyle w:val="ARfintablecolheadright"/>
            </w:pPr>
            <w:r w:rsidRPr="00DA2486">
              <w:t>2016</w:t>
            </w:r>
            <w:r>
              <w:t xml:space="preserve"> </w:t>
            </w:r>
            <w:r w:rsidRPr="00DA2486">
              <w:rPr>
                <w:rStyle w:val="Superscriptbold"/>
              </w:rPr>
              <w:t>(</w:t>
            </w:r>
            <w:proofErr w:type="spellStart"/>
            <w:r w:rsidRPr="00DA2486">
              <w:rPr>
                <w:rStyle w:val="Superscriptbold"/>
              </w:rPr>
              <w:t>i</w:t>
            </w:r>
            <w:proofErr w:type="spellEnd"/>
            <w:r w:rsidRPr="00DA2486">
              <w:rPr>
                <w:rStyle w:val="Superscriptbold"/>
              </w:rPr>
              <w:t>)</w:t>
            </w:r>
          </w:p>
          <w:p w:rsidR="00C232A3" w:rsidRPr="00DA2486" w:rsidRDefault="00C232A3" w:rsidP="00C232A3">
            <w:pPr>
              <w:pStyle w:val="ARfintablecolheadright"/>
            </w:pPr>
            <w:r w:rsidRPr="00DA2486">
              <w:t>$</w:t>
            </w:r>
            <w:r>
              <w:t>M</w:t>
            </w:r>
          </w:p>
        </w:tc>
      </w:tr>
      <w:tr w:rsidR="00C232A3" w:rsidRPr="00AB62BD" w:rsidTr="00C232A3">
        <w:trPr>
          <w:gridAfter w:val="1"/>
          <w:wAfter w:w="27" w:type="dxa"/>
          <w:cantSplit/>
        </w:trPr>
        <w:tc>
          <w:tcPr>
            <w:tcW w:w="7371"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Short-term employee benefits</w:t>
            </w:r>
          </w:p>
        </w:tc>
        <w:tc>
          <w:tcPr>
            <w:tcW w:w="1134" w:type="dxa"/>
            <w:tcBorders>
              <w:top w:val="single" w:sz="4" w:space="0" w:color="auto"/>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29.0</w:t>
            </w:r>
          </w:p>
        </w:tc>
        <w:tc>
          <w:tcPr>
            <w:tcW w:w="1134" w:type="dxa"/>
            <w:tcBorders>
              <w:top w:val="single" w:sz="4" w:space="0" w:color="auto"/>
              <w:bottom w:val="single" w:sz="4" w:space="0" w:color="A6A6A6" w:themeColor="background1" w:themeShade="A6"/>
            </w:tcBorders>
            <w:shd w:val="clear" w:color="auto" w:fill="595959" w:themeFill="text1" w:themeFillTint="A6"/>
          </w:tcPr>
          <w:p w:rsidR="00C232A3" w:rsidRPr="00AB62BD" w:rsidRDefault="00C232A3" w:rsidP="00C232A3">
            <w:pPr>
              <w:pStyle w:val="ARfintablebodyright"/>
              <w:rPr>
                <w:lang w:eastAsia="en-AU"/>
              </w:rPr>
            </w:pPr>
            <w:r>
              <w:rPr>
                <w:lang w:eastAsia="en-AU"/>
              </w:rPr>
              <w:t xml:space="preserve"> </w:t>
            </w:r>
          </w:p>
        </w:tc>
      </w:tr>
      <w:tr w:rsidR="00C232A3" w:rsidRPr="00AB62BD" w:rsidTr="00C232A3">
        <w:trPr>
          <w:gridAfter w:val="1"/>
          <w:wAfter w:w="27" w:type="dxa"/>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Post-employment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sidRPr="00AB62BD">
              <w:rPr>
                <w:lang w:eastAsia="en-AU"/>
              </w:rPr>
              <w:t>3.3</w:t>
            </w:r>
          </w:p>
        </w:tc>
        <w:tc>
          <w:tcPr>
            <w:tcW w:w="1134" w:type="dxa"/>
            <w:tcBorders>
              <w:top w:val="single" w:sz="4" w:space="0" w:color="A6A6A6" w:themeColor="background1" w:themeShade="A6"/>
              <w:bottom w:val="single" w:sz="4" w:space="0" w:color="A6A6A6" w:themeColor="background1" w:themeShade="A6"/>
            </w:tcBorders>
            <w:shd w:val="clear" w:color="auto" w:fill="595959" w:themeFill="text1" w:themeFillTint="A6"/>
          </w:tcPr>
          <w:p w:rsidR="00C232A3" w:rsidRPr="00AB62BD" w:rsidRDefault="00C232A3" w:rsidP="00C232A3">
            <w:pPr>
              <w:pStyle w:val="ARfintablebodyright"/>
              <w:rPr>
                <w:lang w:eastAsia="en-AU"/>
              </w:rPr>
            </w:pPr>
          </w:p>
        </w:tc>
      </w:tr>
      <w:tr w:rsidR="00C232A3" w:rsidRPr="00AB62BD" w:rsidTr="00C232A3">
        <w:trPr>
          <w:gridAfter w:val="1"/>
          <w:wAfter w:w="27" w:type="dxa"/>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long-term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0.7</w:t>
            </w:r>
          </w:p>
        </w:tc>
        <w:tc>
          <w:tcPr>
            <w:tcW w:w="1134" w:type="dxa"/>
            <w:tcBorders>
              <w:top w:val="single" w:sz="4" w:space="0" w:color="A6A6A6" w:themeColor="background1" w:themeShade="A6"/>
              <w:bottom w:val="single" w:sz="4" w:space="0" w:color="A6A6A6" w:themeColor="background1" w:themeShade="A6"/>
            </w:tcBorders>
            <w:shd w:val="clear" w:color="auto" w:fill="595959" w:themeFill="text1" w:themeFillTint="A6"/>
          </w:tcPr>
          <w:p w:rsidR="00C232A3" w:rsidRPr="00AB62BD" w:rsidRDefault="00C232A3" w:rsidP="00C232A3">
            <w:pPr>
              <w:pStyle w:val="ARfintablebodyright"/>
              <w:rPr>
                <w:lang w:eastAsia="en-AU"/>
              </w:rPr>
            </w:pPr>
          </w:p>
        </w:tc>
      </w:tr>
      <w:tr w:rsidR="00C232A3" w:rsidRPr="00AB62BD" w:rsidTr="00C232A3">
        <w:trPr>
          <w:gridAfter w:val="1"/>
          <w:wAfter w:w="27" w:type="dxa"/>
          <w:cantSplit/>
        </w:trPr>
        <w:tc>
          <w:tcPr>
            <w:tcW w:w="7371"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Termination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0.4</w:t>
            </w:r>
          </w:p>
        </w:tc>
        <w:tc>
          <w:tcPr>
            <w:tcW w:w="1134" w:type="dxa"/>
            <w:tcBorders>
              <w:top w:val="single" w:sz="4" w:space="0" w:color="A6A6A6" w:themeColor="background1" w:themeShade="A6"/>
              <w:bottom w:val="single" w:sz="4" w:space="0" w:color="A6A6A6" w:themeColor="background1" w:themeShade="A6"/>
            </w:tcBorders>
            <w:shd w:val="clear" w:color="auto" w:fill="595959" w:themeFill="text1" w:themeFillTint="A6"/>
          </w:tcPr>
          <w:p w:rsidR="00C232A3" w:rsidRPr="00AB62BD" w:rsidRDefault="00C232A3" w:rsidP="00C232A3">
            <w:pPr>
              <w:pStyle w:val="ARfintablebodyright"/>
              <w:rPr>
                <w:lang w:eastAsia="en-AU"/>
              </w:rPr>
            </w:pPr>
          </w:p>
        </w:tc>
      </w:tr>
      <w:tr w:rsidR="00C232A3" w:rsidRPr="00AB62BD" w:rsidTr="00C232A3">
        <w:trPr>
          <w:gridAfter w:val="1"/>
          <w:wAfter w:w="27" w:type="dxa"/>
          <w:cantSplit/>
        </w:trPr>
        <w:tc>
          <w:tcPr>
            <w:tcW w:w="7371"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Share-based payments</w:t>
            </w:r>
          </w:p>
        </w:tc>
        <w:tc>
          <w:tcPr>
            <w:tcW w:w="1134" w:type="dxa"/>
            <w:tcBorders>
              <w:top w:val="single" w:sz="4" w:space="0" w:color="A6A6A6" w:themeColor="background1" w:themeShade="A6"/>
            </w:tcBorders>
            <w:shd w:val="clear" w:color="auto" w:fill="E7E6E6"/>
          </w:tcPr>
          <w:p w:rsidR="00C232A3" w:rsidRPr="00AB62BD" w:rsidRDefault="00C232A3" w:rsidP="00C232A3">
            <w:pPr>
              <w:pStyle w:val="ARfintablebodyright"/>
              <w:rPr>
                <w:lang w:eastAsia="en-AU"/>
              </w:rPr>
            </w:pPr>
            <w:r>
              <w:rPr>
                <w:lang w:eastAsia="en-AU"/>
              </w:rPr>
              <w:t>–</w:t>
            </w:r>
          </w:p>
        </w:tc>
        <w:tc>
          <w:tcPr>
            <w:tcW w:w="1134" w:type="dxa"/>
            <w:tcBorders>
              <w:top w:val="single" w:sz="4" w:space="0" w:color="A6A6A6" w:themeColor="background1" w:themeShade="A6"/>
            </w:tcBorders>
            <w:shd w:val="clear" w:color="auto" w:fill="595959" w:themeFill="text1" w:themeFillTint="A6"/>
          </w:tcPr>
          <w:p w:rsidR="00C232A3" w:rsidRPr="00AB62BD" w:rsidRDefault="00C232A3" w:rsidP="00C232A3">
            <w:pPr>
              <w:pStyle w:val="ARfintablebodyright"/>
              <w:rPr>
                <w:lang w:eastAsia="en-AU"/>
              </w:rPr>
            </w:pPr>
          </w:p>
        </w:tc>
      </w:tr>
      <w:tr w:rsidR="00C232A3" w:rsidRPr="00AB62BD" w:rsidTr="00C232A3">
        <w:trPr>
          <w:gridAfter w:val="1"/>
          <w:wAfter w:w="27" w:type="dxa"/>
          <w:cantSplit/>
        </w:trPr>
        <w:tc>
          <w:tcPr>
            <w:tcW w:w="7371" w:type="dxa"/>
          </w:tcPr>
          <w:p w:rsidR="00C232A3" w:rsidRPr="00AB62BD" w:rsidRDefault="00C232A3" w:rsidP="00C232A3">
            <w:pPr>
              <w:pStyle w:val="ARfintablebody"/>
              <w:rPr>
                <w:b/>
                <w:bCs/>
                <w:vertAlign w:val="superscript"/>
                <w:lang w:eastAsia="en-AU"/>
              </w:rPr>
            </w:pPr>
            <w:r w:rsidRPr="00AB62BD">
              <w:rPr>
                <w:rStyle w:val="Strong"/>
              </w:rPr>
              <w:t>Total remuneration</w:t>
            </w:r>
            <w:r>
              <w:rPr>
                <w:rStyle w:val="Strong"/>
              </w:rPr>
              <w:t xml:space="preserve"> </w:t>
            </w:r>
            <w:r w:rsidRPr="00DA2486">
              <w:rPr>
                <w:rStyle w:val="Superscriptbold"/>
              </w:rPr>
              <w:t>(</w:t>
            </w:r>
            <w:proofErr w:type="spellStart"/>
            <w:r w:rsidRPr="00DA2486">
              <w:rPr>
                <w:rStyle w:val="Superscriptbold"/>
              </w:rPr>
              <w:t>i</w:t>
            </w:r>
            <w:proofErr w:type="spellEnd"/>
            <w:r w:rsidRPr="00DA2486">
              <w:rPr>
                <w:rStyle w:val="Superscriptbold"/>
              </w:rPr>
              <w:t>)</w:t>
            </w:r>
            <w:r>
              <w:rPr>
                <w:rStyle w:val="Superscriptbold"/>
              </w:rPr>
              <w:t xml:space="preserve"> </w:t>
            </w:r>
            <w:r w:rsidRPr="00DA2486">
              <w:rPr>
                <w:rStyle w:val="Superscriptbold"/>
              </w:rPr>
              <w:t>(ii)</w:t>
            </w:r>
          </w:p>
        </w:tc>
        <w:tc>
          <w:tcPr>
            <w:tcW w:w="1134" w:type="dxa"/>
            <w:shd w:val="clear" w:color="auto" w:fill="E7E6E6"/>
          </w:tcPr>
          <w:p w:rsidR="00C232A3" w:rsidRPr="00AB62BD" w:rsidRDefault="00C232A3" w:rsidP="00C232A3">
            <w:pPr>
              <w:pStyle w:val="ARfintablebodyright"/>
              <w:rPr>
                <w:b/>
                <w:bCs/>
                <w:lang w:eastAsia="en-AU"/>
              </w:rPr>
            </w:pPr>
            <w:r>
              <w:rPr>
                <w:rStyle w:val="Strong"/>
              </w:rPr>
              <w:t>33.4</w:t>
            </w:r>
          </w:p>
        </w:tc>
        <w:tc>
          <w:tcPr>
            <w:tcW w:w="1134" w:type="dxa"/>
            <w:shd w:val="clear" w:color="auto" w:fill="595959" w:themeFill="text1" w:themeFillTint="A6"/>
          </w:tcPr>
          <w:p w:rsidR="00C232A3" w:rsidRPr="00AB62BD" w:rsidRDefault="00C232A3" w:rsidP="00C232A3">
            <w:pPr>
              <w:pStyle w:val="ARfintablebodyright"/>
              <w:rPr>
                <w:b/>
                <w:bCs/>
                <w:lang w:eastAsia="en-AU"/>
              </w:rPr>
            </w:pPr>
          </w:p>
        </w:tc>
      </w:tr>
      <w:tr w:rsidR="00C232A3" w:rsidRPr="00AB62BD" w:rsidTr="00C232A3">
        <w:trPr>
          <w:gridAfter w:val="1"/>
          <w:wAfter w:w="27" w:type="dxa"/>
          <w:cantSplit/>
        </w:trPr>
        <w:tc>
          <w:tcPr>
            <w:tcW w:w="7371" w:type="dxa"/>
          </w:tcPr>
          <w:p w:rsidR="00C232A3" w:rsidRPr="00AB62BD" w:rsidRDefault="00C232A3" w:rsidP="00C232A3">
            <w:pPr>
              <w:pStyle w:val="ARfintablebody"/>
              <w:rPr>
                <w:b/>
                <w:bCs/>
                <w:lang w:eastAsia="en-AU"/>
              </w:rPr>
            </w:pPr>
            <w:r w:rsidRPr="00AB62BD">
              <w:rPr>
                <w:rStyle w:val="Strong"/>
              </w:rPr>
              <w:t>Total number of executives</w:t>
            </w:r>
          </w:p>
        </w:tc>
        <w:tc>
          <w:tcPr>
            <w:tcW w:w="1134" w:type="dxa"/>
            <w:shd w:val="clear" w:color="auto" w:fill="E7E6E6"/>
          </w:tcPr>
          <w:p w:rsidR="00C232A3" w:rsidRPr="00AB62BD" w:rsidRDefault="00C232A3" w:rsidP="00C232A3">
            <w:pPr>
              <w:pStyle w:val="ARfintablebodyright"/>
              <w:rPr>
                <w:b/>
                <w:bCs/>
                <w:lang w:eastAsia="en-AU"/>
              </w:rPr>
            </w:pPr>
            <w:r>
              <w:rPr>
                <w:rStyle w:val="Strong"/>
              </w:rPr>
              <w:t>164</w:t>
            </w:r>
          </w:p>
        </w:tc>
        <w:tc>
          <w:tcPr>
            <w:tcW w:w="1134" w:type="dxa"/>
          </w:tcPr>
          <w:p w:rsidR="00C232A3" w:rsidRPr="00AB62BD" w:rsidRDefault="00C232A3" w:rsidP="00C232A3">
            <w:pPr>
              <w:pStyle w:val="ARfintablebodyright"/>
              <w:rPr>
                <w:b/>
                <w:bCs/>
                <w:lang w:eastAsia="en-AU"/>
              </w:rPr>
            </w:pPr>
            <w:r w:rsidRPr="00AB62BD">
              <w:rPr>
                <w:rStyle w:val="Strong"/>
              </w:rPr>
              <w:t>145</w:t>
            </w:r>
          </w:p>
        </w:tc>
      </w:tr>
      <w:tr w:rsidR="00C232A3" w:rsidRPr="00AB62BD" w:rsidTr="00C232A3">
        <w:trPr>
          <w:gridAfter w:val="1"/>
          <w:wAfter w:w="27" w:type="dxa"/>
          <w:cantSplit/>
        </w:trPr>
        <w:tc>
          <w:tcPr>
            <w:tcW w:w="7371" w:type="dxa"/>
          </w:tcPr>
          <w:p w:rsidR="00C232A3" w:rsidRPr="00AB62BD" w:rsidRDefault="00C232A3" w:rsidP="00C232A3">
            <w:pPr>
              <w:pStyle w:val="ARfintablebody"/>
              <w:rPr>
                <w:b/>
                <w:bCs/>
                <w:vertAlign w:val="superscript"/>
                <w:lang w:eastAsia="en-AU"/>
              </w:rPr>
            </w:pPr>
            <w:r w:rsidRPr="00AB62BD">
              <w:rPr>
                <w:rStyle w:val="Strong"/>
              </w:rPr>
              <w:t>Total annualised employee equivalent (AEE)</w:t>
            </w:r>
            <w:r>
              <w:rPr>
                <w:rStyle w:val="Strong"/>
              </w:rPr>
              <w:t xml:space="preserve"> </w:t>
            </w:r>
            <w:r w:rsidRPr="00DA2486">
              <w:rPr>
                <w:rStyle w:val="Superscriptbold"/>
              </w:rPr>
              <w:t>(iii)</w:t>
            </w:r>
          </w:p>
        </w:tc>
        <w:tc>
          <w:tcPr>
            <w:tcW w:w="1134" w:type="dxa"/>
            <w:shd w:val="clear" w:color="auto" w:fill="E7E6E6"/>
          </w:tcPr>
          <w:p w:rsidR="00C232A3" w:rsidRPr="00AB62BD" w:rsidRDefault="00C232A3" w:rsidP="00C232A3">
            <w:pPr>
              <w:pStyle w:val="ARfintablebodyright"/>
              <w:rPr>
                <w:b/>
                <w:bCs/>
                <w:lang w:eastAsia="en-AU"/>
              </w:rPr>
            </w:pPr>
            <w:r w:rsidRPr="00AB62BD">
              <w:rPr>
                <w:rStyle w:val="Strong"/>
              </w:rPr>
              <w:t>133.8</w:t>
            </w:r>
          </w:p>
        </w:tc>
        <w:tc>
          <w:tcPr>
            <w:tcW w:w="1134" w:type="dxa"/>
          </w:tcPr>
          <w:p w:rsidR="00C232A3" w:rsidRPr="00AB62BD" w:rsidRDefault="00C232A3" w:rsidP="00C232A3">
            <w:pPr>
              <w:pStyle w:val="ARfintablebodyright"/>
              <w:rPr>
                <w:rStyle w:val="Strong"/>
                <w:bCs w:val="0"/>
              </w:rPr>
            </w:pPr>
            <w:r>
              <w:rPr>
                <w:rStyle w:val="Strong"/>
              </w:rPr>
              <w:t>110.6</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 xml:space="preserve">No comparatives have been reported because remuneration in the prior year was determined in line with the basis and definition under FRD 21B. Remuneration previously excluded non-monetary benefits and comprised any money, consideration or benefit received or receivable, excluding reimbursement of out-of-pocket expenses, including any amount received or receivable from a related party transaction. Refer to the prior year’s financial statements for executive remuneration for the </w:t>
      </w:r>
      <w:r>
        <w:t>2015–16</w:t>
      </w:r>
      <w:r w:rsidRPr="00AB62BD">
        <w:t xml:space="preserve"> reporting period.</w:t>
      </w:r>
    </w:p>
    <w:p w:rsidR="00C232A3" w:rsidRPr="00AB62BD" w:rsidRDefault="00C232A3" w:rsidP="00C232A3">
      <w:pPr>
        <w:pStyle w:val="ARfintablefootnoteroman"/>
      </w:pPr>
      <w:r>
        <w:t>(ii)</w:t>
      </w:r>
      <w:r>
        <w:tab/>
      </w:r>
      <w:r w:rsidRPr="00AB62BD">
        <w:t>The total number of executive officers includes persons who meet the definition of Key Management Personnel (KMP) of the entity under</w:t>
      </w:r>
      <w:r w:rsidRPr="004D60F7">
        <w:rPr>
          <w:rStyle w:val="Emphasis"/>
        </w:rPr>
        <w:t xml:space="preserve"> AASB 124 Related Party Disclosures</w:t>
      </w:r>
      <w:r w:rsidRPr="00AB62BD">
        <w:t xml:space="preserve"> and are also reported within the related parties note disclosure (Note 9.8).</w:t>
      </w:r>
    </w:p>
    <w:p w:rsidR="00C232A3" w:rsidRPr="00AB62BD" w:rsidRDefault="00C232A3" w:rsidP="00C232A3">
      <w:pPr>
        <w:pStyle w:val="ARfintablefootnoteroman"/>
      </w:pPr>
      <w:r>
        <w:t>(iii)</w:t>
      </w:r>
      <w:r>
        <w:tab/>
      </w:r>
      <w:r w:rsidRPr="00AB62BD">
        <w:t>Annualised employee equivalent is based on the time fraction worked over the reporting period.</w:t>
      </w:r>
    </w:p>
    <w:p w:rsidR="00C232A3" w:rsidRPr="00A15588" w:rsidRDefault="00C232A3" w:rsidP="00C232A3">
      <w:pPr>
        <w:pStyle w:val="Heading4"/>
      </w:pPr>
      <w:r w:rsidRPr="00A15588">
        <w:t>9.8 Related parties</w:t>
      </w:r>
    </w:p>
    <w:p w:rsidR="00C232A3" w:rsidRPr="00AB62BD" w:rsidRDefault="00C232A3" w:rsidP="00C232A3">
      <w:pPr>
        <w:pStyle w:val="ARfinbody"/>
        <w:rPr>
          <w:lang w:eastAsia="en-AU"/>
        </w:rPr>
      </w:pPr>
      <w:r w:rsidRPr="00AB62BD">
        <w:rPr>
          <w:lang w:eastAsia="en-AU"/>
        </w:rPr>
        <w:t>The department is a wholly owned and controlled entity of the State of Victoria.</w:t>
      </w:r>
    </w:p>
    <w:p w:rsidR="00C232A3" w:rsidRPr="00AB62BD" w:rsidRDefault="00C232A3" w:rsidP="00C232A3">
      <w:pPr>
        <w:pStyle w:val="ARfinbody"/>
        <w:rPr>
          <w:lang w:eastAsia="en-AU"/>
        </w:rPr>
      </w:pPr>
      <w:r w:rsidRPr="00AB62BD">
        <w:rPr>
          <w:lang w:eastAsia="en-AU"/>
        </w:rPr>
        <w:t xml:space="preserve">The following entities have been consolidated into the department’s financial statements pursuant to the determination made by the Minister for Finance under section 53(1)(b) of the </w:t>
      </w:r>
      <w:r w:rsidRPr="00D65EFE">
        <w:rPr>
          <w:rStyle w:val="Emphasis"/>
        </w:rPr>
        <w:t>Financial Management Act 1994</w:t>
      </w:r>
      <w:r w:rsidRPr="00AB62BD">
        <w:rPr>
          <w:rStyle w:val="Emphasis"/>
        </w:rPr>
        <w:t xml:space="preserve"> </w:t>
      </w:r>
      <w:r w:rsidRPr="00AB62BD">
        <w:rPr>
          <w:lang w:eastAsia="en-AU"/>
        </w:rPr>
        <w:t>(FMA):</w:t>
      </w:r>
    </w:p>
    <w:p w:rsidR="00C232A3" w:rsidRPr="00AB62BD" w:rsidRDefault="00C232A3" w:rsidP="00C232A3">
      <w:pPr>
        <w:pStyle w:val="ARfinbullet1"/>
        <w:rPr>
          <w:lang w:eastAsia="en-AU"/>
        </w:rPr>
      </w:pPr>
      <w:r w:rsidRPr="00AB62BD">
        <w:rPr>
          <w:lang w:eastAsia="en-AU"/>
        </w:rPr>
        <w:t>Mental Health Complaints Commissioner;</w:t>
      </w:r>
    </w:p>
    <w:p w:rsidR="00C232A3" w:rsidRPr="00AB62BD" w:rsidRDefault="00C232A3" w:rsidP="00C232A3">
      <w:pPr>
        <w:pStyle w:val="ARfinbullet1"/>
        <w:rPr>
          <w:lang w:eastAsia="en-AU"/>
        </w:rPr>
      </w:pPr>
      <w:r w:rsidRPr="00AB62BD">
        <w:rPr>
          <w:lang w:eastAsia="en-AU"/>
        </w:rPr>
        <w:t>Mental Health Tribunal;</w:t>
      </w:r>
    </w:p>
    <w:p w:rsidR="00C232A3" w:rsidRPr="00AB62BD" w:rsidRDefault="00C232A3" w:rsidP="00C232A3">
      <w:pPr>
        <w:pStyle w:val="ARfinbullet1"/>
        <w:rPr>
          <w:lang w:eastAsia="en-AU"/>
        </w:rPr>
      </w:pPr>
      <w:r w:rsidRPr="00AB62BD">
        <w:rPr>
          <w:lang w:eastAsia="en-AU"/>
        </w:rPr>
        <w:t>Commission for Children and Young People; and</w:t>
      </w:r>
    </w:p>
    <w:p w:rsidR="00C232A3" w:rsidRPr="00AB62BD" w:rsidRDefault="00C232A3" w:rsidP="00C232A3">
      <w:pPr>
        <w:pStyle w:val="ARfinbullet1"/>
        <w:rPr>
          <w:lang w:eastAsia="en-AU"/>
        </w:rPr>
      </w:pPr>
      <w:r w:rsidRPr="00AB62BD">
        <w:rPr>
          <w:lang w:eastAsia="en-AU"/>
        </w:rPr>
        <w:t>the Director of Housing.</w:t>
      </w:r>
    </w:p>
    <w:p w:rsidR="00C232A3" w:rsidRPr="00AB62BD" w:rsidRDefault="00C232A3" w:rsidP="00C232A3">
      <w:pPr>
        <w:pStyle w:val="ARfinbody"/>
        <w:rPr>
          <w:lang w:eastAsia="en-AU"/>
        </w:rPr>
      </w:pPr>
      <w:r w:rsidRPr="00AB62BD">
        <w:rPr>
          <w:lang w:eastAsia="en-AU"/>
        </w:rPr>
        <w:t>Related parties of the department, Mental Health Complaints Commissioner, Mental Health Tribunal, the Director of Housing and Commission for Children and Young People include:</w:t>
      </w:r>
    </w:p>
    <w:p w:rsidR="00C232A3" w:rsidRPr="00AB62BD" w:rsidRDefault="00C232A3" w:rsidP="00C232A3">
      <w:pPr>
        <w:pStyle w:val="ARfinbullet1"/>
        <w:rPr>
          <w:lang w:eastAsia="en-AU"/>
        </w:rPr>
      </w:pPr>
      <w:r w:rsidRPr="00AB62BD">
        <w:rPr>
          <w:lang w:eastAsia="en-AU"/>
        </w:rPr>
        <w:t>all key management personnel and their close family members and personal business interests (controlled entities, joint ventures and entities they have significant influence over);</w:t>
      </w:r>
    </w:p>
    <w:p w:rsidR="00C232A3" w:rsidRPr="00AB62BD" w:rsidRDefault="00C232A3" w:rsidP="00C232A3">
      <w:pPr>
        <w:pStyle w:val="ARfinbullet1"/>
        <w:rPr>
          <w:lang w:eastAsia="en-AU"/>
        </w:rPr>
      </w:pPr>
      <w:r w:rsidRPr="00AB62BD">
        <w:rPr>
          <w:lang w:eastAsia="en-AU"/>
        </w:rPr>
        <w:t>all cabinet ministers and their close family members; and</w:t>
      </w:r>
    </w:p>
    <w:p w:rsidR="00C232A3" w:rsidRPr="00AB62BD" w:rsidRDefault="00C232A3" w:rsidP="00C232A3">
      <w:pPr>
        <w:pStyle w:val="ARfinbullet1"/>
        <w:rPr>
          <w:lang w:eastAsia="en-AU"/>
        </w:rPr>
      </w:pPr>
      <w:r w:rsidRPr="00AB62BD">
        <w:rPr>
          <w:lang w:eastAsia="en-AU"/>
        </w:rPr>
        <w:t>all departments and public sector entities that are controlled and consolidated into the whole of state consolidated financial statements.</w:t>
      </w:r>
    </w:p>
    <w:p w:rsidR="00C232A3" w:rsidRPr="00AB62BD" w:rsidRDefault="00C232A3" w:rsidP="00C232A3">
      <w:pPr>
        <w:pStyle w:val="ARfinbody"/>
        <w:rPr>
          <w:lang w:eastAsia="en-AU"/>
        </w:rPr>
      </w:pPr>
      <w:r w:rsidRPr="00AB62BD">
        <w:rPr>
          <w:lang w:eastAsia="en-AU"/>
        </w:rPr>
        <w:t>All related party transactions have been entered into on an arm’s length basis.</w:t>
      </w:r>
    </w:p>
    <w:p w:rsidR="00C232A3" w:rsidRPr="00D11896" w:rsidRDefault="00C232A3" w:rsidP="00C232A3">
      <w:pPr>
        <w:pStyle w:val="Heading5"/>
        <w:rPr>
          <w:rStyle w:val="Strong"/>
        </w:rPr>
      </w:pPr>
      <w:r w:rsidRPr="00D11896">
        <w:rPr>
          <w:rStyle w:val="Strong"/>
        </w:rPr>
        <w:t>Significant transactions with government-related entities</w:t>
      </w:r>
    </w:p>
    <w:p w:rsidR="00C232A3" w:rsidRPr="00AB62BD" w:rsidRDefault="00C232A3" w:rsidP="00C232A3">
      <w:pPr>
        <w:pStyle w:val="ARfinbody"/>
        <w:rPr>
          <w:lang w:eastAsia="en-AU"/>
        </w:rPr>
      </w:pPr>
      <w:r w:rsidRPr="00AB62BD">
        <w:rPr>
          <w:lang w:eastAsia="en-AU"/>
        </w:rPr>
        <w:t>The department received funding and made payments to the Consolidated Fund of $15,089.9 million (2016: $14,242.9 million) and $456.0 million (2016: $436.4 million) respectively.</w:t>
      </w:r>
    </w:p>
    <w:p w:rsidR="00C232A3" w:rsidRPr="00AB62BD" w:rsidRDefault="00C232A3" w:rsidP="00C232A3">
      <w:pPr>
        <w:pStyle w:val="ARfinbody"/>
        <w:rPr>
          <w:lang w:eastAsia="en-AU"/>
        </w:rPr>
      </w:pPr>
      <w:r w:rsidRPr="00AB62BD">
        <w:rPr>
          <w:lang w:eastAsia="en-AU"/>
        </w:rPr>
        <w:t>Refer to Note 3.1.2 for other government-related entity transactions:</w:t>
      </w:r>
    </w:p>
    <w:p w:rsidR="00C232A3" w:rsidRPr="00AB62BD" w:rsidRDefault="00C232A3" w:rsidP="00C232A3">
      <w:pPr>
        <w:pStyle w:val="ARfinbody"/>
        <w:rPr>
          <w:lang w:eastAsia="en-AU"/>
        </w:rPr>
      </w:pPr>
      <w:r w:rsidRPr="00D65EFE">
        <w:rPr>
          <w:rStyle w:val="Strong"/>
        </w:rPr>
        <w:t>Key management personnel</w:t>
      </w:r>
      <w:r w:rsidRPr="00AB62BD">
        <w:rPr>
          <w:lang w:eastAsia="en-AU"/>
        </w:rPr>
        <w:t xml:space="preserve"> of the department include the Portfolio Ministers, the Hon. Jill Hennessy MP, the Hon. Martin Foley MP, the Hon. Jenny </w:t>
      </w:r>
      <w:proofErr w:type="spellStart"/>
      <w:r w:rsidRPr="00AB62BD">
        <w:rPr>
          <w:lang w:eastAsia="en-AU"/>
        </w:rPr>
        <w:t>Mikakos</w:t>
      </w:r>
      <w:proofErr w:type="spellEnd"/>
      <w:r w:rsidRPr="00AB62BD">
        <w:rPr>
          <w:lang w:eastAsia="en-AU"/>
        </w:rPr>
        <w:t xml:space="preserve"> MLC, the Hon. John </w:t>
      </w:r>
      <w:proofErr w:type="spellStart"/>
      <w:r w:rsidRPr="00AB62BD">
        <w:rPr>
          <w:lang w:eastAsia="en-AU"/>
        </w:rPr>
        <w:t>Eren</w:t>
      </w:r>
      <w:proofErr w:type="spellEnd"/>
      <w:r w:rsidRPr="00AB62BD">
        <w:rPr>
          <w:lang w:eastAsia="en-AU"/>
        </w:rPr>
        <w:t xml:space="preserve"> MP, the Secretary, Kym Peake and members of the Senior Executive Team, which includes:</w:t>
      </w:r>
    </w:p>
    <w:p w:rsidR="00C232A3" w:rsidRPr="00AB62BD" w:rsidRDefault="00C232A3" w:rsidP="00C232A3">
      <w:pPr>
        <w:pStyle w:val="ARfinbullet1"/>
        <w:rPr>
          <w:lang w:eastAsia="en-AU"/>
        </w:rPr>
      </w:pPr>
      <w:r w:rsidRPr="00AB62BD">
        <w:rPr>
          <w:lang w:eastAsia="en-AU"/>
        </w:rPr>
        <w:t xml:space="preserve">Deputy Secretary of Corporate Services, Carolyn De </w:t>
      </w:r>
      <w:proofErr w:type="spellStart"/>
      <w:r w:rsidRPr="00AB62BD">
        <w:rPr>
          <w:lang w:eastAsia="en-AU"/>
        </w:rPr>
        <w:t>Gois</w:t>
      </w:r>
      <w:proofErr w:type="spellEnd"/>
    </w:p>
    <w:p w:rsidR="00C232A3" w:rsidRPr="00AB62BD" w:rsidRDefault="00C232A3" w:rsidP="00C232A3">
      <w:pPr>
        <w:pStyle w:val="ARfinbullet1"/>
        <w:rPr>
          <w:lang w:eastAsia="en-AU"/>
        </w:rPr>
      </w:pPr>
      <w:r w:rsidRPr="00AB62BD">
        <w:rPr>
          <w:lang w:eastAsia="en-AU"/>
        </w:rPr>
        <w:t>Former Deputy Secretary of Corporate Services, Lance Wallace</w:t>
      </w:r>
    </w:p>
    <w:p w:rsidR="00C232A3" w:rsidRPr="00AB62BD" w:rsidRDefault="00C232A3" w:rsidP="00C232A3">
      <w:pPr>
        <w:pStyle w:val="ARfinbullet1"/>
        <w:rPr>
          <w:lang w:eastAsia="en-AU"/>
        </w:rPr>
      </w:pPr>
      <w:r w:rsidRPr="00AB62BD">
        <w:rPr>
          <w:lang w:eastAsia="en-AU"/>
        </w:rPr>
        <w:t>Deputy Secretary of People, Capability &amp; Oversight, Annalise Bamford</w:t>
      </w:r>
    </w:p>
    <w:p w:rsidR="00C232A3" w:rsidRPr="00AB62BD" w:rsidRDefault="00C232A3" w:rsidP="00C232A3">
      <w:pPr>
        <w:pStyle w:val="ARfinbullet1"/>
        <w:rPr>
          <w:lang w:eastAsia="en-AU"/>
        </w:rPr>
      </w:pPr>
      <w:r w:rsidRPr="00AB62BD">
        <w:rPr>
          <w:lang w:eastAsia="en-AU"/>
        </w:rPr>
        <w:t>Former Deputy Secretary of People, Capability &amp; Oversight, Elizabeth Langdon</w:t>
      </w:r>
    </w:p>
    <w:p w:rsidR="00C232A3" w:rsidRPr="00AB62BD" w:rsidRDefault="00C232A3" w:rsidP="00C232A3">
      <w:pPr>
        <w:pStyle w:val="ARfinbullet1"/>
        <w:rPr>
          <w:lang w:eastAsia="en-AU"/>
        </w:rPr>
      </w:pPr>
      <w:r w:rsidRPr="00AB62BD">
        <w:rPr>
          <w:lang w:eastAsia="en-AU"/>
        </w:rPr>
        <w:t xml:space="preserve">Deputy Secretary of Finance &amp; Infrastructure, and Director of Housing, Nick </w:t>
      </w:r>
      <w:proofErr w:type="spellStart"/>
      <w:r w:rsidRPr="00AB62BD">
        <w:rPr>
          <w:lang w:eastAsia="en-AU"/>
        </w:rPr>
        <w:t>Foa</w:t>
      </w:r>
      <w:proofErr w:type="spellEnd"/>
    </w:p>
    <w:p w:rsidR="00C232A3" w:rsidRPr="00AB62BD" w:rsidRDefault="00C232A3" w:rsidP="00C232A3">
      <w:pPr>
        <w:pStyle w:val="ARfinbullet1"/>
        <w:rPr>
          <w:lang w:eastAsia="en-AU"/>
        </w:rPr>
      </w:pPr>
      <w:r w:rsidRPr="00AB62BD">
        <w:rPr>
          <w:lang w:eastAsia="en-AU"/>
        </w:rPr>
        <w:t xml:space="preserve">Deputy Secretary of Regulation, Health Protection and Emergency Management, Melissa </w:t>
      </w:r>
      <w:proofErr w:type="spellStart"/>
      <w:r w:rsidRPr="00AB62BD">
        <w:rPr>
          <w:lang w:eastAsia="en-AU"/>
        </w:rPr>
        <w:t>Skilbeck</w:t>
      </w:r>
      <w:proofErr w:type="spellEnd"/>
    </w:p>
    <w:p w:rsidR="00C232A3" w:rsidRPr="00AB62BD" w:rsidRDefault="00C232A3" w:rsidP="00C232A3">
      <w:pPr>
        <w:pStyle w:val="ARfinbullet1"/>
        <w:rPr>
          <w:lang w:eastAsia="en-AU"/>
        </w:rPr>
      </w:pPr>
      <w:r w:rsidRPr="00AB62BD">
        <w:rPr>
          <w:lang w:eastAsia="en-AU"/>
        </w:rPr>
        <w:t>Deputy Secretary of Community Participation, Sport &amp; Recreation, Health &amp; Wellbeing, Anne Congleton</w:t>
      </w:r>
    </w:p>
    <w:p w:rsidR="00C232A3" w:rsidRPr="00AB62BD" w:rsidRDefault="00C232A3" w:rsidP="00C232A3">
      <w:pPr>
        <w:pStyle w:val="ARfinbullet1"/>
        <w:rPr>
          <w:lang w:eastAsia="en-AU"/>
        </w:rPr>
      </w:pPr>
      <w:r w:rsidRPr="00AB62BD">
        <w:rPr>
          <w:lang w:eastAsia="en-AU"/>
        </w:rPr>
        <w:t>Deputy Secretary of Health Service Policy and Commissioning, Terry Symonds</w:t>
      </w:r>
    </w:p>
    <w:p w:rsidR="00C232A3" w:rsidRPr="00AB62BD" w:rsidRDefault="00C232A3" w:rsidP="00C232A3">
      <w:pPr>
        <w:pStyle w:val="ARfinbullet1"/>
        <w:rPr>
          <w:lang w:eastAsia="en-AU"/>
        </w:rPr>
      </w:pPr>
      <w:r w:rsidRPr="00AB62BD">
        <w:rPr>
          <w:lang w:eastAsia="en-AU"/>
        </w:rPr>
        <w:t xml:space="preserve">Deputy Secretary of Operations, Chris </w:t>
      </w:r>
      <w:proofErr w:type="spellStart"/>
      <w:r w:rsidRPr="00AB62BD">
        <w:rPr>
          <w:lang w:eastAsia="en-AU"/>
        </w:rPr>
        <w:t>Asquini</w:t>
      </w:r>
      <w:proofErr w:type="spellEnd"/>
    </w:p>
    <w:p w:rsidR="00C232A3" w:rsidRPr="00AB62BD" w:rsidRDefault="00C232A3" w:rsidP="00C232A3">
      <w:pPr>
        <w:pStyle w:val="ARfinbullet1"/>
        <w:rPr>
          <w:lang w:eastAsia="en-AU"/>
        </w:rPr>
      </w:pPr>
      <w:r w:rsidRPr="00AB62BD">
        <w:rPr>
          <w:lang w:eastAsia="en-AU"/>
        </w:rPr>
        <w:t>Deputy Secretary of Community Services Programs &amp; Design, Amanda Cattermole</w:t>
      </w:r>
    </w:p>
    <w:p w:rsidR="00C232A3" w:rsidRPr="00AB62BD" w:rsidRDefault="00C232A3" w:rsidP="00C232A3">
      <w:pPr>
        <w:pStyle w:val="ARfinbullet1"/>
        <w:rPr>
          <w:lang w:eastAsia="en-AU"/>
        </w:rPr>
      </w:pPr>
      <w:r w:rsidRPr="00AB62BD">
        <w:rPr>
          <w:lang w:eastAsia="en-AU"/>
        </w:rPr>
        <w:t>Acting Deputy Secretary of Portfolio Strategy &amp; Reform, Amity Durham</w:t>
      </w:r>
    </w:p>
    <w:p w:rsidR="00C232A3" w:rsidRPr="00AB62BD" w:rsidRDefault="00C232A3" w:rsidP="00C232A3">
      <w:pPr>
        <w:pStyle w:val="ARfinbullet1"/>
        <w:rPr>
          <w:lang w:eastAsia="en-AU"/>
        </w:rPr>
      </w:pPr>
      <w:r w:rsidRPr="00AB62BD">
        <w:rPr>
          <w:lang w:eastAsia="en-AU"/>
        </w:rPr>
        <w:t xml:space="preserve">Chief Financial Officer, Greg </w:t>
      </w:r>
      <w:proofErr w:type="spellStart"/>
      <w:r w:rsidRPr="00AB62BD">
        <w:rPr>
          <w:lang w:eastAsia="en-AU"/>
        </w:rPr>
        <w:t>Stenton</w:t>
      </w:r>
      <w:proofErr w:type="spellEnd"/>
    </w:p>
    <w:p w:rsidR="00C232A3" w:rsidRPr="00AB62BD" w:rsidRDefault="00C232A3" w:rsidP="00C232A3">
      <w:pPr>
        <w:pStyle w:val="ARfinbullet1"/>
        <w:rPr>
          <w:lang w:eastAsia="en-AU"/>
        </w:rPr>
      </w:pPr>
      <w:r w:rsidRPr="00AB62BD">
        <w:rPr>
          <w:lang w:eastAsia="en-AU"/>
        </w:rPr>
        <w:t>Acting Chief Executive Officer of Victorian Agency for Health Information, Diane Watson</w:t>
      </w:r>
    </w:p>
    <w:p w:rsidR="00C232A3" w:rsidRPr="00AB62BD" w:rsidRDefault="00C232A3" w:rsidP="00C232A3">
      <w:pPr>
        <w:pStyle w:val="ARfinbullet1"/>
        <w:rPr>
          <w:lang w:eastAsia="en-AU"/>
        </w:rPr>
      </w:pPr>
      <w:r w:rsidRPr="00AB62BD">
        <w:rPr>
          <w:lang w:eastAsia="en-AU"/>
        </w:rPr>
        <w:t>Chief Executive Officer of Safer Care Victoria, Euan Wallace</w:t>
      </w:r>
    </w:p>
    <w:p w:rsidR="005F3CDC" w:rsidRPr="005F3CDC" w:rsidRDefault="005F3CDC" w:rsidP="005F3CDC">
      <w:pPr>
        <w:pStyle w:val="ARbody"/>
      </w:pPr>
      <w:r w:rsidRPr="005F3CDC">
        <w:br w:type="page"/>
      </w:r>
    </w:p>
    <w:p w:rsidR="00C232A3" w:rsidRPr="00D65EFE" w:rsidRDefault="00C232A3" w:rsidP="00C232A3">
      <w:pPr>
        <w:pStyle w:val="ARfinbody"/>
      </w:pPr>
      <w:r w:rsidRPr="00D65EFE">
        <w:lastRenderedPageBreak/>
        <w:t xml:space="preserve">Key management personnel of the agencies consolidated pursuant to section 53(1)(b) of the FMA into the </w:t>
      </w:r>
      <w:r>
        <w:t>department’s</w:t>
      </w:r>
      <w:r w:rsidRPr="00D65EFE">
        <w:t xml:space="preserve"> financial statements include: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402"/>
        <w:gridCol w:w="2835"/>
        <w:gridCol w:w="3402"/>
      </w:tblGrid>
      <w:tr w:rsidR="00C232A3" w:rsidRPr="00AB62BD" w:rsidTr="008121EC">
        <w:trPr>
          <w:cantSplit/>
          <w:tblHeader/>
        </w:trPr>
        <w:tc>
          <w:tcPr>
            <w:tcW w:w="3402" w:type="dxa"/>
          </w:tcPr>
          <w:p w:rsidR="00C232A3" w:rsidRPr="00DA2486" w:rsidRDefault="00C232A3" w:rsidP="00C232A3">
            <w:pPr>
              <w:pStyle w:val="ARfintablecolhead"/>
            </w:pPr>
            <w:r w:rsidRPr="00DA2486">
              <w:t>Entity</w:t>
            </w:r>
          </w:p>
        </w:tc>
        <w:tc>
          <w:tcPr>
            <w:tcW w:w="2835" w:type="dxa"/>
          </w:tcPr>
          <w:p w:rsidR="00C232A3" w:rsidRPr="00DA2486" w:rsidRDefault="00C232A3" w:rsidP="00C232A3">
            <w:pPr>
              <w:pStyle w:val="ARfintablecolhead"/>
            </w:pPr>
            <w:r w:rsidRPr="00DA2486">
              <w:t>Key Management Personnel</w:t>
            </w:r>
          </w:p>
        </w:tc>
        <w:tc>
          <w:tcPr>
            <w:tcW w:w="3402" w:type="dxa"/>
          </w:tcPr>
          <w:p w:rsidR="00C232A3" w:rsidRPr="00DA2486" w:rsidRDefault="00C232A3" w:rsidP="00C232A3">
            <w:pPr>
              <w:pStyle w:val="ARfintablecolhead"/>
            </w:pPr>
            <w:r w:rsidRPr="00DA2486">
              <w:t>Position title</w:t>
            </w:r>
          </w:p>
        </w:tc>
      </w:tr>
      <w:tr w:rsidR="00C232A3" w:rsidRPr="00AB62BD" w:rsidTr="008121EC">
        <w:trPr>
          <w:cantSplit/>
        </w:trPr>
        <w:tc>
          <w:tcPr>
            <w:tcW w:w="3402" w:type="dxa"/>
          </w:tcPr>
          <w:p w:rsidR="00C232A3" w:rsidRPr="00AB62BD" w:rsidRDefault="00C232A3" w:rsidP="00C232A3">
            <w:pPr>
              <w:pStyle w:val="ARfintablebody"/>
              <w:rPr>
                <w:lang w:eastAsia="en-AU"/>
              </w:rPr>
            </w:pPr>
            <w:r w:rsidRPr="00AB62BD">
              <w:rPr>
                <w:lang w:eastAsia="en-AU"/>
              </w:rPr>
              <w:t>Mental Health Complaints Commissioner</w:t>
            </w:r>
          </w:p>
        </w:tc>
        <w:tc>
          <w:tcPr>
            <w:tcW w:w="2835" w:type="dxa"/>
          </w:tcPr>
          <w:p w:rsidR="00C232A3" w:rsidRPr="00AB62BD" w:rsidRDefault="00C232A3" w:rsidP="00C232A3">
            <w:pPr>
              <w:pStyle w:val="ARfintablebody"/>
              <w:rPr>
                <w:lang w:eastAsia="en-AU"/>
              </w:rPr>
            </w:pPr>
            <w:r w:rsidRPr="00AB62BD">
              <w:rPr>
                <w:lang w:eastAsia="en-AU"/>
              </w:rPr>
              <w:t>Dr Lynne Coulson Barr</w:t>
            </w:r>
          </w:p>
        </w:tc>
        <w:tc>
          <w:tcPr>
            <w:tcW w:w="3402" w:type="dxa"/>
          </w:tcPr>
          <w:p w:rsidR="00C232A3" w:rsidRPr="00AB62BD" w:rsidRDefault="00C232A3" w:rsidP="00C232A3">
            <w:pPr>
              <w:pStyle w:val="ARfintablebody"/>
              <w:rPr>
                <w:lang w:eastAsia="en-AU"/>
              </w:rPr>
            </w:pPr>
            <w:r w:rsidRPr="00AB62BD">
              <w:rPr>
                <w:lang w:eastAsia="en-AU"/>
              </w:rPr>
              <w:t>Commissioner</w:t>
            </w:r>
          </w:p>
        </w:tc>
      </w:tr>
      <w:tr w:rsidR="00C232A3" w:rsidRPr="00AB62BD" w:rsidTr="008121EC">
        <w:trPr>
          <w:cantSplit/>
        </w:trPr>
        <w:tc>
          <w:tcPr>
            <w:tcW w:w="3402" w:type="dxa"/>
          </w:tcPr>
          <w:p w:rsidR="00C232A3" w:rsidRPr="00AB62BD" w:rsidRDefault="00C232A3" w:rsidP="00C232A3">
            <w:pPr>
              <w:pStyle w:val="ARfintablebody"/>
              <w:rPr>
                <w:lang w:eastAsia="en-AU"/>
              </w:rPr>
            </w:pPr>
            <w:r w:rsidRPr="00AB62BD">
              <w:rPr>
                <w:lang w:eastAsia="en-AU"/>
              </w:rPr>
              <w:t>Mental Health Tribunal</w:t>
            </w:r>
          </w:p>
        </w:tc>
        <w:tc>
          <w:tcPr>
            <w:tcW w:w="2835" w:type="dxa"/>
          </w:tcPr>
          <w:p w:rsidR="00C232A3" w:rsidRPr="00AB62BD" w:rsidRDefault="00C232A3" w:rsidP="00C232A3">
            <w:pPr>
              <w:pStyle w:val="ARfintablebody"/>
              <w:rPr>
                <w:lang w:eastAsia="en-AU"/>
              </w:rPr>
            </w:pPr>
            <w:r w:rsidRPr="00AB62BD">
              <w:rPr>
                <w:lang w:eastAsia="en-AU"/>
              </w:rPr>
              <w:t>Matthew Carroll</w:t>
            </w:r>
          </w:p>
        </w:tc>
        <w:tc>
          <w:tcPr>
            <w:tcW w:w="3402" w:type="dxa"/>
          </w:tcPr>
          <w:p w:rsidR="00C232A3" w:rsidRPr="00AB62BD" w:rsidRDefault="00C232A3" w:rsidP="00C232A3">
            <w:pPr>
              <w:pStyle w:val="ARfintablebody"/>
              <w:rPr>
                <w:lang w:eastAsia="en-AU"/>
              </w:rPr>
            </w:pPr>
            <w:r w:rsidRPr="00AB62BD">
              <w:rPr>
                <w:lang w:eastAsia="en-AU"/>
              </w:rPr>
              <w:t>President</w:t>
            </w:r>
          </w:p>
        </w:tc>
      </w:tr>
      <w:tr w:rsidR="00C232A3" w:rsidRPr="00AB62BD" w:rsidTr="008121EC">
        <w:trPr>
          <w:cantSplit/>
        </w:trPr>
        <w:tc>
          <w:tcPr>
            <w:tcW w:w="3402" w:type="dxa"/>
          </w:tcPr>
          <w:p w:rsidR="00C232A3" w:rsidRPr="00AB62BD" w:rsidRDefault="00C232A3" w:rsidP="00C232A3">
            <w:pPr>
              <w:pStyle w:val="ARfintablebody"/>
              <w:rPr>
                <w:lang w:eastAsia="en-AU"/>
              </w:rPr>
            </w:pPr>
            <w:r w:rsidRPr="00AB62BD">
              <w:rPr>
                <w:lang w:eastAsia="en-AU"/>
              </w:rPr>
              <w:t>Commission for Children and Young People</w:t>
            </w:r>
          </w:p>
        </w:tc>
        <w:tc>
          <w:tcPr>
            <w:tcW w:w="2835" w:type="dxa"/>
          </w:tcPr>
          <w:p w:rsidR="00C232A3" w:rsidRPr="00AB62BD" w:rsidRDefault="00C232A3" w:rsidP="00C232A3">
            <w:pPr>
              <w:pStyle w:val="ARfintablebody"/>
              <w:rPr>
                <w:lang w:eastAsia="en-AU"/>
              </w:rPr>
            </w:pPr>
            <w:r w:rsidRPr="00AB62BD">
              <w:rPr>
                <w:lang w:eastAsia="en-AU"/>
              </w:rPr>
              <w:t xml:space="preserve">Liana </w:t>
            </w:r>
            <w:proofErr w:type="spellStart"/>
            <w:r w:rsidRPr="00AB62BD">
              <w:rPr>
                <w:lang w:eastAsia="en-AU"/>
              </w:rPr>
              <w:t>Buchannen</w:t>
            </w:r>
            <w:proofErr w:type="spellEnd"/>
          </w:p>
        </w:tc>
        <w:tc>
          <w:tcPr>
            <w:tcW w:w="3402" w:type="dxa"/>
          </w:tcPr>
          <w:p w:rsidR="00C232A3" w:rsidRPr="00AB62BD" w:rsidRDefault="00C232A3" w:rsidP="00C232A3">
            <w:pPr>
              <w:pStyle w:val="ARfintablebody"/>
              <w:rPr>
                <w:lang w:eastAsia="en-AU"/>
              </w:rPr>
            </w:pPr>
            <w:r w:rsidRPr="00AB62BD">
              <w:rPr>
                <w:lang w:eastAsia="en-AU"/>
              </w:rPr>
              <w:t>Principal Commissioner</w:t>
            </w:r>
          </w:p>
        </w:tc>
      </w:tr>
      <w:tr w:rsidR="00C232A3" w:rsidRPr="00AB62BD" w:rsidTr="008121EC">
        <w:trPr>
          <w:cantSplit/>
        </w:trPr>
        <w:tc>
          <w:tcPr>
            <w:tcW w:w="3402" w:type="dxa"/>
          </w:tcPr>
          <w:p w:rsidR="00C232A3" w:rsidRPr="00AB62BD" w:rsidRDefault="00C232A3" w:rsidP="00C232A3">
            <w:pPr>
              <w:pStyle w:val="ARfintablebody"/>
              <w:rPr>
                <w:lang w:eastAsia="en-AU"/>
              </w:rPr>
            </w:pPr>
            <w:r w:rsidRPr="00AB62BD">
              <w:rPr>
                <w:lang w:eastAsia="en-AU"/>
              </w:rPr>
              <w:t>Commission for Children and Young People</w:t>
            </w:r>
          </w:p>
        </w:tc>
        <w:tc>
          <w:tcPr>
            <w:tcW w:w="2835" w:type="dxa"/>
          </w:tcPr>
          <w:p w:rsidR="00C232A3" w:rsidRPr="00AB62BD" w:rsidRDefault="00C232A3" w:rsidP="00C232A3">
            <w:pPr>
              <w:pStyle w:val="ARfintablebody"/>
              <w:rPr>
                <w:lang w:eastAsia="en-AU"/>
              </w:rPr>
            </w:pPr>
            <w:r w:rsidRPr="00AB62BD">
              <w:rPr>
                <w:lang w:eastAsia="en-AU"/>
              </w:rPr>
              <w:t xml:space="preserve">Andrew </w:t>
            </w:r>
            <w:proofErr w:type="spellStart"/>
            <w:r w:rsidRPr="00AB62BD">
              <w:rPr>
                <w:lang w:eastAsia="en-AU"/>
              </w:rPr>
              <w:t>Jackomos</w:t>
            </w:r>
            <w:proofErr w:type="spellEnd"/>
          </w:p>
        </w:tc>
        <w:tc>
          <w:tcPr>
            <w:tcW w:w="3402" w:type="dxa"/>
          </w:tcPr>
          <w:p w:rsidR="00C232A3" w:rsidRPr="00AB62BD" w:rsidRDefault="00C232A3" w:rsidP="00C232A3">
            <w:pPr>
              <w:pStyle w:val="ARfintablebody"/>
              <w:rPr>
                <w:lang w:eastAsia="en-AU"/>
              </w:rPr>
            </w:pPr>
            <w:r w:rsidRPr="00AB62BD">
              <w:rPr>
                <w:lang w:eastAsia="en-AU"/>
              </w:rPr>
              <w:t>Commissioner for Aboriginal Children and Young People</w:t>
            </w:r>
          </w:p>
        </w:tc>
      </w:tr>
    </w:tbl>
    <w:p w:rsidR="00C232A3" w:rsidRPr="00AB62BD" w:rsidRDefault="00C232A3" w:rsidP="00C232A3">
      <w:pPr>
        <w:pStyle w:val="ARfinbodyaftertable"/>
      </w:pPr>
      <w:r w:rsidRPr="00AB62BD">
        <w:t xml:space="preserve">The compensation detailed below excludes the salaries and benefits the Portfolio Minister </w:t>
      </w:r>
      <w:r>
        <w:t>received</w:t>
      </w:r>
      <w:r w:rsidRPr="00AB62BD">
        <w:t xml:space="preserve">. The Minister’s remuneration and allowances is set by the </w:t>
      </w:r>
      <w:r w:rsidRPr="00AB62BD">
        <w:rPr>
          <w:rStyle w:val="Emphasis"/>
        </w:rPr>
        <w:t>Parliamentary Salaries and Superannuation Act 1968</w:t>
      </w:r>
      <w:r w:rsidRPr="00AB62BD">
        <w:t xml:space="preserve"> is reported within the Department of Parliamentary Services’ Financial Report.</w:t>
      </w:r>
    </w:p>
    <w:p w:rsidR="00C232A3" w:rsidRPr="00D11896" w:rsidRDefault="00C232A3" w:rsidP="00C232A3">
      <w:pPr>
        <w:pStyle w:val="Heading5"/>
        <w:rPr>
          <w:rStyle w:val="Strong"/>
        </w:rPr>
      </w:pPr>
      <w:r w:rsidRPr="00D11896">
        <w:rPr>
          <w:rStyle w:val="Strong"/>
        </w:rPr>
        <w:t>Compensation of KMPs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C232A3" w:rsidRPr="00AB62BD" w:rsidTr="00C232A3">
        <w:trPr>
          <w:cantSplit/>
          <w:tblHeader/>
        </w:trPr>
        <w:tc>
          <w:tcPr>
            <w:tcW w:w="5103" w:type="dxa"/>
            <w:tcBorders>
              <w:bottom w:val="single" w:sz="4" w:space="0" w:color="auto"/>
            </w:tcBorders>
            <w:vAlign w:val="bottom"/>
          </w:tcPr>
          <w:p w:rsidR="00C232A3" w:rsidRPr="00AB62BD" w:rsidRDefault="00C232A3" w:rsidP="00C232A3">
            <w:pPr>
              <w:autoSpaceDE w:val="0"/>
              <w:autoSpaceDN w:val="0"/>
              <w:adjustRightInd w:val="0"/>
              <w:spacing w:beforeLines="40" w:before="96" w:afterLines="20" w:after="48"/>
              <w:rPr>
                <w:rFonts w:cs="Arial"/>
                <w:b/>
                <w:bCs/>
                <w:color w:val="000000"/>
                <w:sz w:val="16"/>
                <w:szCs w:val="16"/>
                <w:lang w:eastAsia="en-AU"/>
              </w:rPr>
            </w:pPr>
          </w:p>
        </w:tc>
        <w:tc>
          <w:tcPr>
            <w:tcW w:w="2268" w:type="dxa"/>
            <w:tcBorders>
              <w:bottom w:val="single" w:sz="4" w:space="0" w:color="auto"/>
            </w:tcBorders>
            <w:vAlign w:val="bottom"/>
          </w:tcPr>
          <w:p w:rsidR="00C232A3" w:rsidRPr="00DA2486" w:rsidRDefault="00C232A3" w:rsidP="00C232A3">
            <w:pPr>
              <w:pStyle w:val="ARfintablecolheadright"/>
            </w:pPr>
            <w:r>
              <w:t xml:space="preserve">Department of Health </w:t>
            </w:r>
            <w:r>
              <w:br/>
              <w:t>and</w:t>
            </w:r>
            <w:r w:rsidRPr="00DA2486">
              <w:t xml:space="preserve"> Human Services</w:t>
            </w:r>
          </w:p>
          <w:p w:rsidR="00C232A3" w:rsidRPr="00DA2486" w:rsidRDefault="00C232A3" w:rsidP="00C232A3">
            <w:pPr>
              <w:pStyle w:val="ARfintablecolheadright"/>
            </w:pPr>
            <w:r w:rsidRPr="00DA2486">
              <w:t>2017</w:t>
            </w:r>
          </w:p>
          <w:p w:rsidR="00C232A3" w:rsidRPr="00DA2486" w:rsidRDefault="00C232A3" w:rsidP="00C232A3">
            <w:pPr>
              <w:pStyle w:val="ARfintablecolheadright"/>
            </w:pPr>
            <w:r w:rsidRPr="00DA2486">
              <w:t>$</w:t>
            </w:r>
            <w:r>
              <w:t>M</w:t>
            </w:r>
          </w:p>
        </w:tc>
        <w:tc>
          <w:tcPr>
            <w:tcW w:w="2268" w:type="dxa"/>
            <w:tcBorders>
              <w:bottom w:val="single" w:sz="4" w:space="0" w:color="auto"/>
            </w:tcBorders>
            <w:vAlign w:val="bottom"/>
          </w:tcPr>
          <w:p w:rsidR="00C232A3" w:rsidRPr="00DA2486" w:rsidRDefault="00C232A3" w:rsidP="00C232A3">
            <w:pPr>
              <w:pStyle w:val="ARfintablecolheadright"/>
            </w:pPr>
            <w:r w:rsidRPr="00DA2486">
              <w:t>Section 53</w:t>
            </w:r>
            <w:r>
              <w:t xml:space="preserve"> </w:t>
            </w:r>
            <w:r w:rsidRPr="00FA0C54">
              <w:rPr>
                <w:rStyle w:val="Superscriptbold"/>
              </w:rPr>
              <w:t>(ii)</w:t>
            </w:r>
          </w:p>
          <w:p w:rsidR="00C232A3" w:rsidRPr="00DA2486" w:rsidRDefault="00C232A3" w:rsidP="00C232A3">
            <w:pPr>
              <w:pStyle w:val="ARfintablecolheadright"/>
            </w:pPr>
            <w:r w:rsidRPr="00DA2486">
              <w:t>2017</w:t>
            </w:r>
          </w:p>
          <w:p w:rsidR="00C232A3" w:rsidRPr="00DA2486" w:rsidRDefault="00C232A3" w:rsidP="00C232A3">
            <w:pPr>
              <w:pStyle w:val="ARfintablecolheadright"/>
            </w:pPr>
            <w:r w:rsidRPr="00DA2486">
              <w:t>$</w:t>
            </w:r>
            <w:r>
              <w:t>M</w:t>
            </w:r>
          </w:p>
        </w:tc>
      </w:tr>
      <w:tr w:rsidR="00C232A3" w:rsidRPr="00AB62BD" w:rsidTr="00C232A3">
        <w:trPr>
          <w:cantSplit/>
        </w:trPr>
        <w:tc>
          <w:tcPr>
            <w:tcW w:w="5103" w:type="dxa"/>
            <w:tcBorders>
              <w:top w:val="single" w:sz="4" w:space="0" w:color="auto"/>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Short-term employee benefits</w:t>
            </w:r>
          </w:p>
        </w:tc>
        <w:tc>
          <w:tcPr>
            <w:tcW w:w="226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Pr>
                <w:lang w:eastAsia="en-AU"/>
              </w:rPr>
              <w:t>4.3</w:t>
            </w:r>
          </w:p>
        </w:tc>
        <w:tc>
          <w:tcPr>
            <w:tcW w:w="2268" w:type="dxa"/>
            <w:tcBorders>
              <w:top w:val="single" w:sz="4" w:space="0" w:color="auto"/>
              <w:bottom w:val="single" w:sz="4" w:space="0" w:color="A6A6A6" w:themeColor="background1" w:themeShade="A6"/>
            </w:tcBorders>
          </w:tcPr>
          <w:p w:rsidR="00C232A3" w:rsidRPr="00AB62BD" w:rsidRDefault="00C232A3" w:rsidP="00C232A3">
            <w:pPr>
              <w:pStyle w:val="ARfintablebodyright"/>
              <w:rPr>
                <w:lang w:eastAsia="en-AU"/>
              </w:rPr>
            </w:pPr>
            <w:r>
              <w:rPr>
                <w:lang w:eastAsia="en-AU"/>
              </w:rPr>
              <w:t>0.8</w:t>
            </w: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Post-employment benefits</w:t>
            </w:r>
          </w:p>
        </w:tc>
        <w:tc>
          <w:tcPr>
            <w:tcW w:w="226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0.4</w:t>
            </w:r>
          </w:p>
        </w:tc>
        <w:tc>
          <w:tcPr>
            <w:tcW w:w="226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0.1</w:t>
            </w: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Other long-term benefits</w:t>
            </w:r>
          </w:p>
        </w:tc>
        <w:tc>
          <w:tcPr>
            <w:tcW w:w="226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Pr>
                <w:lang w:eastAsia="en-AU"/>
              </w:rPr>
              <w:t>0.2</w:t>
            </w:r>
          </w:p>
        </w:tc>
        <w:tc>
          <w:tcPr>
            <w:tcW w:w="226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Termination benefits</w:t>
            </w:r>
          </w:p>
        </w:tc>
        <w:tc>
          <w:tcPr>
            <w:tcW w:w="226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2268" w:type="dxa"/>
            <w:tcBorders>
              <w:top w:val="single" w:sz="4" w:space="0" w:color="A6A6A6" w:themeColor="background1" w:themeShade="A6"/>
              <w:bottom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Borders>
              <w:top w:val="single" w:sz="4" w:space="0" w:color="A6A6A6" w:themeColor="background1" w:themeShade="A6"/>
            </w:tcBorders>
          </w:tcPr>
          <w:p w:rsidR="00C232A3" w:rsidRPr="00AB62BD" w:rsidRDefault="00C232A3" w:rsidP="00C232A3">
            <w:pPr>
              <w:pStyle w:val="ARfintablebody"/>
              <w:rPr>
                <w:lang w:eastAsia="en-AU"/>
              </w:rPr>
            </w:pPr>
            <w:r w:rsidRPr="00AB62BD">
              <w:rPr>
                <w:lang w:eastAsia="en-AU"/>
              </w:rPr>
              <w:t>Share-based payments</w:t>
            </w:r>
          </w:p>
        </w:tc>
        <w:tc>
          <w:tcPr>
            <w:tcW w:w="226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c>
          <w:tcPr>
            <w:tcW w:w="2268" w:type="dxa"/>
            <w:tcBorders>
              <w:top w:val="single" w:sz="4" w:space="0" w:color="A6A6A6" w:themeColor="background1" w:themeShade="A6"/>
            </w:tcBorders>
          </w:tcPr>
          <w:p w:rsidR="00C232A3" w:rsidRPr="00AB62BD" w:rsidRDefault="00C232A3" w:rsidP="00C232A3">
            <w:pPr>
              <w:pStyle w:val="ARfintablebodyright"/>
              <w:rPr>
                <w:lang w:eastAsia="en-AU"/>
              </w:rPr>
            </w:pPr>
            <w:r w:rsidRPr="00AB62BD">
              <w:rPr>
                <w:lang w:eastAsia="en-AU"/>
              </w:rPr>
              <w:t>–</w:t>
            </w:r>
          </w:p>
        </w:tc>
      </w:tr>
      <w:tr w:rsidR="00C232A3" w:rsidRPr="00AB62BD" w:rsidTr="00C232A3">
        <w:trPr>
          <w:cantSplit/>
        </w:trPr>
        <w:tc>
          <w:tcPr>
            <w:tcW w:w="5103" w:type="dxa"/>
          </w:tcPr>
          <w:p w:rsidR="00C232A3" w:rsidRPr="00AB62BD" w:rsidRDefault="00C232A3" w:rsidP="00C232A3">
            <w:pPr>
              <w:pStyle w:val="ARfintablebody"/>
              <w:rPr>
                <w:b/>
                <w:bCs/>
                <w:vertAlign w:val="superscript"/>
                <w:lang w:eastAsia="en-AU"/>
              </w:rPr>
            </w:pPr>
            <w:r w:rsidRPr="00AB62BD">
              <w:rPr>
                <w:rStyle w:val="Strong"/>
              </w:rPr>
              <w:t>Total</w:t>
            </w:r>
            <w:r>
              <w:rPr>
                <w:rStyle w:val="Strong"/>
              </w:rPr>
              <w:t xml:space="preserve"> </w:t>
            </w:r>
            <w:r w:rsidRPr="00FA0C54">
              <w:rPr>
                <w:rStyle w:val="Superscriptbold"/>
              </w:rPr>
              <w:t>(</w:t>
            </w:r>
            <w:proofErr w:type="spellStart"/>
            <w:r w:rsidRPr="00FA0C54">
              <w:rPr>
                <w:rStyle w:val="Superscriptbold"/>
              </w:rPr>
              <w:t>i</w:t>
            </w:r>
            <w:proofErr w:type="spellEnd"/>
            <w:r w:rsidRPr="00FA0C54">
              <w:rPr>
                <w:rStyle w:val="Superscriptbold"/>
              </w:rPr>
              <w:t>)</w:t>
            </w:r>
          </w:p>
        </w:tc>
        <w:tc>
          <w:tcPr>
            <w:tcW w:w="2268" w:type="dxa"/>
          </w:tcPr>
          <w:p w:rsidR="00C232A3" w:rsidRPr="00AB62BD" w:rsidRDefault="00C232A3" w:rsidP="00C232A3">
            <w:pPr>
              <w:pStyle w:val="ARfintablebodyright"/>
              <w:rPr>
                <w:b/>
                <w:bCs/>
                <w:lang w:eastAsia="en-AU"/>
              </w:rPr>
            </w:pPr>
            <w:r>
              <w:rPr>
                <w:rStyle w:val="Strong"/>
              </w:rPr>
              <w:t>4.8</w:t>
            </w:r>
          </w:p>
        </w:tc>
        <w:tc>
          <w:tcPr>
            <w:tcW w:w="2268" w:type="dxa"/>
          </w:tcPr>
          <w:p w:rsidR="00C232A3" w:rsidRPr="00AB62BD" w:rsidRDefault="00C232A3" w:rsidP="00C232A3">
            <w:pPr>
              <w:pStyle w:val="ARfintablebodyright"/>
              <w:rPr>
                <w:rStyle w:val="Strong"/>
                <w:bCs w:val="0"/>
              </w:rPr>
            </w:pPr>
            <w:r>
              <w:rPr>
                <w:rStyle w:val="Strong"/>
              </w:rPr>
              <w:t>0.9</w:t>
            </w:r>
          </w:p>
        </w:tc>
      </w:tr>
    </w:tbl>
    <w:p w:rsidR="00C232A3" w:rsidRPr="00AB62BD" w:rsidRDefault="00C232A3" w:rsidP="00C232A3">
      <w:pPr>
        <w:pStyle w:val="ARfintablefootnote"/>
        <w:rPr>
          <w:lang w:eastAsia="en-AU"/>
        </w:rPr>
      </w:pPr>
      <w:r w:rsidRPr="00AB62BD">
        <w:rPr>
          <w:lang w:eastAsia="en-AU"/>
        </w:rPr>
        <w:t>Notes:</w:t>
      </w:r>
    </w:p>
    <w:p w:rsidR="00C232A3" w:rsidRPr="00AB62BD" w:rsidRDefault="00C232A3" w:rsidP="00C232A3">
      <w:pPr>
        <w:pStyle w:val="ARfintablefootnoteroman"/>
      </w:pPr>
      <w:r>
        <w:t>(</w:t>
      </w:r>
      <w:proofErr w:type="spellStart"/>
      <w:r>
        <w:t>i</w:t>
      </w:r>
      <w:proofErr w:type="spellEnd"/>
      <w:r>
        <w:t>)</w:t>
      </w:r>
      <w:r>
        <w:tab/>
      </w:r>
      <w:r w:rsidRPr="00AB62BD">
        <w:t>Note that KMPs are also reported in the disclosure of remuneration of executive officers (refer to Note 9.7).</w:t>
      </w:r>
    </w:p>
    <w:p w:rsidR="00C232A3" w:rsidRPr="00AB62BD" w:rsidRDefault="00C232A3" w:rsidP="00C232A3">
      <w:pPr>
        <w:pStyle w:val="ARfintablefootnoteroman"/>
      </w:pPr>
      <w:r>
        <w:t>(ii)</w:t>
      </w:r>
      <w:r>
        <w:tab/>
      </w:r>
      <w:r w:rsidRPr="00AB62BD">
        <w:t>This includes remuneration of KMPs for Mental Health Complaints Commissioner, Mental Health Tribunal, Director of Housing and the Commission for Children and Young People.</w:t>
      </w:r>
    </w:p>
    <w:p w:rsidR="00C232A3" w:rsidRPr="00D11896" w:rsidRDefault="00C232A3" w:rsidP="00C232A3">
      <w:pPr>
        <w:pStyle w:val="Heading5"/>
        <w:rPr>
          <w:rStyle w:val="Strong"/>
        </w:rPr>
      </w:pPr>
      <w:r w:rsidRPr="00D11896">
        <w:rPr>
          <w:rStyle w:val="Strong"/>
        </w:rPr>
        <w:t>Transactions and balances with key management personnel and other related parties</w:t>
      </w:r>
    </w:p>
    <w:p w:rsidR="00C232A3" w:rsidRPr="00AB62BD" w:rsidRDefault="00C232A3" w:rsidP="00C232A3">
      <w:pPr>
        <w:pStyle w:val="ARfinbody"/>
        <w:rPr>
          <w:lang w:eastAsia="en-AU"/>
        </w:rPr>
      </w:pPr>
      <w:r w:rsidRPr="00AB62BD">
        <w:rPr>
          <w:lang w:eastAsia="en-AU"/>
        </w:rPr>
        <w:t>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w:t>
      </w:r>
    </w:p>
    <w:p w:rsidR="00C232A3" w:rsidRPr="00AB62BD" w:rsidRDefault="00C232A3" w:rsidP="00C232A3">
      <w:pPr>
        <w:pStyle w:val="ARfinbody"/>
        <w:rPr>
          <w:lang w:eastAsia="en-AU"/>
        </w:rPr>
      </w:pPr>
      <w:r w:rsidRPr="00AB62BD">
        <w:rPr>
          <w:lang w:eastAsia="en-AU"/>
        </w:rPr>
        <w:t>Outside of normal citizen type transactions, there were no material related party transactions that involved key management personnel, their close family members and their personal business interests for the department or its section 53(1)(b) entities listed above.</w:t>
      </w:r>
    </w:p>
    <w:p w:rsidR="00C232A3" w:rsidRDefault="00C232A3" w:rsidP="00C232A3">
      <w:pPr>
        <w:pStyle w:val="ARfinbody"/>
        <w:rPr>
          <w:lang w:eastAsia="en-AU"/>
        </w:rPr>
      </w:pPr>
      <w:r w:rsidRPr="00AB62BD">
        <w:rPr>
          <w:lang w:eastAsia="en-AU"/>
        </w:rPr>
        <w:t>No provision has been required, nor any expense recognised, for impairment of receivables from related parties.</w:t>
      </w:r>
    </w:p>
    <w:p w:rsidR="00C232A3" w:rsidRPr="00A15588" w:rsidRDefault="00C232A3" w:rsidP="00C232A3">
      <w:pPr>
        <w:pStyle w:val="Heading4"/>
      </w:pPr>
      <w:r w:rsidRPr="00A15588">
        <w:t>9.9 Remuneration of auditors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C232A3" w:rsidRPr="00AB62BD" w:rsidTr="00C232A3">
        <w:trPr>
          <w:cantSplit/>
          <w:tblHeader/>
        </w:trPr>
        <w:tc>
          <w:tcPr>
            <w:tcW w:w="7371" w:type="dxa"/>
            <w:vAlign w:val="bottom"/>
          </w:tcPr>
          <w:p w:rsidR="00C232A3" w:rsidRPr="00AB62BD" w:rsidRDefault="00C232A3" w:rsidP="00C232A3">
            <w:pPr>
              <w:pStyle w:val="ARfintablecolheadright"/>
              <w:rPr>
                <w:lang w:eastAsia="en-AU"/>
              </w:rPr>
            </w:pPr>
          </w:p>
        </w:tc>
        <w:tc>
          <w:tcPr>
            <w:tcW w:w="1134" w:type="dxa"/>
            <w:shd w:val="clear" w:color="auto" w:fill="E7E6E6"/>
            <w:vAlign w:val="bottom"/>
          </w:tcPr>
          <w:p w:rsidR="00C232A3" w:rsidRPr="00FF7057" w:rsidRDefault="00C232A3" w:rsidP="00C232A3">
            <w:pPr>
              <w:pStyle w:val="ARfintablecolheadright"/>
            </w:pPr>
            <w:r w:rsidRPr="00FF7057">
              <w:t>2017</w:t>
            </w:r>
          </w:p>
          <w:p w:rsidR="00C232A3" w:rsidRPr="00FF7057" w:rsidRDefault="00C232A3" w:rsidP="00C232A3">
            <w:pPr>
              <w:pStyle w:val="ARfintablecolheadright"/>
            </w:pPr>
            <w:r w:rsidRPr="00FF7057">
              <w:t>$</w:t>
            </w:r>
          </w:p>
        </w:tc>
        <w:tc>
          <w:tcPr>
            <w:tcW w:w="1134" w:type="dxa"/>
            <w:vAlign w:val="bottom"/>
          </w:tcPr>
          <w:p w:rsidR="00C232A3" w:rsidRPr="00FF7057" w:rsidRDefault="00C232A3" w:rsidP="00C232A3">
            <w:pPr>
              <w:pStyle w:val="ARfintablecolheadright"/>
            </w:pPr>
            <w:r w:rsidRPr="00FF7057">
              <w:t>2016</w:t>
            </w:r>
          </w:p>
          <w:p w:rsidR="00C232A3" w:rsidRPr="00FF7057" w:rsidRDefault="00C232A3" w:rsidP="00C232A3">
            <w:pPr>
              <w:pStyle w:val="ARfintablecolheadright"/>
            </w:pPr>
            <w:r w:rsidRPr="00FF7057">
              <w:t>$</w:t>
            </w:r>
          </w:p>
        </w:tc>
      </w:tr>
      <w:tr w:rsidR="00C232A3" w:rsidRPr="00AB62BD" w:rsidTr="00C232A3">
        <w:trPr>
          <w:cantSplit/>
        </w:trPr>
        <w:tc>
          <w:tcPr>
            <w:tcW w:w="7371" w:type="dxa"/>
          </w:tcPr>
          <w:p w:rsidR="00C232A3" w:rsidRPr="00AB62BD" w:rsidRDefault="00C232A3" w:rsidP="00C232A3">
            <w:pPr>
              <w:pStyle w:val="ARfintablebody"/>
              <w:rPr>
                <w:lang w:eastAsia="en-AU"/>
              </w:rPr>
            </w:pPr>
            <w:r w:rsidRPr="00AB62BD">
              <w:rPr>
                <w:lang w:eastAsia="en-AU"/>
              </w:rPr>
              <w:t xml:space="preserve">Victorian Auditor-General’s Office – audit of the financial report </w:t>
            </w:r>
          </w:p>
        </w:tc>
        <w:tc>
          <w:tcPr>
            <w:tcW w:w="1134" w:type="dxa"/>
            <w:shd w:val="clear" w:color="auto" w:fill="E7E6E6"/>
          </w:tcPr>
          <w:p w:rsidR="00C232A3" w:rsidRPr="00AB62BD" w:rsidRDefault="00C232A3" w:rsidP="00C232A3">
            <w:pPr>
              <w:pStyle w:val="ARfintablebodyright"/>
              <w:rPr>
                <w:lang w:eastAsia="en-AU"/>
              </w:rPr>
            </w:pPr>
            <w:r w:rsidRPr="00AB62BD">
              <w:rPr>
                <w:lang w:eastAsia="en-AU"/>
              </w:rPr>
              <w:t>533,000</w:t>
            </w:r>
          </w:p>
        </w:tc>
        <w:tc>
          <w:tcPr>
            <w:tcW w:w="1134" w:type="dxa"/>
          </w:tcPr>
          <w:p w:rsidR="00C232A3" w:rsidRPr="00AB62BD" w:rsidRDefault="00C232A3" w:rsidP="00C232A3">
            <w:pPr>
              <w:pStyle w:val="ARfintablebodyright"/>
              <w:rPr>
                <w:lang w:eastAsia="en-AU"/>
              </w:rPr>
            </w:pPr>
            <w:r w:rsidRPr="00AB62BD">
              <w:rPr>
                <w:lang w:eastAsia="en-AU"/>
              </w:rPr>
              <w:t>650,000</w:t>
            </w:r>
          </w:p>
        </w:tc>
      </w:tr>
    </w:tbl>
    <w:p w:rsidR="00C232A3" w:rsidRDefault="00C232A3" w:rsidP="00C232A3">
      <w:pPr>
        <w:pStyle w:val="ARbody"/>
        <w:rPr>
          <w:rFonts w:eastAsia="MS Mincho"/>
          <w:lang w:eastAsia="en-AU"/>
        </w:rPr>
      </w:pPr>
      <w:r>
        <w:br w:type="page"/>
      </w:r>
    </w:p>
    <w:p w:rsidR="00C232A3" w:rsidRPr="00A15588" w:rsidRDefault="00C232A3" w:rsidP="00C232A3">
      <w:pPr>
        <w:pStyle w:val="Heading4"/>
      </w:pPr>
      <w:r w:rsidRPr="00A15588">
        <w:lastRenderedPageBreak/>
        <w:t>9.10 Subsequent events</w:t>
      </w:r>
    </w:p>
    <w:p w:rsidR="00C232A3" w:rsidRPr="00AB62BD" w:rsidRDefault="00C232A3" w:rsidP="00C232A3">
      <w:pPr>
        <w:pStyle w:val="ARbody"/>
        <w:rPr>
          <w:lang w:eastAsia="en-AU"/>
        </w:rPr>
      </w:pPr>
      <w:r w:rsidRPr="00AB62BD">
        <w:rPr>
          <w:lang w:eastAsia="en-AU"/>
        </w:rPr>
        <w:t>The Director of Housing (Director) is undertaking a staged title transfer of 1,448 Director owned properties to Aboriginal Housing Victoria. The first tranche of 511 units, generally located in the metropolitan region, was transferred on 28 July 2016. The second tranche of 474 units, generally located in the Gippsland, Grampians and Barwon regions, was transferred on 1 July 2017. The last tranche will follow in 201</w:t>
      </w:r>
      <w:r>
        <w:rPr>
          <w:lang w:eastAsia="en-AU"/>
        </w:rPr>
        <w:t>8–</w:t>
      </w:r>
      <w:r w:rsidRPr="00AB62BD">
        <w:rPr>
          <w:lang w:eastAsia="en-AU"/>
        </w:rPr>
        <w:t>19, subject to AHV continuing to meet and maintain the Victorian Registrar of Housing Agencies organisational performance metrics.</w:t>
      </w:r>
    </w:p>
    <w:p w:rsidR="00C232A3" w:rsidRPr="00AB62BD" w:rsidRDefault="00C232A3" w:rsidP="00C232A3">
      <w:pPr>
        <w:pStyle w:val="ARbody"/>
        <w:rPr>
          <w:lang w:eastAsia="en-AU"/>
        </w:rPr>
      </w:pPr>
      <w:r w:rsidRPr="00AB62BD">
        <w:rPr>
          <w:lang w:eastAsia="en-AU"/>
        </w:rPr>
        <w:t>The transfer of property titles at zero cash consideration is in acknowledgement that the social and economic circumstances, and the disadvantage experienced by Aboriginal Victorian tenants, presents a challenge to the efficient delivery of housing services by AHV while maintaining high standards of housing and the organisation’s continued financial sustainability.</w:t>
      </w:r>
    </w:p>
    <w:p w:rsidR="00C232A3" w:rsidRPr="00AB62BD" w:rsidRDefault="00C232A3" w:rsidP="00C232A3">
      <w:pPr>
        <w:pStyle w:val="ARbody"/>
        <w:rPr>
          <w:lang w:eastAsia="en-AU"/>
        </w:rPr>
      </w:pPr>
      <w:r w:rsidRPr="00AB62BD">
        <w:rPr>
          <w:lang w:eastAsia="en-AU"/>
        </w:rPr>
        <w:t>The intention to transfer the properties to Aboriginal Housing Victoria is underpinned by the principle of self-determination. This will assist Aboriginal Housing Victoria to provide culturally appropriate social housing for Aboriginal Victorians and to develop innovative solutions to promote socio-economic independence among Aboriginal Victorians.</w:t>
      </w:r>
    </w:p>
    <w:p w:rsidR="00C232A3" w:rsidRPr="00AB62BD" w:rsidRDefault="00C232A3" w:rsidP="00C232A3">
      <w:pPr>
        <w:pStyle w:val="ARbody"/>
        <w:rPr>
          <w:lang w:eastAsia="en-AU"/>
        </w:rPr>
      </w:pPr>
      <w:r w:rsidRPr="00AB62BD">
        <w:rPr>
          <w:lang w:eastAsia="en-AU"/>
        </w:rPr>
        <w:t>The financial implications of the title transfer to Aboriginal Housing Victoria are outlined below:</w:t>
      </w:r>
    </w:p>
    <w:p w:rsidR="00C232A3" w:rsidRPr="00AB62BD" w:rsidRDefault="00C232A3" w:rsidP="00C232A3">
      <w:pPr>
        <w:pStyle w:val="ARbullet1"/>
        <w:rPr>
          <w:lang w:eastAsia="en-AU"/>
        </w:rPr>
      </w:pPr>
      <w:r w:rsidRPr="00AB62BD">
        <w:rPr>
          <w:lang w:eastAsia="en-AU"/>
        </w:rPr>
        <w:t xml:space="preserve">The book value of the properties (at 30 June 2017) transferred to AHV in </w:t>
      </w:r>
      <w:r>
        <w:rPr>
          <w:lang w:eastAsia="en-AU"/>
        </w:rPr>
        <w:t>2017–18</w:t>
      </w:r>
      <w:r w:rsidRPr="00AB62BD">
        <w:rPr>
          <w:lang w:eastAsia="en-AU"/>
        </w:rPr>
        <w:t xml:space="preserve"> is estimated at </w:t>
      </w:r>
      <w:r>
        <w:rPr>
          <w:lang w:eastAsia="en-AU"/>
        </w:rPr>
        <w:t>$92.3</w:t>
      </w:r>
      <w:r w:rsidRPr="00AB62BD">
        <w:rPr>
          <w:lang w:eastAsia="en-AU"/>
        </w:rPr>
        <w:t xml:space="preserve"> million.</w:t>
      </w:r>
    </w:p>
    <w:p w:rsidR="00C232A3" w:rsidRPr="00AB62BD" w:rsidRDefault="00C232A3" w:rsidP="00C232A3">
      <w:pPr>
        <w:pStyle w:val="ARbullet1"/>
        <w:rPr>
          <w:lang w:eastAsia="en-AU"/>
        </w:rPr>
      </w:pPr>
      <w:r w:rsidRPr="00AB62BD">
        <w:rPr>
          <w:lang w:eastAsia="en-AU"/>
        </w:rPr>
        <w:t xml:space="preserve">The title transfer will reduce the Balance Sheets and record an expense in the Comprehensive Operating Statements of the Director and the department by </w:t>
      </w:r>
      <w:r>
        <w:rPr>
          <w:lang w:eastAsia="en-AU"/>
        </w:rPr>
        <w:t>$92.3</w:t>
      </w:r>
      <w:r w:rsidRPr="00AB62BD">
        <w:rPr>
          <w:lang w:eastAsia="en-AU"/>
        </w:rPr>
        <w:t xml:space="preserve"> million.</w:t>
      </w:r>
    </w:p>
    <w:p w:rsidR="00C232A3" w:rsidRPr="00A15588" w:rsidRDefault="00C232A3" w:rsidP="00C232A3">
      <w:pPr>
        <w:pStyle w:val="Heading4"/>
      </w:pPr>
      <w:r w:rsidRPr="00A15588">
        <w:t>9.11 Other accounting policies</w:t>
      </w:r>
    </w:p>
    <w:p w:rsidR="00C232A3" w:rsidRPr="00D11896" w:rsidRDefault="00C232A3" w:rsidP="00C232A3">
      <w:pPr>
        <w:pStyle w:val="Heading5"/>
        <w:rPr>
          <w:rStyle w:val="Strong"/>
        </w:rPr>
      </w:pPr>
      <w:r w:rsidRPr="00D11896">
        <w:rPr>
          <w:rStyle w:val="Strong"/>
        </w:rPr>
        <w:t>Contributions by owners</w:t>
      </w:r>
    </w:p>
    <w:p w:rsidR="00C232A3" w:rsidRPr="00AB62BD" w:rsidRDefault="00C232A3" w:rsidP="00C232A3">
      <w:pPr>
        <w:pStyle w:val="ARbody"/>
        <w:rPr>
          <w:lang w:eastAsia="en-AU"/>
        </w:rPr>
      </w:pPr>
      <w:r w:rsidRPr="00AB62BD">
        <w:rPr>
          <w:lang w:eastAsia="en-AU"/>
        </w:rPr>
        <w:t xml:space="preserve">Consistent with the requirements of </w:t>
      </w:r>
      <w:r w:rsidRPr="00AB62BD">
        <w:rPr>
          <w:rStyle w:val="Emphasis"/>
        </w:rPr>
        <w:t>AASB 1004 Contributions</w:t>
      </w:r>
      <w:r w:rsidRPr="00AB62BD">
        <w:rPr>
          <w:lang w:eastAsia="en-AU"/>
        </w:rPr>
        <w:t>, contributions by owners (that is, contributed capital and its repayment) are treated as equity transactions and, therefore do not form part of the income and expenses of the department.</w:t>
      </w:r>
    </w:p>
    <w:p w:rsidR="00C232A3" w:rsidRPr="00AB62BD" w:rsidRDefault="00C232A3" w:rsidP="00C232A3">
      <w:pPr>
        <w:pStyle w:val="ARbody"/>
        <w:rPr>
          <w:lang w:eastAsia="en-AU"/>
        </w:rPr>
      </w:pPr>
      <w:r w:rsidRPr="00AB62BD">
        <w:rPr>
          <w:lang w:eastAsia="en-AU"/>
        </w:rPr>
        <w:t>Additions to net assets that have been designated as contributions by owners are recognised as contributed capital. Other transfers that are in the nature of contributions to or distributions by owners have also been designated as contributions by owners.</w:t>
      </w:r>
    </w:p>
    <w:p w:rsidR="00C232A3" w:rsidRPr="00AB62BD" w:rsidRDefault="00C232A3" w:rsidP="00C232A3">
      <w:pPr>
        <w:pStyle w:val="ARbody"/>
        <w:rPr>
          <w:lang w:eastAsia="en-AU"/>
        </w:rPr>
      </w:pPr>
      <w:r w:rsidRPr="00AB62BD">
        <w:rPr>
          <w:lang w:eastAsia="en-AU"/>
        </w:rPr>
        <w:t>Transfers of net assets arising from administrative restructurings are treated as distributions to or contributions by owners. Transfers of net liabilities arising from administrative restructurings are treated as distributions to owners.</w:t>
      </w:r>
    </w:p>
    <w:p w:rsidR="00C232A3" w:rsidRDefault="00C232A3" w:rsidP="00C232A3">
      <w:pPr>
        <w:pStyle w:val="ARbody"/>
        <w:rPr>
          <w:rFonts w:eastAsia="MS Mincho"/>
          <w:lang w:eastAsia="en-AU"/>
        </w:rPr>
      </w:pPr>
      <w:r>
        <w:br w:type="page"/>
      </w:r>
    </w:p>
    <w:p w:rsidR="00C232A3" w:rsidRPr="00A15588" w:rsidRDefault="00C232A3" w:rsidP="00C232A3">
      <w:pPr>
        <w:pStyle w:val="Heading4"/>
      </w:pPr>
      <w:r w:rsidRPr="00A15588">
        <w:lastRenderedPageBreak/>
        <w:t>9.12 Australian Accounting Standards issued that are not yet effective</w:t>
      </w:r>
    </w:p>
    <w:p w:rsidR="00C232A3" w:rsidRPr="00AB62BD" w:rsidRDefault="00C232A3" w:rsidP="00C232A3">
      <w:pPr>
        <w:pStyle w:val="ARbody"/>
        <w:rPr>
          <w:lang w:eastAsia="en-AU"/>
        </w:rPr>
      </w:pPr>
      <w:r w:rsidRPr="00AB62BD">
        <w:rPr>
          <w:lang w:eastAsia="en-AU"/>
        </w:rPr>
        <w:t xml:space="preserve">Certain new Australian Accounting Standards (AAS) have been published that are not mandatory for the 30 June 2017 reporting period. </w:t>
      </w:r>
      <w:r>
        <w:rPr>
          <w:lang w:eastAsia="en-AU"/>
        </w:rPr>
        <w:t>The Department of Treasury and Finance</w:t>
      </w:r>
      <w:r w:rsidRPr="00AB62BD">
        <w:rPr>
          <w:lang w:eastAsia="en-AU"/>
        </w:rPr>
        <w:t xml:space="preserve"> assesses the impact of all these new standards and advises the </w:t>
      </w:r>
      <w:r>
        <w:rPr>
          <w:lang w:eastAsia="en-AU"/>
        </w:rPr>
        <w:t>d</w:t>
      </w:r>
      <w:r w:rsidRPr="00AB62BD">
        <w:rPr>
          <w:lang w:eastAsia="en-AU"/>
        </w:rPr>
        <w:t>epartment of their applicability and early adoption where applicable. The department has not, and does not intend to, adopt these standards early.</w:t>
      </w:r>
    </w:p>
    <w:p w:rsidR="00C232A3" w:rsidRPr="00AB62BD" w:rsidRDefault="00C232A3" w:rsidP="00C232A3">
      <w:pPr>
        <w:pStyle w:val="ARbody"/>
        <w:rPr>
          <w:lang w:eastAsia="en-AU"/>
        </w:rPr>
      </w:pPr>
      <w:r w:rsidRPr="00AB62BD">
        <w:rPr>
          <w:lang w:eastAsia="en-AU"/>
        </w:rPr>
        <w:t>The following AASs become effective for reporting periods commencing after the operative dates stated:</w:t>
      </w:r>
    </w:p>
    <w:tbl>
      <w:tblPr>
        <w:tblW w:w="9639" w:type="dxa"/>
        <w:tblInd w:w="108" w:type="dxa"/>
        <w:tblLook w:val="06A0" w:firstRow="1" w:lastRow="0" w:firstColumn="1" w:lastColumn="0" w:noHBand="1" w:noVBand="1"/>
      </w:tblPr>
      <w:tblGrid>
        <w:gridCol w:w="2699"/>
        <w:gridCol w:w="2638"/>
        <w:gridCol w:w="1664"/>
        <w:gridCol w:w="2638"/>
      </w:tblGrid>
      <w:tr w:rsidR="00C232A3" w:rsidRPr="00584D5E" w:rsidTr="000F7961">
        <w:trPr>
          <w:cantSplit/>
          <w:tblHeader/>
        </w:trPr>
        <w:tc>
          <w:tcPr>
            <w:tcW w:w="2620" w:type="dxa"/>
            <w:tcBorders>
              <w:top w:val="nil"/>
              <w:left w:val="nil"/>
              <w:bottom w:val="single" w:sz="4" w:space="0" w:color="auto"/>
              <w:right w:val="nil"/>
            </w:tcBorders>
            <w:shd w:val="clear" w:color="auto" w:fill="FFFFFF" w:themeFill="background1"/>
            <w:vAlign w:val="bottom"/>
            <w:hideMark/>
          </w:tcPr>
          <w:p w:rsidR="00C232A3" w:rsidRPr="00584D5E" w:rsidRDefault="00C232A3" w:rsidP="00C232A3">
            <w:pPr>
              <w:pStyle w:val="ARfintablecolhead"/>
            </w:pPr>
            <w:r w:rsidRPr="00584D5E">
              <w:t>Standard/Interpretation</w:t>
            </w:r>
            <w:r w:rsidR="00AB7E86">
              <w:t xml:space="preserve"> </w:t>
            </w:r>
            <w:r w:rsidRPr="00584D5E">
              <w:rPr>
                <w:vertAlign w:val="superscript"/>
              </w:rPr>
              <w:t>(</w:t>
            </w:r>
            <w:proofErr w:type="spellStart"/>
            <w:r w:rsidRPr="00584D5E">
              <w:rPr>
                <w:vertAlign w:val="superscript"/>
              </w:rPr>
              <w:t>i</w:t>
            </w:r>
            <w:proofErr w:type="spellEnd"/>
            <w:r w:rsidRPr="00584D5E">
              <w:rPr>
                <w:vertAlign w:val="superscript"/>
              </w:rPr>
              <w:t>)</w:t>
            </w:r>
          </w:p>
        </w:tc>
        <w:tc>
          <w:tcPr>
            <w:tcW w:w="2561" w:type="dxa"/>
            <w:tcBorders>
              <w:top w:val="nil"/>
              <w:left w:val="nil"/>
              <w:bottom w:val="single" w:sz="4" w:space="0" w:color="auto"/>
              <w:right w:val="nil"/>
            </w:tcBorders>
            <w:shd w:val="clear" w:color="auto" w:fill="FFFFFF" w:themeFill="background1"/>
            <w:vAlign w:val="bottom"/>
            <w:hideMark/>
          </w:tcPr>
          <w:p w:rsidR="00C232A3" w:rsidRPr="00584D5E" w:rsidRDefault="00C232A3" w:rsidP="00C232A3">
            <w:pPr>
              <w:pStyle w:val="ARfintablecolhead"/>
            </w:pPr>
            <w:r w:rsidRPr="00584D5E">
              <w:t>Summary</w:t>
            </w:r>
          </w:p>
        </w:tc>
        <w:tc>
          <w:tcPr>
            <w:tcW w:w="1615" w:type="dxa"/>
            <w:tcBorders>
              <w:top w:val="nil"/>
              <w:left w:val="nil"/>
              <w:bottom w:val="single" w:sz="4" w:space="0" w:color="auto"/>
              <w:right w:val="nil"/>
            </w:tcBorders>
            <w:shd w:val="clear" w:color="auto" w:fill="FFFFFF" w:themeFill="background1"/>
            <w:vAlign w:val="bottom"/>
            <w:hideMark/>
          </w:tcPr>
          <w:p w:rsidR="00C232A3" w:rsidRPr="00584D5E" w:rsidRDefault="00C232A3" w:rsidP="00C232A3">
            <w:pPr>
              <w:pStyle w:val="ARfintablecolhead"/>
            </w:pPr>
            <w:r w:rsidRPr="00584D5E">
              <w:t>Applicable for annual reporting periods beginning on</w:t>
            </w:r>
          </w:p>
        </w:tc>
        <w:tc>
          <w:tcPr>
            <w:tcW w:w="2561" w:type="dxa"/>
            <w:tcBorders>
              <w:top w:val="nil"/>
              <w:left w:val="nil"/>
              <w:bottom w:val="single" w:sz="4" w:space="0" w:color="auto"/>
              <w:right w:val="nil"/>
            </w:tcBorders>
            <w:shd w:val="clear" w:color="auto" w:fill="FFFFFF" w:themeFill="background1"/>
            <w:vAlign w:val="bottom"/>
            <w:hideMark/>
          </w:tcPr>
          <w:p w:rsidR="00C232A3" w:rsidRPr="00584D5E" w:rsidRDefault="00C232A3" w:rsidP="00C232A3">
            <w:pPr>
              <w:pStyle w:val="ARfintablecolhead"/>
            </w:pPr>
            <w:r w:rsidRPr="00584D5E">
              <w:t>Impact on public sector entity financial statements</w:t>
            </w:r>
          </w:p>
        </w:tc>
      </w:tr>
      <w:tr w:rsidR="00C232A3" w:rsidRPr="00584D5E" w:rsidTr="00C73ED0">
        <w:trPr>
          <w:cantSplit/>
        </w:trPr>
        <w:tc>
          <w:tcPr>
            <w:tcW w:w="2620" w:type="dxa"/>
            <w:tcBorders>
              <w:top w:val="single" w:sz="4" w:space="0" w:color="auto"/>
              <w:left w:val="nil"/>
              <w:right w:val="nil"/>
            </w:tcBorders>
            <w:shd w:val="clear" w:color="000000" w:fill="FFFFFF"/>
            <w:hideMark/>
          </w:tcPr>
          <w:p w:rsidR="00C232A3" w:rsidRPr="00584D5E" w:rsidRDefault="00C232A3" w:rsidP="00C232A3">
            <w:pPr>
              <w:pStyle w:val="ARfintablebody"/>
              <w:rPr>
                <w:lang w:eastAsia="en-AU"/>
              </w:rPr>
            </w:pPr>
            <w:r w:rsidRPr="00584D5E">
              <w:rPr>
                <w:lang w:eastAsia="en-AU"/>
              </w:rPr>
              <w:t xml:space="preserve">AASB 9 </w:t>
            </w:r>
            <w:r w:rsidRPr="00896564">
              <w:rPr>
                <w:i/>
                <w:lang w:eastAsia="en-AU"/>
              </w:rPr>
              <w:t>Financial Instruments</w:t>
            </w:r>
          </w:p>
        </w:tc>
        <w:tc>
          <w:tcPr>
            <w:tcW w:w="2561" w:type="dxa"/>
            <w:tcBorders>
              <w:top w:val="single" w:sz="4" w:space="0" w:color="auto"/>
              <w:left w:val="nil"/>
              <w:right w:val="nil"/>
            </w:tcBorders>
            <w:shd w:val="clear" w:color="000000" w:fill="FFFFFF"/>
            <w:hideMark/>
          </w:tcPr>
          <w:p w:rsidR="00C232A3" w:rsidRPr="00584D5E" w:rsidRDefault="00C232A3" w:rsidP="00C232A3">
            <w:pPr>
              <w:pStyle w:val="ARfintablebody"/>
              <w:rPr>
                <w:lang w:eastAsia="en-AU"/>
              </w:rPr>
            </w:pPr>
            <w:r w:rsidRPr="00584D5E">
              <w:rPr>
                <w:lang w:eastAsia="en-AU"/>
              </w:rPr>
              <w:t>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615" w:type="dxa"/>
            <w:tcBorders>
              <w:top w:val="single" w:sz="4" w:space="0" w:color="auto"/>
              <w:left w:val="nil"/>
              <w:right w:val="nil"/>
            </w:tcBorders>
            <w:shd w:val="clear" w:color="000000" w:fill="FFFFFF"/>
            <w:hideMark/>
          </w:tcPr>
          <w:p w:rsidR="00C232A3" w:rsidRPr="00584D5E" w:rsidRDefault="00C232A3" w:rsidP="00C232A3">
            <w:pPr>
              <w:pStyle w:val="ARfintablebody"/>
              <w:rPr>
                <w:lang w:eastAsia="en-AU"/>
              </w:rPr>
            </w:pPr>
            <w:r w:rsidRPr="00584D5E">
              <w:rPr>
                <w:lang w:eastAsia="en-AU"/>
              </w:rPr>
              <w:t>1 Jan 2018</w:t>
            </w:r>
          </w:p>
        </w:tc>
        <w:tc>
          <w:tcPr>
            <w:tcW w:w="2561" w:type="dxa"/>
            <w:tcBorders>
              <w:top w:val="single" w:sz="4" w:space="0" w:color="auto"/>
              <w:left w:val="nil"/>
              <w:right w:val="nil"/>
            </w:tcBorders>
            <w:shd w:val="clear" w:color="000000" w:fill="FFFFFF"/>
            <w:hideMark/>
          </w:tcPr>
          <w:p w:rsidR="00C232A3" w:rsidRPr="00584D5E" w:rsidRDefault="00C232A3" w:rsidP="00C232A3">
            <w:pPr>
              <w:pStyle w:val="ARfintablebody"/>
              <w:rPr>
                <w:lang w:eastAsia="en-AU"/>
              </w:rPr>
            </w:pPr>
            <w:r w:rsidRPr="00584D5E">
              <w:rPr>
                <w:lang w:eastAsia="en-AU"/>
              </w:rPr>
              <w:t>The assessment has identified that the amendments are likely to result in earlier recognition of impairment losses and at more regular intervals.</w:t>
            </w:r>
          </w:p>
          <w:p w:rsidR="00C232A3" w:rsidRPr="00584D5E" w:rsidRDefault="00C232A3" w:rsidP="00C232A3">
            <w:pPr>
              <w:pStyle w:val="ARfintablebody"/>
              <w:rPr>
                <w:lang w:eastAsia="en-AU"/>
              </w:rPr>
            </w:pPr>
            <w:r w:rsidRPr="00584D5E">
              <w:rPr>
                <w:lang w:eastAsia="en-AU"/>
              </w:rPr>
              <w:t>While there will be no significant impact arising from AASB 9, there will be a change to the way financial instruments are disclosed.</w:t>
            </w:r>
          </w:p>
        </w:tc>
      </w:tr>
      <w:tr w:rsidR="00C232A3" w:rsidRPr="00584D5E" w:rsidTr="00C73ED0">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AASB 2010-7 </w:t>
            </w:r>
            <w:r w:rsidRPr="00896564">
              <w:rPr>
                <w:i/>
                <w:lang w:eastAsia="en-AU"/>
              </w:rPr>
              <w:t>Amendments to Australian Accounting Standards arising from AASB 9 (December 2010)</w:t>
            </w:r>
          </w:p>
        </w:tc>
        <w:tc>
          <w:tcPr>
            <w:tcW w:w="2561" w:type="dxa"/>
            <w:tcBorders>
              <w:top w:val="single" w:sz="4" w:space="0" w:color="auto"/>
              <w:left w:val="nil"/>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rsidR="00C232A3" w:rsidRPr="00584D5E" w:rsidRDefault="00C232A3" w:rsidP="00C232A3">
            <w:pPr>
              <w:pStyle w:val="ARfintablebullet"/>
              <w:rPr>
                <w:rFonts w:ascii="Symbol" w:hAnsi="Symbol"/>
              </w:rPr>
            </w:pPr>
            <w:r w:rsidRPr="00584D5E">
              <w:t>The change in fair value attributable to changes in credit risk is presented in other comprehensive income (OCI); and</w:t>
            </w:r>
          </w:p>
          <w:p w:rsidR="00C232A3" w:rsidRPr="00584D5E" w:rsidRDefault="00C232A3" w:rsidP="00C232A3">
            <w:pPr>
              <w:pStyle w:val="ARfintablebullet"/>
            </w:pPr>
            <w:r w:rsidRPr="00584D5E">
              <w:t>Other fair value changes are presented in profit and loss. If this approach creates or enlarges an accounting mismatch in the profit or loss, the effect of the changes in credit risk are also presented in profit or loss.</w:t>
            </w:r>
          </w:p>
        </w:tc>
        <w:tc>
          <w:tcPr>
            <w:tcW w:w="1615" w:type="dxa"/>
            <w:tcBorders>
              <w:top w:val="single" w:sz="4" w:space="0" w:color="auto"/>
              <w:left w:val="nil"/>
              <w:bottom w:val="nil"/>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1 Jan 2018</w:t>
            </w:r>
          </w:p>
        </w:tc>
        <w:tc>
          <w:tcPr>
            <w:tcW w:w="2561" w:type="dxa"/>
            <w:tcBorders>
              <w:top w:val="single" w:sz="4" w:space="0" w:color="auto"/>
              <w:left w:val="nil"/>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The assessment has identified that the financial impact of available for sale (AFS) assets will now be reported through other comprehensive income (OCI) and no longer recycled to the profit and loss.</w:t>
            </w:r>
          </w:p>
          <w:p w:rsidR="00C232A3" w:rsidRPr="00584D5E" w:rsidRDefault="00C232A3" w:rsidP="00C232A3">
            <w:pPr>
              <w:pStyle w:val="ARfintablebody"/>
              <w:rPr>
                <w:lang w:eastAsia="en-AU"/>
              </w:rPr>
            </w:pPr>
            <w:r w:rsidRPr="00584D5E">
              <w:rPr>
                <w:lang w:eastAsia="en-AU"/>
              </w:rPr>
              <w:t>Changes in own credit risk in respect of liabilities designated at fair value through profit and loss will now be presented within other comprehensive income (OCI).</w:t>
            </w:r>
          </w:p>
          <w:p w:rsidR="00C232A3" w:rsidRPr="00584D5E" w:rsidRDefault="00C232A3" w:rsidP="00C232A3">
            <w:pPr>
              <w:pStyle w:val="ARfintablebody"/>
              <w:rPr>
                <w:lang w:eastAsia="en-AU"/>
              </w:rPr>
            </w:pPr>
            <w:r w:rsidRPr="00584D5E">
              <w:rPr>
                <w:lang w:eastAsia="en-AU"/>
              </w:rPr>
              <w:t>Hedge accounting will be more closely aligned with common risk management practices making it easier to have an effective hedge.</w:t>
            </w:r>
          </w:p>
          <w:p w:rsidR="00C232A3" w:rsidRPr="00584D5E" w:rsidRDefault="00C232A3" w:rsidP="00C232A3">
            <w:pPr>
              <w:pStyle w:val="ARfintablebody"/>
              <w:rPr>
                <w:lang w:eastAsia="en-AU"/>
              </w:rPr>
            </w:pPr>
            <w:r w:rsidRPr="00584D5E">
              <w:rPr>
                <w:lang w:eastAsia="en-AU"/>
              </w:rPr>
              <w:t>For entities with significant lending activities, an overhaul of related syste</w:t>
            </w:r>
            <w:r>
              <w:rPr>
                <w:lang w:eastAsia="en-AU"/>
              </w:rPr>
              <w:t>ms and processes may be needed.</w:t>
            </w:r>
          </w:p>
        </w:tc>
      </w:tr>
      <w:tr w:rsidR="00C232A3" w:rsidRPr="00584D5E" w:rsidTr="00C73ED0">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AASB 2014-1 </w:t>
            </w:r>
            <w:r w:rsidRPr="00896564">
              <w:rPr>
                <w:i/>
                <w:lang w:eastAsia="en-AU"/>
              </w:rPr>
              <w:t>Amendments to Australian Accounting Standards [Part E Financial Instruments]</w:t>
            </w:r>
            <w:r w:rsidR="00F8267D">
              <w:rPr>
                <w:lang w:eastAsia="en-AU"/>
              </w:rPr>
              <w:t xml:space="preserve"> </w:t>
            </w:r>
          </w:p>
        </w:tc>
        <w:tc>
          <w:tcPr>
            <w:tcW w:w="2561" w:type="dxa"/>
            <w:tcBorders>
              <w:top w:val="single" w:sz="4" w:space="0" w:color="auto"/>
              <w:left w:val="nil"/>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Amends various AASs to reflect the AASB’s decision to defer th</w:t>
            </w:r>
            <w:r>
              <w:rPr>
                <w:lang w:eastAsia="en-AU"/>
              </w:rPr>
              <w:t xml:space="preserve">e mandatory application date of </w:t>
            </w:r>
            <w:r w:rsidRPr="00584D5E">
              <w:rPr>
                <w:lang w:eastAsia="en-AU"/>
              </w:rPr>
              <w:t xml:space="preserve">AASB 9 to annual reporting </w:t>
            </w:r>
            <w:r>
              <w:rPr>
                <w:lang w:eastAsia="en-AU"/>
              </w:rPr>
              <w:t>periods beginning on or after 1 </w:t>
            </w:r>
            <w:r w:rsidRPr="00584D5E">
              <w:rPr>
                <w:lang w:eastAsia="en-AU"/>
              </w:rPr>
              <w:t>January 2018 as a consequence of Chapter 6 Hedge Accounting, and to amend reduced disclosure requirement</w:t>
            </w:r>
            <w:r>
              <w:rPr>
                <w:lang w:eastAsia="en-AU"/>
              </w:rPr>
              <w:t>s.</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1 Jan 2018</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This amending standard will defer the application period of AASB 9 to the 2018-19 reporting period in accordance with the transition requirements. </w:t>
            </w:r>
          </w:p>
        </w:tc>
      </w:tr>
      <w:tr w:rsidR="00C232A3" w:rsidRPr="00584D5E" w:rsidTr="00C73ED0">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AASB 2014-7 </w:t>
            </w:r>
            <w:r w:rsidRPr="00896564">
              <w:rPr>
                <w:i/>
                <w:lang w:eastAsia="en-AU"/>
              </w:rPr>
              <w:t>Amendments to Australian Accounting Standards arising from AASB 9</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Amends various AASs to incorporate the consequential amendments arising from the issuance of AASB 9.</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1 Jan 2018</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The assessment has indicated that there will be no significant impact for the public sector.</w:t>
            </w:r>
          </w:p>
        </w:tc>
      </w:tr>
      <w:tr w:rsidR="00C232A3" w:rsidRPr="00584D5E" w:rsidTr="000F7961">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73ED0">
            <w:pPr>
              <w:pStyle w:val="ARfintablebody"/>
              <w:pageBreakBefore/>
              <w:rPr>
                <w:lang w:eastAsia="en-AU"/>
              </w:rPr>
            </w:pPr>
            <w:r w:rsidRPr="00584D5E">
              <w:rPr>
                <w:lang w:eastAsia="en-AU"/>
              </w:rPr>
              <w:lastRenderedPageBreak/>
              <w:t xml:space="preserve">AASB 15 </w:t>
            </w:r>
            <w:r w:rsidRPr="00896564">
              <w:rPr>
                <w:i/>
                <w:lang w:eastAsia="en-AU"/>
              </w:rPr>
              <w:t>Revenue from Contracts with Customers</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The core principle of AASB 15 requires an entity to recognise revenue when the entity satisfies a performance obligation by transferring a promised good or service to a customer.</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1 Jan 2018</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The changes in revenue recognition requirements in AASB 15 may result in changes to the timing and amount of revenue recorded in the financial statements. The Standard will also require additional disclosures on service revenue and contract modifications.</w:t>
            </w:r>
          </w:p>
        </w:tc>
      </w:tr>
      <w:tr w:rsidR="00C232A3" w:rsidRPr="00584D5E" w:rsidTr="00C73ED0">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AASB 2014-5 </w:t>
            </w:r>
            <w:r w:rsidRPr="00896564">
              <w:rPr>
                <w:i/>
                <w:lang w:eastAsia="en-AU"/>
              </w:rPr>
              <w:t>Amendments to Australian Accounting Standards arising from AASB 15</w:t>
            </w:r>
          </w:p>
        </w:tc>
        <w:tc>
          <w:tcPr>
            <w:tcW w:w="2561" w:type="dxa"/>
            <w:tcBorders>
              <w:top w:val="single" w:sz="4" w:space="0" w:color="auto"/>
              <w:left w:val="nil"/>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Amends the measurement of trade receivables and the recognition of dividends.</w:t>
            </w:r>
          </w:p>
          <w:p w:rsidR="00C232A3" w:rsidRPr="00584D5E" w:rsidRDefault="00C232A3" w:rsidP="00C232A3">
            <w:pPr>
              <w:pStyle w:val="ARfintablebody"/>
              <w:rPr>
                <w:lang w:eastAsia="en-AU"/>
              </w:rPr>
            </w:pPr>
            <w:r w:rsidRPr="00584D5E">
              <w:rPr>
                <w:lang w:eastAsia="en-AU"/>
              </w:rPr>
              <w:t>Trade receivables, that do not have a significant financing component, are to be measured at their transaction price, at initial recognition.</w:t>
            </w:r>
          </w:p>
          <w:p w:rsidR="00C232A3" w:rsidRPr="00584D5E" w:rsidRDefault="00C232A3" w:rsidP="00C232A3">
            <w:pPr>
              <w:pStyle w:val="ARfintablebody"/>
              <w:rPr>
                <w:lang w:eastAsia="en-AU"/>
              </w:rPr>
            </w:pPr>
            <w:r w:rsidRPr="00584D5E">
              <w:rPr>
                <w:lang w:eastAsia="en-AU"/>
              </w:rPr>
              <w:t>Dividends are recognised in the profit and loss only when:</w:t>
            </w:r>
          </w:p>
          <w:p w:rsidR="00C232A3" w:rsidRPr="00584D5E" w:rsidRDefault="00C232A3" w:rsidP="00C232A3">
            <w:pPr>
              <w:pStyle w:val="ARfintablebullet"/>
              <w:rPr>
                <w:rFonts w:ascii="Symbol" w:hAnsi="Symbol"/>
              </w:rPr>
            </w:pPr>
            <w:r w:rsidRPr="00584D5E">
              <w:t>the entity’s right to receive payment of the dividend is established;</w:t>
            </w:r>
          </w:p>
          <w:p w:rsidR="00C232A3" w:rsidRPr="00584D5E" w:rsidRDefault="00C232A3" w:rsidP="00C232A3">
            <w:pPr>
              <w:pStyle w:val="ARfintablebullet"/>
              <w:rPr>
                <w:rFonts w:ascii="Symbol" w:hAnsi="Symbol"/>
              </w:rPr>
            </w:pPr>
            <w:r w:rsidRPr="00584D5E">
              <w:t>it is probable that the economic benefits associated with the dividend will flow to the entity; and</w:t>
            </w:r>
          </w:p>
          <w:p w:rsidR="00C232A3" w:rsidRPr="00584D5E" w:rsidRDefault="00C232A3" w:rsidP="00C232A3">
            <w:pPr>
              <w:pStyle w:val="ARfintablebullet"/>
            </w:pPr>
            <w:r w:rsidRPr="00584D5E">
              <w:t>the amount can be measured reliably.</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1 Jan 2017, except amendments to AASB 9 (Dec 2009) and AASB 9 (Dec 2010) apply from 1 Jan 2018</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The assessment has indicated that there will be no significant impact for the public sector.</w:t>
            </w:r>
          </w:p>
        </w:tc>
      </w:tr>
      <w:tr w:rsidR="00C232A3" w:rsidRPr="00584D5E" w:rsidTr="000F7961">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AASB 2015-8 </w:t>
            </w:r>
            <w:r w:rsidRPr="00896564">
              <w:rPr>
                <w:i/>
                <w:lang w:eastAsia="en-AU"/>
              </w:rPr>
              <w:t>Amendments to Australian Accounting Standards – Effective Date of AASB 15</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This Standard defers the mandatory effective date of AASB 15 from 1 January 2017 to 1 January 2018.</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1 Jan 2018</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This amending standard will defer the application period of AASB 15 for </w:t>
            </w:r>
            <w:r>
              <w:rPr>
                <w:lang w:eastAsia="en-AU"/>
              </w:rPr>
              <w:t>for-profit entities to the 2018–</w:t>
            </w:r>
            <w:r w:rsidRPr="00584D5E">
              <w:rPr>
                <w:lang w:eastAsia="en-AU"/>
              </w:rPr>
              <w:t>19 reporting period in accordance with the transition requirements.</w:t>
            </w:r>
          </w:p>
        </w:tc>
      </w:tr>
      <w:tr w:rsidR="00C232A3" w:rsidRPr="00584D5E" w:rsidTr="00C73ED0">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 xml:space="preserve">AASB 2016-3 </w:t>
            </w:r>
            <w:r w:rsidRPr="00896564">
              <w:rPr>
                <w:i/>
                <w:lang w:eastAsia="en-AU"/>
              </w:rPr>
              <w:t>Amendments to Australian Accounting Standards – Clarifications to AASB 15</w:t>
            </w:r>
          </w:p>
        </w:tc>
        <w:tc>
          <w:tcPr>
            <w:tcW w:w="2561" w:type="dxa"/>
            <w:tcBorders>
              <w:top w:val="single" w:sz="4" w:space="0" w:color="auto"/>
              <w:left w:val="nil"/>
              <w:bottom w:val="single" w:sz="4" w:space="0" w:color="auto"/>
              <w:right w:val="nil"/>
            </w:tcBorders>
            <w:shd w:val="clear" w:color="auto" w:fill="FFFFFF" w:themeFill="background1"/>
            <w:hideMark/>
          </w:tcPr>
          <w:p w:rsidR="00AA035A" w:rsidRDefault="00C232A3" w:rsidP="00C232A3">
            <w:pPr>
              <w:pStyle w:val="ARfintablebody"/>
              <w:rPr>
                <w:lang w:eastAsia="en-AU"/>
              </w:rPr>
            </w:pPr>
            <w:r w:rsidRPr="00584D5E">
              <w:rPr>
                <w:lang w:eastAsia="en-AU"/>
              </w:rPr>
              <w:t>This Standard amends AASB 15 to clarify the requirements on identifying performance obligations, principal versus agent considerations and the timing of recognising revenue from granting a licence.</w:t>
            </w:r>
            <w:r w:rsidR="00F8267D">
              <w:rPr>
                <w:lang w:eastAsia="en-AU"/>
              </w:rPr>
              <w:t xml:space="preserve"> </w:t>
            </w:r>
            <w:r w:rsidRPr="00584D5E">
              <w:rPr>
                <w:lang w:eastAsia="en-AU"/>
              </w:rPr>
              <w:t>The amendments require:</w:t>
            </w:r>
          </w:p>
          <w:p w:rsidR="00AA035A" w:rsidRDefault="00C232A3" w:rsidP="00C232A3">
            <w:pPr>
              <w:pStyle w:val="ARfintablebullet"/>
            </w:pPr>
            <w:r w:rsidRPr="00584D5E">
              <w:t>A promise to transfer to a customer a good or service that is ‘distinct’ to be recognised as a separate performance obligation;</w:t>
            </w:r>
          </w:p>
          <w:p w:rsidR="00AA035A" w:rsidRDefault="00C232A3" w:rsidP="00C232A3">
            <w:pPr>
              <w:pStyle w:val="ARfintablebullet"/>
            </w:pPr>
            <w:r w:rsidRPr="00584D5E">
              <w:t>For items purchased online, the entity is a principal if it obtains control of the good or service prior to transferring to the customer; and</w:t>
            </w:r>
          </w:p>
          <w:p w:rsidR="00C232A3" w:rsidRPr="00584D5E" w:rsidRDefault="00C232A3" w:rsidP="00C232A3">
            <w:pPr>
              <w:pStyle w:val="ARfintablebullet"/>
            </w:pPr>
            <w:r w:rsidRPr="00584D5E">
              <w:t>For licences identified as being distinct from other goods or services in a contract, entities need to determine whether the licence transfers to the customer over time (right to use) or at a point in time (right to access).</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1 Jan 2018</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584D5E" w:rsidRDefault="00C232A3" w:rsidP="00C232A3">
            <w:pPr>
              <w:pStyle w:val="ARfintablebody"/>
              <w:rPr>
                <w:lang w:eastAsia="en-AU"/>
              </w:rPr>
            </w:pPr>
            <w:r w:rsidRPr="00584D5E">
              <w:rPr>
                <w:lang w:eastAsia="en-AU"/>
              </w:rPr>
              <w:t>The assessment has indicated that there will be no significant impact for the public sector, other than the impac</w:t>
            </w:r>
            <w:r>
              <w:rPr>
                <w:lang w:eastAsia="en-AU"/>
              </w:rPr>
              <w:t>t identified for AASB 15 above.</w:t>
            </w:r>
          </w:p>
        </w:tc>
      </w:tr>
      <w:tr w:rsidR="00C232A3" w:rsidRPr="009E7540" w:rsidTr="000F7961">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 xml:space="preserve">AASB 2016-7 </w:t>
            </w:r>
            <w:r w:rsidRPr="00896564">
              <w:rPr>
                <w:i/>
                <w:lang w:eastAsia="en-AU"/>
              </w:rPr>
              <w:t>Amendments to Australian Accounting Standards – Deferral of AASB 15 for Not-for-Profit Entities</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This Standard defers the mandatory effective date of AASB 15 for not-for-profit entities from 1 January 2018 to 1 January 2019.</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1 Jan 2019</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This amending standard will defer the application period of AASB 15 for not-for-profit entities to the 2019-20 reporting period.</w:t>
            </w:r>
          </w:p>
        </w:tc>
      </w:tr>
      <w:tr w:rsidR="00C232A3" w:rsidRPr="009E7540" w:rsidTr="000F7961">
        <w:trPr>
          <w:cantSplit/>
          <w:trHeight w:val="3720"/>
        </w:trPr>
        <w:tc>
          <w:tcPr>
            <w:tcW w:w="2620"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lastRenderedPageBreak/>
              <w:t xml:space="preserve">AASB 2016-8 </w:t>
            </w:r>
            <w:r w:rsidRPr="00896564">
              <w:rPr>
                <w:i/>
                <w:lang w:eastAsia="en-AU"/>
              </w:rPr>
              <w:t>Amendments to Australian Accounting Standards – Australian Implementation Guidance for Not-for-Profit Entities</w:t>
            </w:r>
          </w:p>
        </w:tc>
        <w:tc>
          <w:tcPr>
            <w:tcW w:w="2561" w:type="dxa"/>
            <w:tcBorders>
              <w:top w:val="single" w:sz="4" w:space="0" w:color="auto"/>
              <w:left w:val="nil"/>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This Standard amends AASB 9 and AASB 15 to include requirements to assist not-for-profit entities in applying the respective standards to particular transactions and events. The amendments:</w:t>
            </w:r>
          </w:p>
          <w:p w:rsidR="00C232A3" w:rsidRPr="009E7540" w:rsidRDefault="00C232A3" w:rsidP="00C232A3">
            <w:pPr>
              <w:pStyle w:val="ARfintablebullet"/>
              <w:rPr>
                <w:rFonts w:ascii="Symbol" w:hAnsi="Symbol"/>
              </w:rPr>
            </w:pPr>
            <w:r w:rsidRPr="009E7540">
              <w:t>require non-contractual receivables arising from statutory requirements (i.e. taxes, rates and fines) to be initially measured and recognised in accordance with AASB 9 as if those receivables are financial instruments; and</w:t>
            </w:r>
          </w:p>
          <w:p w:rsidR="00C232A3" w:rsidRPr="009E7540" w:rsidRDefault="00C232A3" w:rsidP="00C232A3">
            <w:pPr>
              <w:pStyle w:val="ARfintablebullet"/>
            </w:pPr>
            <w:r w:rsidRPr="009E7540">
              <w:t xml:space="preserve">clarifies circumstances when a contract with a customer </w:t>
            </w:r>
            <w:r>
              <w:t>is within the scope of AASB 15.</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1 Jan 2019</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The assessment has indicated that there will be no significant impact for the public sector, other than the impacts identified for AASB 9 and AASB 15 above.</w:t>
            </w:r>
          </w:p>
        </w:tc>
      </w:tr>
      <w:tr w:rsidR="00C232A3" w:rsidRPr="009E7540" w:rsidTr="000F7961">
        <w:trPr>
          <w:cantSplit/>
          <w:trHeight w:val="2776"/>
        </w:trPr>
        <w:tc>
          <w:tcPr>
            <w:tcW w:w="2620"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 xml:space="preserve">AASB 16 </w:t>
            </w:r>
            <w:r w:rsidRPr="00896564">
              <w:rPr>
                <w:i/>
                <w:lang w:eastAsia="en-AU"/>
              </w:rPr>
              <w:t>Leases</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 xml:space="preserve">The key changes introduced by AASB 16 include the recognition of most operating leases (which are </w:t>
            </w:r>
            <w:r>
              <w:rPr>
                <w:lang w:eastAsia="en-AU"/>
              </w:rPr>
              <w:t>currently</w:t>
            </w:r>
            <w:r w:rsidRPr="009E7540">
              <w:rPr>
                <w:lang w:eastAsia="en-AU"/>
              </w:rPr>
              <w:t xml:space="preserve"> not recognised) on balance sheet.</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1 Jan 2019</w:t>
            </w:r>
          </w:p>
        </w:tc>
        <w:tc>
          <w:tcPr>
            <w:tcW w:w="2561" w:type="dxa"/>
            <w:tcBorders>
              <w:top w:val="single" w:sz="4" w:space="0" w:color="auto"/>
              <w:left w:val="nil"/>
              <w:right w:val="nil"/>
            </w:tcBorders>
            <w:shd w:val="clear" w:color="auto" w:fill="FFFFFF" w:themeFill="background1"/>
            <w:hideMark/>
          </w:tcPr>
          <w:p w:rsidR="00AA035A" w:rsidRDefault="00C232A3" w:rsidP="00C232A3">
            <w:pPr>
              <w:pStyle w:val="ARfintablebody"/>
              <w:rPr>
                <w:lang w:eastAsia="en-AU"/>
              </w:rPr>
            </w:pPr>
            <w:r w:rsidRPr="009E7540">
              <w:rPr>
                <w:lang w:eastAsia="en-AU"/>
              </w:rPr>
              <w:t>The assessment has indicated that as most operating leases will come on balance sheet, recognition of the right-of-use assets and lease liabilities will cause net debt to increase.</w:t>
            </w:r>
          </w:p>
          <w:p w:rsidR="00C232A3" w:rsidRPr="009E7540" w:rsidRDefault="00C232A3" w:rsidP="00C232A3">
            <w:pPr>
              <w:pStyle w:val="ARfintablebody"/>
              <w:rPr>
                <w:lang w:eastAsia="en-AU"/>
              </w:rPr>
            </w:pPr>
            <w:r w:rsidRPr="009E7540">
              <w:rPr>
                <w:lang w:eastAsia="en-AU"/>
              </w:rPr>
              <w:t>Rather than expensing the lease payments, depreciation of right-of-use assets and interest on lease liabilities will be recognised in the income statement with marginal impact on the operating surplus.</w:t>
            </w:r>
          </w:p>
          <w:p w:rsidR="00C232A3" w:rsidRPr="009E7540" w:rsidRDefault="00C232A3" w:rsidP="00C232A3">
            <w:pPr>
              <w:pStyle w:val="ARfintablebody"/>
              <w:rPr>
                <w:lang w:eastAsia="en-AU"/>
              </w:rPr>
            </w:pPr>
            <w:r w:rsidRPr="009E7540">
              <w:rPr>
                <w:lang w:eastAsia="en-AU"/>
              </w:rPr>
              <w:t xml:space="preserve">No change for lessors. </w:t>
            </w:r>
          </w:p>
        </w:tc>
      </w:tr>
      <w:tr w:rsidR="00C232A3" w:rsidRPr="009E7540" w:rsidTr="000F7961">
        <w:trPr>
          <w:cantSplit/>
        </w:trPr>
        <w:tc>
          <w:tcPr>
            <w:tcW w:w="2620"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 xml:space="preserve">AASB 2016-4 </w:t>
            </w:r>
            <w:r w:rsidRPr="00896564">
              <w:rPr>
                <w:i/>
                <w:lang w:eastAsia="en-AU"/>
              </w:rPr>
              <w:t>Amendments to Australian Accounting Standards – Recoverable Amount of Non-Cash-Generating Specialised Assets of Not-for-Profit Entities</w:t>
            </w:r>
            <w:r w:rsidRPr="009E7540">
              <w:rPr>
                <w:lang w:eastAsia="en-AU"/>
              </w:rPr>
              <w:t xml:space="preserve"> </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The standard amends AASB 136 Impairment of Assets to remove references to using depreciated replacement cost (DRC) as a measure of value in use for not-for-profit entities.</w:t>
            </w:r>
          </w:p>
        </w:tc>
        <w:tc>
          <w:tcPr>
            <w:tcW w:w="1615"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1 Jan 2017</w:t>
            </w:r>
          </w:p>
        </w:tc>
        <w:tc>
          <w:tcPr>
            <w:tcW w:w="2561" w:type="dxa"/>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The assessment has indicated that there is minimal impact. Given the specialised nature and restrictions of public sector assets, the existing use is presumed to be the highest and best use (HBU), hence current replacement cost under AASB 13 Fair Value Measurement is the same as the depreciated replacement cost concept under AASB 136.</w:t>
            </w:r>
          </w:p>
        </w:tc>
      </w:tr>
      <w:tr w:rsidR="00C232A3" w:rsidRPr="009E7540" w:rsidTr="000F7961">
        <w:trPr>
          <w:cantSplit/>
          <w:trHeight w:val="216"/>
        </w:trPr>
        <w:tc>
          <w:tcPr>
            <w:tcW w:w="2620" w:type="dxa"/>
            <w:vMerge w:val="restart"/>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AASB 1058</w:t>
            </w:r>
            <w:r w:rsidRPr="00896564">
              <w:rPr>
                <w:i/>
                <w:lang w:eastAsia="en-AU"/>
              </w:rPr>
              <w:t xml:space="preserve"> Income of Not-for-Profit Entities</w:t>
            </w:r>
          </w:p>
        </w:tc>
        <w:tc>
          <w:tcPr>
            <w:tcW w:w="2561" w:type="dxa"/>
            <w:vMerge w:val="restart"/>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 xml:space="preserve">This standard replaces AASB 1004 Contributions and establishes revenue recognition principles for transactions where the consideration to acquire an asset is significantly less than fair value to enable </w:t>
            </w:r>
            <w:r>
              <w:rPr>
                <w:lang w:eastAsia="en-AU"/>
              </w:rPr>
              <w:t>the</w:t>
            </w:r>
            <w:r w:rsidRPr="009E7540">
              <w:rPr>
                <w:lang w:eastAsia="en-AU"/>
              </w:rPr>
              <w:t xml:space="preserve"> not-for-profit entity to further its objectives.</w:t>
            </w:r>
          </w:p>
        </w:tc>
        <w:tc>
          <w:tcPr>
            <w:tcW w:w="1615" w:type="dxa"/>
            <w:vMerge w:val="restart"/>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1 Jan 2019</w:t>
            </w:r>
          </w:p>
        </w:tc>
        <w:tc>
          <w:tcPr>
            <w:tcW w:w="2561" w:type="dxa"/>
            <w:vMerge w:val="restart"/>
            <w:tcBorders>
              <w:top w:val="single" w:sz="4" w:space="0" w:color="auto"/>
              <w:left w:val="nil"/>
              <w:bottom w:val="single" w:sz="4" w:space="0" w:color="auto"/>
              <w:right w:val="nil"/>
            </w:tcBorders>
            <w:shd w:val="clear" w:color="auto" w:fill="FFFFFF" w:themeFill="background1"/>
            <w:hideMark/>
          </w:tcPr>
          <w:p w:rsidR="00C232A3" w:rsidRPr="009E7540" w:rsidRDefault="00C232A3" w:rsidP="00C232A3">
            <w:pPr>
              <w:pStyle w:val="ARfintablebody"/>
              <w:rPr>
                <w:lang w:eastAsia="en-AU"/>
              </w:rPr>
            </w:pPr>
            <w:r w:rsidRPr="009E7540">
              <w:rPr>
                <w:lang w:eastAsia="en-AU"/>
              </w:rPr>
              <w:t>The assessment has indicated that revenue from capital grants that are provided under an enforceable agreement that have sufficiently specific obligations, will now be deferred and recognised as performance obligations are satisfied. As a result, the timing recognition of revenue will change.</w:t>
            </w:r>
          </w:p>
        </w:tc>
      </w:tr>
      <w:tr w:rsidR="00C232A3" w:rsidRPr="009E7540" w:rsidTr="000F7961">
        <w:trPr>
          <w:cantSplit/>
          <w:trHeight w:val="195"/>
        </w:trPr>
        <w:tc>
          <w:tcPr>
            <w:tcW w:w="2620" w:type="dxa"/>
            <w:vMerge/>
            <w:tcBorders>
              <w:top w:val="nil"/>
              <w:left w:val="nil"/>
              <w:bottom w:val="single" w:sz="4" w:space="0" w:color="auto"/>
              <w:right w:val="nil"/>
            </w:tcBorders>
            <w:shd w:val="clear" w:color="auto" w:fill="FFFFFF" w:themeFill="background1"/>
            <w:vAlign w:val="center"/>
            <w:hideMark/>
          </w:tcPr>
          <w:p w:rsidR="00C232A3" w:rsidRPr="009E7540" w:rsidRDefault="00C232A3" w:rsidP="00C232A3">
            <w:pPr>
              <w:rPr>
                <w:rFonts w:cs="Arial"/>
                <w:sz w:val="17"/>
                <w:szCs w:val="17"/>
                <w:lang w:eastAsia="en-AU"/>
              </w:rPr>
            </w:pPr>
          </w:p>
        </w:tc>
        <w:tc>
          <w:tcPr>
            <w:tcW w:w="2561" w:type="dxa"/>
            <w:vMerge/>
            <w:tcBorders>
              <w:top w:val="nil"/>
              <w:left w:val="nil"/>
              <w:bottom w:val="single" w:sz="4" w:space="0" w:color="auto"/>
              <w:right w:val="nil"/>
            </w:tcBorders>
            <w:shd w:val="clear" w:color="auto" w:fill="FFFFFF" w:themeFill="background1"/>
            <w:vAlign w:val="center"/>
            <w:hideMark/>
          </w:tcPr>
          <w:p w:rsidR="00C232A3" w:rsidRPr="009E7540" w:rsidRDefault="00C232A3" w:rsidP="00C232A3">
            <w:pPr>
              <w:rPr>
                <w:rFonts w:cs="Arial"/>
                <w:sz w:val="17"/>
                <w:szCs w:val="17"/>
                <w:lang w:eastAsia="en-AU"/>
              </w:rPr>
            </w:pPr>
          </w:p>
        </w:tc>
        <w:tc>
          <w:tcPr>
            <w:tcW w:w="1615" w:type="dxa"/>
            <w:vMerge/>
            <w:tcBorders>
              <w:top w:val="nil"/>
              <w:left w:val="nil"/>
              <w:bottom w:val="single" w:sz="4" w:space="0" w:color="auto"/>
              <w:right w:val="nil"/>
            </w:tcBorders>
            <w:shd w:val="clear" w:color="auto" w:fill="FFFFFF" w:themeFill="background1"/>
            <w:vAlign w:val="center"/>
            <w:hideMark/>
          </w:tcPr>
          <w:p w:rsidR="00C232A3" w:rsidRPr="009E7540" w:rsidRDefault="00C232A3" w:rsidP="00C232A3">
            <w:pPr>
              <w:rPr>
                <w:rFonts w:cs="Arial"/>
                <w:sz w:val="17"/>
                <w:szCs w:val="17"/>
                <w:lang w:eastAsia="en-AU"/>
              </w:rPr>
            </w:pPr>
          </w:p>
        </w:tc>
        <w:tc>
          <w:tcPr>
            <w:tcW w:w="2561" w:type="dxa"/>
            <w:vMerge/>
            <w:tcBorders>
              <w:top w:val="nil"/>
              <w:left w:val="nil"/>
              <w:bottom w:val="single" w:sz="4" w:space="0" w:color="auto"/>
              <w:right w:val="nil"/>
            </w:tcBorders>
            <w:shd w:val="clear" w:color="auto" w:fill="FFFFFF" w:themeFill="background1"/>
            <w:vAlign w:val="center"/>
            <w:hideMark/>
          </w:tcPr>
          <w:p w:rsidR="00C232A3" w:rsidRPr="009E7540" w:rsidRDefault="00C232A3" w:rsidP="00C232A3">
            <w:pPr>
              <w:rPr>
                <w:rFonts w:cs="Arial"/>
                <w:sz w:val="17"/>
                <w:szCs w:val="17"/>
                <w:lang w:eastAsia="en-AU"/>
              </w:rPr>
            </w:pPr>
          </w:p>
        </w:tc>
      </w:tr>
    </w:tbl>
    <w:p w:rsidR="00C232A3" w:rsidRDefault="00C232A3" w:rsidP="00C232A3">
      <w:pPr>
        <w:pStyle w:val="ARfintablefootnote"/>
        <w:rPr>
          <w:lang w:eastAsia="en-AU"/>
        </w:rPr>
      </w:pPr>
      <w:r>
        <w:rPr>
          <w:lang w:eastAsia="en-AU"/>
        </w:rPr>
        <w:t>Note:</w:t>
      </w:r>
    </w:p>
    <w:p w:rsidR="00C232A3" w:rsidRPr="00AB62BD" w:rsidRDefault="00C232A3" w:rsidP="00C232A3">
      <w:pPr>
        <w:pStyle w:val="ARfintablefootnoteroman"/>
      </w:pPr>
      <w:r>
        <w:t>(</w:t>
      </w:r>
      <w:proofErr w:type="spellStart"/>
      <w:r>
        <w:t>i</w:t>
      </w:r>
      <w:proofErr w:type="spellEnd"/>
      <w:r>
        <w:t>)</w:t>
      </w:r>
      <w:r>
        <w:tab/>
      </w:r>
      <w:r w:rsidRPr="002F53F9">
        <w:t>For the current year, given the number of consequential amendments to AASB 9 Financial Instruments and AASB 15 Revenue from Contracts with Customers, the standards/interpretations have been grouped together to provide a more relevant view of the upcoming changes.</w:t>
      </w:r>
    </w:p>
    <w:p w:rsidR="00C232A3" w:rsidRDefault="00C232A3" w:rsidP="00C232A3">
      <w:pPr>
        <w:pStyle w:val="ARbody"/>
        <w:rPr>
          <w:rFonts w:eastAsia="MS Mincho"/>
          <w:lang w:eastAsia="en-AU"/>
        </w:rPr>
      </w:pPr>
      <w:r>
        <w:br w:type="page"/>
      </w:r>
    </w:p>
    <w:p w:rsidR="00C232A3" w:rsidRPr="00A15588" w:rsidRDefault="00C232A3" w:rsidP="00C232A3">
      <w:pPr>
        <w:pStyle w:val="Heading4"/>
      </w:pPr>
      <w:r w:rsidRPr="00A15588">
        <w:lastRenderedPageBreak/>
        <w:t>9.13 Glossary of technical terms</w:t>
      </w:r>
    </w:p>
    <w:p w:rsidR="00C232A3" w:rsidRPr="00AB62BD" w:rsidRDefault="00C232A3" w:rsidP="00C232A3">
      <w:pPr>
        <w:pStyle w:val="ARbody"/>
        <w:rPr>
          <w:lang w:eastAsia="en-AU"/>
        </w:rPr>
      </w:pPr>
      <w:r w:rsidRPr="00AB62BD">
        <w:rPr>
          <w:lang w:eastAsia="en-AU"/>
        </w:rPr>
        <w:t>The following is a summary of the major technical terms used in this report.</w:t>
      </w:r>
    </w:p>
    <w:p w:rsidR="00C232A3" w:rsidRPr="00AB62BD" w:rsidRDefault="00C232A3" w:rsidP="00C232A3">
      <w:pPr>
        <w:pStyle w:val="ARbody"/>
        <w:rPr>
          <w:lang w:eastAsia="en-AU"/>
        </w:rPr>
      </w:pPr>
      <w:r w:rsidRPr="00963184">
        <w:rPr>
          <w:rStyle w:val="Strong"/>
        </w:rPr>
        <w:t>Actuarial gains or losses on superannuation defined benefit plans</w:t>
      </w:r>
      <w:r w:rsidRPr="00AB62BD">
        <w:rPr>
          <w:lang w:eastAsia="en-AU"/>
        </w:rPr>
        <w:t xml:space="preserve"> are changes in the present value of the superannuation defined benefit liability resulting from:</w:t>
      </w:r>
    </w:p>
    <w:p w:rsidR="00C232A3" w:rsidRPr="00AB62BD" w:rsidRDefault="00C232A3" w:rsidP="00C232A3">
      <w:pPr>
        <w:pStyle w:val="ARnumberalpha1"/>
        <w:numPr>
          <w:ilvl w:val="0"/>
          <w:numId w:val="39"/>
        </w:numPr>
        <w:rPr>
          <w:lang w:eastAsia="en-AU"/>
        </w:rPr>
      </w:pPr>
      <w:r w:rsidRPr="00AB62BD">
        <w:rPr>
          <w:lang w:eastAsia="en-AU"/>
        </w:rPr>
        <w:t>experience adjustments (the effects of differences between the previous actuarial assumptions and what has actually occurred); and</w:t>
      </w:r>
    </w:p>
    <w:p w:rsidR="00C232A3" w:rsidRPr="00AB62BD" w:rsidRDefault="00C232A3" w:rsidP="00C232A3">
      <w:pPr>
        <w:pStyle w:val="ARnumberalpha1"/>
        <w:numPr>
          <w:ilvl w:val="0"/>
          <w:numId w:val="39"/>
        </w:numPr>
        <w:rPr>
          <w:lang w:eastAsia="en-AU"/>
        </w:rPr>
      </w:pPr>
      <w:r w:rsidRPr="00AB62BD">
        <w:rPr>
          <w:lang w:eastAsia="en-AU"/>
        </w:rPr>
        <w:t>the effects of changes in actuarial assumptions.</w:t>
      </w:r>
    </w:p>
    <w:p w:rsidR="00C232A3" w:rsidRPr="00AB62BD" w:rsidRDefault="00C232A3" w:rsidP="00C232A3">
      <w:pPr>
        <w:pStyle w:val="ARbodyafterbullets"/>
        <w:rPr>
          <w:lang w:eastAsia="en-AU"/>
        </w:rPr>
      </w:pPr>
      <w:r w:rsidRPr="00963184">
        <w:rPr>
          <w:rStyle w:val="Strong"/>
        </w:rPr>
        <w:t>Administered item</w:t>
      </w:r>
      <w:r w:rsidRPr="00AB62BD">
        <w:rPr>
          <w:lang w:eastAsia="en-AU"/>
        </w:rPr>
        <w:t xml:space="preserve"> generally refers to a department lacking the capacity to benefit from that item in the pursuit of the entity’s objectives and to deny or regulate the access of others to that benefit.</w:t>
      </w:r>
    </w:p>
    <w:p w:rsidR="00C232A3" w:rsidRPr="00AB62BD" w:rsidRDefault="00C232A3" w:rsidP="00C232A3">
      <w:pPr>
        <w:pStyle w:val="ARbody"/>
        <w:rPr>
          <w:lang w:eastAsia="en-AU"/>
        </w:rPr>
      </w:pPr>
      <w:r w:rsidRPr="00963184">
        <w:rPr>
          <w:rStyle w:val="Strong"/>
        </w:rPr>
        <w:t>Amortisation</w:t>
      </w:r>
      <w:r w:rsidRPr="00AB62BD">
        <w:rPr>
          <w:lang w:eastAsia="en-AU"/>
        </w:rPr>
        <w:t xml:space="preserve"> is the expense that results from the consumption, extraction or use over time of a non-produced physical or intangible asset. This expense is classified as an ‘other economic flow’.</w:t>
      </w:r>
    </w:p>
    <w:p w:rsidR="00C232A3" w:rsidRPr="00AB62BD" w:rsidRDefault="00C232A3" w:rsidP="00C232A3">
      <w:pPr>
        <w:pStyle w:val="ARbody"/>
        <w:rPr>
          <w:lang w:eastAsia="en-AU"/>
        </w:rPr>
      </w:pPr>
      <w:r w:rsidRPr="00963184">
        <w:rPr>
          <w:rStyle w:val="Strong"/>
        </w:rPr>
        <w:t>Borrowings</w:t>
      </w:r>
      <w:r w:rsidRPr="00AB62BD">
        <w:rPr>
          <w:lang w:eastAsia="en-AU"/>
        </w:rPr>
        <w:t xml:space="preserve"> refers to interest bearing liabilities mainly raised from public borrowings raised through the Treasury Corporation of Victoria, finance leases and other interest bearing arrangements. Borrowings also include </w:t>
      </w:r>
      <w:r>
        <w:rPr>
          <w:lang w:eastAsia="en-AU"/>
        </w:rPr>
        <w:t>non-interest</w:t>
      </w:r>
      <w:r w:rsidRPr="00AB62BD">
        <w:rPr>
          <w:lang w:eastAsia="en-AU"/>
        </w:rPr>
        <w:t xml:space="preserve"> bearing advances from government that are acquired for policy purposes.</w:t>
      </w:r>
    </w:p>
    <w:p w:rsidR="00C232A3" w:rsidRPr="00AB62BD" w:rsidRDefault="00C232A3" w:rsidP="00C232A3">
      <w:pPr>
        <w:pStyle w:val="ARbody"/>
        <w:rPr>
          <w:lang w:eastAsia="en-AU"/>
        </w:rPr>
      </w:pPr>
      <w:r w:rsidRPr="00963184">
        <w:rPr>
          <w:rStyle w:val="Strong"/>
        </w:rPr>
        <w:t>Capital asset charge</w:t>
      </w:r>
      <w:r w:rsidRPr="00AB62BD">
        <w:rPr>
          <w:rStyle w:val="Strong"/>
        </w:rPr>
        <w:t xml:space="preserve"> </w:t>
      </w:r>
      <w:r w:rsidRPr="00AB62BD">
        <w:rPr>
          <w:lang w:eastAsia="en-AU"/>
        </w:rPr>
        <w:t>is a charge levied on the written-down value of controlled non-current physical assets in a department’s balance sheet which aims to: attribute to agency outputs the opportunity cost of capital used in service delivery; and provide incentives to departments to identify and dispose of underutilised or surplus assets in a timely manner.</w:t>
      </w:r>
    </w:p>
    <w:p w:rsidR="00C232A3" w:rsidRPr="00AB62BD" w:rsidRDefault="00C232A3" w:rsidP="00C232A3">
      <w:pPr>
        <w:pStyle w:val="ARbody"/>
        <w:rPr>
          <w:lang w:eastAsia="en-AU"/>
        </w:rPr>
      </w:pPr>
      <w:r w:rsidRPr="00963184">
        <w:rPr>
          <w:rStyle w:val="Strong"/>
        </w:rPr>
        <w:t>Commitments</w:t>
      </w:r>
      <w:r w:rsidRPr="00AB62BD">
        <w:rPr>
          <w:lang w:eastAsia="en-AU"/>
        </w:rPr>
        <w:t xml:space="preserve"> include those operating, capital and other outsourcing commitments arising from </w:t>
      </w:r>
      <w:r>
        <w:rPr>
          <w:lang w:eastAsia="en-AU"/>
        </w:rPr>
        <w:t>non-cancellable</w:t>
      </w:r>
      <w:r w:rsidRPr="00AB62BD">
        <w:rPr>
          <w:lang w:eastAsia="en-AU"/>
        </w:rPr>
        <w:t xml:space="preserve"> contractual or statutory sources.</w:t>
      </w:r>
    </w:p>
    <w:p w:rsidR="00C232A3" w:rsidRPr="00AB62BD" w:rsidRDefault="00C232A3" w:rsidP="00C232A3">
      <w:pPr>
        <w:pStyle w:val="ARbody"/>
        <w:rPr>
          <w:lang w:eastAsia="en-AU"/>
        </w:rPr>
      </w:pPr>
      <w:r w:rsidRPr="00963184">
        <w:rPr>
          <w:rStyle w:val="Strong"/>
        </w:rPr>
        <w:t>Comprehensive result</w:t>
      </w:r>
      <w:r w:rsidRPr="00AB62BD">
        <w:rPr>
          <w:lang w:eastAsia="en-AU"/>
        </w:rPr>
        <w:t xml:space="preserve"> is the amount included in the operating statement representing total change in net worth other than transactions with owners as owners.</w:t>
      </w:r>
    </w:p>
    <w:p w:rsidR="00C232A3" w:rsidRPr="00AB62BD" w:rsidRDefault="00C232A3" w:rsidP="00C232A3">
      <w:pPr>
        <w:pStyle w:val="ARbody"/>
        <w:rPr>
          <w:lang w:eastAsia="en-AU"/>
        </w:rPr>
      </w:pPr>
      <w:r w:rsidRPr="00963184">
        <w:rPr>
          <w:rStyle w:val="Strong"/>
        </w:rPr>
        <w:t>Controlled item</w:t>
      </w:r>
      <w:r w:rsidRPr="00AB62BD">
        <w:rPr>
          <w:lang w:eastAsia="en-AU"/>
        </w:rPr>
        <w:t xml:space="preserve"> generally refers to the capacity of a department to benefit from that item in the pursuit of the entity’s objectives and to deny or regulate the access of others to that benefit.</w:t>
      </w:r>
    </w:p>
    <w:p w:rsidR="00C232A3" w:rsidRPr="00AB62BD" w:rsidRDefault="00C232A3" w:rsidP="00C232A3">
      <w:pPr>
        <w:pStyle w:val="ARbody"/>
        <w:rPr>
          <w:lang w:eastAsia="en-AU"/>
        </w:rPr>
      </w:pPr>
      <w:r w:rsidRPr="00963184">
        <w:rPr>
          <w:rStyle w:val="Strong"/>
        </w:rPr>
        <w:t>Current grants</w:t>
      </w:r>
      <w:r w:rsidRPr="00AB62BD">
        <w:rPr>
          <w:lang w:eastAsia="en-AU"/>
        </w:rPr>
        <w:t xml:space="preserve"> are amounts payable or receivable for current purposes for which no economic benefits of equal value are receivable or payable in return.</w:t>
      </w:r>
    </w:p>
    <w:p w:rsidR="00C232A3" w:rsidRPr="00AB62BD" w:rsidRDefault="00C232A3" w:rsidP="00C232A3">
      <w:pPr>
        <w:pStyle w:val="ARbody"/>
        <w:rPr>
          <w:lang w:eastAsia="en-AU"/>
        </w:rPr>
      </w:pPr>
      <w:r w:rsidRPr="00963184">
        <w:rPr>
          <w:rStyle w:val="Strong"/>
        </w:rPr>
        <w:t>Depreciation</w:t>
      </w:r>
      <w:r w:rsidRPr="00AB62BD">
        <w:rPr>
          <w:lang w:eastAsia="en-AU"/>
        </w:rPr>
        <w:t xml:space="preserve"> is an expense that arises from the consumption through wear or time of a produced physical or intangible asset. This expense is classified as a ‘transaction’ and so reduces the ‘net result from transaction’.</w:t>
      </w:r>
    </w:p>
    <w:p w:rsidR="00C232A3" w:rsidRPr="00AB62BD" w:rsidRDefault="00C232A3" w:rsidP="00C232A3">
      <w:pPr>
        <w:pStyle w:val="ARbody"/>
        <w:rPr>
          <w:lang w:eastAsia="en-AU"/>
        </w:rPr>
      </w:pPr>
      <w:r w:rsidRPr="00963184">
        <w:rPr>
          <w:rStyle w:val="Strong"/>
        </w:rPr>
        <w:t>Effective interest method</w:t>
      </w:r>
      <w:r w:rsidRPr="00AB62BD">
        <w:rPr>
          <w:lang w:eastAsia="en-AU"/>
        </w:rP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rsidR="00C232A3" w:rsidRPr="00AB62BD" w:rsidRDefault="00C232A3" w:rsidP="00C232A3">
      <w:pPr>
        <w:pStyle w:val="ARbody"/>
        <w:rPr>
          <w:lang w:eastAsia="en-AU"/>
        </w:rPr>
      </w:pPr>
      <w:r w:rsidRPr="00963184">
        <w:rPr>
          <w:rStyle w:val="Strong"/>
        </w:rPr>
        <w:t>Employee benefits expenses</w:t>
      </w:r>
      <w:r w:rsidRPr="00AB62BD">
        <w:rPr>
          <w:lang w:eastAsia="en-AU"/>
        </w:rPr>
        <w:t xml:space="preserve"> includes all costs related to employment including salaries and wages, leave entitlements, redundancy payments, defined benefits superannuation plans, and defined contribution superannuation plans.</w:t>
      </w:r>
    </w:p>
    <w:p w:rsidR="00C232A3" w:rsidRPr="00AB62BD" w:rsidRDefault="00C232A3" w:rsidP="00C232A3">
      <w:pPr>
        <w:pStyle w:val="ARbody"/>
        <w:rPr>
          <w:lang w:eastAsia="en-AU"/>
        </w:rPr>
      </w:pPr>
      <w:r w:rsidRPr="00963184">
        <w:rPr>
          <w:rStyle w:val="Strong"/>
        </w:rPr>
        <w:t>Eliminations</w:t>
      </w:r>
      <w:r w:rsidRPr="00AB62BD">
        <w:rPr>
          <w:rStyle w:val="Strong"/>
        </w:rPr>
        <w:t xml:space="preserve"> </w:t>
      </w:r>
      <w:r w:rsidRPr="00AB62BD">
        <w:rPr>
          <w:lang w:eastAsia="en-AU"/>
        </w:rPr>
        <w:t>are the removal of transactions that occur between entities within a consolidated group to ensure figures are not overstated.</w:t>
      </w:r>
    </w:p>
    <w:p w:rsidR="00C232A3" w:rsidRPr="00AB62BD" w:rsidRDefault="00C232A3" w:rsidP="00C232A3">
      <w:pPr>
        <w:pStyle w:val="ARbody"/>
        <w:rPr>
          <w:lang w:eastAsia="en-AU"/>
        </w:rPr>
      </w:pPr>
      <w:r w:rsidRPr="00963184">
        <w:rPr>
          <w:rStyle w:val="Strong"/>
        </w:rPr>
        <w:t>Ex-gratia expenses</w:t>
      </w:r>
      <w:r w:rsidRPr="00963184">
        <w:t xml:space="preserve"> mean the voluntary payment of money or other non-monetary benefit (e.g. a write off) that is </w:t>
      </w:r>
      <w:r w:rsidRPr="00AB62BD">
        <w:rPr>
          <w:lang w:eastAsia="en-AU"/>
        </w:rPr>
        <w:t>not made either to acquire goods, services or other benefits for the entity or to meet a legal liability, or to settle or resolve a possible legal liability or claim against the entity.</w:t>
      </w:r>
    </w:p>
    <w:p w:rsidR="00C232A3" w:rsidRPr="00AB62BD" w:rsidRDefault="00C232A3" w:rsidP="00C232A3">
      <w:pPr>
        <w:pStyle w:val="ARbody"/>
        <w:rPr>
          <w:lang w:eastAsia="en-AU"/>
        </w:rPr>
      </w:pPr>
      <w:r w:rsidRPr="00963184">
        <w:rPr>
          <w:rStyle w:val="Strong"/>
        </w:rPr>
        <w:t>Financial instrument</w:t>
      </w:r>
      <w:r w:rsidRPr="00AB62BD">
        <w:rPr>
          <w:lang w:eastAsia="en-AU"/>
        </w:rPr>
        <w:t xml:space="preserve">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rsidR="00C232A3" w:rsidRDefault="00C232A3" w:rsidP="00C232A3">
      <w:pPr>
        <w:pStyle w:val="ARbody"/>
        <w:rPr>
          <w:rStyle w:val="Strong"/>
        </w:rPr>
      </w:pPr>
      <w:r>
        <w:rPr>
          <w:rStyle w:val="Strong"/>
        </w:rPr>
        <w:br w:type="page"/>
      </w:r>
    </w:p>
    <w:p w:rsidR="00C232A3" w:rsidRPr="00AB62BD" w:rsidRDefault="00C232A3" w:rsidP="00C232A3">
      <w:pPr>
        <w:pStyle w:val="ARbody"/>
        <w:rPr>
          <w:lang w:eastAsia="en-AU"/>
        </w:rPr>
      </w:pPr>
      <w:r w:rsidRPr="00963184">
        <w:rPr>
          <w:rStyle w:val="Strong"/>
        </w:rPr>
        <w:lastRenderedPageBreak/>
        <w:t>Financial asset</w:t>
      </w:r>
      <w:r w:rsidRPr="00AB62BD">
        <w:rPr>
          <w:lang w:eastAsia="en-AU"/>
        </w:rPr>
        <w:t xml:space="preserve"> is any asset that is:</w:t>
      </w:r>
    </w:p>
    <w:p w:rsidR="00C232A3" w:rsidRPr="00AB62BD" w:rsidRDefault="00C232A3" w:rsidP="004722B7">
      <w:pPr>
        <w:pStyle w:val="ARnumberalpha1"/>
        <w:numPr>
          <w:ilvl w:val="0"/>
          <w:numId w:val="62"/>
        </w:numPr>
        <w:rPr>
          <w:lang w:eastAsia="en-AU"/>
        </w:rPr>
      </w:pPr>
      <w:r w:rsidRPr="00AB62BD">
        <w:rPr>
          <w:lang w:eastAsia="en-AU"/>
        </w:rPr>
        <w:t>cash;</w:t>
      </w:r>
    </w:p>
    <w:p w:rsidR="00C232A3" w:rsidRPr="00AB62BD" w:rsidRDefault="00C232A3" w:rsidP="00C232A3">
      <w:pPr>
        <w:pStyle w:val="ARnumberalpha1"/>
        <w:numPr>
          <w:ilvl w:val="0"/>
          <w:numId w:val="39"/>
        </w:numPr>
        <w:rPr>
          <w:lang w:eastAsia="en-AU"/>
        </w:rPr>
      </w:pPr>
      <w:r w:rsidRPr="00AB62BD">
        <w:rPr>
          <w:lang w:eastAsia="en-AU"/>
        </w:rPr>
        <w:t>an equity instrument of another entity;</w:t>
      </w:r>
    </w:p>
    <w:p w:rsidR="00C232A3" w:rsidRPr="00AB62BD" w:rsidRDefault="00C232A3" w:rsidP="00C232A3">
      <w:pPr>
        <w:pStyle w:val="ARnumberalpha1"/>
        <w:numPr>
          <w:ilvl w:val="0"/>
          <w:numId w:val="39"/>
        </w:numPr>
        <w:rPr>
          <w:lang w:eastAsia="en-AU"/>
        </w:rPr>
      </w:pPr>
      <w:r w:rsidRPr="00AB62BD">
        <w:rPr>
          <w:lang w:eastAsia="en-AU"/>
        </w:rPr>
        <w:t>a contractual or statutory right:</w:t>
      </w:r>
    </w:p>
    <w:p w:rsidR="00C232A3" w:rsidRPr="00AB62BD" w:rsidRDefault="00C232A3" w:rsidP="00C232A3">
      <w:pPr>
        <w:pStyle w:val="ARbulletafternumbers1"/>
        <w:rPr>
          <w:lang w:eastAsia="en-AU"/>
        </w:rPr>
      </w:pPr>
      <w:r w:rsidRPr="00AB62BD">
        <w:rPr>
          <w:lang w:eastAsia="en-AU"/>
        </w:rPr>
        <w:t>to receive cash or another financial asset from another entity; or</w:t>
      </w:r>
    </w:p>
    <w:p w:rsidR="00C232A3" w:rsidRPr="00AB62BD" w:rsidRDefault="00C232A3" w:rsidP="00C232A3">
      <w:pPr>
        <w:pStyle w:val="ARbulletafternumbers1"/>
        <w:rPr>
          <w:lang w:eastAsia="en-AU"/>
        </w:rPr>
      </w:pPr>
      <w:r w:rsidRPr="00AB62BD">
        <w:rPr>
          <w:lang w:eastAsia="en-AU"/>
        </w:rPr>
        <w:t>to exchange financial assets or financial liabilities with another entity under conditions that are potentially favourable to the entity; or</w:t>
      </w:r>
    </w:p>
    <w:p w:rsidR="00C232A3" w:rsidRPr="00AB62BD" w:rsidRDefault="00C232A3" w:rsidP="00C232A3">
      <w:pPr>
        <w:pStyle w:val="ARnumberalpha1"/>
        <w:rPr>
          <w:lang w:eastAsia="en-AU"/>
        </w:rPr>
      </w:pPr>
      <w:r w:rsidRPr="00AB62BD">
        <w:rPr>
          <w:lang w:eastAsia="en-AU"/>
        </w:rPr>
        <w:t>a contract that will or may be settled in the entity’s own equity instruments and is:</w:t>
      </w:r>
    </w:p>
    <w:p w:rsidR="00C232A3" w:rsidRPr="00AB62BD" w:rsidRDefault="00C232A3" w:rsidP="00C232A3">
      <w:pPr>
        <w:pStyle w:val="ARbulletafternumbers1"/>
        <w:rPr>
          <w:lang w:eastAsia="en-AU"/>
        </w:rPr>
      </w:pPr>
      <w:r w:rsidRPr="00AB62BD">
        <w:rPr>
          <w:lang w:eastAsia="en-AU"/>
        </w:rPr>
        <w:t xml:space="preserve">a </w:t>
      </w:r>
      <w:r>
        <w:rPr>
          <w:lang w:eastAsia="en-AU"/>
        </w:rPr>
        <w:t>non-derivative</w:t>
      </w:r>
      <w:r w:rsidRPr="00AB62BD">
        <w:rPr>
          <w:lang w:eastAsia="en-AU"/>
        </w:rPr>
        <w:t xml:space="preserve"> for which the entity is or may be obliged to receive a variable number of the entity’s own equity instruments; or</w:t>
      </w:r>
    </w:p>
    <w:p w:rsidR="00C232A3" w:rsidRPr="00AB62BD" w:rsidRDefault="00C232A3" w:rsidP="00C232A3">
      <w:pPr>
        <w:pStyle w:val="ARbulletafternumbers1"/>
        <w:rPr>
          <w:lang w:eastAsia="en-AU"/>
        </w:rPr>
      </w:pPr>
      <w:r w:rsidRPr="00AB62BD">
        <w:rPr>
          <w:lang w:eastAsia="en-AU"/>
        </w:rPr>
        <w:t>a derivative that will or may be settled other than by the exchange of a fixed amount of cash or another financial asset for a fixed number of the entity’s own equity instruments.</w:t>
      </w:r>
    </w:p>
    <w:p w:rsidR="00C232A3" w:rsidRPr="00AB62BD" w:rsidRDefault="00C232A3" w:rsidP="00C232A3">
      <w:pPr>
        <w:pStyle w:val="ARbodyafterbullets"/>
        <w:rPr>
          <w:lang w:eastAsia="en-AU"/>
        </w:rPr>
      </w:pPr>
      <w:r w:rsidRPr="00963184">
        <w:rPr>
          <w:rStyle w:val="Strong"/>
        </w:rPr>
        <w:t>Financial liability</w:t>
      </w:r>
      <w:r w:rsidRPr="00AB62BD">
        <w:rPr>
          <w:lang w:eastAsia="en-AU"/>
        </w:rPr>
        <w:t xml:space="preserve"> is any liability that is:</w:t>
      </w:r>
    </w:p>
    <w:p w:rsidR="00C232A3" w:rsidRPr="00AB62BD" w:rsidRDefault="00C232A3" w:rsidP="004722B7">
      <w:pPr>
        <w:pStyle w:val="ARnumberalpha1"/>
        <w:numPr>
          <w:ilvl w:val="0"/>
          <w:numId w:val="63"/>
        </w:numPr>
        <w:rPr>
          <w:lang w:eastAsia="en-AU"/>
        </w:rPr>
      </w:pPr>
      <w:r w:rsidRPr="00AB62BD">
        <w:rPr>
          <w:lang w:eastAsia="en-AU"/>
        </w:rPr>
        <w:t>A contractual or statutory obligation:</w:t>
      </w:r>
    </w:p>
    <w:p w:rsidR="00C232A3" w:rsidRPr="00AB62BD" w:rsidRDefault="00C232A3" w:rsidP="00071FEC">
      <w:pPr>
        <w:pStyle w:val="ARnumberroman2"/>
        <w:rPr>
          <w:lang w:eastAsia="en-AU"/>
        </w:rPr>
      </w:pPr>
      <w:r w:rsidRPr="00AB62BD">
        <w:rPr>
          <w:lang w:eastAsia="en-AU"/>
        </w:rPr>
        <w:t>to deliver cash or another financial asset to another entity; or</w:t>
      </w:r>
    </w:p>
    <w:p w:rsidR="00C232A3" w:rsidRPr="00AB62BD" w:rsidRDefault="00C232A3" w:rsidP="00071FEC">
      <w:pPr>
        <w:pStyle w:val="ARnumberroman2"/>
        <w:rPr>
          <w:lang w:eastAsia="en-AU"/>
        </w:rPr>
      </w:pPr>
      <w:r w:rsidRPr="00AB62BD">
        <w:rPr>
          <w:lang w:eastAsia="en-AU"/>
        </w:rPr>
        <w:t>to exchange financial assets or financial liabilities with another entity under conditions that are potentially unfavourable to the entity; or</w:t>
      </w:r>
    </w:p>
    <w:p w:rsidR="00C232A3" w:rsidRPr="00AB62BD" w:rsidRDefault="00C232A3" w:rsidP="00C232A3">
      <w:pPr>
        <w:pStyle w:val="ARnumberalpha1"/>
        <w:rPr>
          <w:lang w:eastAsia="en-AU"/>
        </w:rPr>
      </w:pPr>
      <w:r w:rsidRPr="00AB62BD">
        <w:rPr>
          <w:lang w:eastAsia="en-AU"/>
        </w:rPr>
        <w:t>a contract that will or may be settled in the entity’s own equity instruments and is:</w:t>
      </w:r>
    </w:p>
    <w:p w:rsidR="00C232A3" w:rsidRPr="00071FEC" w:rsidRDefault="00C232A3" w:rsidP="00071FEC">
      <w:pPr>
        <w:pStyle w:val="ARnumberroman2"/>
        <w:numPr>
          <w:ilvl w:val="2"/>
          <w:numId w:val="65"/>
        </w:numPr>
      </w:pPr>
      <w:r w:rsidRPr="00AB62BD">
        <w:rPr>
          <w:lang w:eastAsia="en-AU"/>
        </w:rPr>
        <w:t>a non-</w:t>
      </w:r>
      <w:r w:rsidRPr="00071FEC">
        <w:t>derivative for which the entity is or may be obliged to deliver a variable number of the entity’s own equity instruments; or</w:t>
      </w:r>
    </w:p>
    <w:p w:rsidR="00C232A3" w:rsidRPr="00AB62BD" w:rsidRDefault="00C232A3" w:rsidP="00071FEC">
      <w:pPr>
        <w:pStyle w:val="ARnumberroman2"/>
        <w:rPr>
          <w:lang w:eastAsia="en-AU"/>
        </w:rPr>
      </w:pPr>
      <w:r w:rsidRPr="00071FEC">
        <w:t xml:space="preserve">a derivative </w:t>
      </w:r>
      <w:r w:rsidRPr="00AB62BD">
        <w:rPr>
          <w:lang w:eastAsia="en-AU"/>
        </w:rPr>
        <w:t>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rsidR="00C232A3" w:rsidRPr="00AB62BD" w:rsidRDefault="00C232A3" w:rsidP="00C232A3">
      <w:pPr>
        <w:pStyle w:val="ARbodyafterbullets"/>
        <w:rPr>
          <w:lang w:eastAsia="en-AU"/>
        </w:rPr>
      </w:pPr>
      <w:r w:rsidRPr="004E0B77">
        <w:rPr>
          <w:rStyle w:val="Strong"/>
        </w:rPr>
        <w:t>Financial statements</w:t>
      </w:r>
      <w:r w:rsidRPr="00AB62BD">
        <w:rPr>
          <w:lang w:eastAsia="en-AU"/>
        </w:rPr>
        <w:t xml:space="preserve"> comprise:</w:t>
      </w:r>
    </w:p>
    <w:p w:rsidR="00C232A3" w:rsidRPr="00AB62BD" w:rsidRDefault="00C232A3" w:rsidP="004722B7">
      <w:pPr>
        <w:pStyle w:val="ARnumberalpha1"/>
        <w:numPr>
          <w:ilvl w:val="0"/>
          <w:numId w:val="64"/>
        </w:numPr>
        <w:rPr>
          <w:lang w:eastAsia="en-AU"/>
        </w:rPr>
      </w:pPr>
      <w:r w:rsidRPr="00AB62BD">
        <w:rPr>
          <w:lang w:eastAsia="en-AU"/>
        </w:rPr>
        <w:t>a balance sheet as at the end of the year;</w:t>
      </w:r>
    </w:p>
    <w:p w:rsidR="00C232A3" w:rsidRPr="00AB62BD" w:rsidRDefault="00C232A3" w:rsidP="00C232A3">
      <w:pPr>
        <w:pStyle w:val="ARnumberalpha1"/>
        <w:rPr>
          <w:lang w:eastAsia="en-AU"/>
        </w:rPr>
      </w:pPr>
      <w:r w:rsidRPr="00AB62BD">
        <w:rPr>
          <w:lang w:eastAsia="en-AU"/>
        </w:rPr>
        <w:t>a comprehensive operating statement for the year;</w:t>
      </w:r>
    </w:p>
    <w:p w:rsidR="00C232A3" w:rsidRPr="00AB62BD" w:rsidRDefault="00C232A3" w:rsidP="00C232A3">
      <w:pPr>
        <w:pStyle w:val="ARnumberalpha1"/>
        <w:rPr>
          <w:lang w:eastAsia="en-AU"/>
        </w:rPr>
      </w:pPr>
      <w:r w:rsidRPr="00AB62BD">
        <w:rPr>
          <w:lang w:eastAsia="en-AU"/>
        </w:rPr>
        <w:t>a statement of changes in equity for the year;</w:t>
      </w:r>
    </w:p>
    <w:p w:rsidR="00C232A3" w:rsidRPr="00AB62BD" w:rsidRDefault="00C232A3" w:rsidP="00C232A3">
      <w:pPr>
        <w:pStyle w:val="ARnumberalpha1"/>
        <w:rPr>
          <w:lang w:eastAsia="en-AU"/>
        </w:rPr>
      </w:pPr>
      <w:r w:rsidRPr="00AB62BD">
        <w:rPr>
          <w:lang w:eastAsia="en-AU"/>
        </w:rPr>
        <w:t>a statement of cash flows for the year;</w:t>
      </w:r>
    </w:p>
    <w:p w:rsidR="00C232A3" w:rsidRPr="00AB62BD" w:rsidRDefault="00C232A3" w:rsidP="00C232A3">
      <w:pPr>
        <w:pStyle w:val="ARnumberalpha1"/>
        <w:rPr>
          <w:lang w:eastAsia="en-AU"/>
        </w:rPr>
      </w:pPr>
      <w:r w:rsidRPr="00AB62BD">
        <w:rPr>
          <w:lang w:eastAsia="en-AU"/>
        </w:rPr>
        <w:t>notes, comprising a summary of significant accounting policies and other explanatory information;</w:t>
      </w:r>
    </w:p>
    <w:p w:rsidR="00C232A3" w:rsidRPr="00AB62BD" w:rsidRDefault="00C232A3" w:rsidP="00C232A3">
      <w:pPr>
        <w:pStyle w:val="ARnumberalpha1"/>
        <w:rPr>
          <w:lang w:eastAsia="en-AU"/>
        </w:rPr>
      </w:pPr>
      <w:r w:rsidRPr="00AB62BD">
        <w:rPr>
          <w:lang w:eastAsia="en-AU"/>
        </w:rPr>
        <w:t xml:space="preserve">comparative information in respect of the preceding year as specified in paragraphs 38 of </w:t>
      </w:r>
      <w:r w:rsidRPr="004E0B77">
        <w:rPr>
          <w:rStyle w:val="Emphasis"/>
        </w:rPr>
        <w:t>AASB 101 Presentation of Financial Statements</w:t>
      </w:r>
      <w:r w:rsidRPr="00AB62BD">
        <w:rPr>
          <w:lang w:eastAsia="en-AU"/>
        </w:rPr>
        <w:t>; and</w:t>
      </w:r>
    </w:p>
    <w:p w:rsidR="00C232A3" w:rsidRPr="00AB62BD" w:rsidRDefault="00C232A3" w:rsidP="00C232A3">
      <w:pPr>
        <w:pStyle w:val="ARnumberalpha1"/>
        <w:rPr>
          <w:lang w:eastAsia="en-AU"/>
        </w:rPr>
      </w:pPr>
      <w:r w:rsidRPr="00AB62BD">
        <w:rPr>
          <w:lang w:eastAsia="en-AU"/>
        </w:rP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rsidR="00C232A3" w:rsidRPr="00AB62BD" w:rsidRDefault="00C232A3" w:rsidP="00C232A3">
      <w:pPr>
        <w:pStyle w:val="ARbodyafterbullets"/>
        <w:rPr>
          <w:lang w:eastAsia="en-AU"/>
        </w:rPr>
      </w:pPr>
      <w:r w:rsidRPr="005E6399">
        <w:rPr>
          <w:rStyle w:val="Strong"/>
        </w:rPr>
        <w:t>Grants and other expense transfers</w:t>
      </w:r>
      <w:r w:rsidRPr="005E6399">
        <w:t xml:space="preserve"> are transactions</w:t>
      </w:r>
      <w:r w:rsidRPr="00AB62BD">
        <w:rPr>
          <w:lang w:eastAsia="en-AU"/>
        </w:rPr>
        <w:t xml:space="preserve"> in which one unit provides goods, services, assets (or extinguishes a liability) or labour to another unit without receiving approximately equal value in return. Grants can either be operating or capital in nature.</w:t>
      </w:r>
    </w:p>
    <w:p w:rsidR="00C232A3" w:rsidRPr="00AB62BD" w:rsidRDefault="00C232A3" w:rsidP="00C232A3">
      <w:pPr>
        <w:pStyle w:val="ARbody"/>
        <w:rPr>
          <w:lang w:eastAsia="en-AU"/>
        </w:rPr>
      </w:pPr>
      <w:r w:rsidRPr="00AB62BD">
        <w:rPr>
          <w:lang w:eastAsia="en-AU"/>
        </w:rP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w:t>
      </w:r>
      <w:r>
        <w:rPr>
          <w:lang w:eastAsia="en-AU"/>
        </w:rPr>
        <w:t>non-reciprocal</w:t>
      </w:r>
      <w:r w:rsidRPr="00AB62BD">
        <w:rPr>
          <w:lang w:eastAsia="en-AU"/>
        </w:rPr>
        <w:t xml:space="preserve"> transfers. Receipt and sacrifice of approximately equal value may occur, but only by coincidence. For example, governments are not obliged to provide commensurate benefits, in the form of goods or services, to particular taxpayers in return for their taxes.</w:t>
      </w:r>
    </w:p>
    <w:p w:rsidR="00C232A3" w:rsidRPr="00AB62BD" w:rsidRDefault="00C232A3" w:rsidP="00C232A3">
      <w:pPr>
        <w:pStyle w:val="ARbody"/>
        <w:rPr>
          <w:lang w:eastAsia="en-AU"/>
        </w:rPr>
      </w:pPr>
      <w:r w:rsidRPr="00AB62BD">
        <w:rPr>
          <w:lang w:eastAsia="en-AU"/>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C232A3" w:rsidRPr="00AB62BD" w:rsidRDefault="00C232A3" w:rsidP="00C232A3">
      <w:pPr>
        <w:pStyle w:val="ARbody"/>
        <w:rPr>
          <w:lang w:eastAsia="en-AU"/>
        </w:rPr>
      </w:pPr>
      <w:r w:rsidRPr="005E6399">
        <w:rPr>
          <w:rStyle w:val="Strong"/>
        </w:rPr>
        <w:lastRenderedPageBreak/>
        <w:t>General government sector</w:t>
      </w:r>
      <w:r w:rsidRPr="00AB62BD">
        <w:rPr>
          <w:lang w:eastAsia="en-AU"/>
        </w:rP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rsidR="00C232A3" w:rsidRPr="00AB62BD" w:rsidRDefault="00C232A3" w:rsidP="00C232A3">
      <w:pPr>
        <w:pStyle w:val="ARbody"/>
        <w:rPr>
          <w:lang w:eastAsia="en-AU"/>
        </w:rPr>
      </w:pPr>
      <w:r w:rsidRPr="005E6399">
        <w:rPr>
          <w:rStyle w:val="Strong"/>
        </w:rPr>
        <w:t>Grants for on-passing</w:t>
      </w:r>
      <w:r w:rsidRPr="00AB62BD">
        <w:rPr>
          <w:lang w:eastAsia="en-AU"/>
        </w:rPr>
        <w:t xml:space="preserve"> are grants paid to one institutional sector (e.g. a State general government entity) to be passed on to another institutional sector (e.g. local government or a private non-profit institution).</w:t>
      </w:r>
    </w:p>
    <w:p w:rsidR="00C232A3" w:rsidRPr="00AB62BD" w:rsidRDefault="00C232A3" w:rsidP="00C232A3">
      <w:pPr>
        <w:pStyle w:val="ARbody"/>
        <w:rPr>
          <w:lang w:eastAsia="en-AU"/>
        </w:rPr>
      </w:pPr>
      <w:r w:rsidRPr="005E6399">
        <w:rPr>
          <w:rStyle w:val="Strong"/>
        </w:rPr>
        <w:t>Intangible assets</w:t>
      </w:r>
      <w:r w:rsidRPr="00AB62BD">
        <w:rPr>
          <w:lang w:eastAsia="en-AU"/>
        </w:rPr>
        <w:t xml:space="preserve"> represent identifiable non</w:t>
      </w:r>
      <w:r>
        <w:rPr>
          <w:lang w:eastAsia="en-AU"/>
        </w:rPr>
        <w:t>-</w:t>
      </w:r>
      <w:r w:rsidRPr="00AB62BD">
        <w:rPr>
          <w:lang w:eastAsia="en-AU"/>
        </w:rPr>
        <w:t>monetary assets without physical substance.</w:t>
      </w:r>
    </w:p>
    <w:p w:rsidR="00C232A3" w:rsidRPr="00AB62BD" w:rsidRDefault="00C232A3" w:rsidP="00C232A3">
      <w:pPr>
        <w:pStyle w:val="ARbody"/>
        <w:rPr>
          <w:lang w:eastAsia="en-AU"/>
        </w:rPr>
      </w:pPr>
      <w:r w:rsidRPr="005E6399">
        <w:rPr>
          <w:rStyle w:val="Strong"/>
        </w:rPr>
        <w:t>Interest expense represents</w:t>
      </w:r>
      <w:r w:rsidRPr="00AB62BD">
        <w:rPr>
          <w:lang w:eastAsia="en-AU"/>
        </w:rPr>
        <w:t xml:space="preserve"> costs incurred in connection with the borrowings. It includes interest on advances, loans, overdrafts, bonds and bills, deposits, interest components of finance leases repayments and amortisation of discounts or premiums in relation to borrowings.</w:t>
      </w:r>
    </w:p>
    <w:p w:rsidR="00C232A3" w:rsidRPr="00AB62BD" w:rsidRDefault="00C232A3" w:rsidP="00C232A3">
      <w:pPr>
        <w:pStyle w:val="ARbody"/>
        <w:rPr>
          <w:lang w:eastAsia="en-AU"/>
        </w:rPr>
      </w:pPr>
      <w:r w:rsidRPr="005E6399">
        <w:rPr>
          <w:rStyle w:val="Strong"/>
        </w:rPr>
        <w:t>Interest income</w:t>
      </w:r>
      <w:r w:rsidRPr="00AB62BD">
        <w:rPr>
          <w:lang w:eastAsia="en-AU"/>
        </w:rPr>
        <w:t xml:space="preserve"> includes unwinding over time of discounts on financial assets and interest received on bank term deposits and other investments.</w:t>
      </w:r>
    </w:p>
    <w:p w:rsidR="00C232A3" w:rsidRPr="00AB62BD" w:rsidRDefault="00C232A3" w:rsidP="00C232A3">
      <w:pPr>
        <w:pStyle w:val="ARbody"/>
        <w:rPr>
          <w:lang w:eastAsia="en-AU"/>
        </w:rPr>
      </w:pPr>
      <w:r w:rsidRPr="005E6399">
        <w:rPr>
          <w:rStyle w:val="Strong"/>
        </w:rPr>
        <w:t>Investment properties</w:t>
      </w:r>
      <w:r w:rsidRPr="00AB62BD">
        <w:rPr>
          <w:lang w:eastAsia="en-AU"/>
        </w:rPr>
        <w:t xml:space="preserve"> are properties held to earn rentals or for capital appreciation or both. Investment properties exclude properties held to meet service delivery objectives of the State of Victoria.</w:t>
      </w:r>
    </w:p>
    <w:p w:rsidR="00C232A3" w:rsidRPr="00AB62BD" w:rsidRDefault="00C232A3" w:rsidP="00C232A3">
      <w:pPr>
        <w:pStyle w:val="ARbody"/>
        <w:rPr>
          <w:lang w:eastAsia="en-AU"/>
        </w:rPr>
      </w:pPr>
      <w:r w:rsidRPr="005E6399">
        <w:rPr>
          <w:rStyle w:val="Strong"/>
        </w:rPr>
        <w:t>Joint ventures</w:t>
      </w:r>
      <w:r w:rsidRPr="00AB62BD">
        <w:rPr>
          <w:lang w:eastAsia="en-AU"/>
        </w:rPr>
        <w:t xml:space="preserve"> are contractual arrangements between the </w:t>
      </w:r>
      <w:r>
        <w:rPr>
          <w:lang w:eastAsia="en-AU"/>
        </w:rPr>
        <w:t>d</w:t>
      </w:r>
      <w:r w:rsidRPr="00AB62BD">
        <w:rPr>
          <w:lang w:eastAsia="en-AU"/>
        </w:rPr>
        <w:t>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rsidR="00C232A3" w:rsidRPr="00AB62BD" w:rsidRDefault="00C232A3" w:rsidP="00C232A3">
      <w:pPr>
        <w:pStyle w:val="ARbody"/>
        <w:rPr>
          <w:lang w:eastAsia="en-AU"/>
        </w:rPr>
      </w:pPr>
      <w:r w:rsidRPr="005E6399">
        <w:rPr>
          <w:rStyle w:val="Strong"/>
        </w:rPr>
        <w:t>Leases</w:t>
      </w:r>
      <w:r w:rsidRPr="00AB62BD">
        <w:rPr>
          <w:lang w:eastAsia="en-AU"/>
        </w:rPr>
        <w:t xml:space="preserve">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rsidR="00C232A3" w:rsidRPr="00AB62BD" w:rsidRDefault="00C232A3" w:rsidP="00C232A3">
      <w:pPr>
        <w:pStyle w:val="ARbody"/>
        <w:rPr>
          <w:lang w:eastAsia="en-AU"/>
        </w:rPr>
      </w:pPr>
      <w:r w:rsidRPr="005E6399">
        <w:rPr>
          <w:rStyle w:val="Strong"/>
        </w:rPr>
        <w:t>Net acquisition of non-financial assets</w:t>
      </w:r>
      <w:r w:rsidRPr="00AB62BD">
        <w:rPr>
          <w:lang w:eastAsia="en-AU"/>
        </w:rP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rsidR="00C232A3" w:rsidRPr="00AB62BD" w:rsidRDefault="00C232A3" w:rsidP="00C232A3">
      <w:pPr>
        <w:pStyle w:val="ARbody"/>
        <w:rPr>
          <w:lang w:eastAsia="en-AU"/>
        </w:rPr>
      </w:pPr>
      <w:r w:rsidRPr="005E6399">
        <w:rPr>
          <w:rStyle w:val="Strong"/>
        </w:rPr>
        <w:t>Net financial liabilities</w:t>
      </w:r>
      <w:r w:rsidRPr="00AB62BD">
        <w:rPr>
          <w:lang w:eastAsia="en-AU"/>
        </w:rPr>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rsidR="00C232A3" w:rsidRPr="00AB62BD" w:rsidRDefault="00C232A3" w:rsidP="00C232A3">
      <w:pPr>
        <w:pStyle w:val="ARbody"/>
        <w:rPr>
          <w:lang w:eastAsia="en-AU"/>
        </w:rPr>
      </w:pPr>
      <w:r w:rsidRPr="005E6399">
        <w:rPr>
          <w:rStyle w:val="Strong"/>
        </w:rPr>
        <w:t>Net financial worth</w:t>
      </w:r>
      <w:r w:rsidRPr="00AB62BD">
        <w:rPr>
          <w:lang w:eastAsia="en-AU"/>
        </w:rP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rsidR="00C232A3" w:rsidRPr="00AB62BD" w:rsidRDefault="00C232A3" w:rsidP="00C232A3">
      <w:pPr>
        <w:pStyle w:val="ARbody"/>
        <w:rPr>
          <w:lang w:eastAsia="en-AU"/>
        </w:rPr>
      </w:pPr>
      <w:r w:rsidRPr="005E6399">
        <w:rPr>
          <w:rStyle w:val="Strong"/>
        </w:rPr>
        <w:t>Net operating balance</w:t>
      </w:r>
      <w:r w:rsidRPr="005E6399">
        <w:t xml:space="preserve"> or </w:t>
      </w:r>
      <w:r w:rsidRPr="005E6399">
        <w:rPr>
          <w:rStyle w:val="Strong"/>
        </w:rPr>
        <w:t>net result from transactions</w:t>
      </w:r>
      <w:r w:rsidRPr="00AB62BD">
        <w:rPr>
          <w:rStyle w:val="Strong"/>
        </w:rPr>
        <w:t xml:space="preserve"> </w:t>
      </w:r>
      <w:r w:rsidRPr="00AB62BD">
        <w:rPr>
          <w:lang w:eastAsia="en-AU"/>
        </w:rPr>
        <w:t>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C232A3" w:rsidRPr="00AB62BD" w:rsidRDefault="00C232A3" w:rsidP="00C232A3">
      <w:pPr>
        <w:pStyle w:val="ARbody"/>
        <w:rPr>
          <w:lang w:eastAsia="en-AU"/>
        </w:rPr>
      </w:pPr>
      <w:r w:rsidRPr="005E6399">
        <w:rPr>
          <w:rStyle w:val="Strong"/>
        </w:rPr>
        <w:t>Net result</w:t>
      </w:r>
      <w:r w:rsidRPr="00AB62BD">
        <w:rPr>
          <w:lang w:eastAsia="en-AU"/>
        </w:rP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rsidR="00C232A3" w:rsidRPr="00AB62BD" w:rsidRDefault="00C232A3" w:rsidP="00C232A3">
      <w:pPr>
        <w:pStyle w:val="ARbody"/>
        <w:rPr>
          <w:lang w:eastAsia="en-AU"/>
        </w:rPr>
      </w:pPr>
      <w:r w:rsidRPr="005E6399">
        <w:rPr>
          <w:rStyle w:val="Strong"/>
        </w:rPr>
        <w:t>Net worth</w:t>
      </w:r>
      <w:r w:rsidRPr="00AB62BD">
        <w:rPr>
          <w:lang w:eastAsia="en-AU"/>
        </w:rPr>
        <w:t xml:space="preserve"> is calculated as assets less liabilities, which is an economic measure of wealth.</w:t>
      </w:r>
    </w:p>
    <w:p w:rsidR="00C232A3" w:rsidRPr="00AB62BD" w:rsidRDefault="00C232A3" w:rsidP="00C232A3">
      <w:pPr>
        <w:pStyle w:val="ARbody"/>
        <w:rPr>
          <w:lang w:eastAsia="en-AU"/>
        </w:rPr>
      </w:pPr>
      <w:r w:rsidRPr="005E6399">
        <w:rPr>
          <w:rStyle w:val="Strong"/>
        </w:rPr>
        <w:lastRenderedPageBreak/>
        <w:t>Non-financial assets</w:t>
      </w:r>
      <w:r w:rsidRPr="00AB62BD">
        <w:rPr>
          <w:lang w:eastAsia="en-AU"/>
        </w:rPr>
        <w:t xml:space="preserve"> are all assets that are not financial assets. It includes inventories, land, buildings, plant and equipment, and intangible assets.</w:t>
      </w:r>
    </w:p>
    <w:p w:rsidR="00C232A3" w:rsidRPr="00AB62BD" w:rsidRDefault="00C232A3" w:rsidP="00C232A3">
      <w:pPr>
        <w:pStyle w:val="ARbody"/>
        <w:rPr>
          <w:lang w:eastAsia="en-AU"/>
        </w:rPr>
      </w:pPr>
      <w:r w:rsidRPr="005E6399">
        <w:rPr>
          <w:rStyle w:val="Strong"/>
        </w:rPr>
        <w:t>Non-financial public sector</w:t>
      </w:r>
      <w:r w:rsidRPr="00AB62BD">
        <w:rPr>
          <w:lang w:eastAsia="en-AU"/>
        </w:rP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rsidR="00C232A3" w:rsidRPr="00AB62BD" w:rsidRDefault="00C232A3" w:rsidP="00C232A3">
      <w:pPr>
        <w:pStyle w:val="ARbody"/>
        <w:rPr>
          <w:lang w:eastAsia="en-AU"/>
        </w:rPr>
      </w:pPr>
      <w:r w:rsidRPr="005E6399">
        <w:rPr>
          <w:rStyle w:val="Strong"/>
        </w:rPr>
        <w:t>Non-produced assets</w:t>
      </w:r>
      <w:r w:rsidRPr="00AB62BD">
        <w:rPr>
          <w:lang w:eastAsia="en-AU"/>
        </w:rP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rsidR="00C232A3" w:rsidRPr="00AB62BD" w:rsidRDefault="00C232A3" w:rsidP="00C232A3">
      <w:pPr>
        <w:pStyle w:val="ARbody"/>
        <w:rPr>
          <w:lang w:eastAsia="en-AU"/>
        </w:rPr>
      </w:pPr>
      <w:r w:rsidRPr="005E6399">
        <w:rPr>
          <w:rStyle w:val="Strong"/>
        </w:rPr>
        <w:t>Operating result</w:t>
      </w:r>
      <w:r w:rsidRPr="00AB62BD">
        <w:rPr>
          <w:rStyle w:val="Strong"/>
        </w:rPr>
        <w:t xml:space="preserve"> </w:t>
      </w:r>
      <w:r w:rsidRPr="00AB62BD">
        <w:rPr>
          <w:lang w:eastAsia="en-AU"/>
        </w:rPr>
        <w:t>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rsidR="00C232A3" w:rsidRPr="00AB62BD" w:rsidRDefault="00C232A3" w:rsidP="00C232A3">
      <w:pPr>
        <w:pStyle w:val="ARbody"/>
        <w:rPr>
          <w:lang w:eastAsia="en-AU"/>
        </w:rPr>
      </w:pPr>
      <w:r w:rsidRPr="005E6399">
        <w:rPr>
          <w:rStyle w:val="Strong"/>
        </w:rPr>
        <w:t>Other economic flows included in net result</w:t>
      </w:r>
      <w:r w:rsidRPr="00AB62BD">
        <w:rPr>
          <w:lang w:eastAsia="en-AU"/>
        </w:rPr>
        <w:t xml:space="preserve"> are changes in the volume or value of an asset or liability that do not result from transactions. In simple terms, other economic flows are changes arising from market </w:t>
      </w:r>
      <w:proofErr w:type="spellStart"/>
      <w:r w:rsidRPr="00AB62BD">
        <w:rPr>
          <w:lang w:eastAsia="en-AU"/>
        </w:rPr>
        <w:t>remeasurements</w:t>
      </w:r>
      <w:proofErr w:type="spellEnd"/>
      <w:r w:rsidRPr="00AB62BD">
        <w:rPr>
          <w:lang w:eastAsia="en-AU"/>
        </w:rPr>
        <w:t>. They include gains and losses from disposals, revaluations and impairments of non-current physical and intangible assets; actuarial gains and losses arising from defined benefit superannuation plans; fair value changes of financial instruments.</w:t>
      </w:r>
    </w:p>
    <w:p w:rsidR="00C232A3" w:rsidRPr="00AB62BD" w:rsidRDefault="00C232A3" w:rsidP="00C232A3">
      <w:pPr>
        <w:pStyle w:val="ARbody"/>
        <w:rPr>
          <w:lang w:eastAsia="en-AU"/>
        </w:rPr>
      </w:pPr>
      <w:r w:rsidRPr="005E6399">
        <w:rPr>
          <w:rStyle w:val="Strong"/>
        </w:rPr>
        <w:t>Other economic flows – other comprehensive income</w:t>
      </w:r>
      <w:r w:rsidRPr="00AB62BD">
        <w:rPr>
          <w:lang w:eastAsia="en-AU"/>
        </w:rP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rsidR="00C232A3" w:rsidRPr="00AB62BD" w:rsidRDefault="00C232A3" w:rsidP="00C232A3">
      <w:pPr>
        <w:pStyle w:val="ARbody"/>
        <w:rPr>
          <w:lang w:eastAsia="en-AU"/>
        </w:rPr>
      </w:pPr>
      <w:r w:rsidRPr="005E6399">
        <w:rPr>
          <w:rStyle w:val="Strong"/>
        </w:rPr>
        <w:t>Other operating expenses</w:t>
      </w:r>
      <w:r w:rsidRPr="00AB62BD">
        <w:rPr>
          <w:lang w:eastAsia="en-AU"/>
        </w:rPr>
        <w:t xml:space="preserve"> generally represent cost of goods sold and the day to day running costs, including maintenance costs, incurred in the normal operations of the department.</w:t>
      </w:r>
    </w:p>
    <w:p w:rsidR="00C232A3" w:rsidRPr="00AB62BD" w:rsidRDefault="00C232A3" w:rsidP="00C232A3">
      <w:pPr>
        <w:pStyle w:val="ARbody"/>
        <w:rPr>
          <w:lang w:eastAsia="en-AU"/>
        </w:rPr>
      </w:pPr>
      <w:r w:rsidRPr="005E6399">
        <w:rPr>
          <w:rStyle w:val="Strong"/>
        </w:rPr>
        <w:t>Payables</w:t>
      </w:r>
      <w:r w:rsidRPr="00AB62BD">
        <w:rPr>
          <w:rStyle w:val="Strong"/>
        </w:rPr>
        <w:t xml:space="preserve"> </w:t>
      </w:r>
      <w:r w:rsidRPr="00AB62BD">
        <w:rPr>
          <w:lang w:eastAsia="en-AU"/>
        </w:rPr>
        <w:t>includes short and long term accounts payable, grants, taxes and interest payable.</w:t>
      </w:r>
    </w:p>
    <w:p w:rsidR="00C232A3" w:rsidRPr="00AB62BD" w:rsidRDefault="00C232A3" w:rsidP="00C232A3">
      <w:pPr>
        <w:pStyle w:val="ARbody"/>
        <w:rPr>
          <w:lang w:eastAsia="en-AU"/>
        </w:rPr>
      </w:pPr>
      <w:r w:rsidRPr="005E6399">
        <w:rPr>
          <w:rStyle w:val="Strong"/>
        </w:rPr>
        <w:t>Produced assets</w:t>
      </w:r>
      <w:r w:rsidRPr="00AB62BD">
        <w:rPr>
          <w:lang w:eastAsia="en-AU"/>
        </w:rP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rsidR="00C232A3" w:rsidRPr="00AB62BD" w:rsidRDefault="00C232A3" w:rsidP="00C232A3">
      <w:pPr>
        <w:pStyle w:val="ARbody"/>
        <w:rPr>
          <w:lang w:eastAsia="en-AU"/>
        </w:rPr>
      </w:pPr>
      <w:r w:rsidRPr="005E6399">
        <w:rPr>
          <w:rStyle w:val="Strong"/>
        </w:rPr>
        <w:t>Public financial corporations</w:t>
      </w:r>
      <w:r w:rsidRPr="00AB62BD">
        <w:rPr>
          <w:lang w:eastAsia="en-AU"/>
        </w:rPr>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rsidR="00C232A3" w:rsidRPr="00AB62BD" w:rsidRDefault="00C232A3" w:rsidP="00C232A3">
      <w:pPr>
        <w:pStyle w:val="ARbody"/>
        <w:rPr>
          <w:lang w:eastAsia="en-AU"/>
        </w:rPr>
      </w:pPr>
      <w:r w:rsidRPr="005E6399">
        <w:rPr>
          <w:rStyle w:val="Strong"/>
        </w:rPr>
        <w:t>The public non-financial corporation</w:t>
      </w:r>
      <w:r w:rsidRPr="00AB62BD">
        <w:rPr>
          <w:lang w:eastAsia="en-AU"/>
        </w:rPr>
        <w:t xml:space="preserve"> (PNFC) sector comprises bodies mainly engaged in the production of goods and services (of a non-financial nature) for sale in the market place at prices that aim to recover most of the costs involved (e.g. water and port authorities). In general, PNFCs are legally distinguishable from the governments which own them.</w:t>
      </w:r>
    </w:p>
    <w:p w:rsidR="00C232A3" w:rsidRPr="00AB62BD" w:rsidRDefault="00C232A3" w:rsidP="00C232A3">
      <w:pPr>
        <w:pStyle w:val="ARbody"/>
        <w:rPr>
          <w:lang w:eastAsia="en-AU"/>
        </w:rPr>
      </w:pPr>
      <w:r w:rsidRPr="005E6399">
        <w:rPr>
          <w:rStyle w:val="Strong"/>
        </w:rPr>
        <w:t>Receivables</w:t>
      </w:r>
      <w:r w:rsidRPr="00AB62BD">
        <w:rPr>
          <w:rStyle w:val="Strong"/>
        </w:rPr>
        <w:t xml:space="preserve"> </w:t>
      </w:r>
      <w:r w:rsidRPr="00AB62BD">
        <w:rPr>
          <w:lang w:eastAsia="en-AU"/>
        </w:rPr>
        <w:t>includes amounts owing from government through appropriation receivable, short and long term accounts receivable, accrued investment income, grants, taxes and interest receivable.</w:t>
      </w:r>
    </w:p>
    <w:p w:rsidR="00C232A3" w:rsidRPr="00AB62BD" w:rsidRDefault="00C232A3" w:rsidP="00C232A3">
      <w:pPr>
        <w:pStyle w:val="ARbody"/>
        <w:rPr>
          <w:lang w:eastAsia="en-AU"/>
        </w:rPr>
      </w:pPr>
      <w:r w:rsidRPr="005E6399">
        <w:rPr>
          <w:rStyle w:val="Strong"/>
        </w:rPr>
        <w:t>Rental income and income from services</w:t>
      </w:r>
      <w:r w:rsidRPr="00AB62BD">
        <w:rPr>
          <w:lang w:eastAsia="en-AU"/>
        </w:rPr>
        <w:t xml:space="preserve"> includes rental income under operating leases and income from the provision of services.</w:t>
      </w:r>
    </w:p>
    <w:p w:rsidR="00C232A3" w:rsidRPr="00AB62BD" w:rsidRDefault="00C232A3" w:rsidP="00C232A3">
      <w:pPr>
        <w:pStyle w:val="ARbody"/>
        <w:rPr>
          <w:lang w:eastAsia="en-AU"/>
        </w:rPr>
      </w:pPr>
      <w:r w:rsidRPr="005E6399">
        <w:rPr>
          <w:rStyle w:val="Strong"/>
        </w:rPr>
        <w:t>Transactions</w:t>
      </w:r>
      <w:r w:rsidRPr="00AB62BD">
        <w:rPr>
          <w:lang w:eastAsia="en-AU"/>
        </w:rP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rsidR="00C232A3" w:rsidRPr="00A15588" w:rsidRDefault="00C232A3" w:rsidP="00C232A3">
      <w:pPr>
        <w:pStyle w:val="Heading4"/>
      </w:pPr>
      <w:r w:rsidRPr="00A15588">
        <w:lastRenderedPageBreak/>
        <w:t>9.14 Style conventions</w:t>
      </w:r>
    </w:p>
    <w:p w:rsidR="00C232A3" w:rsidRPr="00D11896" w:rsidRDefault="00C232A3" w:rsidP="00C232A3">
      <w:pPr>
        <w:pStyle w:val="Heading5"/>
        <w:rPr>
          <w:rStyle w:val="Strong"/>
        </w:rPr>
      </w:pPr>
      <w:r w:rsidRPr="00D11896">
        <w:rPr>
          <w:rStyle w:val="Strong"/>
        </w:rPr>
        <w:t>Style conventions</w:t>
      </w:r>
    </w:p>
    <w:p w:rsidR="00C232A3" w:rsidRPr="00AB62BD" w:rsidRDefault="00C232A3" w:rsidP="00C232A3">
      <w:pPr>
        <w:pStyle w:val="ARbody"/>
        <w:rPr>
          <w:lang w:eastAsia="en-AU"/>
        </w:rPr>
      </w:pPr>
      <w:r w:rsidRPr="00AB62BD">
        <w:rPr>
          <w:lang w:eastAsia="en-AU"/>
        </w:rPr>
        <w:t xml:space="preserve">Figures in the tables and in the text have been rounded. Discrepancies in tables between totals and sums </w:t>
      </w:r>
      <w:r w:rsidR="0023764F">
        <w:rPr>
          <w:lang w:eastAsia="en-AU"/>
        </w:rPr>
        <w:br/>
      </w:r>
      <w:r w:rsidRPr="00AB62BD">
        <w:rPr>
          <w:lang w:eastAsia="en-AU"/>
        </w:rPr>
        <w:t>of components reflect rounding. Percentage variations in all tables are based on the underlying unrounded amounts.</w:t>
      </w:r>
    </w:p>
    <w:p w:rsidR="00C232A3" w:rsidRPr="00AB62BD" w:rsidRDefault="00C232A3" w:rsidP="00C232A3">
      <w:pPr>
        <w:pStyle w:val="ARbody"/>
        <w:rPr>
          <w:lang w:eastAsia="en-AU"/>
        </w:rPr>
      </w:pPr>
      <w:r w:rsidRPr="00AB62BD">
        <w:rPr>
          <w:lang w:eastAsia="en-AU"/>
        </w:rPr>
        <w:t>The notation used in the tables is as follows:</w:t>
      </w:r>
    </w:p>
    <w:p w:rsidR="00C232A3" w:rsidRPr="00AB62BD" w:rsidRDefault="00C232A3" w:rsidP="00C232A3">
      <w:pPr>
        <w:pStyle w:val="ARbullet1"/>
        <w:rPr>
          <w:lang w:eastAsia="en-AU"/>
        </w:rPr>
      </w:pPr>
      <w:r w:rsidRPr="00AB62BD">
        <w:rPr>
          <w:lang w:eastAsia="en-AU"/>
        </w:rPr>
        <w:t>zero, or rounded to zero</w:t>
      </w:r>
    </w:p>
    <w:p w:rsidR="00C232A3" w:rsidRPr="00AB62BD" w:rsidRDefault="00C232A3" w:rsidP="00C232A3">
      <w:pPr>
        <w:pStyle w:val="ARbullet1"/>
        <w:rPr>
          <w:lang w:eastAsia="en-AU"/>
        </w:rPr>
      </w:pPr>
      <w:r w:rsidRPr="00AB62BD">
        <w:rPr>
          <w:lang w:eastAsia="en-AU"/>
        </w:rPr>
        <w:t>(</w:t>
      </w:r>
      <w:proofErr w:type="spellStart"/>
      <w:r w:rsidRPr="00AB62BD">
        <w:rPr>
          <w:lang w:eastAsia="en-AU"/>
        </w:rPr>
        <w:t>xxx.x</w:t>
      </w:r>
      <w:proofErr w:type="spellEnd"/>
      <w:r w:rsidRPr="00AB62BD">
        <w:rPr>
          <w:lang w:eastAsia="en-AU"/>
        </w:rPr>
        <w:t>) negative numbers</w:t>
      </w:r>
    </w:p>
    <w:p w:rsidR="00C232A3" w:rsidRPr="00AB62BD" w:rsidRDefault="00C232A3" w:rsidP="00C232A3">
      <w:pPr>
        <w:pStyle w:val="ARbullet1"/>
        <w:rPr>
          <w:lang w:eastAsia="en-AU"/>
        </w:rPr>
      </w:pPr>
      <w:r w:rsidRPr="00AB62BD">
        <w:rPr>
          <w:lang w:eastAsia="en-AU"/>
        </w:rPr>
        <w:t>20xx year end</w:t>
      </w:r>
    </w:p>
    <w:p w:rsidR="00C232A3" w:rsidRPr="00AB62BD" w:rsidRDefault="00C232A3" w:rsidP="00C232A3">
      <w:pPr>
        <w:pStyle w:val="ARbullet1"/>
        <w:rPr>
          <w:lang w:eastAsia="en-AU"/>
        </w:rPr>
      </w:pPr>
      <w:r>
        <w:rPr>
          <w:lang w:eastAsia="en-AU"/>
        </w:rPr>
        <w:t>20xx–</w:t>
      </w:r>
      <w:r w:rsidRPr="00AB62BD">
        <w:rPr>
          <w:lang w:eastAsia="en-AU"/>
        </w:rPr>
        <w:t>xx year period</w:t>
      </w:r>
    </w:p>
    <w:p w:rsidR="00C232A3" w:rsidRPr="00F03EE8" w:rsidRDefault="00C232A3" w:rsidP="00C232A3">
      <w:pPr>
        <w:pStyle w:val="ARbodyafterbullets"/>
        <w:rPr>
          <w:lang w:eastAsia="en-AU"/>
        </w:rPr>
      </w:pPr>
      <w:r w:rsidRPr="005E6399">
        <w:t>The financial statements</w:t>
      </w:r>
      <w:r w:rsidRPr="00AB62BD">
        <w:rPr>
          <w:lang w:eastAsia="en-AU"/>
        </w:rPr>
        <w:t xml:space="preserve"> </w:t>
      </w:r>
      <w:r w:rsidRPr="00C31CE4">
        <w:t>and notes are presented based on the illustration for a government department in the 2016–17 Model Report for Victorian Government departments. The presentation of other disclosures is generally consistent with the other disclosures made in earlier publications of the department’s</w:t>
      </w:r>
      <w:r w:rsidRPr="00AB62BD">
        <w:rPr>
          <w:lang w:eastAsia="en-AU"/>
        </w:rPr>
        <w:t xml:space="preserve"> </w:t>
      </w:r>
      <w:r w:rsidRPr="005E6399">
        <w:t>annual reports</w:t>
      </w:r>
      <w:r w:rsidRPr="00AB62BD">
        <w:rPr>
          <w:lang w:eastAsia="en-AU"/>
        </w:rPr>
        <w:t>.</w:t>
      </w:r>
    </w:p>
    <w:bookmarkEnd w:id="75"/>
    <w:p w:rsidR="00253A10" w:rsidRDefault="00253A10" w:rsidP="00E63440">
      <w:pPr>
        <w:pStyle w:val="ARbody"/>
        <w:sectPr w:rsidR="00253A10" w:rsidSect="0093192F">
          <w:headerReference w:type="even" r:id="rId173"/>
          <w:headerReference w:type="default" r:id="rId174"/>
          <w:footerReference w:type="even" r:id="rId175"/>
          <w:footerReference w:type="default" r:id="rId176"/>
          <w:footerReference w:type="first" r:id="rId177"/>
          <w:endnotePr>
            <w:numFmt w:val="decimal"/>
          </w:endnotePr>
          <w:pgSz w:w="11900" w:h="16840" w:code="9"/>
          <w:pgMar w:top="1531" w:right="851" w:bottom="680" w:left="1418" w:header="510" w:footer="340" w:gutter="0"/>
          <w:cols w:space="454"/>
        </w:sectPr>
      </w:pPr>
    </w:p>
    <w:p w:rsidR="008F12EE" w:rsidRPr="00070182" w:rsidRDefault="008F12EE" w:rsidP="000B2035">
      <w:pPr>
        <w:pStyle w:val="Heading1"/>
      </w:pPr>
      <w:bookmarkStart w:id="108" w:name="_Toc462654058"/>
      <w:bookmarkStart w:id="109" w:name="_Toc493069466"/>
      <w:bookmarkStart w:id="110" w:name="_Toc462577195"/>
      <w:bookmarkStart w:id="111" w:name="_Toc463776638"/>
      <w:r w:rsidRPr="000B2035">
        <w:rPr>
          <w:color w:val="004EA8"/>
        </w:rPr>
        <w:lastRenderedPageBreak/>
        <w:t>Appendices</w:t>
      </w:r>
      <w:bookmarkEnd w:id="108"/>
      <w:bookmarkEnd w:id="109"/>
    </w:p>
    <w:p w:rsidR="00685CC9" w:rsidRDefault="008F12EE">
      <w:pPr>
        <w:pStyle w:val="TOC1"/>
        <w:rPr>
          <w:rFonts w:asciiTheme="minorHAnsi" w:eastAsiaTheme="minorEastAsia" w:hAnsiTheme="minorHAnsi" w:cstheme="minorBidi"/>
          <w:sz w:val="22"/>
          <w:szCs w:val="22"/>
          <w:lang w:eastAsia="en-AU"/>
        </w:rPr>
      </w:pPr>
      <w:r>
        <w:fldChar w:fldCharType="begin"/>
      </w:r>
      <w:r>
        <w:instrText xml:space="preserve"> TOC </w:instrText>
      </w:r>
      <w:r w:rsidR="00AA4550">
        <w:instrText xml:space="preserve">\b Appendices2 </w:instrText>
      </w:r>
      <w:r>
        <w:instrText xml:space="preserve">\h \z \u \t "Heading 2,1" </w:instrText>
      </w:r>
      <w:r>
        <w:fldChar w:fldCharType="separate"/>
      </w:r>
      <w:hyperlink w:anchor="_Toc493164810" w:history="1">
        <w:r w:rsidR="00685CC9" w:rsidRPr="00D644CB">
          <w:rPr>
            <w:rStyle w:val="Hyperlink"/>
          </w:rPr>
          <w:t>Portfolio budget outcomes</w:t>
        </w:r>
        <w:r w:rsidR="00685CC9">
          <w:rPr>
            <w:webHidden/>
          </w:rPr>
          <w:tab/>
        </w:r>
        <w:r w:rsidR="00685CC9">
          <w:rPr>
            <w:webHidden/>
          </w:rPr>
          <w:fldChar w:fldCharType="begin"/>
        </w:r>
        <w:r w:rsidR="00685CC9">
          <w:rPr>
            <w:webHidden/>
          </w:rPr>
          <w:instrText xml:space="preserve"> PAGEREF _Toc493164810 \h </w:instrText>
        </w:r>
        <w:r w:rsidR="00685CC9">
          <w:rPr>
            <w:webHidden/>
          </w:rPr>
        </w:r>
        <w:r w:rsidR="00685CC9">
          <w:rPr>
            <w:webHidden/>
          </w:rPr>
          <w:fldChar w:fldCharType="separate"/>
        </w:r>
        <w:r w:rsidR="00CA48ED">
          <w:rPr>
            <w:webHidden/>
          </w:rPr>
          <w:t>208</w:t>
        </w:r>
        <w:r w:rsidR="00685CC9">
          <w:rPr>
            <w:webHidden/>
          </w:rPr>
          <w:fldChar w:fldCharType="end"/>
        </w:r>
      </w:hyperlink>
    </w:p>
    <w:p w:rsidR="00685CC9" w:rsidRDefault="00EF589D">
      <w:pPr>
        <w:pStyle w:val="TOC1"/>
        <w:rPr>
          <w:rFonts w:asciiTheme="minorHAnsi" w:eastAsiaTheme="minorEastAsia" w:hAnsiTheme="minorHAnsi" w:cstheme="minorBidi"/>
          <w:sz w:val="22"/>
          <w:szCs w:val="22"/>
          <w:lang w:eastAsia="en-AU"/>
        </w:rPr>
      </w:pPr>
      <w:hyperlink w:anchor="_Toc493164811" w:history="1">
        <w:r w:rsidR="00685CC9" w:rsidRPr="00D644CB">
          <w:rPr>
            <w:rStyle w:val="Hyperlink"/>
          </w:rPr>
          <w:t>Director of Housing</w:t>
        </w:r>
        <w:r w:rsidR="00685CC9">
          <w:rPr>
            <w:webHidden/>
          </w:rPr>
          <w:tab/>
        </w:r>
        <w:r w:rsidR="00685CC9">
          <w:rPr>
            <w:webHidden/>
          </w:rPr>
          <w:fldChar w:fldCharType="begin"/>
        </w:r>
        <w:r w:rsidR="00685CC9">
          <w:rPr>
            <w:webHidden/>
          </w:rPr>
          <w:instrText xml:space="preserve"> PAGEREF _Toc493164811 \h </w:instrText>
        </w:r>
        <w:r w:rsidR="00685CC9">
          <w:rPr>
            <w:webHidden/>
          </w:rPr>
        </w:r>
        <w:r w:rsidR="00685CC9">
          <w:rPr>
            <w:webHidden/>
          </w:rPr>
          <w:fldChar w:fldCharType="separate"/>
        </w:r>
        <w:r w:rsidR="00CA48ED">
          <w:rPr>
            <w:webHidden/>
          </w:rPr>
          <w:t>217</w:t>
        </w:r>
        <w:r w:rsidR="00685CC9">
          <w:rPr>
            <w:webHidden/>
          </w:rPr>
          <w:fldChar w:fldCharType="end"/>
        </w:r>
      </w:hyperlink>
    </w:p>
    <w:p w:rsidR="00685CC9" w:rsidRDefault="00EF589D">
      <w:pPr>
        <w:pStyle w:val="TOC1"/>
        <w:rPr>
          <w:rFonts w:asciiTheme="minorHAnsi" w:eastAsiaTheme="minorEastAsia" w:hAnsiTheme="minorHAnsi" w:cstheme="minorBidi"/>
          <w:sz w:val="22"/>
          <w:szCs w:val="22"/>
          <w:lang w:eastAsia="en-AU"/>
        </w:rPr>
      </w:pPr>
      <w:hyperlink w:anchor="_Toc493164812" w:history="1">
        <w:r w:rsidR="00685CC9" w:rsidRPr="00D644CB">
          <w:rPr>
            <w:rStyle w:val="Hyperlink"/>
          </w:rPr>
          <w:t>Capital projects completed during the financial year ended 30 June 2017</w:t>
        </w:r>
        <w:r w:rsidR="00685CC9">
          <w:rPr>
            <w:webHidden/>
          </w:rPr>
          <w:tab/>
        </w:r>
        <w:r w:rsidR="00685CC9">
          <w:rPr>
            <w:webHidden/>
          </w:rPr>
          <w:fldChar w:fldCharType="begin"/>
        </w:r>
        <w:r w:rsidR="00685CC9">
          <w:rPr>
            <w:webHidden/>
          </w:rPr>
          <w:instrText xml:space="preserve"> PAGEREF _Toc493164812 \h </w:instrText>
        </w:r>
        <w:r w:rsidR="00685CC9">
          <w:rPr>
            <w:webHidden/>
          </w:rPr>
        </w:r>
        <w:r w:rsidR="00685CC9">
          <w:rPr>
            <w:webHidden/>
          </w:rPr>
          <w:fldChar w:fldCharType="separate"/>
        </w:r>
        <w:r w:rsidR="00CA48ED">
          <w:rPr>
            <w:webHidden/>
          </w:rPr>
          <w:t>222</w:t>
        </w:r>
        <w:r w:rsidR="00685CC9">
          <w:rPr>
            <w:webHidden/>
          </w:rPr>
          <w:fldChar w:fldCharType="end"/>
        </w:r>
      </w:hyperlink>
    </w:p>
    <w:p w:rsidR="00685CC9" w:rsidRDefault="00EF589D">
      <w:pPr>
        <w:pStyle w:val="TOC1"/>
        <w:rPr>
          <w:rFonts w:asciiTheme="minorHAnsi" w:eastAsiaTheme="minorEastAsia" w:hAnsiTheme="minorHAnsi" w:cstheme="minorBidi"/>
          <w:sz w:val="22"/>
          <w:szCs w:val="22"/>
          <w:lang w:eastAsia="en-AU"/>
        </w:rPr>
      </w:pPr>
      <w:hyperlink w:anchor="_Toc493164813" w:history="1">
        <w:r w:rsidR="00685CC9" w:rsidRPr="00D644CB">
          <w:rPr>
            <w:rStyle w:val="Hyperlink"/>
          </w:rPr>
          <w:t>Disclosure index</w:t>
        </w:r>
        <w:r w:rsidR="00685CC9">
          <w:rPr>
            <w:webHidden/>
          </w:rPr>
          <w:tab/>
        </w:r>
        <w:r w:rsidR="00685CC9">
          <w:rPr>
            <w:webHidden/>
          </w:rPr>
          <w:fldChar w:fldCharType="begin"/>
        </w:r>
        <w:r w:rsidR="00685CC9">
          <w:rPr>
            <w:webHidden/>
          </w:rPr>
          <w:instrText xml:space="preserve"> PAGEREF _Toc493164813 \h </w:instrText>
        </w:r>
        <w:r w:rsidR="00685CC9">
          <w:rPr>
            <w:webHidden/>
          </w:rPr>
        </w:r>
        <w:r w:rsidR="00685CC9">
          <w:rPr>
            <w:webHidden/>
          </w:rPr>
          <w:fldChar w:fldCharType="separate"/>
        </w:r>
        <w:r w:rsidR="00CA48ED">
          <w:rPr>
            <w:webHidden/>
          </w:rPr>
          <w:t>223</w:t>
        </w:r>
        <w:r w:rsidR="00685CC9">
          <w:rPr>
            <w:webHidden/>
          </w:rPr>
          <w:fldChar w:fldCharType="end"/>
        </w:r>
      </w:hyperlink>
    </w:p>
    <w:p w:rsidR="00685CC9" w:rsidRDefault="00EF589D">
      <w:pPr>
        <w:pStyle w:val="TOC1"/>
        <w:rPr>
          <w:rFonts w:asciiTheme="minorHAnsi" w:eastAsiaTheme="minorEastAsia" w:hAnsiTheme="minorHAnsi" w:cstheme="minorBidi"/>
          <w:sz w:val="22"/>
          <w:szCs w:val="22"/>
          <w:lang w:eastAsia="en-AU"/>
        </w:rPr>
      </w:pPr>
      <w:hyperlink w:anchor="_Toc493164814" w:history="1">
        <w:r w:rsidR="00685CC9" w:rsidRPr="00D644CB">
          <w:rPr>
            <w:rStyle w:val="Hyperlink"/>
          </w:rPr>
          <w:t>Additional departmental information available on request</w:t>
        </w:r>
        <w:r w:rsidR="00685CC9">
          <w:rPr>
            <w:webHidden/>
          </w:rPr>
          <w:tab/>
        </w:r>
        <w:r w:rsidR="00685CC9">
          <w:rPr>
            <w:webHidden/>
          </w:rPr>
          <w:fldChar w:fldCharType="begin"/>
        </w:r>
        <w:r w:rsidR="00685CC9">
          <w:rPr>
            <w:webHidden/>
          </w:rPr>
          <w:instrText xml:space="preserve"> PAGEREF _Toc493164814 \h </w:instrText>
        </w:r>
        <w:r w:rsidR="00685CC9">
          <w:rPr>
            <w:webHidden/>
          </w:rPr>
        </w:r>
        <w:r w:rsidR="00685CC9">
          <w:rPr>
            <w:webHidden/>
          </w:rPr>
          <w:fldChar w:fldCharType="separate"/>
        </w:r>
        <w:r w:rsidR="00CA48ED">
          <w:rPr>
            <w:webHidden/>
          </w:rPr>
          <w:t>226</w:t>
        </w:r>
        <w:r w:rsidR="00685CC9">
          <w:rPr>
            <w:webHidden/>
          </w:rPr>
          <w:fldChar w:fldCharType="end"/>
        </w:r>
      </w:hyperlink>
    </w:p>
    <w:p w:rsidR="008F12EE" w:rsidRDefault="008F12EE" w:rsidP="00300E48">
      <w:pPr>
        <w:pStyle w:val="ARbody"/>
        <w:sectPr w:rsidR="008F12EE" w:rsidSect="000B2035">
          <w:headerReference w:type="even" r:id="rId178"/>
          <w:headerReference w:type="default" r:id="rId179"/>
          <w:endnotePr>
            <w:numFmt w:val="decimal"/>
          </w:endnotePr>
          <w:pgSz w:w="11900" w:h="16840" w:code="9"/>
          <w:pgMar w:top="1531" w:right="851" w:bottom="680" w:left="1418" w:header="510" w:footer="340" w:gutter="0"/>
          <w:cols w:space="275"/>
        </w:sectPr>
      </w:pPr>
      <w:r>
        <w:rPr>
          <w:noProof/>
        </w:rPr>
        <w:fldChar w:fldCharType="end"/>
      </w:r>
      <w:r>
        <w:br w:type="page"/>
      </w:r>
    </w:p>
    <w:p w:rsidR="008F12EE" w:rsidRDefault="008F12EE" w:rsidP="008F12EE">
      <w:pPr>
        <w:pStyle w:val="Heading2"/>
        <w:spacing w:before="0"/>
      </w:pPr>
      <w:bookmarkStart w:id="112" w:name="_Ref492895066"/>
      <w:bookmarkStart w:id="113" w:name="_Ref492905784"/>
      <w:bookmarkStart w:id="114" w:name="_Toc493164810"/>
      <w:bookmarkStart w:id="115" w:name="Appendices2"/>
      <w:r>
        <w:lastRenderedPageBreak/>
        <w:t xml:space="preserve">Portfolio </w:t>
      </w:r>
      <w:r w:rsidRPr="00070182">
        <w:t>budget</w:t>
      </w:r>
      <w:r>
        <w:t xml:space="preserve"> outcomes</w:t>
      </w:r>
      <w:bookmarkEnd w:id="110"/>
      <w:bookmarkEnd w:id="111"/>
      <w:bookmarkEnd w:id="112"/>
      <w:bookmarkEnd w:id="113"/>
      <w:bookmarkEnd w:id="114"/>
    </w:p>
    <w:p w:rsidR="008F12EE" w:rsidRPr="00070182" w:rsidRDefault="008F12EE" w:rsidP="008F12EE">
      <w:pPr>
        <w:pStyle w:val="ARbody"/>
      </w:pPr>
      <w:r w:rsidRPr="00070182">
        <w:t xml:space="preserve">The portfolio budget outcomes provide a comparison between the actual financial statements of all general government-sector entities within the portfolio and the forecast financial information published in </w:t>
      </w:r>
      <w:r w:rsidRPr="00E36AC0">
        <w:rPr>
          <w:i/>
        </w:rPr>
        <w:t>Budget Paper No. 5 2016–17</w:t>
      </w:r>
      <w:r>
        <w:rPr>
          <w:i/>
        </w:rPr>
        <w:t>:</w:t>
      </w:r>
      <w:r w:rsidRPr="00E36AC0">
        <w:rPr>
          <w:i/>
        </w:rPr>
        <w:t xml:space="preserve"> Statement of Finances</w:t>
      </w:r>
      <w:r w:rsidRPr="00070182">
        <w:t xml:space="preserve"> (BP5).</w:t>
      </w:r>
    </w:p>
    <w:p w:rsidR="008F12EE" w:rsidRPr="00070182" w:rsidRDefault="008F12EE" w:rsidP="008F12EE">
      <w:pPr>
        <w:pStyle w:val="ARbody"/>
      </w:pPr>
      <w:r w:rsidRPr="00070182">
        <w:t>The portfolio budget outcomes comprise the comprehensive operating statement, balance sheet, statement of cash flows, statement of changes in equity, and administered items statement for the full financial year 2016–17.</w:t>
      </w:r>
    </w:p>
    <w:p w:rsidR="008F12EE" w:rsidRPr="00070182" w:rsidRDefault="008F12EE" w:rsidP="008F12EE">
      <w:pPr>
        <w:pStyle w:val="ARbody"/>
      </w:pPr>
      <w:r w:rsidRPr="00070182">
        <w:t>The portfolio budget outcomes have been prepared on a consolidated basis for the period 1 July 2016 to 30 June 2017 and include all general government-sector entities within the portfolio. Financial transactions and balances are classified into either controlled or administered categories as agreed with the Treasurer in the context of the published statements in BP5.</w:t>
      </w:r>
    </w:p>
    <w:p w:rsidR="008F12EE" w:rsidRPr="00070182" w:rsidRDefault="008F12EE" w:rsidP="008F12EE">
      <w:pPr>
        <w:pStyle w:val="ARbody"/>
      </w:pPr>
      <w:r w:rsidRPr="00070182">
        <w:t>The portfolio budget outcomes statements are not subject to audit by the Victorian Auditor-General’s office. They are not prepared on the same basis as the department’s financial statements as they consolidate financial information of the following entities:</w:t>
      </w:r>
    </w:p>
    <w:p w:rsidR="008F12EE" w:rsidRPr="005904AF" w:rsidRDefault="008F12EE" w:rsidP="008F12EE">
      <w:pPr>
        <w:pStyle w:val="ARbullet1"/>
        <w:numPr>
          <w:ilvl w:val="0"/>
          <w:numId w:val="44"/>
        </w:numPr>
        <w:ind w:left="284"/>
      </w:pPr>
      <w:r>
        <w:t>t</w:t>
      </w:r>
      <w:r w:rsidRPr="005904AF">
        <w:t>he Department of Health and Human Services (not including Director of Housing – Public Non-Financial Corporation)</w:t>
      </w:r>
    </w:p>
    <w:p w:rsidR="008F12EE" w:rsidRPr="005904AF" w:rsidRDefault="008F12EE" w:rsidP="008F12EE">
      <w:pPr>
        <w:pStyle w:val="ARbullet1"/>
        <w:numPr>
          <w:ilvl w:val="0"/>
          <w:numId w:val="44"/>
        </w:numPr>
        <w:ind w:left="284"/>
      </w:pPr>
      <w:r w:rsidRPr="005904AF">
        <w:t>public hospitals and public health services</w:t>
      </w:r>
    </w:p>
    <w:p w:rsidR="008F12EE" w:rsidRPr="005904AF" w:rsidRDefault="008F12EE" w:rsidP="008F12EE">
      <w:pPr>
        <w:pStyle w:val="ARbullet1"/>
        <w:numPr>
          <w:ilvl w:val="0"/>
          <w:numId w:val="44"/>
        </w:numPr>
        <w:ind w:left="284"/>
      </w:pPr>
      <w:r w:rsidRPr="005904AF">
        <w:t>multipurpose services</w:t>
      </w:r>
    </w:p>
    <w:p w:rsidR="008F12EE" w:rsidRPr="005904AF" w:rsidRDefault="008F12EE" w:rsidP="008F12EE">
      <w:pPr>
        <w:pStyle w:val="ARbullet1"/>
        <w:numPr>
          <w:ilvl w:val="0"/>
          <w:numId w:val="44"/>
        </w:numPr>
        <w:ind w:left="284"/>
      </w:pPr>
      <w:r w:rsidRPr="005904AF">
        <w:t>Ambulance Victoria</w:t>
      </w:r>
    </w:p>
    <w:p w:rsidR="008F12EE" w:rsidRPr="005904AF" w:rsidRDefault="008F12EE" w:rsidP="008F12EE">
      <w:pPr>
        <w:pStyle w:val="ARbullet1"/>
        <w:numPr>
          <w:ilvl w:val="0"/>
          <w:numId w:val="44"/>
        </w:numPr>
        <w:ind w:left="284"/>
      </w:pPr>
      <w:r w:rsidRPr="005904AF">
        <w:t>Health Purchasing Victoria</w:t>
      </w:r>
    </w:p>
    <w:p w:rsidR="008F12EE" w:rsidRPr="005904AF" w:rsidRDefault="008F12EE" w:rsidP="008F12EE">
      <w:pPr>
        <w:pStyle w:val="ARbullet1"/>
        <w:numPr>
          <w:ilvl w:val="0"/>
          <w:numId w:val="44"/>
        </w:numPr>
        <w:ind w:left="284"/>
      </w:pPr>
      <w:r w:rsidRPr="005904AF">
        <w:t>Victorian Assisted Reproductive Treatment Authority</w:t>
      </w:r>
    </w:p>
    <w:p w:rsidR="008F12EE" w:rsidRPr="005904AF" w:rsidRDefault="008F12EE" w:rsidP="008F12EE">
      <w:pPr>
        <w:pStyle w:val="ARbullet1"/>
        <w:numPr>
          <w:ilvl w:val="0"/>
          <w:numId w:val="44"/>
        </w:numPr>
        <w:ind w:left="284"/>
      </w:pPr>
      <w:r w:rsidRPr="005904AF">
        <w:t>Victorian Institute of Forensic Mental Health</w:t>
      </w:r>
    </w:p>
    <w:p w:rsidR="008F12EE" w:rsidRPr="005904AF" w:rsidRDefault="008F12EE" w:rsidP="008F12EE">
      <w:pPr>
        <w:pStyle w:val="ARbullet1"/>
        <w:numPr>
          <w:ilvl w:val="0"/>
          <w:numId w:val="44"/>
        </w:numPr>
        <w:ind w:left="284"/>
      </w:pPr>
      <w:r w:rsidRPr="005904AF">
        <w:t>Disability Services Commissioner</w:t>
      </w:r>
    </w:p>
    <w:p w:rsidR="008F12EE" w:rsidRPr="005904AF" w:rsidRDefault="008F12EE" w:rsidP="008F12EE">
      <w:pPr>
        <w:pStyle w:val="ARbullet1"/>
        <w:numPr>
          <w:ilvl w:val="0"/>
          <w:numId w:val="44"/>
        </w:numPr>
        <w:ind w:left="284"/>
      </w:pPr>
      <w:r w:rsidRPr="005904AF">
        <w:t>The Commission for Children and Young People</w:t>
      </w:r>
    </w:p>
    <w:p w:rsidR="008F12EE" w:rsidRPr="005904AF" w:rsidRDefault="008F12EE" w:rsidP="008F12EE">
      <w:pPr>
        <w:pStyle w:val="ARbullet1"/>
        <w:numPr>
          <w:ilvl w:val="0"/>
          <w:numId w:val="44"/>
        </w:numPr>
        <w:ind w:left="284"/>
      </w:pPr>
      <w:proofErr w:type="spellStart"/>
      <w:r w:rsidRPr="005904AF">
        <w:t>Tweddle</w:t>
      </w:r>
      <w:proofErr w:type="spellEnd"/>
      <w:r w:rsidRPr="005904AF">
        <w:t xml:space="preserve"> Child and Family Health Service</w:t>
      </w:r>
    </w:p>
    <w:p w:rsidR="008F12EE" w:rsidRPr="005904AF" w:rsidRDefault="008F12EE" w:rsidP="008F12EE">
      <w:pPr>
        <w:pStyle w:val="ARbullet1"/>
        <w:numPr>
          <w:ilvl w:val="0"/>
          <w:numId w:val="44"/>
        </w:numPr>
        <w:ind w:left="284"/>
      </w:pPr>
      <w:r w:rsidRPr="005904AF">
        <w:t>The Queen Elizabeth Centre</w:t>
      </w:r>
    </w:p>
    <w:p w:rsidR="008F12EE" w:rsidRPr="005904AF" w:rsidRDefault="008F12EE" w:rsidP="008F12EE">
      <w:pPr>
        <w:pStyle w:val="ARbullet1"/>
        <w:numPr>
          <w:ilvl w:val="0"/>
          <w:numId w:val="44"/>
        </w:numPr>
        <w:ind w:left="284"/>
      </w:pPr>
      <w:r w:rsidRPr="005904AF">
        <w:t>Victorian Health Promotion Foundation</w:t>
      </w:r>
    </w:p>
    <w:p w:rsidR="008F12EE" w:rsidRPr="005904AF" w:rsidRDefault="008F12EE" w:rsidP="008F12EE">
      <w:pPr>
        <w:pStyle w:val="ARbullet1"/>
        <w:numPr>
          <w:ilvl w:val="0"/>
          <w:numId w:val="44"/>
        </w:numPr>
        <w:ind w:left="284"/>
      </w:pPr>
      <w:r w:rsidRPr="005904AF">
        <w:t>The Victorian Institute of Sport</w:t>
      </w:r>
    </w:p>
    <w:p w:rsidR="008F12EE" w:rsidRPr="005904AF" w:rsidRDefault="008F12EE" w:rsidP="008F12EE">
      <w:pPr>
        <w:pStyle w:val="ARbullet1"/>
        <w:numPr>
          <w:ilvl w:val="0"/>
          <w:numId w:val="44"/>
        </w:numPr>
        <w:ind w:left="284"/>
      </w:pPr>
      <w:r w:rsidRPr="005904AF">
        <w:t>Melbourne Cricket Ground Trust.</w:t>
      </w:r>
    </w:p>
    <w:p w:rsidR="008F12EE" w:rsidRDefault="008F12EE" w:rsidP="008F12EE">
      <w:pPr>
        <w:pStyle w:val="ARbody"/>
      </w:pPr>
      <w:r>
        <w:br w:type="column"/>
      </w:r>
      <w:r>
        <w:lastRenderedPageBreak/>
        <w:t xml:space="preserve">The portfolio budget outcomes </w:t>
      </w:r>
      <w:r w:rsidRPr="00111429">
        <w:t>statement</w:t>
      </w:r>
      <w:r>
        <w:t>s</w:t>
      </w:r>
      <w:r w:rsidRPr="00111429">
        <w:t xml:space="preserve"> include funding from the Commonwealth Government and revenue from the sale of services attributed to the department from the state government. </w:t>
      </w:r>
      <w:r>
        <w:t>They</w:t>
      </w:r>
      <w:r w:rsidRPr="00111429">
        <w:t xml:space="preserve"> also include income and expenses associated with National Health Reform</w:t>
      </w:r>
      <w:r>
        <w:t xml:space="preserve"> funding</w:t>
      </w:r>
      <w:r w:rsidRPr="00111429">
        <w:t>, which are explained below.</w:t>
      </w:r>
    </w:p>
    <w:p w:rsidR="008F12EE" w:rsidRPr="00070182" w:rsidRDefault="008F12EE" w:rsidP="008F12EE">
      <w:pPr>
        <w:pStyle w:val="Heading3"/>
      </w:pPr>
      <w:bookmarkStart w:id="116" w:name="_Toc462577196"/>
      <w:r w:rsidRPr="00070182">
        <w:t>Funding arrangements under National Health Reform</w:t>
      </w:r>
      <w:bookmarkEnd w:id="116"/>
    </w:p>
    <w:p w:rsidR="00AA035A" w:rsidRDefault="008F12EE" w:rsidP="008F12EE">
      <w:pPr>
        <w:pStyle w:val="ARbody"/>
      </w:pPr>
      <w:r w:rsidRPr="00645EC5">
        <w:t xml:space="preserve">The 2016–17 </w:t>
      </w:r>
      <w:r>
        <w:t>f</w:t>
      </w:r>
      <w:r w:rsidRPr="00645EC5">
        <w:t xml:space="preserve">inancial </w:t>
      </w:r>
      <w:r>
        <w:t>s</w:t>
      </w:r>
      <w:r w:rsidRPr="00645EC5">
        <w:t>tatements reflect the funding arrangements under the joint Commonwealth–State National Health Reform Agreement. This funding arrangement took effect in Victoria from 1 October 2012. The Addendum to the National Health Reform Agreement took effect from 1 July 2017 and ceases on 30 June 2020.</w:t>
      </w:r>
    </w:p>
    <w:p w:rsidR="00AA035A" w:rsidRDefault="008F12EE" w:rsidP="008F12EE">
      <w:pPr>
        <w:pStyle w:val="ARbody"/>
      </w:pPr>
      <w:r w:rsidRPr="00645EC5">
        <w:t>The arrangement provides for Commonwealth funding under the National Health Reform Agreement (previously paid to Victoria as National Healthcare specific-purpose payments) to be administered via the National Health Funding Pool (NHFP) State Pool Account. From 2012–13, this funding has been reported in the department’s Administered Accounts.</w:t>
      </w:r>
    </w:p>
    <w:p w:rsidR="00AA035A" w:rsidRDefault="008F12EE" w:rsidP="008F12EE">
      <w:pPr>
        <w:pStyle w:val="ARbody"/>
      </w:pPr>
      <w:r w:rsidRPr="00645EC5">
        <w:t xml:space="preserve">Other changes to the </w:t>
      </w:r>
      <w:r>
        <w:t>a</w:t>
      </w:r>
      <w:r w:rsidRPr="00645EC5">
        <w:t xml:space="preserve">dministered </w:t>
      </w:r>
      <w:r>
        <w:t>a</w:t>
      </w:r>
      <w:r w:rsidRPr="00645EC5">
        <w:t>ccounts include the reporting of the state contribution for hospital services funded on an activity basis and the payment of the commonwealth contribution towards services funded through block grants to the department’s controlled entity.</w:t>
      </w:r>
    </w:p>
    <w:p w:rsidR="00AA035A" w:rsidRDefault="008F12EE" w:rsidP="008F12EE">
      <w:pPr>
        <w:pStyle w:val="ARbody"/>
      </w:pPr>
      <w:r w:rsidRPr="00645EC5">
        <w:t xml:space="preserve">The </w:t>
      </w:r>
      <w:r>
        <w:t>a</w:t>
      </w:r>
      <w:r w:rsidRPr="00645EC5">
        <w:t xml:space="preserve">dministrator of the NHFP has responsibility for the receipt of all monies into the NHFP State Pool Account and payment for activity-based services to local hospital networks, based on directions from the Minister for Health. Payments are also made from the NHFP State Pool Account to Victoria for the Commonwealth share of block-funded grants. These payments are also made under directions from the Minister for Health. The Reserve Bank of Australia operates the NHFP accounts on behalf of the </w:t>
      </w:r>
      <w:r>
        <w:t>a</w:t>
      </w:r>
      <w:r w:rsidRPr="00645EC5">
        <w:t xml:space="preserve">dministrator. The </w:t>
      </w:r>
      <w:r>
        <w:t>a</w:t>
      </w:r>
      <w:r w:rsidRPr="00645EC5">
        <w:t>dministrator reports NHFP State Pool Account transactions annually through audited special purpose financial statements</w:t>
      </w:r>
    </w:p>
    <w:p w:rsidR="008F12EE" w:rsidRPr="00645EC5" w:rsidRDefault="008F12EE" w:rsidP="008F12EE">
      <w:pPr>
        <w:pStyle w:val="ARbody"/>
      </w:pPr>
      <w:r w:rsidRPr="00645EC5">
        <w:t>In 2016–17, the portfolio recorded an actual net re</w:t>
      </w:r>
      <w:r>
        <w:t>sult from transactions of $637</w:t>
      </w:r>
      <w:r w:rsidRPr="00645EC5">
        <w:t xml:space="preserve"> million surplus compared with a 2016–17 published budgeted surplus of $105 million.</w:t>
      </w:r>
    </w:p>
    <w:p w:rsidR="008F12EE" w:rsidRPr="00BF06F7" w:rsidRDefault="008F12EE" w:rsidP="008F12EE">
      <w:pPr>
        <w:pStyle w:val="ARbody"/>
      </w:pPr>
      <w:r w:rsidRPr="00D428E7">
        <w:br w:type="page"/>
      </w:r>
      <w:bookmarkStart w:id="117" w:name="_Toc462577197"/>
      <w:r w:rsidRPr="00BF06F7">
        <w:lastRenderedPageBreak/>
        <w:t>The variance between budgeted and actual surplus is related to:</w:t>
      </w:r>
    </w:p>
    <w:p w:rsidR="008F12EE" w:rsidRPr="00CC4F9B" w:rsidRDefault="008F12EE" w:rsidP="008F12EE">
      <w:pPr>
        <w:pStyle w:val="ARbullet1"/>
        <w:numPr>
          <w:ilvl w:val="0"/>
          <w:numId w:val="47"/>
        </w:numPr>
        <w:ind w:left="284"/>
      </w:pPr>
      <w:r w:rsidRPr="00BF06F7">
        <w:t>Commonwealth funding owed to hospitals and health services not yet paid that is potentially at risk due to a Commonwealth review of National Health Reform Agreement (NHRA) activity and associated funding. This has resulted in lower than anticipated expenditure in the hospitals sector</w:t>
      </w:r>
    </w:p>
    <w:p w:rsidR="008F12EE" w:rsidRPr="00BF06F7" w:rsidRDefault="008F12EE" w:rsidP="008F12EE">
      <w:pPr>
        <w:pStyle w:val="ARbullet1"/>
        <w:numPr>
          <w:ilvl w:val="0"/>
          <w:numId w:val="47"/>
        </w:numPr>
        <w:ind w:left="284"/>
      </w:pPr>
      <w:r>
        <w:t>o</w:t>
      </w:r>
      <w:r w:rsidRPr="00BF06F7">
        <w:t>perating funding received by hospitals which was partly spent for capital purposes</w:t>
      </w:r>
    </w:p>
    <w:p w:rsidR="008F12EE" w:rsidRPr="00CC4F9B" w:rsidRDefault="008F12EE" w:rsidP="00E02228">
      <w:pPr>
        <w:pStyle w:val="ARbullet1"/>
      </w:pPr>
      <w:r w:rsidRPr="00BF06F7">
        <w:t xml:space="preserve">the Kardinia Park Stadium Trust assets received free of charge which had not been valued at time of the </w:t>
      </w:r>
      <w:r>
        <w:t>p</w:t>
      </w:r>
      <w:r w:rsidRPr="00BF06F7">
        <w:t xml:space="preserve">ublished </w:t>
      </w:r>
      <w:r>
        <w:t>b</w:t>
      </w:r>
      <w:r w:rsidRPr="00BF06F7">
        <w:t>udget.</w:t>
      </w:r>
    </w:p>
    <w:p w:rsidR="008F12EE" w:rsidRPr="001B0129" w:rsidRDefault="008F12EE" w:rsidP="008F12EE">
      <w:pPr>
        <w:pStyle w:val="Heading3"/>
      </w:pPr>
      <w:r w:rsidRPr="001B0129">
        <w:lastRenderedPageBreak/>
        <w:t>Financial position – balance sheet</w:t>
      </w:r>
      <w:bookmarkEnd w:id="117"/>
    </w:p>
    <w:p w:rsidR="008F12EE" w:rsidRPr="00920CD9" w:rsidRDefault="008F12EE" w:rsidP="008F12EE">
      <w:pPr>
        <w:pStyle w:val="ARbody"/>
      </w:pPr>
      <w:r w:rsidRPr="00645EC5">
        <w:t xml:space="preserve">Total assets have </w:t>
      </w:r>
      <w:r>
        <w:t>increased by $1,670</w:t>
      </w:r>
      <w:r w:rsidRPr="00645EC5">
        <w:t xml:space="preserve"> million compared with the published budget, mostly attributed to managerial land revaluation within Property, Plant and Equipment and the addition </w:t>
      </w:r>
      <w:r w:rsidR="00BE4090">
        <w:br/>
      </w:r>
      <w:r w:rsidRPr="00645EC5">
        <w:t>of the New Bendigo Hospital. The increase is also partly attributable to the balance of current receivables across public hospitals and health services at balance date being greater than the published budget balance.</w:t>
      </w:r>
    </w:p>
    <w:p w:rsidR="008F12EE" w:rsidRDefault="008F12EE" w:rsidP="008F12EE">
      <w:pPr>
        <w:pStyle w:val="Heading3"/>
      </w:pPr>
      <w:r>
        <w:t>Portfolio financial statements</w:t>
      </w:r>
    </w:p>
    <w:p w:rsidR="008F12EE" w:rsidRPr="00D428E7" w:rsidRDefault="008F12EE" w:rsidP="008F12EE">
      <w:pPr>
        <w:pStyle w:val="ARbody"/>
        <w:rPr>
          <w:lang w:eastAsia="en-AU"/>
        </w:rPr>
      </w:pPr>
      <w:r w:rsidRPr="00645EC5">
        <w:t xml:space="preserve">Detailed financial results for the 2016–17 </w:t>
      </w:r>
      <w:r>
        <w:t>p</w:t>
      </w:r>
      <w:r w:rsidRPr="00645EC5">
        <w:t>ortfolio budget and actual results are included in Appendix 2 of the annual report, following the department’s audited financial statements.</w:t>
      </w:r>
    </w:p>
    <w:p w:rsidR="008F12EE" w:rsidRDefault="008F12EE" w:rsidP="008F12EE">
      <w:pPr>
        <w:pStyle w:val="ARbody"/>
        <w:sectPr w:rsidR="008F12EE" w:rsidSect="00E924ED">
          <w:endnotePr>
            <w:numFmt w:val="decimal"/>
          </w:endnotePr>
          <w:pgSz w:w="11900" w:h="16840" w:code="9"/>
          <w:pgMar w:top="1531" w:right="851" w:bottom="680" w:left="1418" w:header="510" w:footer="340" w:gutter="0"/>
          <w:cols w:num="2" w:space="275"/>
        </w:sectPr>
      </w:pPr>
    </w:p>
    <w:p w:rsidR="008F12EE" w:rsidRPr="005904AF" w:rsidRDefault="008F12EE" w:rsidP="0066026E">
      <w:pPr>
        <w:pStyle w:val="Heading3"/>
      </w:pPr>
      <w:bookmarkStart w:id="118" w:name="_Toc462577199"/>
      <w:r w:rsidRPr="005904AF">
        <w:lastRenderedPageBreak/>
        <w:t>Comprehensive operating statement for the financial year ended 30 June 201</w:t>
      </w:r>
      <w:bookmarkEnd w:id="118"/>
      <w:r w:rsidRPr="005904AF">
        <w:t>7</w:t>
      </w:r>
    </w:p>
    <w:tbl>
      <w:tblPr>
        <w:tblStyle w:val="TableGrid"/>
        <w:tblW w:w="9639" w:type="dxa"/>
        <w:tblLook w:val="06A0" w:firstRow="1" w:lastRow="0" w:firstColumn="1" w:lastColumn="0" w:noHBand="1" w:noVBand="1"/>
      </w:tblPr>
      <w:tblGrid>
        <w:gridCol w:w="2835"/>
        <w:gridCol w:w="1134"/>
        <w:gridCol w:w="1134"/>
        <w:gridCol w:w="1247"/>
        <w:gridCol w:w="1304"/>
        <w:gridCol w:w="1361"/>
        <w:gridCol w:w="624"/>
      </w:tblGrid>
      <w:tr w:rsidR="009F18E9" w:rsidRPr="00305D44" w:rsidTr="0064554F">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rsidR="009F18E9" w:rsidRPr="00305D44" w:rsidRDefault="009F18E9" w:rsidP="00CF1B4C">
            <w:pPr>
              <w:pStyle w:val="ARtablecolhead"/>
              <w:rPr>
                <w:lang w:eastAsia="en-AU"/>
              </w:rPr>
            </w:pPr>
          </w:p>
        </w:tc>
        <w:tc>
          <w:tcPr>
            <w:tcW w:w="1134" w:type="dxa"/>
            <w:tcBorders>
              <w:bottom w:val="single" w:sz="4" w:space="0" w:color="auto"/>
            </w:tcBorders>
            <w:hideMark/>
          </w:tcPr>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2016</w:t>
            </w:r>
            <w:r>
              <w:rPr>
                <w:lang w:eastAsia="en-AU"/>
              </w:rPr>
              <w:t>–</w:t>
            </w:r>
            <w:r w:rsidRPr="00305D44">
              <w:rPr>
                <w:lang w:eastAsia="en-AU"/>
              </w:rPr>
              <w:t xml:space="preserve">17 </w:t>
            </w:r>
            <w:r>
              <w:rPr>
                <w:lang w:eastAsia="en-AU"/>
              </w:rPr>
              <w:t>a</w:t>
            </w:r>
            <w:r w:rsidRPr="00305D44">
              <w:rPr>
                <w:lang w:eastAsia="en-AU"/>
              </w:rPr>
              <w:t>ctual</w:t>
            </w:r>
          </w:p>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$M</w:t>
            </w:r>
          </w:p>
        </w:tc>
        <w:tc>
          <w:tcPr>
            <w:tcW w:w="1134" w:type="dxa"/>
            <w:tcBorders>
              <w:bottom w:val="single" w:sz="4" w:space="0" w:color="auto"/>
            </w:tcBorders>
            <w:hideMark/>
          </w:tcPr>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2016</w:t>
            </w:r>
            <w:r>
              <w:rPr>
                <w:lang w:eastAsia="en-AU"/>
              </w:rPr>
              <w:t>–</w:t>
            </w:r>
            <w:r w:rsidRPr="00305D44">
              <w:rPr>
                <w:lang w:eastAsia="en-AU"/>
              </w:rPr>
              <w:t xml:space="preserve">17 </w:t>
            </w:r>
            <w:r>
              <w:rPr>
                <w:lang w:eastAsia="en-AU"/>
              </w:rPr>
              <w:t>r</w:t>
            </w:r>
            <w:r w:rsidRPr="00305D44">
              <w:rPr>
                <w:lang w:eastAsia="en-AU"/>
              </w:rPr>
              <w:t xml:space="preserve">evised </w:t>
            </w:r>
            <w:r>
              <w:rPr>
                <w:lang w:eastAsia="en-AU"/>
              </w:rPr>
              <w:t>b</w:t>
            </w:r>
            <w:r w:rsidRPr="00305D44">
              <w:rPr>
                <w:lang w:eastAsia="en-AU"/>
              </w:rPr>
              <w:t>udget</w:t>
            </w:r>
          </w:p>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$M</w:t>
            </w:r>
          </w:p>
        </w:tc>
        <w:tc>
          <w:tcPr>
            <w:tcW w:w="1247" w:type="dxa"/>
            <w:tcBorders>
              <w:bottom w:val="single" w:sz="4" w:space="0" w:color="auto"/>
            </w:tcBorders>
            <w:hideMark/>
          </w:tcPr>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 xml:space="preserve">Variation to </w:t>
            </w:r>
            <w:r>
              <w:rPr>
                <w:lang w:eastAsia="en-AU"/>
              </w:rPr>
              <w:t>r</w:t>
            </w:r>
            <w:r w:rsidRPr="00305D44">
              <w:rPr>
                <w:lang w:eastAsia="en-AU"/>
              </w:rPr>
              <w:t xml:space="preserve">evised </w:t>
            </w:r>
            <w:r>
              <w:rPr>
                <w:lang w:eastAsia="en-AU"/>
              </w:rPr>
              <w:t>b</w:t>
            </w:r>
            <w:r w:rsidRPr="00305D44">
              <w:rPr>
                <w:lang w:eastAsia="en-AU"/>
              </w:rPr>
              <w:t>udget</w:t>
            </w:r>
          </w:p>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w:t>
            </w:r>
          </w:p>
        </w:tc>
        <w:tc>
          <w:tcPr>
            <w:tcW w:w="1304" w:type="dxa"/>
            <w:tcBorders>
              <w:bottom w:val="single" w:sz="4" w:space="0" w:color="auto"/>
            </w:tcBorders>
            <w:hideMark/>
          </w:tcPr>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2016</w:t>
            </w:r>
            <w:r>
              <w:rPr>
                <w:lang w:eastAsia="en-AU"/>
              </w:rPr>
              <w:t>–</w:t>
            </w:r>
            <w:r w:rsidRPr="00305D44">
              <w:rPr>
                <w:lang w:eastAsia="en-AU"/>
              </w:rPr>
              <w:t xml:space="preserve">17 </w:t>
            </w:r>
            <w:r>
              <w:rPr>
                <w:lang w:eastAsia="en-AU"/>
              </w:rPr>
              <w:t>p</w:t>
            </w:r>
            <w:r w:rsidRPr="00305D44">
              <w:rPr>
                <w:lang w:eastAsia="en-AU"/>
              </w:rPr>
              <w:t xml:space="preserve">ublished </w:t>
            </w:r>
            <w:r>
              <w:rPr>
                <w:lang w:eastAsia="en-AU"/>
              </w:rPr>
              <w:t>b</w:t>
            </w:r>
            <w:r w:rsidRPr="00305D44">
              <w:rPr>
                <w:lang w:eastAsia="en-AU"/>
              </w:rPr>
              <w:t>udget</w:t>
            </w:r>
          </w:p>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$M</w:t>
            </w:r>
          </w:p>
        </w:tc>
        <w:tc>
          <w:tcPr>
            <w:tcW w:w="1361" w:type="dxa"/>
            <w:tcBorders>
              <w:bottom w:val="single" w:sz="4" w:space="0" w:color="auto"/>
            </w:tcBorders>
            <w:hideMark/>
          </w:tcPr>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 xml:space="preserve">Variation to </w:t>
            </w:r>
            <w:r>
              <w:rPr>
                <w:lang w:eastAsia="en-AU"/>
              </w:rPr>
              <w:t>p</w:t>
            </w:r>
            <w:r w:rsidRPr="00305D44">
              <w:rPr>
                <w:lang w:eastAsia="en-AU"/>
              </w:rPr>
              <w:t xml:space="preserve">ublished </w:t>
            </w:r>
            <w:r>
              <w:rPr>
                <w:lang w:eastAsia="en-AU"/>
              </w:rPr>
              <w:t>b</w:t>
            </w:r>
            <w:r w:rsidRPr="00305D44">
              <w:rPr>
                <w:lang w:eastAsia="en-AU"/>
              </w:rPr>
              <w:t>udget</w:t>
            </w:r>
          </w:p>
          <w:p w:rsidR="009F18E9" w:rsidRPr="00305D44" w:rsidRDefault="009F18E9"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305D44">
              <w:rPr>
                <w:lang w:eastAsia="en-AU"/>
              </w:rPr>
              <w:t>%</w:t>
            </w:r>
          </w:p>
        </w:tc>
        <w:tc>
          <w:tcPr>
            <w:tcW w:w="624" w:type="dxa"/>
            <w:tcBorders>
              <w:bottom w:val="single" w:sz="4" w:space="0" w:color="auto"/>
            </w:tcBorders>
            <w:hideMark/>
          </w:tcPr>
          <w:p w:rsidR="009F18E9" w:rsidRPr="00305D44" w:rsidRDefault="00946B9D" w:rsidP="00946B9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Notes</w:t>
            </w:r>
          </w:p>
        </w:tc>
      </w:tr>
      <w:tr w:rsidR="008F12EE" w:rsidRPr="00305D44" w:rsidTr="0064554F">
        <w:tc>
          <w:tcPr>
            <w:tcW w:w="2835" w:type="dxa"/>
            <w:tcBorders>
              <w:top w:val="single" w:sz="4" w:space="0" w:color="auto"/>
              <w:bottom w:val="single" w:sz="4" w:space="0" w:color="A6A6A6" w:themeColor="background1" w:themeShade="A6"/>
            </w:tcBorders>
            <w:hideMark/>
          </w:tcPr>
          <w:p w:rsidR="008F12EE" w:rsidRPr="00305D44" w:rsidRDefault="008F12EE" w:rsidP="00BD471F">
            <w:pPr>
              <w:pStyle w:val="ARtablecolhead"/>
              <w:rPr>
                <w:lang w:eastAsia="en-AU"/>
              </w:rPr>
            </w:pPr>
            <w:r w:rsidRPr="00305D44">
              <w:rPr>
                <w:lang w:eastAsia="en-AU"/>
              </w:rPr>
              <w:t>Net result from continuing operations</w:t>
            </w:r>
          </w:p>
        </w:tc>
        <w:tc>
          <w:tcPr>
            <w:tcW w:w="1134" w:type="dxa"/>
            <w:tcBorders>
              <w:top w:val="single" w:sz="4" w:space="0" w:color="auto"/>
              <w:bottom w:val="single" w:sz="4" w:space="0" w:color="A6A6A6" w:themeColor="background1" w:themeShade="A6"/>
            </w:tcBorders>
            <w:hideMark/>
          </w:tcPr>
          <w:p w:rsidR="008F12EE" w:rsidRPr="00305D44" w:rsidRDefault="008F12EE" w:rsidP="00BD471F">
            <w:pPr>
              <w:pStyle w:val="ARtablecolhead"/>
              <w:rPr>
                <w:lang w:eastAsia="en-AU"/>
              </w:rPr>
            </w:pPr>
          </w:p>
        </w:tc>
        <w:tc>
          <w:tcPr>
            <w:tcW w:w="1134" w:type="dxa"/>
            <w:tcBorders>
              <w:top w:val="single" w:sz="4" w:space="0" w:color="auto"/>
              <w:bottom w:val="single" w:sz="4" w:space="0" w:color="A6A6A6" w:themeColor="background1" w:themeShade="A6"/>
            </w:tcBorders>
            <w:hideMark/>
          </w:tcPr>
          <w:p w:rsidR="008F12EE" w:rsidRPr="00305D44" w:rsidRDefault="008F12EE" w:rsidP="00BD471F">
            <w:pPr>
              <w:pStyle w:val="ARtablecolhead"/>
              <w:rPr>
                <w:lang w:eastAsia="en-AU"/>
              </w:rPr>
            </w:pPr>
          </w:p>
        </w:tc>
        <w:tc>
          <w:tcPr>
            <w:tcW w:w="1247" w:type="dxa"/>
            <w:tcBorders>
              <w:top w:val="single" w:sz="4" w:space="0" w:color="auto"/>
              <w:bottom w:val="single" w:sz="4" w:space="0" w:color="A6A6A6" w:themeColor="background1" w:themeShade="A6"/>
            </w:tcBorders>
            <w:hideMark/>
          </w:tcPr>
          <w:p w:rsidR="008F12EE" w:rsidRPr="00305D44" w:rsidRDefault="008F12EE" w:rsidP="00BD471F">
            <w:pPr>
              <w:pStyle w:val="ARtablecolhead"/>
              <w:rPr>
                <w:lang w:eastAsia="en-AU"/>
              </w:rPr>
            </w:pPr>
          </w:p>
        </w:tc>
        <w:tc>
          <w:tcPr>
            <w:tcW w:w="1304" w:type="dxa"/>
            <w:tcBorders>
              <w:top w:val="single" w:sz="4" w:space="0" w:color="auto"/>
              <w:bottom w:val="single" w:sz="4" w:space="0" w:color="A6A6A6" w:themeColor="background1" w:themeShade="A6"/>
            </w:tcBorders>
            <w:hideMark/>
          </w:tcPr>
          <w:p w:rsidR="008F12EE" w:rsidRPr="00305D44" w:rsidRDefault="008F12EE" w:rsidP="00BD471F">
            <w:pPr>
              <w:pStyle w:val="ARtablecolhead"/>
              <w:rPr>
                <w:lang w:eastAsia="en-AU"/>
              </w:rPr>
            </w:pPr>
          </w:p>
        </w:tc>
        <w:tc>
          <w:tcPr>
            <w:tcW w:w="1361" w:type="dxa"/>
            <w:tcBorders>
              <w:top w:val="single" w:sz="4" w:space="0" w:color="auto"/>
              <w:bottom w:val="single" w:sz="4" w:space="0" w:color="A6A6A6" w:themeColor="background1" w:themeShade="A6"/>
            </w:tcBorders>
            <w:hideMark/>
          </w:tcPr>
          <w:p w:rsidR="008F12EE" w:rsidRPr="00305D44" w:rsidRDefault="008F12EE" w:rsidP="00BD471F">
            <w:pPr>
              <w:pStyle w:val="ARtablecolhead"/>
              <w:rPr>
                <w:lang w:eastAsia="en-AU"/>
              </w:rPr>
            </w:pPr>
          </w:p>
        </w:tc>
        <w:tc>
          <w:tcPr>
            <w:tcW w:w="624" w:type="dxa"/>
            <w:tcBorders>
              <w:top w:val="single" w:sz="4" w:space="0" w:color="auto"/>
              <w:bottom w:val="single" w:sz="4" w:space="0" w:color="A6A6A6" w:themeColor="background1" w:themeShade="A6"/>
            </w:tcBorders>
            <w:hideMark/>
          </w:tcPr>
          <w:p w:rsidR="008F12EE" w:rsidRPr="00305D44" w:rsidRDefault="008F12EE" w:rsidP="00BD471F">
            <w:pPr>
              <w:pStyle w:val="ARtablecolhead"/>
              <w:rPr>
                <w:lang w:eastAsia="en-AU"/>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colhead"/>
              <w:rPr>
                <w:lang w:eastAsia="en-AU"/>
              </w:rPr>
            </w:pPr>
            <w:r w:rsidRPr="00305D44">
              <w:rPr>
                <w:lang w:eastAsia="en-AU"/>
              </w:rPr>
              <w:t>Income from transactions</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colhead"/>
              <w:rPr>
                <w:lang w:eastAsia="en-AU"/>
              </w:rPr>
            </w:pP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colhead"/>
              <w:rPr>
                <w:lang w:eastAsia="en-AU"/>
              </w:rPr>
            </w:pP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colhead"/>
              <w:rPr>
                <w:lang w:eastAsia="en-AU"/>
              </w:rPr>
            </w:pP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colhead"/>
              <w:rPr>
                <w:lang w:eastAsia="en-AU"/>
              </w:rPr>
            </w:pP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colhead"/>
              <w:rPr>
                <w:lang w:eastAsia="en-AU"/>
              </w:rPr>
            </w:pPr>
          </w:p>
        </w:tc>
        <w:tc>
          <w:tcPr>
            <w:tcW w:w="62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colhead"/>
              <w:rPr>
                <w:lang w:eastAsia="en-AU"/>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Output appropriations</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13,755</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13,822</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(0.5)</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13,382</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2.8</w:t>
            </w:r>
          </w:p>
        </w:tc>
        <w:tc>
          <w:tcPr>
            <w:tcW w:w="62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spacing w:before="80" w:after="60"/>
              <w:jc w:val="center"/>
              <w:rPr>
                <w:rFonts w:cs="Arial"/>
                <w:color w:val="000000"/>
                <w:sz w:val="18"/>
                <w:szCs w:val="18"/>
                <w:lang w:eastAsia="en-AU"/>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Special appropriations</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1,335</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1,361</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(1.9)</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1,404</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(4.9)</w:t>
            </w:r>
          </w:p>
        </w:tc>
        <w:tc>
          <w:tcPr>
            <w:tcW w:w="62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spacing w:before="80" w:after="60"/>
              <w:jc w:val="center"/>
              <w:rPr>
                <w:rFonts w:cs="Arial"/>
                <w:color w:val="000000"/>
                <w:sz w:val="18"/>
                <w:szCs w:val="18"/>
                <w:lang w:eastAsia="en-AU"/>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Interest</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45</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38</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18.4</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68</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(33.8)</w:t>
            </w:r>
          </w:p>
        </w:tc>
        <w:tc>
          <w:tcPr>
            <w:tcW w:w="624" w:type="dxa"/>
            <w:tcBorders>
              <w:top w:val="single" w:sz="4" w:space="0" w:color="A6A6A6" w:themeColor="background1" w:themeShade="A6"/>
              <w:bottom w:val="single" w:sz="4" w:space="0" w:color="A6A6A6" w:themeColor="background1" w:themeShade="A6"/>
            </w:tcBorders>
            <w:hideMark/>
          </w:tcPr>
          <w:p w:rsidR="008F12EE" w:rsidRPr="005904AF" w:rsidRDefault="008F12EE" w:rsidP="00BD471F">
            <w:pPr>
              <w:pStyle w:val="ARtabletextright"/>
              <w:rPr>
                <w:b/>
              </w:rPr>
            </w:pPr>
            <w:r w:rsidRPr="005904AF">
              <w:rPr>
                <w:b/>
              </w:rPr>
              <w:t>1</w:t>
            </w: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Sales of goods and services</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1,566</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1,777</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(11.9)</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1,650</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(5.1)</w:t>
            </w:r>
          </w:p>
        </w:tc>
        <w:tc>
          <w:tcPr>
            <w:tcW w:w="624" w:type="dxa"/>
            <w:tcBorders>
              <w:top w:val="single" w:sz="4" w:space="0" w:color="A6A6A6" w:themeColor="background1" w:themeShade="A6"/>
              <w:bottom w:val="single" w:sz="4" w:space="0" w:color="A6A6A6" w:themeColor="background1" w:themeShade="A6"/>
            </w:tcBorders>
            <w:hideMark/>
          </w:tcPr>
          <w:p w:rsidR="008F12EE" w:rsidRPr="005904AF" w:rsidRDefault="008F12EE" w:rsidP="00BD471F">
            <w:pPr>
              <w:pStyle w:val="ARtabletextright"/>
              <w:rPr>
                <w:b/>
              </w:rPr>
            </w:pPr>
            <w:r w:rsidRPr="005904AF">
              <w:rPr>
                <w:b/>
              </w:rPr>
              <w:t>2</w:t>
            </w: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Grants</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6,190</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6,132</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0.9</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5,304</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16.7</w:t>
            </w:r>
          </w:p>
        </w:tc>
        <w:tc>
          <w:tcPr>
            <w:tcW w:w="624" w:type="dxa"/>
            <w:tcBorders>
              <w:top w:val="single" w:sz="4" w:space="0" w:color="A6A6A6" w:themeColor="background1" w:themeShade="A6"/>
              <w:bottom w:val="single" w:sz="4" w:space="0" w:color="A6A6A6" w:themeColor="background1" w:themeShade="A6"/>
            </w:tcBorders>
            <w:hideMark/>
          </w:tcPr>
          <w:p w:rsidR="008F12EE" w:rsidRPr="005904AF" w:rsidRDefault="008F12EE" w:rsidP="00BD471F">
            <w:pPr>
              <w:pStyle w:val="ARtabletextright"/>
              <w:rPr>
                <w:b/>
              </w:rPr>
            </w:pPr>
            <w:r w:rsidRPr="005904AF">
              <w:rPr>
                <w:b/>
              </w:rPr>
              <w:t>3</w:t>
            </w: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Fair value of assets and services received free of charge or for nominal consideration</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155</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147</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5.4</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624" w:type="dxa"/>
            <w:tcBorders>
              <w:top w:val="single" w:sz="4" w:space="0" w:color="A6A6A6" w:themeColor="background1" w:themeShade="A6"/>
              <w:bottom w:val="single" w:sz="4" w:space="0" w:color="A6A6A6" w:themeColor="background1" w:themeShade="A6"/>
            </w:tcBorders>
            <w:hideMark/>
          </w:tcPr>
          <w:p w:rsidR="008F12EE" w:rsidRPr="005904AF" w:rsidRDefault="008F12EE" w:rsidP="00BD471F">
            <w:pPr>
              <w:pStyle w:val="ARtabletextright"/>
              <w:rPr>
                <w:b/>
              </w:rPr>
            </w:pPr>
            <w:r w:rsidRPr="005904AF">
              <w:rPr>
                <w:b/>
              </w:rPr>
              <w:t>4</w:t>
            </w:r>
          </w:p>
        </w:tc>
      </w:tr>
      <w:tr w:rsidR="008F12EE" w:rsidRPr="00305D44" w:rsidTr="0064554F">
        <w:tc>
          <w:tcPr>
            <w:tcW w:w="2835" w:type="dxa"/>
            <w:tcBorders>
              <w:top w:val="single" w:sz="4" w:space="0" w:color="A6A6A6" w:themeColor="background1" w:themeShade="A6"/>
            </w:tcBorders>
            <w:hideMark/>
          </w:tcPr>
          <w:p w:rsidR="008F12EE" w:rsidRPr="00305D44" w:rsidRDefault="008F12EE" w:rsidP="00BD471F">
            <w:pPr>
              <w:pStyle w:val="ARtabletext"/>
            </w:pPr>
            <w:r w:rsidRPr="00305D44">
              <w:t>Other income</w:t>
            </w:r>
          </w:p>
        </w:tc>
        <w:tc>
          <w:tcPr>
            <w:tcW w:w="1134" w:type="dxa"/>
            <w:tcBorders>
              <w:top w:val="single" w:sz="4" w:space="0" w:color="A6A6A6" w:themeColor="background1" w:themeShade="A6"/>
            </w:tcBorders>
            <w:hideMark/>
          </w:tcPr>
          <w:p w:rsidR="008F12EE" w:rsidRPr="00305D44" w:rsidRDefault="008F12EE" w:rsidP="00BD471F">
            <w:pPr>
              <w:pStyle w:val="ARtabletextright"/>
            </w:pPr>
            <w:r w:rsidRPr="00305D44">
              <w:t>666</w:t>
            </w:r>
          </w:p>
        </w:tc>
        <w:tc>
          <w:tcPr>
            <w:tcW w:w="1134" w:type="dxa"/>
            <w:tcBorders>
              <w:top w:val="single" w:sz="4" w:space="0" w:color="A6A6A6" w:themeColor="background1" w:themeShade="A6"/>
            </w:tcBorders>
            <w:hideMark/>
          </w:tcPr>
          <w:p w:rsidR="008F12EE" w:rsidRPr="00305D44" w:rsidRDefault="008F12EE" w:rsidP="00BD471F">
            <w:pPr>
              <w:pStyle w:val="ARtabletextright"/>
            </w:pPr>
            <w:r w:rsidRPr="00305D44">
              <w:t>700</w:t>
            </w:r>
          </w:p>
        </w:tc>
        <w:tc>
          <w:tcPr>
            <w:tcW w:w="1247" w:type="dxa"/>
            <w:tcBorders>
              <w:top w:val="single" w:sz="4" w:space="0" w:color="A6A6A6" w:themeColor="background1" w:themeShade="A6"/>
            </w:tcBorders>
            <w:hideMark/>
          </w:tcPr>
          <w:p w:rsidR="008F12EE" w:rsidRPr="00305D44" w:rsidRDefault="008F12EE" w:rsidP="00BD471F">
            <w:pPr>
              <w:pStyle w:val="ARtabletextright"/>
            </w:pPr>
            <w:r w:rsidRPr="00305D44">
              <w:t>(4.9)</w:t>
            </w:r>
          </w:p>
        </w:tc>
        <w:tc>
          <w:tcPr>
            <w:tcW w:w="1304" w:type="dxa"/>
            <w:tcBorders>
              <w:top w:val="single" w:sz="4" w:space="0" w:color="A6A6A6" w:themeColor="background1" w:themeShade="A6"/>
            </w:tcBorders>
            <w:hideMark/>
          </w:tcPr>
          <w:p w:rsidR="008F12EE" w:rsidRPr="00305D44" w:rsidRDefault="008F12EE" w:rsidP="00BD471F">
            <w:pPr>
              <w:pStyle w:val="ARtabletextright"/>
            </w:pPr>
            <w:r w:rsidRPr="00305D44">
              <w:t>496</w:t>
            </w:r>
          </w:p>
        </w:tc>
        <w:tc>
          <w:tcPr>
            <w:tcW w:w="1361" w:type="dxa"/>
            <w:tcBorders>
              <w:top w:val="single" w:sz="4" w:space="0" w:color="A6A6A6" w:themeColor="background1" w:themeShade="A6"/>
            </w:tcBorders>
            <w:hideMark/>
          </w:tcPr>
          <w:p w:rsidR="008F12EE" w:rsidRPr="00305D44" w:rsidRDefault="008F12EE" w:rsidP="00BD471F">
            <w:pPr>
              <w:pStyle w:val="ARtabletextright"/>
            </w:pPr>
            <w:r w:rsidRPr="00305D44">
              <w:t>34.3</w:t>
            </w:r>
          </w:p>
        </w:tc>
        <w:tc>
          <w:tcPr>
            <w:tcW w:w="624" w:type="dxa"/>
            <w:tcBorders>
              <w:top w:val="single" w:sz="4" w:space="0" w:color="A6A6A6" w:themeColor="background1" w:themeShade="A6"/>
            </w:tcBorders>
            <w:hideMark/>
          </w:tcPr>
          <w:p w:rsidR="008F12EE" w:rsidRPr="005904AF" w:rsidRDefault="008F12EE" w:rsidP="00BD471F">
            <w:pPr>
              <w:pStyle w:val="ARtabletextright"/>
              <w:rPr>
                <w:b/>
              </w:rPr>
            </w:pPr>
            <w:r w:rsidRPr="005904AF">
              <w:rPr>
                <w:b/>
              </w:rPr>
              <w:t>5</w:t>
            </w:r>
          </w:p>
        </w:tc>
      </w:tr>
      <w:tr w:rsidR="008F12EE" w:rsidRPr="00305D44" w:rsidTr="0064554F">
        <w:tc>
          <w:tcPr>
            <w:tcW w:w="2835" w:type="dxa"/>
            <w:tcBorders>
              <w:bottom w:val="single" w:sz="4" w:space="0" w:color="auto"/>
            </w:tcBorders>
            <w:hideMark/>
          </w:tcPr>
          <w:p w:rsidR="008F12EE" w:rsidRPr="00305D44" w:rsidRDefault="008F12EE" w:rsidP="00BD471F">
            <w:pPr>
              <w:pStyle w:val="ARtabletextbold"/>
            </w:pPr>
            <w:r w:rsidRPr="00305D44">
              <w:t>Total income from transactions</w:t>
            </w:r>
          </w:p>
        </w:tc>
        <w:tc>
          <w:tcPr>
            <w:tcW w:w="1134" w:type="dxa"/>
            <w:tcBorders>
              <w:bottom w:val="single" w:sz="4" w:space="0" w:color="auto"/>
            </w:tcBorders>
            <w:hideMark/>
          </w:tcPr>
          <w:p w:rsidR="008F12EE" w:rsidRPr="005904AF" w:rsidRDefault="008F12EE" w:rsidP="00BD471F">
            <w:pPr>
              <w:pStyle w:val="ARtabletextright"/>
              <w:rPr>
                <w:b/>
              </w:rPr>
            </w:pPr>
            <w:r w:rsidRPr="005904AF">
              <w:rPr>
                <w:b/>
              </w:rPr>
              <w:t>23,712</w:t>
            </w:r>
          </w:p>
        </w:tc>
        <w:tc>
          <w:tcPr>
            <w:tcW w:w="1134" w:type="dxa"/>
            <w:tcBorders>
              <w:bottom w:val="single" w:sz="4" w:space="0" w:color="auto"/>
            </w:tcBorders>
            <w:hideMark/>
          </w:tcPr>
          <w:p w:rsidR="008F12EE" w:rsidRPr="005904AF" w:rsidRDefault="008F12EE" w:rsidP="00BD471F">
            <w:pPr>
              <w:pStyle w:val="ARtabletextright"/>
              <w:rPr>
                <w:b/>
              </w:rPr>
            </w:pPr>
            <w:r w:rsidRPr="005904AF">
              <w:rPr>
                <w:b/>
              </w:rPr>
              <w:t>23,977</w:t>
            </w:r>
          </w:p>
        </w:tc>
        <w:tc>
          <w:tcPr>
            <w:tcW w:w="1247" w:type="dxa"/>
            <w:tcBorders>
              <w:bottom w:val="single" w:sz="4" w:space="0" w:color="auto"/>
            </w:tcBorders>
            <w:hideMark/>
          </w:tcPr>
          <w:p w:rsidR="008F12EE" w:rsidRPr="005904AF" w:rsidRDefault="008F12EE" w:rsidP="00BD471F">
            <w:pPr>
              <w:pStyle w:val="ARtabletextright"/>
              <w:rPr>
                <w:b/>
              </w:rPr>
            </w:pPr>
            <w:r w:rsidRPr="005904AF">
              <w:rPr>
                <w:b/>
              </w:rPr>
              <w:t>(1.1)</w:t>
            </w:r>
          </w:p>
        </w:tc>
        <w:tc>
          <w:tcPr>
            <w:tcW w:w="1304" w:type="dxa"/>
            <w:tcBorders>
              <w:bottom w:val="single" w:sz="4" w:space="0" w:color="auto"/>
            </w:tcBorders>
            <w:hideMark/>
          </w:tcPr>
          <w:p w:rsidR="008F12EE" w:rsidRPr="005904AF" w:rsidRDefault="008F12EE" w:rsidP="00BD471F">
            <w:pPr>
              <w:pStyle w:val="ARtabletextright"/>
              <w:rPr>
                <w:b/>
              </w:rPr>
            </w:pPr>
            <w:r w:rsidRPr="005904AF">
              <w:rPr>
                <w:b/>
              </w:rPr>
              <w:t>22,303</w:t>
            </w:r>
          </w:p>
        </w:tc>
        <w:tc>
          <w:tcPr>
            <w:tcW w:w="1361" w:type="dxa"/>
            <w:tcBorders>
              <w:bottom w:val="single" w:sz="4" w:space="0" w:color="auto"/>
            </w:tcBorders>
            <w:hideMark/>
          </w:tcPr>
          <w:p w:rsidR="008F12EE" w:rsidRPr="005904AF" w:rsidRDefault="008F12EE" w:rsidP="00BD471F">
            <w:pPr>
              <w:pStyle w:val="ARtabletextright"/>
              <w:rPr>
                <w:b/>
              </w:rPr>
            </w:pPr>
            <w:r w:rsidRPr="005904AF">
              <w:rPr>
                <w:b/>
              </w:rPr>
              <w:t>6.3</w:t>
            </w:r>
          </w:p>
        </w:tc>
        <w:tc>
          <w:tcPr>
            <w:tcW w:w="624" w:type="dxa"/>
            <w:tcBorders>
              <w:bottom w:val="single" w:sz="4" w:space="0" w:color="auto"/>
            </w:tcBorders>
            <w:hideMark/>
          </w:tcPr>
          <w:p w:rsidR="008F12EE" w:rsidRPr="005904AF" w:rsidRDefault="008F12EE" w:rsidP="00BD471F">
            <w:pPr>
              <w:pStyle w:val="ARtabletextright"/>
              <w:rPr>
                <w:b/>
              </w:rPr>
            </w:pPr>
          </w:p>
        </w:tc>
      </w:tr>
      <w:tr w:rsidR="008F12EE" w:rsidRPr="00305D44" w:rsidTr="0064554F">
        <w:tc>
          <w:tcPr>
            <w:tcW w:w="2835"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r w:rsidRPr="00305D44">
              <w:t>Expenses from transactions</w:t>
            </w:r>
          </w:p>
        </w:tc>
        <w:tc>
          <w:tcPr>
            <w:tcW w:w="1134"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p>
        </w:tc>
        <w:tc>
          <w:tcPr>
            <w:tcW w:w="1134"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p>
        </w:tc>
        <w:tc>
          <w:tcPr>
            <w:tcW w:w="1247"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p>
        </w:tc>
        <w:tc>
          <w:tcPr>
            <w:tcW w:w="1304"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p>
        </w:tc>
        <w:tc>
          <w:tcPr>
            <w:tcW w:w="1361"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p>
        </w:tc>
        <w:tc>
          <w:tcPr>
            <w:tcW w:w="624"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Employee benefits</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10,905</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11,158</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(2.3)</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10,305</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5.8</w:t>
            </w:r>
          </w:p>
        </w:tc>
        <w:tc>
          <w:tcPr>
            <w:tcW w:w="624" w:type="dxa"/>
            <w:tcBorders>
              <w:top w:val="single" w:sz="4" w:space="0" w:color="A6A6A6" w:themeColor="background1" w:themeShade="A6"/>
              <w:bottom w:val="single" w:sz="4" w:space="0" w:color="A6A6A6" w:themeColor="background1" w:themeShade="A6"/>
            </w:tcBorders>
            <w:hideMark/>
          </w:tcPr>
          <w:p w:rsidR="008F12EE" w:rsidRPr="00BC25D2" w:rsidRDefault="008F12EE" w:rsidP="00946B9D">
            <w:pPr>
              <w:pStyle w:val="ARtabletextright"/>
              <w:rPr>
                <w:rStyle w:val="Strong"/>
              </w:rPr>
            </w:pPr>
            <w:r w:rsidRPr="00BC25D2">
              <w:rPr>
                <w:rStyle w:val="Strong"/>
              </w:rPr>
              <w:t>6</w:t>
            </w: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Depreciation</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909</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917</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(0.9)</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952</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(4.5)</w:t>
            </w:r>
          </w:p>
        </w:tc>
        <w:tc>
          <w:tcPr>
            <w:tcW w:w="624" w:type="dxa"/>
            <w:tcBorders>
              <w:top w:val="single" w:sz="4" w:space="0" w:color="A6A6A6" w:themeColor="background1" w:themeShade="A6"/>
              <w:bottom w:val="single" w:sz="4" w:space="0" w:color="A6A6A6" w:themeColor="background1" w:themeShade="A6"/>
            </w:tcBorders>
            <w:hideMark/>
          </w:tcPr>
          <w:p w:rsidR="008F12EE" w:rsidRPr="00305D44" w:rsidRDefault="008F12EE" w:rsidP="00946B9D">
            <w:pPr>
              <w:pStyle w:val="ARtabletextright"/>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Interest expense</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187</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194</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(3.6)</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184</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1.6</w:t>
            </w:r>
          </w:p>
        </w:tc>
        <w:tc>
          <w:tcPr>
            <w:tcW w:w="624" w:type="dxa"/>
            <w:tcBorders>
              <w:top w:val="single" w:sz="4" w:space="0" w:color="A6A6A6" w:themeColor="background1" w:themeShade="A6"/>
              <w:bottom w:val="single" w:sz="4" w:space="0" w:color="A6A6A6" w:themeColor="background1" w:themeShade="A6"/>
            </w:tcBorders>
            <w:hideMark/>
          </w:tcPr>
          <w:p w:rsidR="008F12EE" w:rsidRPr="00305D44" w:rsidRDefault="008F12EE" w:rsidP="00946B9D">
            <w:pPr>
              <w:pStyle w:val="ARtabletextright"/>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Grants and other expense transfers</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2,090</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1,995</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4.8</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1,703</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22.7</w:t>
            </w:r>
          </w:p>
        </w:tc>
        <w:tc>
          <w:tcPr>
            <w:tcW w:w="624" w:type="dxa"/>
            <w:tcBorders>
              <w:top w:val="single" w:sz="4" w:space="0" w:color="A6A6A6" w:themeColor="background1" w:themeShade="A6"/>
              <w:bottom w:val="single" w:sz="4" w:space="0" w:color="A6A6A6" w:themeColor="background1" w:themeShade="A6"/>
            </w:tcBorders>
            <w:hideMark/>
          </w:tcPr>
          <w:p w:rsidR="008F12EE" w:rsidRPr="00BC25D2" w:rsidRDefault="008F12EE" w:rsidP="00946B9D">
            <w:pPr>
              <w:pStyle w:val="ARtabletextright"/>
              <w:rPr>
                <w:rStyle w:val="Strong"/>
              </w:rPr>
            </w:pPr>
            <w:r w:rsidRPr="00BC25D2">
              <w:rPr>
                <w:rStyle w:val="Strong"/>
              </w:rPr>
              <w:t>7</w:t>
            </w: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Capital asset charge</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1,117</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1,117</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1,120</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(0.3)</w:t>
            </w:r>
          </w:p>
        </w:tc>
        <w:tc>
          <w:tcPr>
            <w:tcW w:w="624" w:type="dxa"/>
            <w:tcBorders>
              <w:top w:val="single" w:sz="4" w:space="0" w:color="A6A6A6" w:themeColor="background1" w:themeShade="A6"/>
              <w:bottom w:val="single" w:sz="4" w:space="0" w:color="A6A6A6" w:themeColor="background1" w:themeShade="A6"/>
            </w:tcBorders>
            <w:hideMark/>
          </w:tcPr>
          <w:p w:rsidR="008F12EE" w:rsidRPr="00305D44" w:rsidRDefault="008F12EE" w:rsidP="00946B9D">
            <w:pPr>
              <w:pStyle w:val="ARtabletextright"/>
            </w:pPr>
          </w:p>
        </w:tc>
      </w:tr>
      <w:tr w:rsidR="008F12EE" w:rsidRPr="00305D44" w:rsidTr="0064554F">
        <w:tc>
          <w:tcPr>
            <w:tcW w:w="2835" w:type="dxa"/>
            <w:tcBorders>
              <w:top w:val="single" w:sz="4" w:space="0" w:color="A6A6A6" w:themeColor="background1" w:themeShade="A6"/>
            </w:tcBorders>
            <w:hideMark/>
          </w:tcPr>
          <w:p w:rsidR="008F12EE" w:rsidRPr="00305D44" w:rsidRDefault="008F12EE" w:rsidP="00BD471F">
            <w:pPr>
              <w:pStyle w:val="ARtabletext"/>
            </w:pPr>
            <w:r w:rsidRPr="00305D44">
              <w:t>Other operating expenses</w:t>
            </w:r>
          </w:p>
        </w:tc>
        <w:tc>
          <w:tcPr>
            <w:tcW w:w="1134" w:type="dxa"/>
            <w:tcBorders>
              <w:top w:val="single" w:sz="4" w:space="0" w:color="A6A6A6" w:themeColor="background1" w:themeShade="A6"/>
            </w:tcBorders>
            <w:hideMark/>
          </w:tcPr>
          <w:p w:rsidR="008F12EE" w:rsidRPr="00305D44" w:rsidRDefault="008F12EE" w:rsidP="00BD471F">
            <w:pPr>
              <w:pStyle w:val="ARtabletextright"/>
            </w:pPr>
            <w:r w:rsidRPr="00305D44">
              <w:t>7,867</w:t>
            </w:r>
          </w:p>
        </w:tc>
        <w:tc>
          <w:tcPr>
            <w:tcW w:w="1134" w:type="dxa"/>
            <w:tcBorders>
              <w:top w:val="single" w:sz="4" w:space="0" w:color="A6A6A6" w:themeColor="background1" w:themeShade="A6"/>
            </w:tcBorders>
            <w:hideMark/>
          </w:tcPr>
          <w:p w:rsidR="008F12EE" w:rsidRPr="00305D44" w:rsidRDefault="008F12EE" w:rsidP="00BD471F">
            <w:pPr>
              <w:pStyle w:val="ARtabletextright"/>
            </w:pPr>
            <w:r w:rsidRPr="00305D44">
              <w:t>8,344</w:t>
            </w:r>
          </w:p>
        </w:tc>
        <w:tc>
          <w:tcPr>
            <w:tcW w:w="1247" w:type="dxa"/>
            <w:tcBorders>
              <w:top w:val="single" w:sz="4" w:space="0" w:color="A6A6A6" w:themeColor="background1" w:themeShade="A6"/>
            </w:tcBorders>
            <w:hideMark/>
          </w:tcPr>
          <w:p w:rsidR="008F12EE" w:rsidRPr="00305D44" w:rsidRDefault="008F12EE" w:rsidP="00BD471F">
            <w:pPr>
              <w:pStyle w:val="ARtabletextright"/>
            </w:pPr>
            <w:r w:rsidRPr="00305D44">
              <w:t>(5.7)</w:t>
            </w:r>
          </w:p>
        </w:tc>
        <w:tc>
          <w:tcPr>
            <w:tcW w:w="1304" w:type="dxa"/>
            <w:tcBorders>
              <w:top w:val="single" w:sz="4" w:space="0" w:color="A6A6A6" w:themeColor="background1" w:themeShade="A6"/>
            </w:tcBorders>
            <w:hideMark/>
          </w:tcPr>
          <w:p w:rsidR="008F12EE" w:rsidRPr="00305D44" w:rsidRDefault="008F12EE" w:rsidP="00BD471F">
            <w:pPr>
              <w:pStyle w:val="ARtabletextright"/>
            </w:pPr>
            <w:r w:rsidRPr="00305D44">
              <w:t>7,935</w:t>
            </w:r>
          </w:p>
        </w:tc>
        <w:tc>
          <w:tcPr>
            <w:tcW w:w="1361" w:type="dxa"/>
            <w:tcBorders>
              <w:top w:val="single" w:sz="4" w:space="0" w:color="A6A6A6" w:themeColor="background1" w:themeShade="A6"/>
            </w:tcBorders>
            <w:hideMark/>
          </w:tcPr>
          <w:p w:rsidR="008F12EE" w:rsidRPr="00305D44" w:rsidRDefault="008F12EE" w:rsidP="00BD471F">
            <w:pPr>
              <w:pStyle w:val="ARtabletextright"/>
            </w:pPr>
            <w:r w:rsidRPr="00305D44">
              <w:t>(0.9)</w:t>
            </w:r>
          </w:p>
        </w:tc>
        <w:tc>
          <w:tcPr>
            <w:tcW w:w="624" w:type="dxa"/>
            <w:tcBorders>
              <w:top w:val="single" w:sz="4" w:space="0" w:color="A6A6A6" w:themeColor="background1" w:themeShade="A6"/>
            </w:tcBorders>
            <w:hideMark/>
          </w:tcPr>
          <w:p w:rsidR="008F12EE" w:rsidRPr="00305D44" w:rsidRDefault="008F12EE" w:rsidP="00946B9D">
            <w:pPr>
              <w:pStyle w:val="ARtabletextright"/>
            </w:pPr>
          </w:p>
        </w:tc>
      </w:tr>
      <w:tr w:rsidR="008F12EE" w:rsidRPr="00305D44" w:rsidTr="009F18E9">
        <w:tc>
          <w:tcPr>
            <w:tcW w:w="2835" w:type="dxa"/>
            <w:hideMark/>
          </w:tcPr>
          <w:p w:rsidR="008F12EE" w:rsidRPr="00305D44" w:rsidRDefault="008F12EE" w:rsidP="00BD471F">
            <w:pPr>
              <w:spacing w:before="80" w:after="60"/>
              <w:rPr>
                <w:rFonts w:cs="Arial"/>
                <w:b/>
                <w:bCs/>
                <w:color w:val="000000"/>
                <w:sz w:val="18"/>
                <w:szCs w:val="18"/>
                <w:lang w:eastAsia="en-AU"/>
              </w:rPr>
            </w:pPr>
            <w:r w:rsidRPr="00305D44">
              <w:rPr>
                <w:rFonts w:cs="Arial"/>
                <w:b/>
                <w:bCs/>
                <w:color w:val="000000"/>
                <w:sz w:val="18"/>
                <w:szCs w:val="18"/>
                <w:lang w:eastAsia="en-AU"/>
              </w:rPr>
              <w:t>Total expenses from transactions</w:t>
            </w:r>
          </w:p>
        </w:tc>
        <w:tc>
          <w:tcPr>
            <w:tcW w:w="1134" w:type="dxa"/>
            <w:hideMark/>
          </w:tcPr>
          <w:p w:rsidR="008F12EE" w:rsidRPr="005904AF" w:rsidRDefault="008F12EE" w:rsidP="00BD471F">
            <w:pPr>
              <w:pStyle w:val="ARtabletextright"/>
              <w:rPr>
                <w:b/>
              </w:rPr>
            </w:pPr>
            <w:r w:rsidRPr="005904AF">
              <w:rPr>
                <w:b/>
              </w:rPr>
              <w:t>23,074</w:t>
            </w:r>
          </w:p>
        </w:tc>
        <w:tc>
          <w:tcPr>
            <w:tcW w:w="1134" w:type="dxa"/>
            <w:hideMark/>
          </w:tcPr>
          <w:p w:rsidR="008F12EE" w:rsidRPr="005904AF" w:rsidRDefault="008F12EE" w:rsidP="00BD471F">
            <w:pPr>
              <w:pStyle w:val="ARtabletextright"/>
              <w:rPr>
                <w:b/>
              </w:rPr>
            </w:pPr>
            <w:r w:rsidRPr="005904AF">
              <w:rPr>
                <w:b/>
              </w:rPr>
              <w:t>23,725</w:t>
            </w:r>
          </w:p>
        </w:tc>
        <w:tc>
          <w:tcPr>
            <w:tcW w:w="1247" w:type="dxa"/>
            <w:hideMark/>
          </w:tcPr>
          <w:p w:rsidR="008F12EE" w:rsidRPr="005904AF" w:rsidRDefault="008F12EE" w:rsidP="00BD471F">
            <w:pPr>
              <w:pStyle w:val="ARtabletextright"/>
              <w:rPr>
                <w:b/>
              </w:rPr>
            </w:pPr>
            <w:r w:rsidRPr="005904AF">
              <w:rPr>
                <w:b/>
              </w:rPr>
              <w:t>(2.7)</w:t>
            </w:r>
          </w:p>
        </w:tc>
        <w:tc>
          <w:tcPr>
            <w:tcW w:w="1304" w:type="dxa"/>
            <w:hideMark/>
          </w:tcPr>
          <w:p w:rsidR="008F12EE" w:rsidRPr="005904AF" w:rsidRDefault="008F12EE" w:rsidP="00BD471F">
            <w:pPr>
              <w:pStyle w:val="ARtabletextright"/>
              <w:rPr>
                <w:b/>
              </w:rPr>
            </w:pPr>
            <w:r w:rsidRPr="005904AF">
              <w:rPr>
                <w:b/>
              </w:rPr>
              <w:t>22,199</w:t>
            </w:r>
          </w:p>
        </w:tc>
        <w:tc>
          <w:tcPr>
            <w:tcW w:w="1361" w:type="dxa"/>
            <w:hideMark/>
          </w:tcPr>
          <w:p w:rsidR="008F12EE" w:rsidRPr="005904AF" w:rsidRDefault="008F12EE" w:rsidP="00BD471F">
            <w:pPr>
              <w:pStyle w:val="ARtabletextright"/>
              <w:rPr>
                <w:b/>
              </w:rPr>
            </w:pPr>
            <w:r w:rsidRPr="005904AF">
              <w:rPr>
                <w:b/>
              </w:rPr>
              <w:t>3.9</w:t>
            </w:r>
          </w:p>
        </w:tc>
        <w:tc>
          <w:tcPr>
            <w:tcW w:w="624" w:type="dxa"/>
            <w:hideMark/>
          </w:tcPr>
          <w:p w:rsidR="008F12EE" w:rsidRPr="00305D44" w:rsidRDefault="008F12EE" w:rsidP="00946B9D">
            <w:pPr>
              <w:pStyle w:val="ARtabletextright"/>
            </w:pPr>
          </w:p>
        </w:tc>
      </w:tr>
      <w:tr w:rsidR="008F12EE" w:rsidRPr="00305D44" w:rsidTr="009F18E9">
        <w:tc>
          <w:tcPr>
            <w:tcW w:w="2835" w:type="dxa"/>
            <w:hideMark/>
          </w:tcPr>
          <w:p w:rsidR="008F12EE" w:rsidRPr="00305D44" w:rsidRDefault="008F12EE" w:rsidP="00BD471F">
            <w:pPr>
              <w:pStyle w:val="ARtabletextbold"/>
            </w:pPr>
            <w:r w:rsidRPr="00305D44">
              <w:t>Net result from transactions (net operating balance)</w:t>
            </w:r>
          </w:p>
        </w:tc>
        <w:tc>
          <w:tcPr>
            <w:tcW w:w="1134" w:type="dxa"/>
            <w:hideMark/>
          </w:tcPr>
          <w:p w:rsidR="008F12EE" w:rsidRPr="005904AF" w:rsidRDefault="008F12EE" w:rsidP="00BD471F">
            <w:pPr>
              <w:pStyle w:val="ARtabletextright"/>
              <w:rPr>
                <w:b/>
              </w:rPr>
            </w:pPr>
            <w:r w:rsidRPr="005904AF">
              <w:rPr>
                <w:b/>
              </w:rPr>
              <w:t>637</w:t>
            </w:r>
          </w:p>
        </w:tc>
        <w:tc>
          <w:tcPr>
            <w:tcW w:w="1134" w:type="dxa"/>
            <w:hideMark/>
          </w:tcPr>
          <w:p w:rsidR="008F12EE" w:rsidRPr="005904AF" w:rsidRDefault="008F12EE" w:rsidP="00BD471F">
            <w:pPr>
              <w:pStyle w:val="ARtabletextright"/>
              <w:rPr>
                <w:b/>
              </w:rPr>
            </w:pPr>
            <w:r w:rsidRPr="005904AF">
              <w:rPr>
                <w:b/>
              </w:rPr>
              <w:t>252</w:t>
            </w:r>
          </w:p>
        </w:tc>
        <w:tc>
          <w:tcPr>
            <w:tcW w:w="1247" w:type="dxa"/>
            <w:hideMark/>
          </w:tcPr>
          <w:p w:rsidR="008F12EE" w:rsidRPr="005904AF" w:rsidRDefault="008F12EE" w:rsidP="00BD471F">
            <w:pPr>
              <w:pStyle w:val="ARtabletextright"/>
              <w:rPr>
                <w:b/>
              </w:rPr>
            </w:pPr>
            <w:r w:rsidRPr="005904AF">
              <w:rPr>
                <w:b/>
              </w:rPr>
              <w:t>152.8</w:t>
            </w:r>
          </w:p>
        </w:tc>
        <w:tc>
          <w:tcPr>
            <w:tcW w:w="1304" w:type="dxa"/>
            <w:hideMark/>
          </w:tcPr>
          <w:p w:rsidR="008F12EE" w:rsidRPr="005904AF" w:rsidRDefault="008F12EE" w:rsidP="00BD471F">
            <w:pPr>
              <w:pStyle w:val="ARtabletextright"/>
              <w:rPr>
                <w:b/>
              </w:rPr>
            </w:pPr>
            <w:r w:rsidRPr="005904AF">
              <w:rPr>
                <w:b/>
              </w:rPr>
              <w:t>105</w:t>
            </w:r>
          </w:p>
        </w:tc>
        <w:tc>
          <w:tcPr>
            <w:tcW w:w="1361" w:type="dxa"/>
            <w:hideMark/>
          </w:tcPr>
          <w:p w:rsidR="008F12EE" w:rsidRPr="005904AF" w:rsidRDefault="008F12EE" w:rsidP="00BD471F">
            <w:pPr>
              <w:pStyle w:val="ARtabletextright"/>
              <w:rPr>
                <w:b/>
              </w:rPr>
            </w:pPr>
            <w:r w:rsidRPr="005904AF">
              <w:rPr>
                <w:b/>
              </w:rPr>
              <w:t>506.7</w:t>
            </w:r>
          </w:p>
        </w:tc>
        <w:tc>
          <w:tcPr>
            <w:tcW w:w="624" w:type="dxa"/>
            <w:hideMark/>
          </w:tcPr>
          <w:p w:rsidR="008F12EE" w:rsidRPr="005904AF" w:rsidRDefault="008F12EE" w:rsidP="00946B9D">
            <w:pPr>
              <w:pStyle w:val="ARtabletextright"/>
            </w:pPr>
          </w:p>
        </w:tc>
      </w:tr>
      <w:tr w:rsidR="008F12EE" w:rsidRPr="00305D44" w:rsidTr="0064554F">
        <w:tc>
          <w:tcPr>
            <w:tcW w:w="2835" w:type="dxa"/>
            <w:tcBorders>
              <w:bottom w:val="single" w:sz="4" w:space="0" w:color="auto"/>
            </w:tcBorders>
            <w:hideMark/>
          </w:tcPr>
          <w:p w:rsidR="008F12EE" w:rsidRPr="00305D44" w:rsidRDefault="008F12EE" w:rsidP="00BC25D2">
            <w:pPr>
              <w:pStyle w:val="ARtabletextbold"/>
              <w:keepNext/>
            </w:pPr>
            <w:r w:rsidRPr="00305D44">
              <w:lastRenderedPageBreak/>
              <w:t>Other economic flows included in net result</w:t>
            </w:r>
          </w:p>
        </w:tc>
        <w:tc>
          <w:tcPr>
            <w:tcW w:w="1134" w:type="dxa"/>
            <w:tcBorders>
              <w:bottom w:val="single" w:sz="4" w:space="0" w:color="auto"/>
            </w:tcBorders>
            <w:hideMark/>
          </w:tcPr>
          <w:p w:rsidR="008F12EE" w:rsidRPr="00305D44" w:rsidRDefault="008F12EE" w:rsidP="00BD471F">
            <w:pPr>
              <w:pStyle w:val="ARtabletextbold"/>
            </w:pPr>
          </w:p>
        </w:tc>
        <w:tc>
          <w:tcPr>
            <w:tcW w:w="1134" w:type="dxa"/>
            <w:tcBorders>
              <w:bottom w:val="single" w:sz="4" w:space="0" w:color="auto"/>
            </w:tcBorders>
            <w:hideMark/>
          </w:tcPr>
          <w:p w:rsidR="008F12EE" w:rsidRPr="00305D44" w:rsidRDefault="008F12EE" w:rsidP="00BD471F">
            <w:pPr>
              <w:pStyle w:val="ARtabletextbold"/>
            </w:pPr>
          </w:p>
        </w:tc>
        <w:tc>
          <w:tcPr>
            <w:tcW w:w="1247" w:type="dxa"/>
            <w:tcBorders>
              <w:bottom w:val="single" w:sz="4" w:space="0" w:color="auto"/>
            </w:tcBorders>
            <w:hideMark/>
          </w:tcPr>
          <w:p w:rsidR="008F12EE" w:rsidRPr="00305D44" w:rsidRDefault="008F12EE" w:rsidP="00BD471F">
            <w:pPr>
              <w:pStyle w:val="ARtabletextbold"/>
            </w:pPr>
          </w:p>
        </w:tc>
        <w:tc>
          <w:tcPr>
            <w:tcW w:w="1304" w:type="dxa"/>
            <w:tcBorders>
              <w:bottom w:val="single" w:sz="4" w:space="0" w:color="auto"/>
            </w:tcBorders>
            <w:hideMark/>
          </w:tcPr>
          <w:p w:rsidR="008F12EE" w:rsidRPr="00305D44" w:rsidRDefault="008F12EE" w:rsidP="00BD471F">
            <w:pPr>
              <w:pStyle w:val="ARtabletextbold"/>
            </w:pPr>
          </w:p>
        </w:tc>
        <w:tc>
          <w:tcPr>
            <w:tcW w:w="1361" w:type="dxa"/>
            <w:tcBorders>
              <w:bottom w:val="single" w:sz="4" w:space="0" w:color="auto"/>
            </w:tcBorders>
            <w:hideMark/>
          </w:tcPr>
          <w:p w:rsidR="008F12EE" w:rsidRPr="00305D44" w:rsidRDefault="008F12EE" w:rsidP="00BD471F">
            <w:pPr>
              <w:pStyle w:val="ARtabletextbold"/>
            </w:pPr>
          </w:p>
        </w:tc>
        <w:tc>
          <w:tcPr>
            <w:tcW w:w="624" w:type="dxa"/>
            <w:tcBorders>
              <w:bottom w:val="single" w:sz="4" w:space="0" w:color="auto"/>
            </w:tcBorders>
            <w:hideMark/>
          </w:tcPr>
          <w:p w:rsidR="008F12EE" w:rsidRPr="00305D44" w:rsidRDefault="008F12EE" w:rsidP="00946B9D">
            <w:pPr>
              <w:pStyle w:val="ARtabletextright"/>
            </w:pPr>
          </w:p>
        </w:tc>
      </w:tr>
      <w:tr w:rsidR="008F12EE" w:rsidRPr="00305D44" w:rsidTr="0064554F">
        <w:tc>
          <w:tcPr>
            <w:tcW w:w="2835" w:type="dxa"/>
            <w:tcBorders>
              <w:top w:val="single" w:sz="4" w:space="0" w:color="auto"/>
              <w:bottom w:val="single" w:sz="4" w:space="0" w:color="A6A6A6" w:themeColor="background1" w:themeShade="A6"/>
            </w:tcBorders>
            <w:hideMark/>
          </w:tcPr>
          <w:p w:rsidR="008F12EE" w:rsidRPr="00305D44" w:rsidRDefault="008F12EE" w:rsidP="00BD471F">
            <w:pPr>
              <w:pStyle w:val="ARtabletext"/>
            </w:pPr>
            <w:r w:rsidRPr="00305D44">
              <w:t>Net gain/(loss) on non-financial assets</w:t>
            </w:r>
          </w:p>
        </w:tc>
        <w:tc>
          <w:tcPr>
            <w:tcW w:w="1134" w:type="dxa"/>
            <w:tcBorders>
              <w:top w:val="single" w:sz="4" w:space="0" w:color="auto"/>
              <w:bottom w:val="single" w:sz="4" w:space="0" w:color="A6A6A6" w:themeColor="background1" w:themeShade="A6"/>
            </w:tcBorders>
            <w:hideMark/>
          </w:tcPr>
          <w:p w:rsidR="008F12EE" w:rsidRPr="00CE6238" w:rsidRDefault="008F12EE" w:rsidP="00BD471F">
            <w:pPr>
              <w:pStyle w:val="ARtabletextright"/>
            </w:pPr>
            <w:r w:rsidRPr="00CE6238">
              <w:t>(10)</w:t>
            </w:r>
          </w:p>
        </w:tc>
        <w:tc>
          <w:tcPr>
            <w:tcW w:w="1134" w:type="dxa"/>
            <w:tcBorders>
              <w:top w:val="single" w:sz="4" w:space="0" w:color="auto"/>
              <w:bottom w:val="single" w:sz="4" w:space="0" w:color="A6A6A6" w:themeColor="background1" w:themeShade="A6"/>
            </w:tcBorders>
            <w:hideMark/>
          </w:tcPr>
          <w:p w:rsidR="008F12EE" w:rsidRPr="00CE6238" w:rsidRDefault="00A01B92" w:rsidP="00BD471F">
            <w:pPr>
              <w:pStyle w:val="ARtabletextright"/>
            </w:pPr>
            <w:r>
              <w:t>–</w:t>
            </w:r>
          </w:p>
        </w:tc>
        <w:tc>
          <w:tcPr>
            <w:tcW w:w="1247" w:type="dxa"/>
            <w:tcBorders>
              <w:top w:val="single" w:sz="4" w:space="0" w:color="auto"/>
              <w:bottom w:val="single" w:sz="4" w:space="0" w:color="A6A6A6" w:themeColor="background1" w:themeShade="A6"/>
            </w:tcBorders>
            <w:hideMark/>
          </w:tcPr>
          <w:p w:rsidR="008F12EE" w:rsidRPr="00CE6238" w:rsidRDefault="00A01B92" w:rsidP="00BD471F">
            <w:pPr>
              <w:pStyle w:val="ARtabletextright"/>
            </w:pPr>
            <w:r>
              <w:t>–</w:t>
            </w:r>
          </w:p>
        </w:tc>
        <w:tc>
          <w:tcPr>
            <w:tcW w:w="1304" w:type="dxa"/>
            <w:tcBorders>
              <w:top w:val="single" w:sz="4" w:space="0" w:color="auto"/>
              <w:bottom w:val="single" w:sz="4" w:space="0" w:color="A6A6A6" w:themeColor="background1" w:themeShade="A6"/>
            </w:tcBorders>
            <w:hideMark/>
          </w:tcPr>
          <w:p w:rsidR="008F12EE" w:rsidRPr="00CE6238" w:rsidRDefault="008F12EE" w:rsidP="00BD471F">
            <w:pPr>
              <w:pStyle w:val="ARtabletextright"/>
            </w:pPr>
            <w:r w:rsidRPr="00CE6238">
              <w:t>(5)</w:t>
            </w:r>
          </w:p>
        </w:tc>
        <w:tc>
          <w:tcPr>
            <w:tcW w:w="1361" w:type="dxa"/>
            <w:tcBorders>
              <w:top w:val="single" w:sz="4" w:space="0" w:color="auto"/>
              <w:bottom w:val="single" w:sz="4" w:space="0" w:color="A6A6A6" w:themeColor="background1" w:themeShade="A6"/>
            </w:tcBorders>
            <w:hideMark/>
          </w:tcPr>
          <w:p w:rsidR="008F12EE" w:rsidRPr="00CE6238" w:rsidRDefault="008F12EE" w:rsidP="00BD471F">
            <w:pPr>
              <w:pStyle w:val="ARtabletextright"/>
            </w:pPr>
            <w:r w:rsidRPr="00CE6238">
              <w:t>100.0</w:t>
            </w:r>
          </w:p>
        </w:tc>
        <w:tc>
          <w:tcPr>
            <w:tcW w:w="624" w:type="dxa"/>
            <w:tcBorders>
              <w:top w:val="single" w:sz="4" w:space="0" w:color="auto"/>
              <w:bottom w:val="single" w:sz="4" w:space="0" w:color="A6A6A6" w:themeColor="background1" w:themeShade="A6"/>
            </w:tcBorders>
            <w:hideMark/>
          </w:tcPr>
          <w:p w:rsidR="008F12EE" w:rsidRPr="00BC25D2" w:rsidRDefault="008F12EE" w:rsidP="00BC25D2">
            <w:pPr>
              <w:pStyle w:val="ARtabletextright"/>
              <w:rPr>
                <w:rStyle w:val="Strong"/>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Share of net profits/(losses) of associates and joint venture entities, excluding dividends</w:t>
            </w:r>
          </w:p>
        </w:tc>
        <w:tc>
          <w:tcPr>
            <w:tcW w:w="1134" w:type="dxa"/>
            <w:tcBorders>
              <w:top w:val="single" w:sz="4" w:space="0" w:color="A6A6A6" w:themeColor="background1" w:themeShade="A6"/>
              <w:bottom w:val="single" w:sz="4" w:space="0" w:color="A6A6A6" w:themeColor="background1" w:themeShade="A6"/>
            </w:tcBorders>
            <w:hideMark/>
          </w:tcPr>
          <w:p w:rsidR="008F12EE" w:rsidRPr="00CE6238" w:rsidRDefault="008F12EE" w:rsidP="00BD471F">
            <w:pPr>
              <w:pStyle w:val="ARtabletextright"/>
            </w:pPr>
            <w:r w:rsidRPr="00CE6238">
              <w:t>1</w:t>
            </w:r>
          </w:p>
        </w:tc>
        <w:tc>
          <w:tcPr>
            <w:tcW w:w="1134" w:type="dxa"/>
            <w:tcBorders>
              <w:top w:val="single" w:sz="4" w:space="0" w:color="A6A6A6" w:themeColor="background1" w:themeShade="A6"/>
              <w:bottom w:val="single" w:sz="4" w:space="0" w:color="A6A6A6" w:themeColor="background1" w:themeShade="A6"/>
            </w:tcBorders>
            <w:hideMark/>
          </w:tcPr>
          <w:p w:rsidR="008F12EE" w:rsidRPr="00CE6238" w:rsidRDefault="00A01B92" w:rsidP="00BD471F">
            <w:pPr>
              <w:pStyle w:val="ARtabletextright"/>
            </w:pPr>
            <w:r>
              <w:t>–</w:t>
            </w:r>
          </w:p>
        </w:tc>
        <w:tc>
          <w:tcPr>
            <w:tcW w:w="1247" w:type="dxa"/>
            <w:tcBorders>
              <w:top w:val="single" w:sz="4" w:space="0" w:color="A6A6A6" w:themeColor="background1" w:themeShade="A6"/>
              <w:bottom w:val="single" w:sz="4" w:space="0" w:color="A6A6A6" w:themeColor="background1" w:themeShade="A6"/>
            </w:tcBorders>
            <w:hideMark/>
          </w:tcPr>
          <w:p w:rsidR="008F12EE" w:rsidRPr="00CE6238" w:rsidRDefault="00A01B92" w:rsidP="00BD471F">
            <w:pPr>
              <w:pStyle w:val="ARtabletextright"/>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CE6238" w:rsidRDefault="00A01B92" w:rsidP="00BD471F">
            <w:pPr>
              <w:pStyle w:val="ARtabletextright"/>
            </w:pPr>
            <w:r>
              <w:t>–</w:t>
            </w:r>
          </w:p>
        </w:tc>
        <w:tc>
          <w:tcPr>
            <w:tcW w:w="1361" w:type="dxa"/>
            <w:tcBorders>
              <w:top w:val="single" w:sz="4" w:space="0" w:color="A6A6A6" w:themeColor="background1" w:themeShade="A6"/>
              <w:bottom w:val="single" w:sz="4" w:space="0" w:color="A6A6A6" w:themeColor="background1" w:themeShade="A6"/>
            </w:tcBorders>
            <w:hideMark/>
          </w:tcPr>
          <w:p w:rsidR="008F12EE" w:rsidRPr="00CE6238" w:rsidRDefault="00A01B92" w:rsidP="00BD471F">
            <w:pPr>
              <w:pStyle w:val="ARtabletextright"/>
            </w:pPr>
            <w:r>
              <w:t>–</w:t>
            </w:r>
          </w:p>
        </w:tc>
        <w:tc>
          <w:tcPr>
            <w:tcW w:w="624" w:type="dxa"/>
            <w:tcBorders>
              <w:top w:val="single" w:sz="4" w:space="0" w:color="A6A6A6" w:themeColor="background1" w:themeShade="A6"/>
              <w:bottom w:val="single" w:sz="4" w:space="0" w:color="A6A6A6" w:themeColor="background1" w:themeShade="A6"/>
            </w:tcBorders>
            <w:hideMark/>
          </w:tcPr>
          <w:p w:rsidR="008F12EE" w:rsidRPr="00BC25D2" w:rsidRDefault="008F12EE" w:rsidP="00BC25D2">
            <w:pPr>
              <w:pStyle w:val="ARtabletextright"/>
              <w:rPr>
                <w:rStyle w:val="Strong"/>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 xml:space="preserve">Net gain/(loss) on financial </w:t>
            </w:r>
            <w:r w:rsidRPr="005904AF">
              <w:t>instruments</w:t>
            </w:r>
            <w:r w:rsidRPr="00305D44">
              <w:t xml:space="preserve"> and statutory receivables/payables</w:t>
            </w:r>
          </w:p>
        </w:tc>
        <w:tc>
          <w:tcPr>
            <w:tcW w:w="1134" w:type="dxa"/>
            <w:tcBorders>
              <w:top w:val="single" w:sz="4" w:space="0" w:color="A6A6A6" w:themeColor="background1" w:themeShade="A6"/>
              <w:bottom w:val="single" w:sz="4" w:space="0" w:color="A6A6A6" w:themeColor="background1" w:themeShade="A6"/>
            </w:tcBorders>
            <w:hideMark/>
          </w:tcPr>
          <w:p w:rsidR="008F12EE" w:rsidRPr="00CE6238" w:rsidRDefault="008F12EE" w:rsidP="00BD471F">
            <w:pPr>
              <w:pStyle w:val="ARtabletextright"/>
            </w:pPr>
            <w:r w:rsidRPr="00CE6238">
              <w:t>(35)</w:t>
            </w:r>
          </w:p>
        </w:tc>
        <w:tc>
          <w:tcPr>
            <w:tcW w:w="1134" w:type="dxa"/>
            <w:tcBorders>
              <w:top w:val="single" w:sz="4" w:space="0" w:color="A6A6A6" w:themeColor="background1" w:themeShade="A6"/>
              <w:bottom w:val="single" w:sz="4" w:space="0" w:color="A6A6A6" w:themeColor="background1" w:themeShade="A6"/>
            </w:tcBorders>
            <w:hideMark/>
          </w:tcPr>
          <w:p w:rsidR="008F12EE" w:rsidRPr="00CE6238" w:rsidRDefault="008F12EE" w:rsidP="00BD471F">
            <w:pPr>
              <w:pStyle w:val="ARtabletextright"/>
            </w:pPr>
            <w:r w:rsidRPr="00CE6238">
              <w:t>(26)</w:t>
            </w:r>
          </w:p>
        </w:tc>
        <w:tc>
          <w:tcPr>
            <w:tcW w:w="1247" w:type="dxa"/>
            <w:tcBorders>
              <w:top w:val="single" w:sz="4" w:space="0" w:color="A6A6A6" w:themeColor="background1" w:themeShade="A6"/>
              <w:bottom w:val="single" w:sz="4" w:space="0" w:color="A6A6A6" w:themeColor="background1" w:themeShade="A6"/>
            </w:tcBorders>
            <w:hideMark/>
          </w:tcPr>
          <w:p w:rsidR="008F12EE" w:rsidRPr="00CE6238" w:rsidRDefault="008F12EE" w:rsidP="00BD471F">
            <w:pPr>
              <w:pStyle w:val="ARtabletextright"/>
            </w:pPr>
            <w:r w:rsidRPr="00CE6238">
              <w:t>34.6</w:t>
            </w:r>
          </w:p>
        </w:tc>
        <w:tc>
          <w:tcPr>
            <w:tcW w:w="1304" w:type="dxa"/>
            <w:tcBorders>
              <w:top w:val="single" w:sz="4" w:space="0" w:color="A6A6A6" w:themeColor="background1" w:themeShade="A6"/>
              <w:bottom w:val="single" w:sz="4" w:space="0" w:color="A6A6A6" w:themeColor="background1" w:themeShade="A6"/>
            </w:tcBorders>
            <w:hideMark/>
          </w:tcPr>
          <w:p w:rsidR="008F12EE" w:rsidRPr="00CE6238" w:rsidRDefault="00A01B92" w:rsidP="00BD471F">
            <w:pPr>
              <w:pStyle w:val="ARtabletextright"/>
            </w:pPr>
            <w:r>
              <w:t>–</w:t>
            </w:r>
          </w:p>
        </w:tc>
        <w:tc>
          <w:tcPr>
            <w:tcW w:w="1361" w:type="dxa"/>
            <w:tcBorders>
              <w:top w:val="single" w:sz="4" w:space="0" w:color="A6A6A6" w:themeColor="background1" w:themeShade="A6"/>
              <w:bottom w:val="single" w:sz="4" w:space="0" w:color="A6A6A6" w:themeColor="background1" w:themeShade="A6"/>
            </w:tcBorders>
            <w:hideMark/>
          </w:tcPr>
          <w:p w:rsidR="008F12EE" w:rsidRPr="00CE6238" w:rsidRDefault="00A01B92" w:rsidP="00BD471F">
            <w:pPr>
              <w:pStyle w:val="ARtabletextright"/>
            </w:pPr>
            <w:r>
              <w:t>–</w:t>
            </w:r>
          </w:p>
        </w:tc>
        <w:tc>
          <w:tcPr>
            <w:tcW w:w="624" w:type="dxa"/>
            <w:tcBorders>
              <w:top w:val="single" w:sz="4" w:space="0" w:color="A6A6A6" w:themeColor="background1" w:themeShade="A6"/>
              <w:bottom w:val="single" w:sz="4" w:space="0" w:color="A6A6A6" w:themeColor="background1" w:themeShade="A6"/>
            </w:tcBorders>
            <w:hideMark/>
          </w:tcPr>
          <w:p w:rsidR="008F12EE" w:rsidRPr="00BC25D2" w:rsidRDefault="008F12EE" w:rsidP="00BC25D2">
            <w:pPr>
              <w:pStyle w:val="ARtabletextright"/>
              <w:rPr>
                <w:rStyle w:val="Strong"/>
              </w:rPr>
            </w:pPr>
          </w:p>
        </w:tc>
      </w:tr>
      <w:tr w:rsidR="008F12EE" w:rsidRPr="00305D44" w:rsidTr="0064554F">
        <w:tc>
          <w:tcPr>
            <w:tcW w:w="2835" w:type="dxa"/>
            <w:tcBorders>
              <w:top w:val="single" w:sz="4" w:space="0" w:color="A6A6A6" w:themeColor="background1" w:themeShade="A6"/>
            </w:tcBorders>
            <w:hideMark/>
          </w:tcPr>
          <w:p w:rsidR="008F12EE" w:rsidRPr="00305D44" w:rsidRDefault="008F12EE" w:rsidP="00BD471F">
            <w:pPr>
              <w:pStyle w:val="ARtabletext"/>
            </w:pPr>
            <w:r w:rsidRPr="00305D44">
              <w:t>Other gains/(</w:t>
            </w:r>
            <w:r w:rsidRPr="00776AEC">
              <w:t>losses</w:t>
            </w:r>
            <w:r w:rsidRPr="00305D44">
              <w:t>) from other economic flows</w:t>
            </w:r>
          </w:p>
        </w:tc>
        <w:tc>
          <w:tcPr>
            <w:tcW w:w="1134" w:type="dxa"/>
            <w:tcBorders>
              <w:top w:val="single" w:sz="4" w:space="0" w:color="A6A6A6" w:themeColor="background1" w:themeShade="A6"/>
            </w:tcBorders>
            <w:hideMark/>
          </w:tcPr>
          <w:p w:rsidR="008F12EE" w:rsidRPr="00CE6238" w:rsidRDefault="008F12EE" w:rsidP="00BD471F">
            <w:pPr>
              <w:pStyle w:val="ARtabletextright"/>
            </w:pPr>
            <w:r w:rsidRPr="00CE6238">
              <w:t>58</w:t>
            </w:r>
          </w:p>
        </w:tc>
        <w:tc>
          <w:tcPr>
            <w:tcW w:w="1134" w:type="dxa"/>
            <w:tcBorders>
              <w:top w:val="single" w:sz="4" w:space="0" w:color="A6A6A6" w:themeColor="background1" w:themeShade="A6"/>
            </w:tcBorders>
            <w:hideMark/>
          </w:tcPr>
          <w:p w:rsidR="008F12EE" w:rsidRPr="00CE6238" w:rsidRDefault="008F12EE" w:rsidP="00BD471F">
            <w:pPr>
              <w:pStyle w:val="ARtabletextright"/>
            </w:pPr>
            <w:r w:rsidRPr="00CE6238">
              <w:t>(5)</w:t>
            </w:r>
          </w:p>
        </w:tc>
        <w:tc>
          <w:tcPr>
            <w:tcW w:w="1247" w:type="dxa"/>
            <w:tcBorders>
              <w:top w:val="single" w:sz="4" w:space="0" w:color="A6A6A6" w:themeColor="background1" w:themeShade="A6"/>
            </w:tcBorders>
            <w:hideMark/>
          </w:tcPr>
          <w:p w:rsidR="008F12EE" w:rsidRPr="00CE6238" w:rsidRDefault="008F12EE" w:rsidP="00BD471F">
            <w:pPr>
              <w:pStyle w:val="ARtabletextright"/>
            </w:pPr>
            <w:r w:rsidRPr="00CE6238">
              <w:t>(1,260.0)</w:t>
            </w:r>
          </w:p>
        </w:tc>
        <w:tc>
          <w:tcPr>
            <w:tcW w:w="1304" w:type="dxa"/>
            <w:tcBorders>
              <w:top w:val="single" w:sz="4" w:space="0" w:color="A6A6A6" w:themeColor="background1" w:themeShade="A6"/>
            </w:tcBorders>
            <w:hideMark/>
          </w:tcPr>
          <w:p w:rsidR="008F12EE" w:rsidRPr="00CE6238" w:rsidRDefault="008F12EE" w:rsidP="00BD471F">
            <w:pPr>
              <w:pStyle w:val="ARtabletextright"/>
            </w:pPr>
            <w:r w:rsidRPr="00CE6238">
              <w:t>(2)</w:t>
            </w:r>
          </w:p>
        </w:tc>
        <w:tc>
          <w:tcPr>
            <w:tcW w:w="1361" w:type="dxa"/>
            <w:tcBorders>
              <w:top w:val="single" w:sz="4" w:space="0" w:color="A6A6A6" w:themeColor="background1" w:themeShade="A6"/>
            </w:tcBorders>
            <w:hideMark/>
          </w:tcPr>
          <w:p w:rsidR="008F12EE" w:rsidRPr="00CE6238" w:rsidRDefault="008F12EE" w:rsidP="00BD471F">
            <w:pPr>
              <w:pStyle w:val="ARtabletextright"/>
            </w:pPr>
            <w:r w:rsidRPr="00CE6238">
              <w:t>(3,000.0)</w:t>
            </w:r>
          </w:p>
        </w:tc>
        <w:tc>
          <w:tcPr>
            <w:tcW w:w="624" w:type="dxa"/>
            <w:tcBorders>
              <w:top w:val="single" w:sz="4" w:space="0" w:color="A6A6A6" w:themeColor="background1" w:themeShade="A6"/>
            </w:tcBorders>
            <w:hideMark/>
          </w:tcPr>
          <w:p w:rsidR="008F12EE" w:rsidRPr="00BC25D2" w:rsidRDefault="008F12EE" w:rsidP="00BC25D2">
            <w:pPr>
              <w:pStyle w:val="ARtabletextright"/>
              <w:rPr>
                <w:rStyle w:val="Strong"/>
              </w:rPr>
            </w:pPr>
            <w:r w:rsidRPr="00BC25D2">
              <w:rPr>
                <w:rStyle w:val="Strong"/>
              </w:rPr>
              <w:t>8</w:t>
            </w:r>
          </w:p>
        </w:tc>
      </w:tr>
      <w:tr w:rsidR="008F12EE" w:rsidRPr="00305D44" w:rsidTr="009F18E9">
        <w:tc>
          <w:tcPr>
            <w:tcW w:w="2835" w:type="dxa"/>
            <w:hideMark/>
          </w:tcPr>
          <w:p w:rsidR="008F12EE" w:rsidRPr="00305D44" w:rsidRDefault="008F12EE" w:rsidP="00BD471F">
            <w:pPr>
              <w:pStyle w:val="ARtabletextbold"/>
            </w:pPr>
            <w:r w:rsidRPr="00305D44">
              <w:t>Total other economic flows included in net result</w:t>
            </w:r>
          </w:p>
        </w:tc>
        <w:tc>
          <w:tcPr>
            <w:tcW w:w="1134" w:type="dxa"/>
            <w:hideMark/>
          </w:tcPr>
          <w:p w:rsidR="008F12EE" w:rsidRPr="0004028E" w:rsidRDefault="008F12EE" w:rsidP="00BD471F">
            <w:pPr>
              <w:pStyle w:val="ARtabletextright"/>
              <w:rPr>
                <w:b/>
              </w:rPr>
            </w:pPr>
            <w:r w:rsidRPr="0004028E">
              <w:rPr>
                <w:b/>
              </w:rPr>
              <w:t>14</w:t>
            </w:r>
          </w:p>
        </w:tc>
        <w:tc>
          <w:tcPr>
            <w:tcW w:w="1134" w:type="dxa"/>
            <w:hideMark/>
          </w:tcPr>
          <w:p w:rsidR="008F12EE" w:rsidRPr="0004028E" w:rsidRDefault="008F12EE" w:rsidP="00BD471F">
            <w:pPr>
              <w:pStyle w:val="ARtabletextright"/>
              <w:rPr>
                <w:b/>
              </w:rPr>
            </w:pPr>
            <w:r w:rsidRPr="0004028E">
              <w:rPr>
                <w:b/>
              </w:rPr>
              <w:t>(31)</w:t>
            </w:r>
          </w:p>
        </w:tc>
        <w:tc>
          <w:tcPr>
            <w:tcW w:w="1247" w:type="dxa"/>
            <w:hideMark/>
          </w:tcPr>
          <w:p w:rsidR="008F12EE" w:rsidRPr="0004028E" w:rsidRDefault="008F12EE" w:rsidP="00BD471F">
            <w:pPr>
              <w:pStyle w:val="ARtabletextright"/>
              <w:rPr>
                <w:b/>
              </w:rPr>
            </w:pPr>
            <w:r w:rsidRPr="0004028E">
              <w:rPr>
                <w:b/>
              </w:rPr>
              <w:t>(145.2)</w:t>
            </w:r>
          </w:p>
        </w:tc>
        <w:tc>
          <w:tcPr>
            <w:tcW w:w="1304" w:type="dxa"/>
            <w:hideMark/>
          </w:tcPr>
          <w:p w:rsidR="008F12EE" w:rsidRPr="0004028E" w:rsidRDefault="008F12EE" w:rsidP="00BD471F">
            <w:pPr>
              <w:pStyle w:val="ARtabletextright"/>
              <w:rPr>
                <w:b/>
              </w:rPr>
            </w:pPr>
            <w:r w:rsidRPr="0004028E">
              <w:rPr>
                <w:b/>
              </w:rPr>
              <w:t>(7)</w:t>
            </w:r>
          </w:p>
        </w:tc>
        <w:tc>
          <w:tcPr>
            <w:tcW w:w="1361" w:type="dxa"/>
            <w:hideMark/>
          </w:tcPr>
          <w:p w:rsidR="008F12EE" w:rsidRPr="0004028E" w:rsidRDefault="008F12EE" w:rsidP="00BD471F">
            <w:pPr>
              <w:pStyle w:val="ARtabletextright"/>
              <w:rPr>
                <w:b/>
              </w:rPr>
            </w:pPr>
            <w:r w:rsidRPr="0004028E">
              <w:rPr>
                <w:b/>
              </w:rPr>
              <w:t>(300.0)</w:t>
            </w:r>
          </w:p>
        </w:tc>
        <w:tc>
          <w:tcPr>
            <w:tcW w:w="624" w:type="dxa"/>
            <w:hideMark/>
          </w:tcPr>
          <w:p w:rsidR="008F12EE" w:rsidRPr="00BC25D2" w:rsidRDefault="008F12EE" w:rsidP="00BC25D2">
            <w:pPr>
              <w:pStyle w:val="ARtabletextright"/>
              <w:rPr>
                <w:rStyle w:val="Strong"/>
              </w:rPr>
            </w:pPr>
          </w:p>
        </w:tc>
      </w:tr>
      <w:tr w:rsidR="008F12EE" w:rsidRPr="00305D44" w:rsidTr="0064554F">
        <w:tc>
          <w:tcPr>
            <w:tcW w:w="2835" w:type="dxa"/>
            <w:tcBorders>
              <w:bottom w:val="single" w:sz="4" w:space="0" w:color="auto"/>
            </w:tcBorders>
            <w:hideMark/>
          </w:tcPr>
          <w:p w:rsidR="008F12EE" w:rsidRPr="00305D44" w:rsidRDefault="008F12EE" w:rsidP="00BD471F">
            <w:pPr>
              <w:pStyle w:val="ARtabletextbold"/>
            </w:pPr>
            <w:r w:rsidRPr="00305D44">
              <w:t>Net result</w:t>
            </w:r>
          </w:p>
        </w:tc>
        <w:tc>
          <w:tcPr>
            <w:tcW w:w="1134" w:type="dxa"/>
            <w:tcBorders>
              <w:bottom w:val="single" w:sz="4" w:space="0" w:color="auto"/>
            </w:tcBorders>
            <w:hideMark/>
          </w:tcPr>
          <w:p w:rsidR="008F12EE" w:rsidRPr="0004028E" w:rsidRDefault="008F12EE" w:rsidP="00BD471F">
            <w:pPr>
              <w:pStyle w:val="ARtabletextright"/>
              <w:rPr>
                <w:b/>
                <w:bCs/>
                <w:color w:val="000000"/>
              </w:rPr>
            </w:pPr>
            <w:r w:rsidRPr="0004028E">
              <w:rPr>
                <w:b/>
                <w:bCs/>
                <w:color w:val="000000"/>
              </w:rPr>
              <w:t>651</w:t>
            </w:r>
          </w:p>
        </w:tc>
        <w:tc>
          <w:tcPr>
            <w:tcW w:w="1134" w:type="dxa"/>
            <w:tcBorders>
              <w:bottom w:val="single" w:sz="4" w:space="0" w:color="auto"/>
            </w:tcBorders>
            <w:hideMark/>
          </w:tcPr>
          <w:p w:rsidR="008F12EE" w:rsidRPr="0004028E" w:rsidRDefault="008F12EE" w:rsidP="00BD471F">
            <w:pPr>
              <w:pStyle w:val="ARtabletextright"/>
              <w:rPr>
                <w:b/>
                <w:bCs/>
                <w:color w:val="000000"/>
              </w:rPr>
            </w:pPr>
            <w:r w:rsidRPr="0004028E">
              <w:rPr>
                <w:b/>
                <w:bCs/>
                <w:color w:val="000000"/>
              </w:rPr>
              <w:t>220</w:t>
            </w:r>
          </w:p>
        </w:tc>
        <w:tc>
          <w:tcPr>
            <w:tcW w:w="1247" w:type="dxa"/>
            <w:tcBorders>
              <w:bottom w:val="single" w:sz="4" w:space="0" w:color="auto"/>
            </w:tcBorders>
            <w:hideMark/>
          </w:tcPr>
          <w:p w:rsidR="008F12EE" w:rsidRPr="0004028E" w:rsidRDefault="008F12EE" w:rsidP="00BD471F">
            <w:pPr>
              <w:pStyle w:val="ARtabletextright"/>
              <w:rPr>
                <w:b/>
                <w:bCs/>
                <w:color w:val="000000"/>
              </w:rPr>
            </w:pPr>
            <w:r w:rsidRPr="0004028E">
              <w:rPr>
                <w:b/>
                <w:bCs/>
                <w:color w:val="000000"/>
              </w:rPr>
              <w:t>195.9</w:t>
            </w:r>
          </w:p>
        </w:tc>
        <w:tc>
          <w:tcPr>
            <w:tcW w:w="1304" w:type="dxa"/>
            <w:tcBorders>
              <w:bottom w:val="single" w:sz="4" w:space="0" w:color="auto"/>
            </w:tcBorders>
            <w:hideMark/>
          </w:tcPr>
          <w:p w:rsidR="008F12EE" w:rsidRPr="0004028E" w:rsidRDefault="008F12EE" w:rsidP="00BD471F">
            <w:pPr>
              <w:pStyle w:val="ARtabletextright"/>
              <w:rPr>
                <w:b/>
                <w:bCs/>
                <w:color w:val="000000"/>
              </w:rPr>
            </w:pPr>
            <w:r w:rsidRPr="0004028E">
              <w:rPr>
                <w:b/>
                <w:bCs/>
                <w:color w:val="000000"/>
              </w:rPr>
              <w:t>98</w:t>
            </w:r>
          </w:p>
        </w:tc>
        <w:tc>
          <w:tcPr>
            <w:tcW w:w="1361" w:type="dxa"/>
            <w:tcBorders>
              <w:bottom w:val="single" w:sz="4" w:space="0" w:color="auto"/>
            </w:tcBorders>
            <w:hideMark/>
          </w:tcPr>
          <w:p w:rsidR="008F12EE" w:rsidRPr="0004028E" w:rsidRDefault="008F12EE" w:rsidP="00BD471F">
            <w:pPr>
              <w:pStyle w:val="ARtabletextright"/>
              <w:rPr>
                <w:b/>
                <w:bCs/>
                <w:color w:val="000000"/>
              </w:rPr>
            </w:pPr>
            <w:r w:rsidRPr="0004028E">
              <w:rPr>
                <w:b/>
                <w:bCs/>
                <w:color w:val="000000"/>
              </w:rPr>
              <w:t>564.3</w:t>
            </w:r>
          </w:p>
        </w:tc>
        <w:tc>
          <w:tcPr>
            <w:tcW w:w="624" w:type="dxa"/>
            <w:tcBorders>
              <w:bottom w:val="single" w:sz="4" w:space="0" w:color="auto"/>
            </w:tcBorders>
            <w:hideMark/>
          </w:tcPr>
          <w:p w:rsidR="008F12EE" w:rsidRPr="00BC25D2" w:rsidRDefault="008F12EE" w:rsidP="00BC25D2">
            <w:pPr>
              <w:pStyle w:val="ARtabletextright"/>
              <w:rPr>
                <w:rStyle w:val="Strong"/>
              </w:rPr>
            </w:pPr>
          </w:p>
        </w:tc>
      </w:tr>
      <w:tr w:rsidR="008F12EE" w:rsidRPr="00305D44" w:rsidTr="0064554F">
        <w:tc>
          <w:tcPr>
            <w:tcW w:w="2835" w:type="dxa"/>
            <w:tcBorders>
              <w:top w:val="single" w:sz="4" w:space="0" w:color="auto"/>
              <w:bottom w:val="single" w:sz="4" w:space="0" w:color="A6A6A6" w:themeColor="background1" w:themeShade="A6"/>
            </w:tcBorders>
            <w:hideMark/>
          </w:tcPr>
          <w:p w:rsidR="008F12EE" w:rsidRPr="00305D44" w:rsidRDefault="008F12EE" w:rsidP="00BD471F">
            <w:pPr>
              <w:pStyle w:val="ARtabletextbold"/>
            </w:pPr>
            <w:r w:rsidRPr="00305D44">
              <w:t>Other economic flows – other comprehensive income</w:t>
            </w:r>
          </w:p>
        </w:tc>
        <w:tc>
          <w:tcPr>
            <w:tcW w:w="1134" w:type="dxa"/>
            <w:tcBorders>
              <w:top w:val="single" w:sz="4" w:space="0" w:color="auto"/>
              <w:bottom w:val="single" w:sz="4" w:space="0" w:color="A6A6A6" w:themeColor="background1" w:themeShade="A6"/>
            </w:tcBorders>
            <w:hideMark/>
          </w:tcPr>
          <w:p w:rsidR="008F12EE" w:rsidRPr="00305D44" w:rsidRDefault="008F12EE" w:rsidP="00BD471F">
            <w:pPr>
              <w:spacing w:before="80" w:after="60"/>
              <w:jc w:val="right"/>
              <w:rPr>
                <w:rFonts w:cs="Arial"/>
                <w:color w:val="000000"/>
                <w:sz w:val="18"/>
                <w:szCs w:val="18"/>
                <w:lang w:eastAsia="en-AU"/>
              </w:rPr>
            </w:pPr>
          </w:p>
        </w:tc>
        <w:tc>
          <w:tcPr>
            <w:tcW w:w="1134" w:type="dxa"/>
            <w:tcBorders>
              <w:top w:val="single" w:sz="4" w:space="0" w:color="auto"/>
              <w:bottom w:val="single" w:sz="4" w:space="0" w:color="A6A6A6" w:themeColor="background1" w:themeShade="A6"/>
            </w:tcBorders>
            <w:hideMark/>
          </w:tcPr>
          <w:p w:rsidR="008F12EE" w:rsidRPr="00305D44" w:rsidRDefault="008F12EE" w:rsidP="00BD471F">
            <w:pPr>
              <w:spacing w:before="80" w:after="60"/>
              <w:jc w:val="right"/>
              <w:rPr>
                <w:rFonts w:cs="Arial"/>
                <w:color w:val="000000"/>
                <w:sz w:val="18"/>
                <w:szCs w:val="18"/>
                <w:lang w:eastAsia="en-AU"/>
              </w:rPr>
            </w:pPr>
          </w:p>
        </w:tc>
        <w:tc>
          <w:tcPr>
            <w:tcW w:w="1247" w:type="dxa"/>
            <w:tcBorders>
              <w:top w:val="single" w:sz="4" w:space="0" w:color="auto"/>
              <w:bottom w:val="single" w:sz="4" w:space="0" w:color="A6A6A6" w:themeColor="background1" w:themeShade="A6"/>
            </w:tcBorders>
            <w:hideMark/>
          </w:tcPr>
          <w:p w:rsidR="008F12EE" w:rsidRPr="00305D44" w:rsidRDefault="008F12EE" w:rsidP="00BD471F">
            <w:pPr>
              <w:spacing w:before="80" w:after="60"/>
              <w:jc w:val="right"/>
              <w:rPr>
                <w:rFonts w:cs="Arial"/>
                <w:color w:val="000000"/>
                <w:sz w:val="18"/>
                <w:szCs w:val="18"/>
                <w:lang w:eastAsia="en-AU"/>
              </w:rPr>
            </w:pPr>
          </w:p>
        </w:tc>
        <w:tc>
          <w:tcPr>
            <w:tcW w:w="1304" w:type="dxa"/>
            <w:tcBorders>
              <w:top w:val="single" w:sz="4" w:space="0" w:color="auto"/>
              <w:bottom w:val="single" w:sz="4" w:space="0" w:color="A6A6A6" w:themeColor="background1" w:themeShade="A6"/>
            </w:tcBorders>
            <w:hideMark/>
          </w:tcPr>
          <w:p w:rsidR="008F12EE" w:rsidRPr="00305D44" w:rsidRDefault="008F12EE" w:rsidP="00BD471F">
            <w:pPr>
              <w:spacing w:before="80" w:after="60"/>
              <w:jc w:val="right"/>
              <w:rPr>
                <w:rFonts w:cs="Arial"/>
                <w:color w:val="000000"/>
                <w:sz w:val="18"/>
                <w:szCs w:val="18"/>
                <w:lang w:eastAsia="en-AU"/>
              </w:rPr>
            </w:pPr>
          </w:p>
        </w:tc>
        <w:tc>
          <w:tcPr>
            <w:tcW w:w="1361" w:type="dxa"/>
            <w:tcBorders>
              <w:top w:val="single" w:sz="4" w:space="0" w:color="auto"/>
              <w:bottom w:val="single" w:sz="4" w:space="0" w:color="A6A6A6" w:themeColor="background1" w:themeShade="A6"/>
            </w:tcBorders>
            <w:hideMark/>
          </w:tcPr>
          <w:p w:rsidR="008F12EE" w:rsidRPr="00305D44" w:rsidRDefault="008F12EE" w:rsidP="00BD471F">
            <w:pPr>
              <w:spacing w:before="80" w:after="60"/>
              <w:jc w:val="right"/>
              <w:rPr>
                <w:rFonts w:cs="Arial"/>
                <w:color w:val="000000"/>
                <w:sz w:val="18"/>
                <w:szCs w:val="18"/>
                <w:lang w:eastAsia="en-AU"/>
              </w:rPr>
            </w:pPr>
          </w:p>
        </w:tc>
        <w:tc>
          <w:tcPr>
            <w:tcW w:w="624" w:type="dxa"/>
            <w:tcBorders>
              <w:top w:val="single" w:sz="4" w:space="0" w:color="auto"/>
              <w:bottom w:val="single" w:sz="4" w:space="0" w:color="A6A6A6" w:themeColor="background1" w:themeShade="A6"/>
            </w:tcBorders>
            <w:hideMark/>
          </w:tcPr>
          <w:p w:rsidR="008F12EE" w:rsidRPr="00BC25D2" w:rsidRDefault="008F12EE" w:rsidP="00BC25D2">
            <w:pPr>
              <w:pStyle w:val="ARtabletextright"/>
              <w:rPr>
                <w:rStyle w:val="Strong"/>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Adjustment to accumulated surplus/(deficit) due to a change in accounting policy</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(18)</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624" w:type="dxa"/>
            <w:tcBorders>
              <w:top w:val="single" w:sz="4" w:space="0" w:color="A6A6A6" w:themeColor="background1" w:themeShade="A6"/>
              <w:bottom w:val="single" w:sz="4" w:space="0" w:color="A6A6A6" w:themeColor="background1" w:themeShade="A6"/>
            </w:tcBorders>
            <w:hideMark/>
          </w:tcPr>
          <w:p w:rsidR="008F12EE" w:rsidRPr="00BC25D2" w:rsidRDefault="008F12EE" w:rsidP="00BC25D2">
            <w:pPr>
              <w:pStyle w:val="ARtabletextright"/>
              <w:rPr>
                <w:rStyle w:val="Strong"/>
              </w:rPr>
            </w:pP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Asset revaluation reserve</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517</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624" w:type="dxa"/>
            <w:tcBorders>
              <w:top w:val="single" w:sz="4" w:space="0" w:color="A6A6A6" w:themeColor="background1" w:themeShade="A6"/>
              <w:bottom w:val="single" w:sz="4" w:space="0" w:color="A6A6A6" w:themeColor="background1" w:themeShade="A6"/>
            </w:tcBorders>
            <w:hideMark/>
          </w:tcPr>
          <w:p w:rsidR="008F12EE" w:rsidRPr="00BC25D2" w:rsidRDefault="008F12EE" w:rsidP="00BC25D2">
            <w:pPr>
              <w:pStyle w:val="ARtabletextright"/>
              <w:rPr>
                <w:rStyle w:val="Strong"/>
              </w:rPr>
            </w:pPr>
            <w:r w:rsidRPr="00BC25D2">
              <w:rPr>
                <w:rStyle w:val="Strong"/>
              </w:rPr>
              <w:t>9</w:t>
            </w:r>
          </w:p>
        </w:tc>
      </w:tr>
      <w:tr w:rsidR="008F12EE" w:rsidRPr="00305D44" w:rsidTr="0064554F">
        <w:tc>
          <w:tcPr>
            <w:tcW w:w="2835"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
            </w:pPr>
            <w:r w:rsidRPr="00305D44">
              <w:t>Financial assets available-for-sale reserve</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8F12EE" w:rsidP="00BD471F">
            <w:pPr>
              <w:pStyle w:val="ARtabletextright"/>
            </w:pPr>
            <w:r w:rsidRPr="00305D44">
              <w:t>11</w:t>
            </w:r>
          </w:p>
        </w:tc>
        <w:tc>
          <w:tcPr>
            <w:tcW w:w="1134"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247"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1361" w:type="dxa"/>
            <w:tcBorders>
              <w:top w:val="single" w:sz="4" w:space="0" w:color="A6A6A6" w:themeColor="background1" w:themeShade="A6"/>
              <w:bottom w:val="single" w:sz="4" w:space="0" w:color="A6A6A6" w:themeColor="background1" w:themeShade="A6"/>
            </w:tcBorders>
            <w:hideMark/>
          </w:tcPr>
          <w:p w:rsidR="008F12EE" w:rsidRPr="00305D44" w:rsidRDefault="00A01B92" w:rsidP="00BD471F">
            <w:pPr>
              <w:pStyle w:val="ARtabletextright"/>
            </w:pPr>
            <w:r>
              <w:t>–</w:t>
            </w:r>
          </w:p>
        </w:tc>
        <w:tc>
          <w:tcPr>
            <w:tcW w:w="624" w:type="dxa"/>
            <w:tcBorders>
              <w:top w:val="single" w:sz="4" w:space="0" w:color="A6A6A6" w:themeColor="background1" w:themeShade="A6"/>
              <w:bottom w:val="single" w:sz="4" w:space="0" w:color="A6A6A6" w:themeColor="background1" w:themeShade="A6"/>
            </w:tcBorders>
            <w:hideMark/>
          </w:tcPr>
          <w:p w:rsidR="008F12EE" w:rsidRPr="00BC25D2" w:rsidRDefault="008F12EE" w:rsidP="00BC25D2">
            <w:pPr>
              <w:pStyle w:val="ARtabletextright"/>
              <w:rPr>
                <w:rStyle w:val="Strong"/>
              </w:rPr>
            </w:pPr>
          </w:p>
        </w:tc>
      </w:tr>
      <w:tr w:rsidR="008F12EE" w:rsidRPr="00305D44" w:rsidTr="0064554F">
        <w:tc>
          <w:tcPr>
            <w:tcW w:w="2835" w:type="dxa"/>
            <w:tcBorders>
              <w:top w:val="single" w:sz="4" w:space="0" w:color="A6A6A6" w:themeColor="background1" w:themeShade="A6"/>
            </w:tcBorders>
            <w:hideMark/>
          </w:tcPr>
          <w:p w:rsidR="008F12EE" w:rsidRPr="00305D44" w:rsidRDefault="008F12EE" w:rsidP="00BD471F">
            <w:pPr>
              <w:pStyle w:val="ARtabletext"/>
            </w:pPr>
            <w:r w:rsidRPr="00305D44">
              <w:t>Other</w:t>
            </w:r>
          </w:p>
        </w:tc>
        <w:tc>
          <w:tcPr>
            <w:tcW w:w="1134" w:type="dxa"/>
            <w:tcBorders>
              <w:top w:val="single" w:sz="4" w:space="0" w:color="A6A6A6" w:themeColor="background1" w:themeShade="A6"/>
            </w:tcBorders>
            <w:hideMark/>
          </w:tcPr>
          <w:p w:rsidR="008F12EE" w:rsidRPr="00305D44" w:rsidRDefault="008F12EE" w:rsidP="00BD471F">
            <w:pPr>
              <w:pStyle w:val="ARtabletextright"/>
            </w:pPr>
            <w:r w:rsidRPr="00305D44">
              <w:t>153</w:t>
            </w:r>
          </w:p>
        </w:tc>
        <w:tc>
          <w:tcPr>
            <w:tcW w:w="1134" w:type="dxa"/>
            <w:tcBorders>
              <w:top w:val="single" w:sz="4" w:space="0" w:color="A6A6A6" w:themeColor="background1" w:themeShade="A6"/>
            </w:tcBorders>
            <w:hideMark/>
          </w:tcPr>
          <w:p w:rsidR="008F12EE" w:rsidRPr="00305D44" w:rsidRDefault="00A01B92" w:rsidP="00BD471F">
            <w:pPr>
              <w:pStyle w:val="ARtabletextright"/>
            </w:pPr>
            <w:r>
              <w:t>–</w:t>
            </w:r>
          </w:p>
        </w:tc>
        <w:tc>
          <w:tcPr>
            <w:tcW w:w="1247" w:type="dxa"/>
            <w:tcBorders>
              <w:top w:val="single" w:sz="4" w:space="0" w:color="A6A6A6" w:themeColor="background1" w:themeShade="A6"/>
            </w:tcBorders>
            <w:hideMark/>
          </w:tcPr>
          <w:p w:rsidR="008F12EE" w:rsidRPr="00305D44" w:rsidRDefault="00A01B92" w:rsidP="00BD471F">
            <w:pPr>
              <w:pStyle w:val="ARtabletextright"/>
            </w:pPr>
            <w:r>
              <w:t>–</w:t>
            </w:r>
          </w:p>
        </w:tc>
        <w:tc>
          <w:tcPr>
            <w:tcW w:w="1304" w:type="dxa"/>
            <w:tcBorders>
              <w:top w:val="single" w:sz="4" w:space="0" w:color="A6A6A6" w:themeColor="background1" w:themeShade="A6"/>
            </w:tcBorders>
            <w:hideMark/>
          </w:tcPr>
          <w:p w:rsidR="008F12EE" w:rsidRPr="00305D44" w:rsidRDefault="00A01B92" w:rsidP="00BD471F">
            <w:pPr>
              <w:pStyle w:val="ARtabletextright"/>
            </w:pPr>
            <w:r>
              <w:t>–</w:t>
            </w:r>
          </w:p>
        </w:tc>
        <w:tc>
          <w:tcPr>
            <w:tcW w:w="1361" w:type="dxa"/>
            <w:tcBorders>
              <w:top w:val="single" w:sz="4" w:space="0" w:color="A6A6A6" w:themeColor="background1" w:themeShade="A6"/>
            </w:tcBorders>
            <w:hideMark/>
          </w:tcPr>
          <w:p w:rsidR="008F12EE" w:rsidRPr="00305D44" w:rsidRDefault="00A01B92" w:rsidP="00BD471F">
            <w:pPr>
              <w:pStyle w:val="ARtabletextright"/>
            </w:pPr>
            <w:r>
              <w:t>–</w:t>
            </w:r>
          </w:p>
        </w:tc>
        <w:tc>
          <w:tcPr>
            <w:tcW w:w="624" w:type="dxa"/>
            <w:tcBorders>
              <w:top w:val="single" w:sz="4" w:space="0" w:color="A6A6A6" w:themeColor="background1" w:themeShade="A6"/>
            </w:tcBorders>
            <w:hideMark/>
          </w:tcPr>
          <w:p w:rsidR="008F12EE" w:rsidRPr="00BC25D2" w:rsidRDefault="008F12EE" w:rsidP="00BC25D2">
            <w:pPr>
              <w:pStyle w:val="ARtabletextright"/>
              <w:rPr>
                <w:rStyle w:val="Strong"/>
              </w:rPr>
            </w:pPr>
            <w:r w:rsidRPr="00BC25D2">
              <w:rPr>
                <w:rStyle w:val="Strong"/>
              </w:rPr>
              <w:t>10</w:t>
            </w:r>
          </w:p>
        </w:tc>
      </w:tr>
      <w:tr w:rsidR="008F12EE" w:rsidRPr="00305D44" w:rsidTr="009F18E9">
        <w:tc>
          <w:tcPr>
            <w:tcW w:w="2835" w:type="dxa"/>
            <w:hideMark/>
          </w:tcPr>
          <w:p w:rsidR="008F12EE" w:rsidRPr="00305D44" w:rsidRDefault="008F12EE" w:rsidP="00BD471F">
            <w:pPr>
              <w:pStyle w:val="ARtabletextbold"/>
            </w:pPr>
            <w:r w:rsidRPr="00305D44">
              <w:t>Total other economic flows – other comprehensive income</w:t>
            </w:r>
          </w:p>
        </w:tc>
        <w:tc>
          <w:tcPr>
            <w:tcW w:w="1134" w:type="dxa"/>
            <w:hideMark/>
          </w:tcPr>
          <w:p w:rsidR="008F12EE" w:rsidRPr="0004028E" w:rsidRDefault="008F12EE" w:rsidP="00BD471F">
            <w:pPr>
              <w:pStyle w:val="ARtabletextright"/>
              <w:rPr>
                <w:b/>
              </w:rPr>
            </w:pPr>
            <w:r w:rsidRPr="0004028E">
              <w:rPr>
                <w:b/>
              </w:rPr>
              <w:t>664</w:t>
            </w:r>
          </w:p>
        </w:tc>
        <w:tc>
          <w:tcPr>
            <w:tcW w:w="1134" w:type="dxa"/>
            <w:hideMark/>
          </w:tcPr>
          <w:p w:rsidR="008F12EE" w:rsidRPr="00305D44" w:rsidRDefault="00A01B92" w:rsidP="00BD471F">
            <w:pPr>
              <w:pStyle w:val="ARtabletextright"/>
            </w:pPr>
            <w:r>
              <w:t>–</w:t>
            </w:r>
          </w:p>
        </w:tc>
        <w:tc>
          <w:tcPr>
            <w:tcW w:w="1247" w:type="dxa"/>
            <w:hideMark/>
          </w:tcPr>
          <w:p w:rsidR="008F12EE" w:rsidRPr="00305D44" w:rsidRDefault="00A01B92" w:rsidP="00BD471F">
            <w:pPr>
              <w:pStyle w:val="ARtabletextright"/>
            </w:pPr>
            <w:r>
              <w:t>–</w:t>
            </w:r>
          </w:p>
        </w:tc>
        <w:tc>
          <w:tcPr>
            <w:tcW w:w="1304" w:type="dxa"/>
            <w:hideMark/>
          </w:tcPr>
          <w:p w:rsidR="008F12EE" w:rsidRPr="00305D44" w:rsidRDefault="00A01B92" w:rsidP="00BD471F">
            <w:pPr>
              <w:pStyle w:val="ARtabletextright"/>
            </w:pPr>
            <w:r>
              <w:t>–</w:t>
            </w:r>
          </w:p>
        </w:tc>
        <w:tc>
          <w:tcPr>
            <w:tcW w:w="1361" w:type="dxa"/>
            <w:hideMark/>
          </w:tcPr>
          <w:p w:rsidR="008F12EE" w:rsidRPr="00305D44" w:rsidRDefault="00A01B92" w:rsidP="00BD471F">
            <w:pPr>
              <w:pStyle w:val="ARtabletextright"/>
            </w:pPr>
            <w:r>
              <w:t>–</w:t>
            </w:r>
          </w:p>
        </w:tc>
        <w:tc>
          <w:tcPr>
            <w:tcW w:w="624" w:type="dxa"/>
            <w:hideMark/>
          </w:tcPr>
          <w:p w:rsidR="008F12EE" w:rsidRPr="00BC25D2" w:rsidRDefault="008F12EE" w:rsidP="00BC25D2">
            <w:pPr>
              <w:pStyle w:val="ARtabletextright"/>
              <w:rPr>
                <w:rStyle w:val="Strong"/>
              </w:rPr>
            </w:pPr>
          </w:p>
        </w:tc>
      </w:tr>
      <w:tr w:rsidR="008F12EE" w:rsidRPr="00305D44" w:rsidTr="009F18E9">
        <w:tc>
          <w:tcPr>
            <w:tcW w:w="2835" w:type="dxa"/>
            <w:hideMark/>
          </w:tcPr>
          <w:p w:rsidR="008F12EE" w:rsidRPr="00305D44" w:rsidRDefault="008F12EE" w:rsidP="00BD471F">
            <w:pPr>
              <w:pStyle w:val="ARtabletextbold"/>
            </w:pPr>
            <w:r w:rsidRPr="00305D44">
              <w:t>Comprehensive result</w:t>
            </w:r>
          </w:p>
        </w:tc>
        <w:tc>
          <w:tcPr>
            <w:tcW w:w="1134" w:type="dxa"/>
            <w:hideMark/>
          </w:tcPr>
          <w:p w:rsidR="008F12EE" w:rsidRPr="00FB1CBA" w:rsidRDefault="008F12EE" w:rsidP="00BD471F">
            <w:pPr>
              <w:pStyle w:val="ARtabletextright"/>
              <w:rPr>
                <w:b/>
              </w:rPr>
            </w:pPr>
            <w:r w:rsidRPr="00FB1CBA">
              <w:rPr>
                <w:b/>
              </w:rPr>
              <w:t>1,315</w:t>
            </w:r>
          </w:p>
        </w:tc>
        <w:tc>
          <w:tcPr>
            <w:tcW w:w="1134" w:type="dxa"/>
            <w:hideMark/>
          </w:tcPr>
          <w:p w:rsidR="008F12EE" w:rsidRPr="00FB1CBA" w:rsidRDefault="008F12EE" w:rsidP="00BD471F">
            <w:pPr>
              <w:pStyle w:val="ARtabletextright"/>
              <w:rPr>
                <w:b/>
              </w:rPr>
            </w:pPr>
            <w:r w:rsidRPr="00FB1CBA">
              <w:rPr>
                <w:b/>
              </w:rPr>
              <w:t>220</w:t>
            </w:r>
          </w:p>
        </w:tc>
        <w:tc>
          <w:tcPr>
            <w:tcW w:w="1247" w:type="dxa"/>
            <w:hideMark/>
          </w:tcPr>
          <w:p w:rsidR="008F12EE" w:rsidRPr="00FB1CBA" w:rsidRDefault="008F12EE" w:rsidP="00BD471F">
            <w:pPr>
              <w:pStyle w:val="ARtabletextright"/>
              <w:rPr>
                <w:b/>
              </w:rPr>
            </w:pPr>
            <w:r w:rsidRPr="00FB1CBA">
              <w:rPr>
                <w:b/>
              </w:rPr>
              <w:t>497.7</w:t>
            </w:r>
          </w:p>
        </w:tc>
        <w:tc>
          <w:tcPr>
            <w:tcW w:w="1304" w:type="dxa"/>
            <w:hideMark/>
          </w:tcPr>
          <w:p w:rsidR="008F12EE" w:rsidRPr="00FB1CBA" w:rsidRDefault="008F12EE" w:rsidP="00BD471F">
            <w:pPr>
              <w:pStyle w:val="ARtabletextright"/>
              <w:rPr>
                <w:b/>
              </w:rPr>
            </w:pPr>
            <w:r w:rsidRPr="00FB1CBA">
              <w:rPr>
                <w:b/>
              </w:rPr>
              <w:t>98</w:t>
            </w:r>
          </w:p>
        </w:tc>
        <w:tc>
          <w:tcPr>
            <w:tcW w:w="1361" w:type="dxa"/>
            <w:hideMark/>
          </w:tcPr>
          <w:p w:rsidR="008F12EE" w:rsidRPr="00FB1CBA" w:rsidRDefault="008F12EE" w:rsidP="00BD471F">
            <w:pPr>
              <w:pStyle w:val="ARtabletextright"/>
              <w:rPr>
                <w:b/>
              </w:rPr>
            </w:pPr>
            <w:r w:rsidRPr="00FB1CBA">
              <w:rPr>
                <w:b/>
              </w:rPr>
              <w:t>1,241.8</w:t>
            </w:r>
          </w:p>
        </w:tc>
        <w:tc>
          <w:tcPr>
            <w:tcW w:w="624" w:type="dxa"/>
            <w:hideMark/>
          </w:tcPr>
          <w:p w:rsidR="008F12EE" w:rsidRPr="00BC25D2" w:rsidRDefault="008F12EE" w:rsidP="00BC25D2">
            <w:pPr>
              <w:pStyle w:val="ARtabletextright"/>
              <w:rPr>
                <w:rStyle w:val="Strong"/>
              </w:rPr>
            </w:pPr>
          </w:p>
        </w:tc>
      </w:tr>
    </w:tbl>
    <w:p w:rsidR="00AA035A" w:rsidRDefault="008F12EE" w:rsidP="00DA4FE2">
      <w:pPr>
        <w:pStyle w:val="ARtablefootnote"/>
        <w:numPr>
          <w:ilvl w:val="0"/>
          <w:numId w:val="45"/>
        </w:numPr>
        <w:ind w:left="284" w:hanging="284"/>
      </w:pPr>
      <w:r w:rsidRPr="000B0647">
        <w:rPr>
          <w:rFonts w:eastAsia="Times"/>
        </w:rPr>
        <w:t xml:space="preserve">The variances reflect a </w:t>
      </w:r>
      <w:r>
        <w:rPr>
          <w:rFonts w:eastAsia="Times"/>
        </w:rPr>
        <w:t>r</w:t>
      </w:r>
      <w:r w:rsidRPr="000B0647">
        <w:rPr>
          <w:rFonts w:eastAsia="Times"/>
        </w:rPr>
        <w:t xml:space="preserve">evised </w:t>
      </w:r>
      <w:r>
        <w:rPr>
          <w:rFonts w:eastAsia="Times"/>
        </w:rPr>
        <w:t>b</w:t>
      </w:r>
      <w:r w:rsidRPr="000B0647">
        <w:rPr>
          <w:rFonts w:eastAsia="Times"/>
        </w:rPr>
        <w:t xml:space="preserve">udget that was reduced from </w:t>
      </w:r>
      <w:r>
        <w:rPr>
          <w:rFonts w:eastAsia="Times"/>
        </w:rPr>
        <w:t>p</w:t>
      </w:r>
      <w:r w:rsidRPr="000B0647">
        <w:rPr>
          <w:rFonts w:eastAsia="Times"/>
        </w:rPr>
        <w:t xml:space="preserve">ublished </w:t>
      </w:r>
      <w:r>
        <w:rPr>
          <w:rFonts w:eastAsia="Times"/>
        </w:rPr>
        <w:t>b</w:t>
      </w:r>
      <w:r w:rsidRPr="000B0647">
        <w:rPr>
          <w:rFonts w:eastAsia="Times"/>
        </w:rPr>
        <w:t>udget due to lower expectations of int</w:t>
      </w:r>
      <w:r>
        <w:rPr>
          <w:rFonts w:eastAsia="Times"/>
        </w:rPr>
        <w:t xml:space="preserve">erest revenue during the year. </w:t>
      </w:r>
      <w:r w:rsidRPr="000B0647">
        <w:rPr>
          <w:rFonts w:eastAsia="Times"/>
        </w:rPr>
        <w:t xml:space="preserve">Subsequently the actual revenue was higher than </w:t>
      </w:r>
      <w:r>
        <w:rPr>
          <w:rFonts w:eastAsia="Times"/>
        </w:rPr>
        <w:t>r</w:t>
      </w:r>
      <w:r w:rsidRPr="000B0647">
        <w:rPr>
          <w:rFonts w:eastAsia="Times"/>
        </w:rPr>
        <w:t xml:space="preserve">evised </w:t>
      </w:r>
      <w:r>
        <w:rPr>
          <w:rFonts w:eastAsia="Times"/>
        </w:rPr>
        <w:t>b</w:t>
      </w:r>
      <w:r w:rsidRPr="000B0647">
        <w:rPr>
          <w:rFonts w:eastAsia="Times"/>
        </w:rPr>
        <w:t>udget due to greater investment balances held in the hospitals sector</w:t>
      </w:r>
      <w:r w:rsidRPr="006167CA">
        <w:rPr>
          <w:rFonts w:eastAsia="Times"/>
        </w:rPr>
        <w:t>.</w:t>
      </w:r>
    </w:p>
    <w:p w:rsidR="008F12EE" w:rsidRDefault="008F12EE" w:rsidP="00DA4FE2">
      <w:pPr>
        <w:pStyle w:val="ARtablefootnote"/>
        <w:numPr>
          <w:ilvl w:val="0"/>
          <w:numId w:val="45"/>
        </w:numPr>
        <w:ind w:left="284" w:hanging="284"/>
        <w:rPr>
          <w:lang w:eastAsia="en-AU"/>
        </w:rPr>
      </w:pPr>
      <w:r w:rsidRPr="000B0647">
        <w:rPr>
          <w:lang w:eastAsia="en-AU"/>
        </w:rPr>
        <w:t>The variance relates to lower than anticipated revenue for patient fees across public hospitals and health services</w:t>
      </w:r>
      <w:r w:rsidRPr="006167CA">
        <w:rPr>
          <w:lang w:eastAsia="en-AU"/>
        </w:rPr>
        <w:t>.</w:t>
      </w:r>
    </w:p>
    <w:p w:rsidR="00AA035A" w:rsidRDefault="008F12EE" w:rsidP="00DA4FE2">
      <w:pPr>
        <w:pStyle w:val="ARtablefootnote"/>
        <w:numPr>
          <w:ilvl w:val="0"/>
          <w:numId w:val="45"/>
        </w:numPr>
        <w:ind w:left="284" w:hanging="284"/>
        <w:rPr>
          <w:lang w:eastAsia="en-AU"/>
        </w:rPr>
      </w:pPr>
      <w:r w:rsidRPr="000B0647">
        <w:rPr>
          <w:lang w:eastAsia="en-AU"/>
        </w:rPr>
        <w:t>The variance relates to additional revenue from the Commonwealth for drugs added to the Pharmaceutical Benefits Scheme (PBS) late in 2015</w:t>
      </w:r>
      <w:r>
        <w:rPr>
          <w:lang w:eastAsia="en-AU"/>
        </w:rPr>
        <w:t>–</w:t>
      </w:r>
      <w:r w:rsidRPr="000B0647">
        <w:rPr>
          <w:lang w:eastAsia="en-AU"/>
        </w:rPr>
        <w:t xml:space="preserve">16. This was not reflected in the </w:t>
      </w:r>
      <w:r>
        <w:rPr>
          <w:lang w:eastAsia="en-AU"/>
        </w:rPr>
        <w:t>p</w:t>
      </w:r>
      <w:r w:rsidRPr="000B0647">
        <w:rPr>
          <w:lang w:eastAsia="en-AU"/>
        </w:rPr>
        <w:t xml:space="preserve">ublished </w:t>
      </w:r>
      <w:r>
        <w:rPr>
          <w:lang w:eastAsia="en-AU"/>
        </w:rPr>
        <w:t>b</w:t>
      </w:r>
      <w:r w:rsidRPr="000B0647">
        <w:rPr>
          <w:lang w:eastAsia="en-AU"/>
        </w:rPr>
        <w:t xml:space="preserve">udget however was updated in the </w:t>
      </w:r>
      <w:r>
        <w:rPr>
          <w:lang w:eastAsia="en-AU"/>
        </w:rPr>
        <w:t>r</w:t>
      </w:r>
      <w:r w:rsidRPr="000B0647">
        <w:rPr>
          <w:lang w:eastAsia="en-AU"/>
        </w:rPr>
        <w:t xml:space="preserve">evised </w:t>
      </w:r>
      <w:r>
        <w:rPr>
          <w:lang w:eastAsia="en-AU"/>
        </w:rPr>
        <w:t>b</w:t>
      </w:r>
      <w:r w:rsidRPr="000B0647">
        <w:rPr>
          <w:lang w:eastAsia="en-AU"/>
        </w:rPr>
        <w:t>udget.</w:t>
      </w:r>
    </w:p>
    <w:p w:rsidR="008F12EE" w:rsidRDefault="008F12EE" w:rsidP="00DA4FE2">
      <w:pPr>
        <w:pStyle w:val="ARtablefootnote"/>
        <w:numPr>
          <w:ilvl w:val="0"/>
          <w:numId w:val="45"/>
        </w:numPr>
        <w:ind w:left="284" w:hanging="284"/>
        <w:rPr>
          <w:lang w:eastAsia="en-AU"/>
        </w:rPr>
      </w:pPr>
      <w:r w:rsidRPr="000B0647">
        <w:rPr>
          <w:lang w:eastAsia="en-AU"/>
        </w:rPr>
        <w:t xml:space="preserve">The variance relates to the recognition of the Kardinia Park Stadium Trust assets which had not been valued at time of the </w:t>
      </w:r>
      <w:r>
        <w:rPr>
          <w:lang w:eastAsia="en-AU"/>
        </w:rPr>
        <w:t>p</w:t>
      </w:r>
      <w:r w:rsidRPr="000B0647">
        <w:rPr>
          <w:lang w:eastAsia="en-AU"/>
        </w:rPr>
        <w:t xml:space="preserve">ublished </w:t>
      </w:r>
      <w:r>
        <w:rPr>
          <w:lang w:eastAsia="en-AU"/>
        </w:rPr>
        <w:t>b</w:t>
      </w:r>
      <w:r w:rsidRPr="000B0647">
        <w:rPr>
          <w:lang w:eastAsia="en-AU"/>
        </w:rPr>
        <w:t>udget</w:t>
      </w:r>
      <w:r w:rsidRPr="006167CA">
        <w:rPr>
          <w:lang w:eastAsia="en-AU"/>
        </w:rPr>
        <w:t>.</w:t>
      </w:r>
    </w:p>
    <w:p w:rsidR="008F12EE" w:rsidRDefault="008F12EE" w:rsidP="00DA4FE2">
      <w:pPr>
        <w:pStyle w:val="ARtablefootnote"/>
        <w:numPr>
          <w:ilvl w:val="0"/>
          <w:numId w:val="45"/>
        </w:numPr>
        <w:ind w:left="284" w:hanging="284"/>
        <w:rPr>
          <w:lang w:eastAsia="en-AU"/>
        </w:rPr>
      </w:pPr>
      <w:r w:rsidRPr="000B0647">
        <w:rPr>
          <w:lang w:eastAsia="en-AU"/>
        </w:rPr>
        <w:t xml:space="preserve">The variance relates to donations and miscellaneous non-operating revenue that was not anticipated at </w:t>
      </w:r>
      <w:r>
        <w:rPr>
          <w:lang w:eastAsia="en-AU"/>
        </w:rPr>
        <w:t>p</w:t>
      </w:r>
      <w:r w:rsidRPr="000B0647">
        <w:rPr>
          <w:lang w:eastAsia="en-AU"/>
        </w:rPr>
        <w:t xml:space="preserve">ublished </w:t>
      </w:r>
      <w:r>
        <w:rPr>
          <w:lang w:eastAsia="en-AU"/>
        </w:rPr>
        <w:t>b</w:t>
      </w:r>
      <w:r w:rsidRPr="000B0647">
        <w:rPr>
          <w:lang w:eastAsia="en-AU"/>
        </w:rPr>
        <w:t xml:space="preserve">udget, however updated for </w:t>
      </w:r>
      <w:r>
        <w:rPr>
          <w:lang w:eastAsia="en-AU"/>
        </w:rPr>
        <w:t>r</w:t>
      </w:r>
      <w:r w:rsidRPr="000B0647">
        <w:rPr>
          <w:lang w:eastAsia="en-AU"/>
        </w:rPr>
        <w:t xml:space="preserve">evised </w:t>
      </w:r>
      <w:r>
        <w:rPr>
          <w:lang w:eastAsia="en-AU"/>
        </w:rPr>
        <w:t>b</w:t>
      </w:r>
      <w:r w:rsidRPr="000B0647">
        <w:rPr>
          <w:lang w:eastAsia="en-AU"/>
        </w:rPr>
        <w:t>udget</w:t>
      </w:r>
      <w:r w:rsidRPr="006167CA">
        <w:rPr>
          <w:lang w:eastAsia="en-AU"/>
        </w:rPr>
        <w:t>.</w:t>
      </w:r>
    </w:p>
    <w:p w:rsidR="008F12EE" w:rsidRDefault="008F12EE" w:rsidP="00DA4FE2">
      <w:pPr>
        <w:pStyle w:val="ARtablefootnote"/>
        <w:numPr>
          <w:ilvl w:val="0"/>
          <w:numId w:val="45"/>
        </w:numPr>
        <w:ind w:left="284" w:hanging="284"/>
        <w:rPr>
          <w:lang w:eastAsia="en-AU"/>
        </w:rPr>
      </w:pPr>
      <w:r w:rsidRPr="000B0647">
        <w:rPr>
          <w:lang w:eastAsia="en-AU"/>
        </w:rPr>
        <w:t xml:space="preserve">Actuals exceeded </w:t>
      </w:r>
      <w:r>
        <w:rPr>
          <w:lang w:eastAsia="en-AU"/>
        </w:rPr>
        <w:t>p</w:t>
      </w:r>
      <w:r w:rsidRPr="000B0647">
        <w:rPr>
          <w:lang w:eastAsia="en-AU"/>
        </w:rPr>
        <w:t xml:space="preserve">ublished </w:t>
      </w:r>
      <w:r>
        <w:rPr>
          <w:lang w:eastAsia="en-AU"/>
        </w:rPr>
        <w:t>b</w:t>
      </w:r>
      <w:r w:rsidRPr="000B0647">
        <w:rPr>
          <w:lang w:eastAsia="en-AU"/>
        </w:rPr>
        <w:t>udget due to increased costs of Enterprise Bargaining Agreements (EBAs) across the hospital entities in 2016</w:t>
      </w:r>
      <w:r>
        <w:rPr>
          <w:lang w:eastAsia="en-AU"/>
        </w:rPr>
        <w:t>–</w:t>
      </w:r>
      <w:r w:rsidRPr="000B0647">
        <w:rPr>
          <w:lang w:eastAsia="en-AU"/>
        </w:rPr>
        <w:t xml:space="preserve">17. These costs were reflected in the </w:t>
      </w:r>
      <w:r>
        <w:rPr>
          <w:lang w:eastAsia="en-AU"/>
        </w:rPr>
        <w:t>r</w:t>
      </w:r>
      <w:r w:rsidRPr="000B0647">
        <w:rPr>
          <w:lang w:eastAsia="en-AU"/>
        </w:rPr>
        <w:t xml:space="preserve">evised </w:t>
      </w:r>
      <w:r>
        <w:rPr>
          <w:lang w:eastAsia="en-AU"/>
        </w:rPr>
        <w:t>b</w:t>
      </w:r>
      <w:r w:rsidRPr="000B0647">
        <w:rPr>
          <w:lang w:eastAsia="en-AU"/>
        </w:rPr>
        <w:t>udget</w:t>
      </w:r>
      <w:r w:rsidRPr="006167CA">
        <w:rPr>
          <w:lang w:eastAsia="en-AU"/>
        </w:rPr>
        <w:t>.</w:t>
      </w:r>
    </w:p>
    <w:p w:rsidR="00B20190" w:rsidRPr="00B20190" w:rsidRDefault="00B20190" w:rsidP="00DA4FE2">
      <w:pPr>
        <w:pStyle w:val="ListParagraph"/>
        <w:numPr>
          <w:ilvl w:val="0"/>
          <w:numId w:val="45"/>
        </w:numPr>
        <w:ind w:left="284" w:hanging="284"/>
        <w:rPr>
          <w:i/>
          <w:sz w:val="16"/>
          <w:szCs w:val="16"/>
          <w:lang w:eastAsia="en-AU"/>
        </w:rPr>
      </w:pPr>
      <w:r w:rsidRPr="00B20190">
        <w:rPr>
          <w:i/>
          <w:sz w:val="16"/>
          <w:szCs w:val="16"/>
          <w:lang w:eastAsia="en-AU"/>
        </w:rPr>
        <w:t>The variance is mainly due to the transition to National Disability Insurance Scheme (NDIS) which was not reflected in the Published Budget. As a result of this transition, expenses relating to the disability output that were previously paid directly to service providers and accounted for as other operating expenses are now paid to the NDIA and accounted for as grants and other expense transfers.</w:t>
      </w:r>
    </w:p>
    <w:p w:rsidR="008F12EE" w:rsidRDefault="008F12EE" w:rsidP="00DA4FE2">
      <w:pPr>
        <w:pStyle w:val="ARtablefootnote"/>
        <w:numPr>
          <w:ilvl w:val="0"/>
          <w:numId w:val="45"/>
        </w:numPr>
        <w:ind w:left="284" w:hanging="284"/>
        <w:rPr>
          <w:lang w:eastAsia="en-AU"/>
        </w:rPr>
      </w:pPr>
      <w:r w:rsidRPr="000B0647">
        <w:rPr>
          <w:lang w:eastAsia="en-AU"/>
        </w:rPr>
        <w:t xml:space="preserve">The variances are due mainly to </w:t>
      </w:r>
      <w:r>
        <w:rPr>
          <w:lang w:eastAsia="en-AU"/>
        </w:rPr>
        <w:t>a</w:t>
      </w:r>
      <w:r w:rsidRPr="000B0647">
        <w:rPr>
          <w:lang w:eastAsia="en-AU"/>
        </w:rPr>
        <w:t xml:space="preserve">nnual and </w:t>
      </w:r>
      <w:r>
        <w:rPr>
          <w:lang w:eastAsia="en-AU"/>
        </w:rPr>
        <w:t>l</w:t>
      </w:r>
      <w:r w:rsidRPr="000B0647">
        <w:rPr>
          <w:lang w:eastAsia="en-AU"/>
        </w:rPr>
        <w:t xml:space="preserve">ong </w:t>
      </w:r>
      <w:r>
        <w:rPr>
          <w:lang w:eastAsia="en-AU"/>
        </w:rPr>
        <w:t>s</w:t>
      </w:r>
      <w:r w:rsidRPr="000B0647">
        <w:rPr>
          <w:lang w:eastAsia="en-AU"/>
        </w:rPr>
        <w:t xml:space="preserve">ervice </w:t>
      </w:r>
      <w:r>
        <w:rPr>
          <w:lang w:eastAsia="en-AU"/>
        </w:rPr>
        <w:t>l</w:t>
      </w:r>
      <w:r w:rsidRPr="000B0647">
        <w:rPr>
          <w:lang w:eastAsia="en-AU"/>
        </w:rPr>
        <w:t>eave provision revaluations being reflective of bond rate movements which are unknown at</w:t>
      </w:r>
      <w:r>
        <w:rPr>
          <w:lang w:eastAsia="en-AU"/>
        </w:rPr>
        <w:t xml:space="preserve"> p</w:t>
      </w:r>
      <w:r w:rsidRPr="000B0647">
        <w:rPr>
          <w:lang w:eastAsia="en-AU"/>
        </w:rPr>
        <w:t xml:space="preserve">ublished and </w:t>
      </w:r>
      <w:r>
        <w:rPr>
          <w:lang w:eastAsia="en-AU"/>
        </w:rPr>
        <w:t>r</w:t>
      </w:r>
      <w:r w:rsidRPr="000B0647">
        <w:rPr>
          <w:lang w:eastAsia="en-AU"/>
        </w:rPr>
        <w:t xml:space="preserve">evised </w:t>
      </w:r>
      <w:r>
        <w:rPr>
          <w:lang w:eastAsia="en-AU"/>
        </w:rPr>
        <w:t>b</w:t>
      </w:r>
      <w:r w:rsidRPr="000B0647">
        <w:rPr>
          <w:lang w:eastAsia="en-AU"/>
        </w:rPr>
        <w:t>udgets</w:t>
      </w:r>
      <w:r w:rsidRPr="006167CA">
        <w:rPr>
          <w:lang w:eastAsia="en-AU"/>
        </w:rPr>
        <w:t>.</w:t>
      </w:r>
    </w:p>
    <w:p w:rsidR="008F12EE" w:rsidRDefault="008F12EE" w:rsidP="00DA4FE2">
      <w:pPr>
        <w:pStyle w:val="ARtablefootnote"/>
        <w:numPr>
          <w:ilvl w:val="0"/>
          <w:numId w:val="45"/>
        </w:numPr>
        <w:ind w:left="284" w:hanging="284"/>
        <w:rPr>
          <w:lang w:eastAsia="en-AU"/>
        </w:rPr>
      </w:pPr>
      <w:r w:rsidRPr="000B0647">
        <w:rPr>
          <w:lang w:eastAsia="en-AU"/>
        </w:rPr>
        <w:t xml:space="preserve">This item reflects the revaluations of non-financial physical assets which are based on movements of indices issued by the </w:t>
      </w:r>
      <w:proofErr w:type="spellStart"/>
      <w:r w:rsidRPr="000B0647">
        <w:rPr>
          <w:lang w:eastAsia="en-AU"/>
        </w:rPr>
        <w:t>Valuer</w:t>
      </w:r>
      <w:proofErr w:type="spellEnd"/>
      <w:r w:rsidRPr="000B0647">
        <w:rPr>
          <w:lang w:eastAsia="en-AU"/>
        </w:rPr>
        <w:t xml:space="preserve"> General Victoria. These are not known when the </w:t>
      </w:r>
      <w:r>
        <w:rPr>
          <w:lang w:eastAsia="en-AU"/>
        </w:rPr>
        <w:t>p</w:t>
      </w:r>
      <w:r w:rsidRPr="000B0647">
        <w:rPr>
          <w:lang w:eastAsia="en-AU"/>
        </w:rPr>
        <w:t xml:space="preserve">ublished and </w:t>
      </w:r>
      <w:r>
        <w:rPr>
          <w:lang w:eastAsia="en-AU"/>
        </w:rPr>
        <w:t>r</w:t>
      </w:r>
      <w:r w:rsidRPr="000B0647">
        <w:rPr>
          <w:lang w:eastAsia="en-AU"/>
        </w:rPr>
        <w:t xml:space="preserve">evised </w:t>
      </w:r>
      <w:r>
        <w:rPr>
          <w:lang w:eastAsia="en-AU"/>
        </w:rPr>
        <w:t>b</w:t>
      </w:r>
      <w:r w:rsidRPr="000B0647">
        <w:rPr>
          <w:lang w:eastAsia="en-AU"/>
        </w:rPr>
        <w:t>udgets are prepared</w:t>
      </w:r>
      <w:r w:rsidRPr="006167CA">
        <w:rPr>
          <w:lang w:eastAsia="en-AU"/>
        </w:rPr>
        <w:t>.</w:t>
      </w:r>
    </w:p>
    <w:p w:rsidR="008F12EE" w:rsidRPr="006167CA" w:rsidRDefault="008F12EE" w:rsidP="00DA4FE2">
      <w:pPr>
        <w:pStyle w:val="ARtablefootnote"/>
        <w:numPr>
          <w:ilvl w:val="0"/>
          <w:numId w:val="45"/>
        </w:numPr>
        <w:ind w:left="284" w:hanging="284"/>
        <w:rPr>
          <w:lang w:eastAsia="en-AU"/>
        </w:rPr>
      </w:pPr>
      <w:r w:rsidRPr="000B0647">
        <w:rPr>
          <w:lang w:eastAsia="en-AU"/>
        </w:rPr>
        <w:t>This item reflects the hedging reserve balance relating to financing arrangements for the Victorian Comprehensive Cancer Centre, as well as reserves held across public hospitals and health services for specific purposes</w:t>
      </w:r>
      <w:r w:rsidRPr="006167CA">
        <w:rPr>
          <w:lang w:eastAsia="en-AU"/>
        </w:rPr>
        <w:t>.</w:t>
      </w:r>
    </w:p>
    <w:p w:rsidR="008F12EE" w:rsidRPr="0066026E" w:rsidRDefault="008F12EE" w:rsidP="0066026E">
      <w:pPr>
        <w:pStyle w:val="Heading3"/>
      </w:pPr>
      <w:r w:rsidRPr="0066026E">
        <w:br w:type="page"/>
      </w:r>
      <w:bookmarkStart w:id="119" w:name="_Toc462577200"/>
      <w:r w:rsidRPr="0066026E">
        <w:lastRenderedPageBreak/>
        <w:t>Balance sheet as at 30 June 201</w:t>
      </w:r>
      <w:bookmarkEnd w:id="119"/>
      <w:r w:rsidRPr="0066026E">
        <w:t>7</w:t>
      </w:r>
    </w:p>
    <w:tbl>
      <w:tblPr>
        <w:tblStyle w:val="TableGrid"/>
        <w:tblW w:w="9639" w:type="dxa"/>
        <w:tblLook w:val="06A0" w:firstRow="1" w:lastRow="0" w:firstColumn="1" w:lastColumn="0" w:noHBand="1" w:noVBand="1"/>
      </w:tblPr>
      <w:tblGrid>
        <w:gridCol w:w="3473"/>
        <w:gridCol w:w="989"/>
        <w:gridCol w:w="1010"/>
        <w:gridCol w:w="1130"/>
        <w:gridCol w:w="1193"/>
        <w:gridCol w:w="1235"/>
        <w:gridCol w:w="609"/>
      </w:tblGrid>
      <w:tr w:rsidR="00396BC3" w:rsidTr="0064554F">
        <w:trPr>
          <w:cnfStyle w:val="100000000000" w:firstRow="1" w:lastRow="0" w:firstColumn="0" w:lastColumn="0" w:oddVBand="0" w:evenVBand="0" w:oddHBand="0" w:evenHBand="0" w:firstRowFirstColumn="0" w:firstRowLastColumn="0" w:lastRowFirstColumn="0" w:lastRowLastColumn="0"/>
          <w:tblHeader/>
        </w:trPr>
        <w:tc>
          <w:tcPr>
            <w:tcW w:w="3473" w:type="dxa"/>
            <w:tcBorders>
              <w:bottom w:val="single" w:sz="4" w:space="0" w:color="auto"/>
            </w:tcBorders>
            <w:hideMark/>
          </w:tcPr>
          <w:p w:rsidR="00396BC3" w:rsidRDefault="00396BC3" w:rsidP="009A0887">
            <w:pPr>
              <w:rPr>
                <w:rFonts w:cs="Arial"/>
                <w:b/>
                <w:bCs/>
                <w:color w:val="000000"/>
                <w:sz w:val="18"/>
                <w:szCs w:val="18"/>
              </w:rPr>
            </w:pPr>
          </w:p>
        </w:tc>
        <w:tc>
          <w:tcPr>
            <w:tcW w:w="989" w:type="dxa"/>
            <w:tcBorders>
              <w:bottom w:val="single" w:sz="4" w:space="0" w:color="auto"/>
            </w:tcBorders>
            <w:hideMark/>
          </w:tcPr>
          <w:p w:rsidR="00396BC3"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pPr>
            <w:r>
              <w:t>2016–17 actual</w:t>
            </w:r>
          </w:p>
          <w:p w:rsidR="00396BC3" w:rsidRDefault="00396BC3" w:rsidP="009C1BBE">
            <w:pPr>
              <w:pStyle w:val="ARtablecolheadright"/>
              <w:cnfStyle w:val="000000000000" w:firstRow="0" w:lastRow="0" w:firstColumn="0" w:lastColumn="0" w:oddVBand="0" w:evenVBand="0" w:oddHBand="0" w:evenHBand="0" w:firstRowFirstColumn="0" w:firstRowLastColumn="0" w:lastRowFirstColumn="0" w:lastRowLastColumn="0"/>
            </w:pPr>
            <w:r>
              <w:t>$M</w:t>
            </w:r>
          </w:p>
        </w:tc>
        <w:tc>
          <w:tcPr>
            <w:tcW w:w="1010" w:type="dxa"/>
            <w:tcBorders>
              <w:bottom w:val="single" w:sz="4" w:space="0" w:color="auto"/>
            </w:tcBorders>
            <w:hideMark/>
          </w:tcPr>
          <w:p w:rsidR="00396BC3"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pPr>
            <w:r>
              <w:t>2016–17 revised budget</w:t>
            </w:r>
          </w:p>
          <w:p w:rsidR="00396BC3" w:rsidRDefault="00396BC3" w:rsidP="009C1BBE">
            <w:pPr>
              <w:pStyle w:val="ARtablecolheadright"/>
              <w:cnfStyle w:val="000000000000" w:firstRow="0" w:lastRow="0" w:firstColumn="0" w:lastColumn="0" w:oddVBand="0" w:evenVBand="0" w:oddHBand="0" w:evenHBand="0" w:firstRowFirstColumn="0" w:firstRowLastColumn="0" w:lastRowFirstColumn="0" w:lastRowLastColumn="0"/>
            </w:pPr>
            <w:r>
              <w:t>$M</w:t>
            </w:r>
          </w:p>
        </w:tc>
        <w:tc>
          <w:tcPr>
            <w:tcW w:w="1130" w:type="dxa"/>
            <w:tcBorders>
              <w:bottom w:val="single" w:sz="4" w:space="0" w:color="auto"/>
            </w:tcBorders>
            <w:hideMark/>
          </w:tcPr>
          <w:p w:rsidR="00396BC3"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pPr>
            <w:r>
              <w:t>Variation to revised budget</w:t>
            </w:r>
          </w:p>
          <w:p w:rsidR="00396BC3" w:rsidRDefault="00396BC3" w:rsidP="009C1BBE">
            <w:pPr>
              <w:pStyle w:val="ARtablecolheadright"/>
              <w:cnfStyle w:val="000000000000" w:firstRow="0" w:lastRow="0" w:firstColumn="0" w:lastColumn="0" w:oddVBand="0" w:evenVBand="0" w:oddHBand="0" w:evenHBand="0" w:firstRowFirstColumn="0" w:firstRowLastColumn="0" w:lastRowFirstColumn="0" w:lastRowLastColumn="0"/>
            </w:pPr>
            <w:r>
              <w:t>%</w:t>
            </w:r>
          </w:p>
        </w:tc>
        <w:tc>
          <w:tcPr>
            <w:tcW w:w="1193" w:type="dxa"/>
            <w:tcBorders>
              <w:bottom w:val="single" w:sz="4" w:space="0" w:color="auto"/>
            </w:tcBorders>
            <w:hideMark/>
          </w:tcPr>
          <w:p w:rsidR="00396BC3"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pPr>
            <w:r>
              <w:t>2016–17 published budget</w:t>
            </w:r>
          </w:p>
          <w:p w:rsidR="00396BC3" w:rsidRDefault="00396BC3" w:rsidP="009C1BBE">
            <w:pPr>
              <w:pStyle w:val="ARtablecolheadright"/>
              <w:cnfStyle w:val="000000000000" w:firstRow="0" w:lastRow="0" w:firstColumn="0" w:lastColumn="0" w:oddVBand="0" w:evenVBand="0" w:oddHBand="0" w:evenHBand="0" w:firstRowFirstColumn="0" w:firstRowLastColumn="0" w:lastRowFirstColumn="0" w:lastRowLastColumn="0"/>
            </w:pPr>
            <w:r>
              <w:t>$M</w:t>
            </w:r>
          </w:p>
        </w:tc>
        <w:tc>
          <w:tcPr>
            <w:tcW w:w="1235" w:type="dxa"/>
            <w:tcBorders>
              <w:bottom w:val="single" w:sz="4" w:space="0" w:color="auto"/>
            </w:tcBorders>
            <w:hideMark/>
          </w:tcPr>
          <w:p w:rsidR="00396BC3"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pPr>
            <w:r>
              <w:t>Variation to published budget</w:t>
            </w:r>
          </w:p>
          <w:p w:rsidR="00396BC3" w:rsidRDefault="00396BC3" w:rsidP="009C1BBE">
            <w:pPr>
              <w:pStyle w:val="ARtablecolheadright"/>
              <w:cnfStyle w:val="000000000000" w:firstRow="0" w:lastRow="0" w:firstColumn="0" w:lastColumn="0" w:oddVBand="0" w:evenVBand="0" w:oddHBand="0" w:evenHBand="0" w:firstRowFirstColumn="0" w:firstRowLastColumn="0" w:lastRowFirstColumn="0" w:lastRowLastColumn="0"/>
            </w:pPr>
            <w:r>
              <w:t>%</w:t>
            </w:r>
          </w:p>
        </w:tc>
        <w:tc>
          <w:tcPr>
            <w:tcW w:w="609" w:type="dxa"/>
            <w:tcBorders>
              <w:bottom w:val="single" w:sz="4" w:space="0" w:color="auto"/>
            </w:tcBorders>
            <w:hideMark/>
          </w:tcPr>
          <w:p w:rsidR="00396BC3" w:rsidRDefault="00396BC3" w:rsidP="00396BC3">
            <w:pPr>
              <w:pStyle w:val="ARtablecolheadright"/>
              <w:cnfStyle w:val="000000000000" w:firstRow="0" w:lastRow="0" w:firstColumn="0" w:lastColumn="0" w:oddVBand="0" w:evenVBand="0" w:oddHBand="0" w:evenHBand="0" w:firstRowFirstColumn="0" w:firstRowLastColumn="0" w:lastRowFirstColumn="0" w:lastRowLastColumn="0"/>
            </w:pPr>
            <w:r>
              <w:t>Notes</w:t>
            </w:r>
          </w:p>
        </w:tc>
      </w:tr>
      <w:tr w:rsidR="008F12EE" w:rsidTr="0064554F">
        <w:tc>
          <w:tcPr>
            <w:tcW w:w="3473" w:type="dxa"/>
            <w:tcBorders>
              <w:top w:val="single" w:sz="4" w:space="0" w:color="auto"/>
              <w:bottom w:val="single" w:sz="4" w:space="0" w:color="A6A6A6" w:themeColor="background1" w:themeShade="A6"/>
            </w:tcBorders>
            <w:hideMark/>
          </w:tcPr>
          <w:p w:rsidR="008F12EE" w:rsidRDefault="008F12EE" w:rsidP="00BD471F">
            <w:pPr>
              <w:pStyle w:val="ARtabletextbold"/>
            </w:pPr>
            <w:r>
              <w:t>Assets</w:t>
            </w:r>
          </w:p>
        </w:tc>
        <w:tc>
          <w:tcPr>
            <w:tcW w:w="989"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010"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130"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193"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235"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609" w:type="dxa"/>
            <w:tcBorders>
              <w:top w:val="single" w:sz="4" w:space="0" w:color="auto"/>
              <w:bottom w:val="single" w:sz="4" w:space="0" w:color="A6A6A6" w:themeColor="background1" w:themeShade="A6"/>
            </w:tcBorders>
            <w:hideMark/>
          </w:tcPr>
          <w:p w:rsidR="008F12EE" w:rsidRDefault="008F12EE" w:rsidP="00BD471F">
            <w:pPr>
              <w:pStyle w:val="ARtabletextbold"/>
            </w:pP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pPr>
            <w:r>
              <w:t>Financial assets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pP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pP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pP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pP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pP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pP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Cash and deposits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1,193</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1,063</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12.2</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1,178</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1.3</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jc w:val="right"/>
            </w:pPr>
            <w:r>
              <w:t>1</w:t>
            </w: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Receivables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3,078</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2,913</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5.7</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2,642</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16.5</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jc w:val="right"/>
            </w:pPr>
            <w:r>
              <w:t>2</w:t>
            </w: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Other financial assets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945</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681</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38.8</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769</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22.9</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jc w:val="right"/>
            </w:pPr>
            <w:r>
              <w:t>3</w:t>
            </w:r>
          </w:p>
        </w:tc>
      </w:tr>
      <w:tr w:rsidR="008F12EE" w:rsidTr="0064554F">
        <w:tc>
          <w:tcPr>
            <w:tcW w:w="3473" w:type="dxa"/>
            <w:tcBorders>
              <w:top w:val="single" w:sz="4" w:space="0" w:color="A6A6A6" w:themeColor="background1" w:themeShade="A6"/>
            </w:tcBorders>
            <w:hideMark/>
          </w:tcPr>
          <w:p w:rsidR="008F12EE" w:rsidRDefault="008F12EE" w:rsidP="00BD471F">
            <w:pPr>
              <w:pStyle w:val="ARtabletext"/>
            </w:pPr>
            <w:r>
              <w:t>Investments accounted for using equity method</w:t>
            </w:r>
          </w:p>
        </w:tc>
        <w:tc>
          <w:tcPr>
            <w:tcW w:w="989" w:type="dxa"/>
            <w:tcBorders>
              <w:top w:val="single" w:sz="4" w:space="0" w:color="A6A6A6" w:themeColor="background1" w:themeShade="A6"/>
            </w:tcBorders>
            <w:hideMark/>
          </w:tcPr>
          <w:p w:rsidR="008F12EE" w:rsidRDefault="008F12EE" w:rsidP="00BD471F">
            <w:pPr>
              <w:pStyle w:val="ARtabletextright"/>
            </w:pPr>
            <w:r>
              <w:t>36</w:t>
            </w:r>
          </w:p>
        </w:tc>
        <w:tc>
          <w:tcPr>
            <w:tcW w:w="1010" w:type="dxa"/>
            <w:tcBorders>
              <w:top w:val="single" w:sz="4" w:space="0" w:color="A6A6A6" w:themeColor="background1" w:themeShade="A6"/>
            </w:tcBorders>
            <w:hideMark/>
          </w:tcPr>
          <w:p w:rsidR="008F12EE" w:rsidRDefault="008F12EE" w:rsidP="00BD471F">
            <w:pPr>
              <w:pStyle w:val="ARtabletextright"/>
            </w:pPr>
            <w:r>
              <w:t>36</w:t>
            </w:r>
          </w:p>
        </w:tc>
        <w:tc>
          <w:tcPr>
            <w:tcW w:w="1130" w:type="dxa"/>
            <w:tcBorders>
              <w:top w:val="single" w:sz="4" w:space="0" w:color="A6A6A6" w:themeColor="background1" w:themeShade="A6"/>
            </w:tcBorders>
            <w:hideMark/>
          </w:tcPr>
          <w:p w:rsidR="008F12EE" w:rsidRDefault="00A01B92" w:rsidP="00BD471F">
            <w:pPr>
              <w:pStyle w:val="ARtabletextright"/>
            </w:pPr>
            <w:r>
              <w:t>–</w:t>
            </w:r>
          </w:p>
        </w:tc>
        <w:tc>
          <w:tcPr>
            <w:tcW w:w="1193" w:type="dxa"/>
            <w:tcBorders>
              <w:top w:val="single" w:sz="4" w:space="0" w:color="A6A6A6" w:themeColor="background1" w:themeShade="A6"/>
            </w:tcBorders>
            <w:hideMark/>
          </w:tcPr>
          <w:p w:rsidR="008F12EE" w:rsidRDefault="008F12EE" w:rsidP="00BD471F">
            <w:pPr>
              <w:pStyle w:val="ARtabletextright"/>
            </w:pPr>
            <w:r>
              <w:t>40</w:t>
            </w:r>
          </w:p>
        </w:tc>
        <w:tc>
          <w:tcPr>
            <w:tcW w:w="1235" w:type="dxa"/>
            <w:tcBorders>
              <w:top w:val="single" w:sz="4" w:space="0" w:color="A6A6A6" w:themeColor="background1" w:themeShade="A6"/>
            </w:tcBorders>
            <w:hideMark/>
          </w:tcPr>
          <w:p w:rsidR="008F12EE" w:rsidRDefault="008F12EE" w:rsidP="00BD471F">
            <w:pPr>
              <w:pStyle w:val="ARtabletextright"/>
            </w:pPr>
            <w:r>
              <w:t>(10.0)</w:t>
            </w:r>
          </w:p>
        </w:tc>
        <w:tc>
          <w:tcPr>
            <w:tcW w:w="609" w:type="dxa"/>
            <w:tcBorders>
              <w:top w:val="single" w:sz="4" w:space="0" w:color="A6A6A6" w:themeColor="background1" w:themeShade="A6"/>
            </w:tcBorders>
            <w:hideMark/>
          </w:tcPr>
          <w:p w:rsidR="008F12EE" w:rsidRDefault="008F12EE" w:rsidP="00BD471F">
            <w:pPr>
              <w:pStyle w:val="ARtabletextbold"/>
              <w:jc w:val="right"/>
            </w:pPr>
          </w:p>
        </w:tc>
      </w:tr>
      <w:tr w:rsidR="008F12EE" w:rsidTr="0064554F">
        <w:tc>
          <w:tcPr>
            <w:tcW w:w="3473" w:type="dxa"/>
            <w:tcBorders>
              <w:bottom w:val="single" w:sz="4" w:space="0" w:color="auto"/>
            </w:tcBorders>
            <w:hideMark/>
          </w:tcPr>
          <w:p w:rsidR="008F12EE" w:rsidRDefault="008F12EE" w:rsidP="00BD471F">
            <w:pPr>
              <w:pStyle w:val="ARtabletextbold"/>
            </w:pPr>
            <w:r>
              <w:t>Total financial assets</w:t>
            </w:r>
          </w:p>
        </w:tc>
        <w:tc>
          <w:tcPr>
            <w:tcW w:w="989" w:type="dxa"/>
            <w:tcBorders>
              <w:bottom w:val="single" w:sz="4" w:space="0" w:color="auto"/>
            </w:tcBorders>
            <w:hideMark/>
          </w:tcPr>
          <w:p w:rsidR="008F12EE" w:rsidRPr="00FB1CBA" w:rsidRDefault="008F12EE" w:rsidP="00BD471F">
            <w:pPr>
              <w:pStyle w:val="ARtabletextright"/>
              <w:rPr>
                <w:b/>
              </w:rPr>
            </w:pPr>
            <w:r w:rsidRPr="00FB1CBA">
              <w:rPr>
                <w:b/>
              </w:rPr>
              <w:t>5,252</w:t>
            </w:r>
          </w:p>
        </w:tc>
        <w:tc>
          <w:tcPr>
            <w:tcW w:w="1010" w:type="dxa"/>
            <w:tcBorders>
              <w:bottom w:val="single" w:sz="4" w:space="0" w:color="auto"/>
            </w:tcBorders>
            <w:hideMark/>
          </w:tcPr>
          <w:p w:rsidR="008F12EE" w:rsidRPr="00FB1CBA" w:rsidRDefault="008F12EE" w:rsidP="00BD471F">
            <w:pPr>
              <w:pStyle w:val="ARtabletextright"/>
              <w:rPr>
                <w:b/>
              </w:rPr>
            </w:pPr>
            <w:r w:rsidRPr="00FB1CBA">
              <w:rPr>
                <w:b/>
              </w:rPr>
              <w:t>4,692</w:t>
            </w:r>
          </w:p>
        </w:tc>
        <w:tc>
          <w:tcPr>
            <w:tcW w:w="1130" w:type="dxa"/>
            <w:tcBorders>
              <w:bottom w:val="single" w:sz="4" w:space="0" w:color="auto"/>
            </w:tcBorders>
            <w:hideMark/>
          </w:tcPr>
          <w:p w:rsidR="008F12EE" w:rsidRPr="00FB1CBA" w:rsidRDefault="008F12EE" w:rsidP="00BD471F">
            <w:pPr>
              <w:pStyle w:val="ARtabletextright"/>
              <w:rPr>
                <w:b/>
              </w:rPr>
            </w:pPr>
            <w:r w:rsidRPr="00FB1CBA">
              <w:rPr>
                <w:b/>
              </w:rPr>
              <w:t>11.9</w:t>
            </w:r>
          </w:p>
        </w:tc>
        <w:tc>
          <w:tcPr>
            <w:tcW w:w="1193" w:type="dxa"/>
            <w:tcBorders>
              <w:bottom w:val="single" w:sz="4" w:space="0" w:color="auto"/>
            </w:tcBorders>
            <w:hideMark/>
          </w:tcPr>
          <w:p w:rsidR="008F12EE" w:rsidRPr="00FB1CBA" w:rsidRDefault="008F12EE" w:rsidP="00BD471F">
            <w:pPr>
              <w:pStyle w:val="ARtabletextright"/>
              <w:rPr>
                <w:b/>
              </w:rPr>
            </w:pPr>
            <w:r w:rsidRPr="00FB1CBA">
              <w:rPr>
                <w:b/>
              </w:rPr>
              <w:t>4,629</w:t>
            </w:r>
          </w:p>
        </w:tc>
        <w:tc>
          <w:tcPr>
            <w:tcW w:w="1235" w:type="dxa"/>
            <w:tcBorders>
              <w:bottom w:val="single" w:sz="4" w:space="0" w:color="auto"/>
            </w:tcBorders>
            <w:hideMark/>
          </w:tcPr>
          <w:p w:rsidR="008F12EE" w:rsidRPr="00FB1CBA" w:rsidRDefault="008F12EE" w:rsidP="00BD471F">
            <w:pPr>
              <w:pStyle w:val="ARtabletextright"/>
              <w:rPr>
                <w:b/>
              </w:rPr>
            </w:pPr>
            <w:r w:rsidRPr="00FB1CBA">
              <w:rPr>
                <w:b/>
              </w:rPr>
              <w:t>13.5</w:t>
            </w:r>
          </w:p>
        </w:tc>
        <w:tc>
          <w:tcPr>
            <w:tcW w:w="609" w:type="dxa"/>
            <w:tcBorders>
              <w:bottom w:val="single" w:sz="4" w:space="0" w:color="auto"/>
            </w:tcBorders>
            <w:hideMark/>
          </w:tcPr>
          <w:p w:rsidR="008F12EE" w:rsidRPr="00FB1CBA" w:rsidRDefault="008F12EE" w:rsidP="00BD471F">
            <w:pPr>
              <w:pStyle w:val="ARtabletextbold"/>
              <w:jc w:val="right"/>
            </w:pPr>
          </w:p>
        </w:tc>
      </w:tr>
      <w:tr w:rsidR="008F12EE" w:rsidTr="0064554F">
        <w:tc>
          <w:tcPr>
            <w:tcW w:w="3473" w:type="dxa"/>
            <w:tcBorders>
              <w:top w:val="single" w:sz="4" w:space="0" w:color="auto"/>
              <w:bottom w:val="single" w:sz="4" w:space="0" w:color="A6A6A6" w:themeColor="background1" w:themeShade="A6"/>
            </w:tcBorders>
            <w:hideMark/>
          </w:tcPr>
          <w:p w:rsidR="008F12EE" w:rsidRDefault="008F12EE" w:rsidP="00BD471F">
            <w:pPr>
              <w:pStyle w:val="ARtabletextbold"/>
            </w:pPr>
            <w:r>
              <w:t>Non-financial assets</w:t>
            </w:r>
          </w:p>
        </w:tc>
        <w:tc>
          <w:tcPr>
            <w:tcW w:w="989"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010"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130"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193"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235"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609" w:type="dxa"/>
            <w:tcBorders>
              <w:top w:val="single" w:sz="4" w:space="0" w:color="auto"/>
              <w:bottom w:val="single" w:sz="4" w:space="0" w:color="A6A6A6" w:themeColor="background1" w:themeShade="A6"/>
            </w:tcBorders>
            <w:hideMark/>
          </w:tcPr>
          <w:p w:rsidR="008F12EE" w:rsidRDefault="008F12EE" w:rsidP="00BD471F">
            <w:pPr>
              <w:pStyle w:val="ARtabletextbold"/>
              <w:jc w:val="right"/>
            </w:pP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Inventories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83</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80</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3.8</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80</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3.8</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Non-financial assets classified as held for sale including disposal group assets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86</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109</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(21.1)</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7</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1,128.6</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jc w:val="right"/>
            </w:pPr>
            <w:r>
              <w:t>4</w:t>
            </w: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Property, plant and equipment</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16,586</w:t>
            </w:r>
          </w:p>
        </w:tc>
        <w:tc>
          <w:tcPr>
            <w:tcW w:w="1010" w:type="dxa"/>
            <w:tcBorders>
              <w:top w:val="single" w:sz="4" w:space="0" w:color="A6A6A6" w:themeColor="background1" w:themeShade="A6"/>
              <w:bottom w:val="single" w:sz="4" w:space="0" w:color="A6A6A6" w:themeColor="background1" w:themeShade="A6"/>
            </w:tcBorders>
            <w:hideMark/>
          </w:tcPr>
          <w:p w:rsidR="008F12EE" w:rsidRPr="00FB1CBA" w:rsidRDefault="008F12EE" w:rsidP="00BD471F">
            <w:pPr>
              <w:pStyle w:val="ARtabletextright"/>
            </w:pPr>
            <w:r w:rsidRPr="00FB1CBA">
              <w:t>16,200</w:t>
            </w:r>
          </w:p>
        </w:tc>
        <w:tc>
          <w:tcPr>
            <w:tcW w:w="1130" w:type="dxa"/>
            <w:tcBorders>
              <w:top w:val="single" w:sz="4" w:space="0" w:color="A6A6A6" w:themeColor="background1" w:themeShade="A6"/>
              <w:bottom w:val="single" w:sz="4" w:space="0" w:color="A6A6A6" w:themeColor="background1" w:themeShade="A6"/>
            </w:tcBorders>
            <w:hideMark/>
          </w:tcPr>
          <w:p w:rsidR="008F12EE" w:rsidRPr="00FB1CBA" w:rsidRDefault="008F12EE" w:rsidP="00BD471F">
            <w:pPr>
              <w:pStyle w:val="ARtabletextright"/>
            </w:pPr>
            <w:r w:rsidRPr="00FB1CBA">
              <w:t>2.4</w:t>
            </w:r>
          </w:p>
        </w:tc>
        <w:tc>
          <w:tcPr>
            <w:tcW w:w="1193" w:type="dxa"/>
            <w:tcBorders>
              <w:top w:val="single" w:sz="4" w:space="0" w:color="A6A6A6" w:themeColor="background1" w:themeShade="A6"/>
              <w:bottom w:val="single" w:sz="4" w:space="0" w:color="A6A6A6" w:themeColor="background1" w:themeShade="A6"/>
            </w:tcBorders>
            <w:hideMark/>
          </w:tcPr>
          <w:p w:rsidR="008F12EE" w:rsidRPr="00FB1CBA" w:rsidRDefault="008F12EE" w:rsidP="00BD471F">
            <w:pPr>
              <w:pStyle w:val="ARtabletextright"/>
            </w:pPr>
            <w:r w:rsidRPr="00FB1CBA">
              <w:t>15,760</w:t>
            </w:r>
          </w:p>
        </w:tc>
        <w:tc>
          <w:tcPr>
            <w:tcW w:w="1235" w:type="dxa"/>
            <w:tcBorders>
              <w:top w:val="single" w:sz="4" w:space="0" w:color="A6A6A6" w:themeColor="background1" w:themeShade="A6"/>
              <w:bottom w:val="single" w:sz="4" w:space="0" w:color="A6A6A6" w:themeColor="background1" w:themeShade="A6"/>
            </w:tcBorders>
            <w:hideMark/>
          </w:tcPr>
          <w:p w:rsidR="008F12EE" w:rsidRPr="00FB1CBA" w:rsidRDefault="008F12EE" w:rsidP="00BD471F">
            <w:pPr>
              <w:pStyle w:val="ARtabletextright"/>
            </w:pPr>
            <w:r w:rsidRPr="00FB1CBA">
              <w:t>5.2</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jc w:val="right"/>
            </w:pP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Investment properties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39</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25</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56.0</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22</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77.3</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jc w:val="right"/>
            </w:pPr>
            <w:r>
              <w:t>5</w:t>
            </w: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Intangible assets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217</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161</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34.8</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101</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114.9</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bold"/>
              <w:jc w:val="right"/>
            </w:pPr>
            <w:r>
              <w:t>6</w:t>
            </w:r>
          </w:p>
        </w:tc>
      </w:tr>
      <w:tr w:rsidR="008F12EE" w:rsidTr="0064554F">
        <w:tc>
          <w:tcPr>
            <w:tcW w:w="3473" w:type="dxa"/>
            <w:tcBorders>
              <w:top w:val="single" w:sz="4" w:space="0" w:color="A6A6A6" w:themeColor="background1" w:themeShade="A6"/>
            </w:tcBorders>
            <w:hideMark/>
          </w:tcPr>
          <w:p w:rsidR="008F12EE" w:rsidRDefault="008F12EE" w:rsidP="00BD471F">
            <w:pPr>
              <w:pStyle w:val="ARtabletext"/>
            </w:pPr>
            <w:r>
              <w:t>Other</w:t>
            </w:r>
          </w:p>
        </w:tc>
        <w:tc>
          <w:tcPr>
            <w:tcW w:w="989" w:type="dxa"/>
            <w:tcBorders>
              <w:top w:val="single" w:sz="4" w:space="0" w:color="A6A6A6" w:themeColor="background1" w:themeShade="A6"/>
            </w:tcBorders>
            <w:hideMark/>
          </w:tcPr>
          <w:p w:rsidR="008F12EE" w:rsidRDefault="008F12EE" w:rsidP="00BD471F">
            <w:pPr>
              <w:pStyle w:val="ARtabletextright"/>
            </w:pPr>
            <w:r>
              <w:t>153</w:t>
            </w:r>
          </w:p>
        </w:tc>
        <w:tc>
          <w:tcPr>
            <w:tcW w:w="1010" w:type="dxa"/>
            <w:tcBorders>
              <w:top w:val="single" w:sz="4" w:space="0" w:color="A6A6A6" w:themeColor="background1" w:themeShade="A6"/>
            </w:tcBorders>
            <w:hideMark/>
          </w:tcPr>
          <w:p w:rsidR="008F12EE" w:rsidRDefault="008F12EE" w:rsidP="00BD471F">
            <w:pPr>
              <w:pStyle w:val="ARtabletextright"/>
            </w:pPr>
            <w:r>
              <w:t>147</w:t>
            </w:r>
          </w:p>
        </w:tc>
        <w:tc>
          <w:tcPr>
            <w:tcW w:w="1130" w:type="dxa"/>
            <w:tcBorders>
              <w:top w:val="single" w:sz="4" w:space="0" w:color="A6A6A6" w:themeColor="background1" w:themeShade="A6"/>
            </w:tcBorders>
            <w:hideMark/>
          </w:tcPr>
          <w:p w:rsidR="008F12EE" w:rsidRDefault="008F12EE" w:rsidP="00BD471F">
            <w:pPr>
              <w:pStyle w:val="ARtabletextright"/>
            </w:pPr>
            <w:r>
              <w:t>4.1</w:t>
            </w:r>
          </w:p>
        </w:tc>
        <w:tc>
          <w:tcPr>
            <w:tcW w:w="1193" w:type="dxa"/>
            <w:tcBorders>
              <w:top w:val="single" w:sz="4" w:space="0" w:color="A6A6A6" w:themeColor="background1" w:themeShade="A6"/>
            </w:tcBorders>
            <w:hideMark/>
          </w:tcPr>
          <w:p w:rsidR="008F12EE" w:rsidRDefault="008F12EE" w:rsidP="00BD471F">
            <w:pPr>
              <w:pStyle w:val="ARtabletextright"/>
            </w:pPr>
            <w:r>
              <w:t>147</w:t>
            </w:r>
          </w:p>
        </w:tc>
        <w:tc>
          <w:tcPr>
            <w:tcW w:w="1235" w:type="dxa"/>
            <w:tcBorders>
              <w:top w:val="single" w:sz="4" w:space="0" w:color="A6A6A6" w:themeColor="background1" w:themeShade="A6"/>
            </w:tcBorders>
            <w:hideMark/>
          </w:tcPr>
          <w:p w:rsidR="008F12EE" w:rsidRDefault="008F12EE" w:rsidP="00BD471F">
            <w:pPr>
              <w:pStyle w:val="ARtabletextright"/>
            </w:pPr>
            <w:r>
              <w:t>4.1</w:t>
            </w:r>
          </w:p>
        </w:tc>
        <w:tc>
          <w:tcPr>
            <w:tcW w:w="609" w:type="dxa"/>
            <w:tcBorders>
              <w:top w:val="single" w:sz="4" w:space="0" w:color="A6A6A6" w:themeColor="background1" w:themeShade="A6"/>
            </w:tcBorders>
            <w:hideMark/>
          </w:tcPr>
          <w:p w:rsidR="008F12EE" w:rsidRDefault="008F12EE" w:rsidP="00BD471F">
            <w:pPr>
              <w:pStyle w:val="ARtabletextbold"/>
            </w:pPr>
          </w:p>
        </w:tc>
      </w:tr>
      <w:tr w:rsidR="008F12EE" w:rsidTr="00396BC3">
        <w:tc>
          <w:tcPr>
            <w:tcW w:w="3473" w:type="dxa"/>
            <w:hideMark/>
          </w:tcPr>
          <w:p w:rsidR="008F12EE" w:rsidRDefault="008F12EE" w:rsidP="00BD471F">
            <w:pPr>
              <w:pStyle w:val="ARtabletextbold"/>
            </w:pPr>
            <w:r>
              <w:t>Total non-financial assets</w:t>
            </w:r>
          </w:p>
        </w:tc>
        <w:tc>
          <w:tcPr>
            <w:tcW w:w="989" w:type="dxa"/>
            <w:hideMark/>
          </w:tcPr>
          <w:p w:rsidR="008F12EE" w:rsidRDefault="008F12EE" w:rsidP="00BD471F">
            <w:pPr>
              <w:pStyle w:val="ARtabletextright"/>
            </w:pPr>
            <w:r>
              <w:t>17,164</w:t>
            </w:r>
          </w:p>
        </w:tc>
        <w:tc>
          <w:tcPr>
            <w:tcW w:w="1010" w:type="dxa"/>
            <w:hideMark/>
          </w:tcPr>
          <w:p w:rsidR="008F12EE" w:rsidRDefault="008F12EE" w:rsidP="00BD471F">
            <w:pPr>
              <w:pStyle w:val="ARtabletextright"/>
            </w:pPr>
            <w:r>
              <w:t>16,722</w:t>
            </w:r>
          </w:p>
        </w:tc>
        <w:tc>
          <w:tcPr>
            <w:tcW w:w="1130" w:type="dxa"/>
            <w:hideMark/>
          </w:tcPr>
          <w:p w:rsidR="008F12EE" w:rsidRDefault="008F12EE" w:rsidP="00BD471F">
            <w:pPr>
              <w:pStyle w:val="ARtabletextright"/>
            </w:pPr>
            <w:r>
              <w:t>2.6</w:t>
            </w:r>
          </w:p>
        </w:tc>
        <w:tc>
          <w:tcPr>
            <w:tcW w:w="1193" w:type="dxa"/>
            <w:hideMark/>
          </w:tcPr>
          <w:p w:rsidR="008F12EE" w:rsidRDefault="008F12EE" w:rsidP="00BD471F">
            <w:pPr>
              <w:pStyle w:val="ARtabletextright"/>
            </w:pPr>
            <w:r>
              <w:t>16,117</w:t>
            </w:r>
          </w:p>
        </w:tc>
        <w:tc>
          <w:tcPr>
            <w:tcW w:w="1235" w:type="dxa"/>
            <w:hideMark/>
          </w:tcPr>
          <w:p w:rsidR="008F12EE" w:rsidRDefault="008F12EE" w:rsidP="00BD471F">
            <w:pPr>
              <w:pStyle w:val="ARtabletextright"/>
            </w:pPr>
            <w:r>
              <w:t>6.5</w:t>
            </w:r>
          </w:p>
        </w:tc>
        <w:tc>
          <w:tcPr>
            <w:tcW w:w="609" w:type="dxa"/>
            <w:hideMark/>
          </w:tcPr>
          <w:p w:rsidR="008F12EE" w:rsidRDefault="008F12EE" w:rsidP="00BD471F">
            <w:pPr>
              <w:pStyle w:val="ARtabletextbold"/>
            </w:pPr>
          </w:p>
        </w:tc>
      </w:tr>
      <w:tr w:rsidR="008F12EE" w:rsidTr="0064554F">
        <w:tc>
          <w:tcPr>
            <w:tcW w:w="3473" w:type="dxa"/>
            <w:tcBorders>
              <w:bottom w:val="single" w:sz="4" w:space="0" w:color="auto"/>
            </w:tcBorders>
            <w:hideMark/>
          </w:tcPr>
          <w:p w:rsidR="008F12EE" w:rsidRDefault="008F12EE" w:rsidP="00BD471F">
            <w:pPr>
              <w:pStyle w:val="ARtabletextbold"/>
            </w:pPr>
            <w:r>
              <w:t>Total assets</w:t>
            </w:r>
          </w:p>
        </w:tc>
        <w:tc>
          <w:tcPr>
            <w:tcW w:w="989" w:type="dxa"/>
            <w:tcBorders>
              <w:bottom w:val="single" w:sz="4" w:space="0" w:color="auto"/>
            </w:tcBorders>
            <w:hideMark/>
          </w:tcPr>
          <w:p w:rsidR="008F12EE" w:rsidRPr="009C6C7E" w:rsidRDefault="008F12EE" w:rsidP="00BD471F">
            <w:pPr>
              <w:pStyle w:val="ARtabletextright"/>
              <w:rPr>
                <w:b/>
              </w:rPr>
            </w:pPr>
            <w:r w:rsidRPr="009C6C7E">
              <w:rPr>
                <w:b/>
              </w:rPr>
              <w:t>22,417</w:t>
            </w:r>
          </w:p>
        </w:tc>
        <w:tc>
          <w:tcPr>
            <w:tcW w:w="1010" w:type="dxa"/>
            <w:tcBorders>
              <w:bottom w:val="single" w:sz="4" w:space="0" w:color="auto"/>
            </w:tcBorders>
            <w:hideMark/>
          </w:tcPr>
          <w:p w:rsidR="008F12EE" w:rsidRPr="009C6C7E" w:rsidRDefault="008F12EE" w:rsidP="00BD471F">
            <w:pPr>
              <w:pStyle w:val="ARtabletextright"/>
              <w:rPr>
                <w:b/>
              </w:rPr>
            </w:pPr>
            <w:r w:rsidRPr="009C6C7E">
              <w:rPr>
                <w:b/>
              </w:rPr>
              <w:t>21,414</w:t>
            </w:r>
          </w:p>
        </w:tc>
        <w:tc>
          <w:tcPr>
            <w:tcW w:w="1130" w:type="dxa"/>
            <w:tcBorders>
              <w:bottom w:val="single" w:sz="4" w:space="0" w:color="auto"/>
            </w:tcBorders>
            <w:hideMark/>
          </w:tcPr>
          <w:p w:rsidR="008F12EE" w:rsidRPr="009C6C7E" w:rsidRDefault="008F12EE" w:rsidP="00BD471F">
            <w:pPr>
              <w:pStyle w:val="ARtabletextright"/>
              <w:rPr>
                <w:b/>
              </w:rPr>
            </w:pPr>
            <w:r w:rsidRPr="009C6C7E">
              <w:rPr>
                <w:b/>
              </w:rPr>
              <w:t>4.7</w:t>
            </w:r>
          </w:p>
        </w:tc>
        <w:tc>
          <w:tcPr>
            <w:tcW w:w="1193" w:type="dxa"/>
            <w:tcBorders>
              <w:bottom w:val="single" w:sz="4" w:space="0" w:color="auto"/>
            </w:tcBorders>
            <w:hideMark/>
          </w:tcPr>
          <w:p w:rsidR="008F12EE" w:rsidRPr="009C6C7E" w:rsidRDefault="008F12EE" w:rsidP="00BD471F">
            <w:pPr>
              <w:pStyle w:val="ARtabletextright"/>
              <w:rPr>
                <w:b/>
              </w:rPr>
            </w:pPr>
            <w:r w:rsidRPr="009C6C7E">
              <w:rPr>
                <w:b/>
              </w:rPr>
              <w:t>20,747</w:t>
            </w:r>
          </w:p>
        </w:tc>
        <w:tc>
          <w:tcPr>
            <w:tcW w:w="1235" w:type="dxa"/>
            <w:tcBorders>
              <w:bottom w:val="single" w:sz="4" w:space="0" w:color="auto"/>
            </w:tcBorders>
            <w:hideMark/>
          </w:tcPr>
          <w:p w:rsidR="008F12EE" w:rsidRPr="009C6C7E" w:rsidRDefault="008F12EE" w:rsidP="00BD471F">
            <w:pPr>
              <w:pStyle w:val="ARtabletextright"/>
              <w:rPr>
                <w:b/>
              </w:rPr>
            </w:pPr>
            <w:r w:rsidRPr="009C6C7E">
              <w:rPr>
                <w:b/>
              </w:rPr>
              <w:t>8.0</w:t>
            </w:r>
          </w:p>
        </w:tc>
        <w:tc>
          <w:tcPr>
            <w:tcW w:w="609" w:type="dxa"/>
            <w:tcBorders>
              <w:bottom w:val="single" w:sz="4" w:space="0" w:color="auto"/>
            </w:tcBorders>
            <w:hideMark/>
          </w:tcPr>
          <w:p w:rsidR="008F12EE" w:rsidRPr="009C6C7E" w:rsidRDefault="008F12EE" w:rsidP="00BD471F">
            <w:pPr>
              <w:pStyle w:val="ARtabletextbold"/>
            </w:pPr>
          </w:p>
        </w:tc>
      </w:tr>
      <w:tr w:rsidR="008F12EE" w:rsidTr="0064554F">
        <w:tc>
          <w:tcPr>
            <w:tcW w:w="3473" w:type="dxa"/>
            <w:tcBorders>
              <w:top w:val="single" w:sz="4" w:space="0" w:color="auto"/>
              <w:bottom w:val="single" w:sz="4" w:space="0" w:color="A6A6A6" w:themeColor="background1" w:themeShade="A6"/>
            </w:tcBorders>
            <w:hideMark/>
          </w:tcPr>
          <w:p w:rsidR="008F12EE" w:rsidRDefault="008F12EE" w:rsidP="00BD471F">
            <w:pPr>
              <w:spacing w:before="80" w:after="60"/>
              <w:rPr>
                <w:rFonts w:cs="Arial"/>
                <w:b/>
                <w:bCs/>
                <w:color w:val="000000"/>
                <w:sz w:val="18"/>
                <w:szCs w:val="18"/>
              </w:rPr>
            </w:pPr>
            <w:r>
              <w:rPr>
                <w:rFonts w:cs="Arial"/>
                <w:b/>
                <w:bCs/>
                <w:color w:val="000000"/>
                <w:sz w:val="18"/>
                <w:szCs w:val="18"/>
              </w:rPr>
              <w:t>Liabilities</w:t>
            </w:r>
          </w:p>
        </w:tc>
        <w:tc>
          <w:tcPr>
            <w:tcW w:w="989"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010"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130"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193"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1235" w:type="dxa"/>
            <w:tcBorders>
              <w:top w:val="single" w:sz="4" w:space="0" w:color="auto"/>
              <w:bottom w:val="single" w:sz="4" w:space="0" w:color="A6A6A6" w:themeColor="background1" w:themeShade="A6"/>
            </w:tcBorders>
            <w:hideMark/>
          </w:tcPr>
          <w:p w:rsidR="008F12EE" w:rsidRDefault="008F12EE" w:rsidP="00BD471F">
            <w:pPr>
              <w:spacing w:before="80" w:after="60"/>
              <w:jc w:val="right"/>
              <w:rPr>
                <w:rFonts w:cs="Arial"/>
                <w:b/>
                <w:bCs/>
                <w:color w:val="000000"/>
                <w:sz w:val="18"/>
                <w:szCs w:val="18"/>
              </w:rPr>
            </w:pPr>
          </w:p>
        </w:tc>
        <w:tc>
          <w:tcPr>
            <w:tcW w:w="609" w:type="dxa"/>
            <w:tcBorders>
              <w:top w:val="single" w:sz="4" w:space="0" w:color="auto"/>
              <w:bottom w:val="single" w:sz="4" w:space="0" w:color="A6A6A6" w:themeColor="background1" w:themeShade="A6"/>
            </w:tcBorders>
            <w:hideMark/>
          </w:tcPr>
          <w:p w:rsidR="008F12EE" w:rsidRDefault="008F12EE" w:rsidP="00BD471F">
            <w:pPr>
              <w:pStyle w:val="ARtabletextbold"/>
            </w:pP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Payables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2,034</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1,775</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14.6</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1,489</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36.6</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rPr>
                <w:b/>
              </w:rPr>
            </w:pPr>
            <w:r>
              <w:rPr>
                <w:b/>
              </w:rPr>
              <w:t>7</w:t>
            </w: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Borrowings</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3,002</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3,060</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(1.9)</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3,006</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(0.1)</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p>
        </w:tc>
      </w:tr>
      <w:tr w:rsidR="008F12EE" w:rsidTr="0064554F">
        <w:tc>
          <w:tcPr>
            <w:tcW w:w="3473" w:type="dxa"/>
            <w:tcBorders>
              <w:top w:val="single" w:sz="4" w:space="0" w:color="A6A6A6" w:themeColor="background1" w:themeShade="A6"/>
            </w:tcBorders>
            <w:hideMark/>
          </w:tcPr>
          <w:p w:rsidR="008F12EE" w:rsidRDefault="008F12EE" w:rsidP="00BD471F">
            <w:pPr>
              <w:pStyle w:val="ARtabletext"/>
            </w:pPr>
            <w:r>
              <w:t>Provisions</w:t>
            </w:r>
          </w:p>
        </w:tc>
        <w:tc>
          <w:tcPr>
            <w:tcW w:w="989" w:type="dxa"/>
            <w:tcBorders>
              <w:top w:val="single" w:sz="4" w:space="0" w:color="A6A6A6" w:themeColor="background1" w:themeShade="A6"/>
            </w:tcBorders>
            <w:hideMark/>
          </w:tcPr>
          <w:p w:rsidR="008F12EE" w:rsidRDefault="008F12EE" w:rsidP="00BD471F">
            <w:pPr>
              <w:pStyle w:val="ARtabletextright"/>
            </w:pPr>
            <w:r>
              <w:t>2,865</w:t>
            </w:r>
          </w:p>
        </w:tc>
        <w:tc>
          <w:tcPr>
            <w:tcW w:w="1010" w:type="dxa"/>
            <w:tcBorders>
              <w:top w:val="single" w:sz="4" w:space="0" w:color="A6A6A6" w:themeColor="background1" w:themeShade="A6"/>
            </w:tcBorders>
            <w:hideMark/>
          </w:tcPr>
          <w:p w:rsidR="008F12EE" w:rsidRDefault="008F12EE" w:rsidP="00BD471F">
            <w:pPr>
              <w:pStyle w:val="ARtabletextright"/>
            </w:pPr>
            <w:r>
              <w:t>2,822</w:t>
            </w:r>
          </w:p>
        </w:tc>
        <w:tc>
          <w:tcPr>
            <w:tcW w:w="1130" w:type="dxa"/>
            <w:tcBorders>
              <w:top w:val="single" w:sz="4" w:space="0" w:color="A6A6A6" w:themeColor="background1" w:themeShade="A6"/>
            </w:tcBorders>
            <w:hideMark/>
          </w:tcPr>
          <w:p w:rsidR="008F12EE" w:rsidRDefault="008F12EE" w:rsidP="00BD471F">
            <w:pPr>
              <w:pStyle w:val="ARtabletextright"/>
            </w:pPr>
            <w:r>
              <w:t>1.5</w:t>
            </w:r>
          </w:p>
        </w:tc>
        <w:tc>
          <w:tcPr>
            <w:tcW w:w="1193" w:type="dxa"/>
            <w:tcBorders>
              <w:top w:val="single" w:sz="4" w:space="0" w:color="A6A6A6" w:themeColor="background1" w:themeShade="A6"/>
            </w:tcBorders>
            <w:hideMark/>
          </w:tcPr>
          <w:p w:rsidR="008F12EE" w:rsidRDefault="008F12EE" w:rsidP="00BD471F">
            <w:pPr>
              <w:pStyle w:val="ARtabletextright"/>
            </w:pPr>
            <w:r>
              <w:t>2,749</w:t>
            </w:r>
          </w:p>
        </w:tc>
        <w:tc>
          <w:tcPr>
            <w:tcW w:w="1235" w:type="dxa"/>
            <w:tcBorders>
              <w:top w:val="single" w:sz="4" w:space="0" w:color="A6A6A6" w:themeColor="background1" w:themeShade="A6"/>
            </w:tcBorders>
            <w:hideMark/>
          </w:tcPr>
          <w:p w:rsidR="008F12EE" w:rsidRDefault="008F12EE" w:rsidP="00BD471F">
            <w:pPr>
              <w:pStyle w:val="ARtabletextright"/>
            </w:pPr>
            <w:r>
              <w:t>4.2</w:t>
            </w:r>
          </w:p>
        </w:tc>
        <w:tc>
          <w:tcPr>
            <w:tcW w:w="609" w:type="dxa"/>
            <w:tcBorders>
              <w:top w:val="single" w:sz="4" w:space="0" w:color="A6A6A6" w:themeColor="background1" w:themeShade="A6"/>
            </w:tcBorders>
            <w:hideMark/>
          </w:tcPr>
          <w:p w:rsidR="008F12EE" w:rsidRDefault="008F12EE" w:rsidP="00BD471F">
            <w:pPr>
              <w:pStyle w:val="ARtabletextright"/>
              <w:rPr>
                <w:color w:val="000000"/>
              </w:rPr>
            </w:pPr>
          </w:p>
        </w:tc>
      </w:tr>
      <w:tr w:rsidR="008F12EE" w:rsidTr="00396BC3">
        <w:tc>
          <w:tcPr>
            <w:tcW w:w="3473" w:type="dxa"/>
            <w:hideMark/>
          </w:tcPr>
          <w:p w:rsidR="008F12EE" w:rsidRDefault="008F12EE" w:rsidP="00BD471F">
            <w:pPr>
              <w:pStyle w:val="ARtabletextbold"/>
            </w:pPr>
            <w:r>
              <w:t>Total liabilities</w:t>
            </w:r>
          </w:p>
        </w:tc>
        <w:tc>
          <w:tcPr>
            <w:tcW w:w="989" w:type="dxa"/>
            <w:hideMark/>
          </w:tcPr>
          <w:p w:rsidR="008F12EE" w:rsidRPr="009C6C7E" w:rsidRDefault="008F12EE" w:rsidP="00BD471F">
            <w:pPr>
              <w:pStyle w:val="ARtabletextright"/>
              <w:rPr>
                <w:b/>
              </w:rPr>
            </w:pPr>
            <w:r w:rsidRPr="009C6C7E">
              <w:rPr>
                <w:b/>
              </w:rPr>
              <w:t>7,901</w:t>
            </w:r>
          </w:p>
        </w:tc>
        <w:tc>
          <w:tcPr>
            <w:tcW w:w="1010" w:type="dxa"/>
            <w:hideMark/>
          </w:tcPr>
          <w:p w:rsidR="008F12EE" w:rsidRPr="009C6C7E" w:rsidRDefault="008F12EE" w:rsidP="00BD471F">
            <w:pPr>
              <w:pStyle w:val="ARtabletextright"/>
              <w:rPr>
                <w:b/>
              </w:rPr>
            </w:pPr>
            <w:r w:rsidRPr="009C6C7E">
              <w:rPr>
                <w:b/>
              </w:rPr>
              <w:t>7,657</w:t>
            </w:r>
          </w:p>
        </w:tc>
        <w:tc>
          <w:tcPr>
            <w:tcW w:w="1130" w:type="dxa"/>
            <w:hideMark/>
          </w:tcPr>
          <w:p w:rsidR="008F12EE" w:rsidRPr="009C6C7E" w:rsidRDefault="008F12EE" w:rsidP="00BD471F">
            <w:pPr>
              <w:pStyle w:val="ARtabletextright"/>
              <w:rPr>
                <w:b/>
              </w:rPr>
            </w:pPr>
            <w:r w:rsidRPr="009C6C7E">
              <w:rPr>
                <w:b/>
              </w:rPr>
              <w:t>3.2</w:t>
            </w:r>
          </w:p>
        </w:tc>
        <w:tc>
          <w:tcPr>
            <w:tcW w:w="1193" w:type="dxa"/>
            <w:hideMark/>
          </w:tcPr>
          <w:p w:rsidR="008F12EE" w:rsidRPr="009C6C7E" w:rsidRDefault="008F12EE" w:rsidP="00BD471F">
            <w:pPr>
              <w:pStyle w:val="ARtabletextright"/>
              <w:rPr>
                <w:b/>
              </w:rPr>
            </w:pPr>
            <w:r w:rsidRPr="009C6C7E">
              <w:rPr>
                <w:b/>
              </w:rPr>
              <w:t>7,245</w:t>
            </w:r>
          </w:p>
        </w:tc>
        <w:tc>
          <w:tcPr>
            <w:tcW w:w="1235" w:type="dxa"/>
            <w:hideMark/>
          </w:tcPr>
          <w:p w:rsidR="008F12EE" w:rsidRPr="009C6C7E" w:rsidRDefault="008F12EE" w:rsidP="00BD471F">
            <w:pPr>
              <w:pStyle w:val="ARtabletextright"/>
              <w:rPr>
                <w:b/>
              </w:rPr>
            </w:pPr>
            <w:r w:rsidRPr="009C6C7E">
              <w:rPr>
                <w:b/>
              </w:rPr>
              <w:t>9.1</w:t>
            </w:r>
          </w:p>
        </w:tc>
        <w:tc>
          <w:tcPr>
            <w:tcW w:w="609" w:type="dxa"/>
            <w:hideMark/>
          </w:tcPr>
          <w:p w:rsidR="008F12EE" w:rsidRDefault="008F12EE" w:rsidP="00BD471F">
            <w:pPr>
              <w:spacing w:before="80" w:after="60"/>
              <w:jc w:val="right"/>
              <w:rPr>
                <w:rFonts w:cs="Arial"/>
                <w:b/>
                <w:bCs/>
                <w:color w:val="000000"/>
                <w:sz w:val="18"/>
                <w:szCs w:val="18"/>
              </w:rPr>
            </w:pPr>
          </w:p>
        </w:tc>
      </w:tr>
      <w:tr w:rsidR="008F12EE" w:rsidTr="0064554F">
        <w:tc>
          <w:tcPr>
            <w:tcW w:w="3473" w:type="dxa"/>
            <w:tcBorders>
              <w:bottom w:val="single" w:sz="4" w:space="0" w:color="auto"/>
            </w:tcBorders>
            <w:hideMark/>
          </w:tcPr>
          <w:p w:rsidR="008F12EE" w:rsidRDefault="008F12EE" w:rsidP="00BD471F">
            <w:pPr>
              <w:pStyle w:val="ARtabletextbold"/>
            </w:pPr>
            <w:r>
              <w:t>Net assets</w:t>
            </w:r>
          </w:p>
        </w:tc>
        <w:tc>
          <w:tcPr>
            <w:tcW w:w="989" w:type="dxa"/>
            <w:tcBorders>
              <w:bottom w:val="single" w:sz="4" w:space="0" w:color="auto"/>
            </w:tcBorders>
            <w:hideMark/>
          </w:tcPr>
          <w:p w:rsidR="008F12EE" w:rsidRPr="009C6C7E" w:rsidRDefault="008F12EE" w:rsidP="00BD471F">
            <w:pPr>
              <w:pStyle w:val="ARtabletextright"/>
              <w:rPr>
                <w:b/>
              </w:rPr>
            </w:pPr>
            <w:r w:rsidRPr="009C6C7E">
              <w:rPr>
                <w:b/>
              </w:rPr>
              <w:t>14,516</w:t>
            </w:r>
          </w:p>
        </w:tc>
        <w:tc>
          <w:tcPr>
            <w:tcW w:w="1010" w:type="dxa"/>
            <w:tcBorders>
              <w:bottom w:val="single" w:sz="4" w:space="0" w:color="auto"/>
            </w:tcBorders>
            <w:hideMark/>
          </w:tcPr>
          <w:p w:rsidR="008F12EE" w:rsidRPr="009C6C7E" w:rsidRDefault="008F12EE" w:rsidP="00BD471F">
            <w:pPr>
              <w:pStyle w:val="ARtabletextright"/>
              <w:rPr>
                <w:b/>
              </w:rPr>
            </w:pPr>
            <w:r w:rsidRPr="009C6C7E">
              <w:rPr>
                <w:b/>
              </w:rPr>
              <w:t>13,757</w:t>
            </w:r>
          </w:p>
        </w:tc>
        <w:tc>
          <w:tcPr>
            <w:tcW w:w="1130" w:type="dxa"/>
            <w:tcBorders>
              <w:bottom w:val="single" w:sz="4" w:space="0" w:color="auto"/>
            </w:tcBorders>
            <w:hideMark/>
          </w:tcPr>
          <w:p w:rsidR="008F12EE" w:rsidRPr="009C6C7E" w:rsidRDefault="008F12EE" w:rsidP="00BD471F">
            <w:pPr>
              <w:pStyle w:val="ARtabletextright"/>
              <w:rPr>
                <w:b/>
              </w:rPr>
            </w:pPr>
            <w:r w:rsidRPr="009C6C7E">
              <w:rPr>
                <w:b/>
              </w:rPr>
              <w:t>5.5</w:t>
            </w:r>
          </w:p>
        </w:tc>
        <w:tc>
          <w:tcPr>
            <w:tcW w:w="1193" w:type="dxa"/>
            <w:tcBorders>
              <w:bottom w:val="single" w:sz="4" w:space="0" w:color="auto"/>
            </w:tcBorders>
            <w:hideMark/>
          </w:tcPr>
          <w:p w:rsidR="008F12EE" w:rsidRPr="009C6C7E" w:rsidRDefault="008F12EE" w:rsidP="00BD471F">
            <w:pPr>
              <w:pStyle w:val="ARtabletextright"/>
              <w:rPr>
                <w:b/>
              </w:rPr>
            </w:pPr>
            <w:r w:rsidRPr="009C6C7E">
              <w:rPr>
                <w:b/>
              </w:rPr>
              <w:t>13,502</w:t>
            </w:r>
          </w:p>
        </w:tc>
        <w:tc>
          <w:tcPr>
            <w:tcW w:w="1235" w:type="dxa"/>
            <w:tcBorders>
              <w:bottom w:val="single" w:sz="4" w:space="0" w:color="auto"/>
            </w:tcBorders>
            <w:hideMark/>
          </w:tcPr>
          <w:p w:rsidR="008F12EE" w:rsidRPr="009C6C7E" w:rsidRDefault="008F12EE" w:rsidP="00BD471F">
            <w:pPr>
              <w:pStyle w:val="ARtabletextright"/>
              <w:rPr>
                <w:b/>
              </w:rPr>
            </w:pPr>
            <w:r w:rsidRPr="009C6C7E">
              <w:rPr>
                <w:b/>
              </w:rPr>
              <w:t>7.5</w:t>
            </w:r>
          </w:p>
        </w:tc>
        <w:tc>
          <w:tcPr>
            <w:tcW w:w="609" w:type="dxa"/>
            <w:tcBorders>
              <w:bottom w:val="single" w:sz="4" w:space="0" w:color="auto"/>
            </w:tcBorders>
            <w:hideMark/>
          </w:tcPr>
          <w:p w:rsidR="008F12EE" w:rsidRDefault="008F12EE" w:rsidP="00BD471F">
            <w:pPr>
              <w:spacing w:before="80" w:after="60"/>
              <w:jc w:val="right"/>
              <w:rPr>
                <w:rFonts w:cs="Arial"/>
                <w:b/>
                <w:bCs/>
                <w:color w:val="000000"/>
                <w:sz w:val="18"/>
                <w:szCs w:val="18"/>
              </w:rPr>
            </w:pPr>
          </w:p>
        </w:tc>
      </w:tr>
      <w:tr w:rsidR="008F12EE" w:rsidTr="0064554F">
        <w:tc>
          <w:tcPr>
            <w:tcW w:w="3473" w:type="dxa"/>
            <w:tcBorders>
              <w:top w:val="single" w:sz="4" w:space="0" w:color="auto"/>
              <w:bottom w:val="single" w:sz="4" w:space="0" w:color="A6A6A6" w:themeColor="background1" w:themeShade="A6"/>
            </w:tcBorders>
            <w:hideMark/>
          </w:tcPr>
          <w:p w:rsidR="008F12EE" w:rsidRDefault="008F12EE" w:rsidP="00BD471F">
            <w:pPr>
              <w:pStyle w:val="ARtabletextbold"/>
            </w:pPr>
            <w:r>
              <w:t>Equity</w:t>
            </w:r>
          </w:p>
        </w:tc>
        <w:tc>
          <w:tcPr>
            <w:tcW w:w="989"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010"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130"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193"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1235" w:type="dxa"/>
            <w:tcBorders>
              <w:top w:val="single" w:sz="4" w:space="0" w:color="auto"/>
              <w:bottom w:val="single" w:sz="4" w:space="0" w:color="A6A6A6" w:themeColor="background1" w:themeShade="A6"/>
            </w:tcBorders>
            <w:hideMark/>
          </w:tcPr>
          <w:p w:rsidR="008F12EE" w:rsidRDefault="008F12EE" w:rsidP="00BD471F">
            <w:pPr>
              <w:pStyle w:val="ARtabletextbold"/>
            </w:pPr>
          </w:p>
        </w:tc>
        <w:tc>
          <w:tcPr>
            <w:tcW w:w="609" w:type="dxa"/>
            <w:tcBorders>
              <w:top w:val="single" w:sz="4" w:space="0" w:color="auto"/>
              <w:bottom w:val="single" w:sz="4" w:space="0" w:color="A6A6A6" w:themeColor="background1" w:themeShade="A6"/>
            </w:tcBorders>
            <w:hideMark/>
          </w:tcPr>
          <w:p w:rsidR="008F12EE" w:rsidRDefault="008F12EE" w:rsidP="00BD471F">
            <w:pPr>
              <w:pStyle w:val="ARtabletextbold"/>
            </w:pPr>
          </w:p>
        </w:tc>
      </w:tr>
      <w:tr w:rsidR="008F12EE" w:rsidTr="0064554F">
        <w:tc>
          <w:tcPr>
            <w:tcW w:w="347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
            </w:pPr>
            <w:r>
              <w:t>Accumulated surplus/(deficit)</w:t>
            </w:r>
          </w:p>
        </w:tc>
        <w:tc>
          <w:tcPr>
            <w:tcW w:w="989"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1,779</w:t>
            </w:r>
          </w:p>
        </w:tc>
        <w:tc>
          <w:tcPr>
            <w:tcW w:w="101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1,454</w:t>
            </w:r>
          </w:p>
        </w:tc>
        <w:tc>
          <w:tcPr>
            <w:tcW w:w="1130"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22.4</w:t>
            </w:r>
          </w:p>
        </w:tc>
        <w:tc>
          <w:tcPr>
            <w:tcW w:w="1193"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1,171</w:t>
            </w:r>
          </w:p>
        </w:tc>
        <w:tc>
          <w:tcPr>
            <w:tcW w:w="1235" w:type="dxa"/>
            <w:tcBorders>
              <w:top w:val="single" w:sz="4" w:space="0" w:color="A6A6A6" w:themeColor="background1" w:themeShade="A6"/>
              <w:bottom w:val="single" w:sz="4" w:space="0" w:color="A6A6A6" w:themeColor="background1" w:themeShade="A6"/>
            </w:tcBorders>
            <w:hideMark/>
          </w:tcPr>
          <w:p w:rsidR="008F12EE" w:rsidRDefault="008F12EE" w:rsidP="00BD471F">
            <w:pPr>
              <w:pStyle w:val="ARtabletextright"/>
            </w:pPr>
            <w:r>
              <w:t>51.9</w:t>
            </w:r>
          </w:p>
        </w:tc>
        <w:tc>
          <w:tcPr>
            <w:tcW w:w="609" w:type="dxa"/>
            <w:tcBorders>
              <w:top w:val="single" w:sz="4" w:space="0" w:color="A6A6A6" w:themeColor="background1" w:themeShade="A6"/>
              <w:bottom w:val="single" w:sz="4" w:space="0" w:color="A6A6A6" w:themeColor="background1" w:themeShade="A6"/>
            </w:tcBorders>
            <w:hideMark/>
          </w:tcPr>
          <w:p w:rsidR="008F12EE" w:rsidRDefault="008F12EE" w:rsidP="00BD471F">
            <w:pPr>
              <w:spacing w:before="80" w:after="60"/>
              <w:jc w:val="center"/>
              <w:rPr>
                <w:rFonts w:cs="Arial"/>
                <w:color w:val="000000"/>
                <w:sz w:val="18"/>
                <w:szCs w:val="18"/>
              </w:rPr>
            </w:pPr>
          </w:p>
        </w:tc>
      </w:tr>
      <w:tr w:rsidR="008F12EE" w:rsidTr="0064554F">
        <w:tc>
          <w:tcPr>
            <w:tcW w:w="3473" w:type="dxa"/>
            <w:tcBorders>
              <w:top w:val="single" w:sz="4" w:space="0" w:color="A6A6A6" w:themeColor="background1" w:themeShade="A6"/>
            </w:tcBorders>
            <w:hideMark/>
          </w:tcPr>
          <w:p w:rsidR="008F12EE" w:rsidRDefault="008F12EE" w:rsidP="00BD471F">
            <w:pPr>
              <w:pStyle w:val="ARtabletext"/>
            </w:pPr>
            <w:r>
              <w:t>Contributed capital and reserves</w:t>
            </w:r>
          </w:p>
        </w:tc>
        <w:tc>
          <w:tcPr>
            <w:tcW w:w="989" w:type="dxa"/>
            <w:tcBorders>
              <w:top w:val="single" w:sz="4" w:space="0" w:color="A6A6A6" w:themeColor="background1" w:themeShade="A6"/>
            </w:tcBorders>
            <w:hideMark/>
          </w:tcPr>
          <w:p w:rsidR="008F12EE" w:rsidRDefault="008F12EE" w:rsidP="00BD471F">
            <w:pPr>
              <w:pStyle w:val="ARtabletextright"/>
            </w:pPr>
            <w:r>
              <w:t>12,737</w:t>
            </w:r>
          </w:p>
        </w:tc>
        <w:tc>
          <w:tcPr>
            <w:tcW w:w="1010" w:type="dxa"/>
            <w:tcBorders>
              <w:top w:val="single" w:sz="4" w:space="0" w:color="A6A6A6" w:themeColor="background1" w:themeShade="A6"/>
            </w:tcBorders>
            <w:hideMark/>
          </w:tcPr>
          <w:p w:rsidR="008F12EE" w:rsidRDefault="008F12EE" w:rsidP="00BD471F">
            <w:pPr>
              <w:pStyle w:val="ARtabletextright"/>
            </w:pPr>
            <w:r>
              <w:t>12,303</w:t>
            </w:r>
          </w:p>
        </w:tc>
        <w:tc>
          <w:tcPr>
            <w:tcW w:w="1130" w:type="dxa"/>
            <w:tcBorders>
              <w:top w:val="single" w:sz="4" w:space="0" w:color="A6A6A6" w:themeColor="background1" w:themeShade="A6"/>
            </w:tcBorders>
            <w:hideMark/>
          </w:tcPr>
          <w:p w:rsidR="008F12EE" w:rsidRDefault="008F12EE" w:rsidP="00BD471F">
            <w:pPr>
              <w:pStyle w:val="ARtabletextright"/>
            </w:pPr>
            <w:r>
              <w:t>3.5</w:t>
            </w:r>
          </w:p>
        </w:tc>
        <w:tc>
          <w:tcPr>
            <w:tcW w:w="1193" w:type="dxa"/>
            <w:tcBorders>
              <w:top w:val="single" w:sz="4" w:space="0" w:color="A6A6A6" w:themeColor="background1" w:themeShade="A6"/>
            </w:tcBorders>
            <w:hideMark/>
          </w:tcPr>
          <w:p w:rsidR="008F12EE" w:rsidRDefault="008F12EE" w:rsidP="00BD471F">
            <w:pPr>
              <w:pStyle w:val="ARtabletextright"/>
            </w:pPr>
            <w:r>
              <w:t>12,331</w:t>
            </w:r>
          </w:p>
        </w:tc>
        <w:tc>
          <w:tcPr>
            <w:tcW w:w="1235" w:type="dxa"/>
            <w:tcBorders>
              <w:top w:val="single" w:sz="4" w:space="0" w:color="A6A6A6" w:themeColor="background1" w:themeShade="A6"/>
            </w:tcBorders>
            <w:hideMark/>
          </w:tcPr>
          <w:p w:rsidR="008F12EE" w:rsidRDefault="008F12EE" w:rsidP="00BD471F">
            <w:pPr>
              <w:pStyle w:val="ARtabletextright"/>
            </w:pPr>
            <w:r>
              <w:t>3.3</w:t>
            </w:r>
          </w:p>
        </w:tc>
        <w:tc>
          <w:tcPr>
            <w:tcW w:w="609" w:type="dxa"/>
            <w:tcBorders>
              <w:top w:val="single" w:sz="4" w:space="0" w:color="A6A6A6" w:themeColor="background1" w:themeShade="A6"/>
            </w:tcBorders>
            <w:hideMark/>
          </w:tcPr>
          <w:p w:rsidR="008F12EE" w:rsidRDefault="008F12EE" w:rsidP="00BD471F">
            <w:pPr>
              <w:spacing w:before="80" w:after="60"/>
              <w:jc w:val="right"/>
              <w:rPr>
                <w:rFonts w:cs="Arial"/>
                <w:color w:val="000000"/>
                <w:sz w:val="18"/>
                <w:szCs w:val="18"/>
              </w:rPr>
            </w:pPr>
          </w:p>
        </w:tc>
      </w:tr>
      <w:tr w:rsidR="008F12EE" w:rsidTr="00396BC3">
        <w:tc>
          <w:tcPr>
            <w:tcW w:w="3473" w:type="dxa"/>
            <w:hideMark/>
          </w:tcPr>
          <w:p w:rsidR="008F12EE" w:rsidRDefault="008F12EE" w:rsidP="00BD471F">
            <w:pPr>
              <w:pStyle w:val="ARtabletextbold"/>
            </w:pPr>
            <w:r>
              <w:t>Total equity</w:t>
            </w:r>
          </w:p>
        </w:tc>
        <w:tc>
          <w:tcPr>
            <w:tcW w:w="989" w:type="dxa"/>
            <w:hideMark/>
          </w:tcPr>
          <w:p w:rsidR="008F12EE" w:rsidRPr="00221E54" w:rsidRDefault="008F12EE" w:rsidP="00BD471F">
            <w:pPr>
              <w:pStyle w:val="ARtabletextright"/>
              <w:rPr>
                <w:b/>
              </w:rPr>
            </w:pPr>
            <w:r w:rsidRPr="00221E54">
              <w:rPr>
                <w:b/>
              </w:rPr>
              <w:t>14,516</w:t>
            </w:r>
          </w:p>
        </w:tc>
        <w:tc>
          <w:tcPr>
            <w:tcW w:w="1010" w:type="dxa"/>
            <w:hideMark/>
          </w:tcPr>
          <w:p w:rsidR="008F12EE" w:rsidRPr="00221E54" w:rsidRDefault="008F12EE" w:rsidP="00BD471F">
            <w:pPr>
              <w:pStyle w:val="ARtabletextright"/>
              <w:rPr>
                <w:b/>
              </w:rPr>
            </w:pPr>
            <w:r w:rsidRPr="00221E54">
              <w:rPr>
                <w:b/>
              </w:rPr>
              <w:t>13,757</w:t>
            </w:r>
          </w:p>
        </w:tc>
        <w:tc>
          <w:tcPr>
            <w:tcW w:w="1130" w:type="dxa"/>
            <w:hideMark/>
          </w:tcPr>
          <w:p w:rsidR="008F12EE" w:rsidRPr="00221E54" w:rsidRDefault="008F12EE" w:rsidP="00BD471F">
            <w:pPr>
              <w:pStyle w:val="ARtabletextright"/>
              <w:rPr>
                <w:b/>
              </w:rPr>
            </w:pPr>
            <w:r w:rsidRPr="00221E54">
              <w:rPr>
                <w:b/>
              </w:rPr>
              <w:t>5.5</w:t>
            </w:r>
          </w:p>
        </w:tc>
        <w:tc>
          <w:tcPr>
            <w:tcW w:w="1193" w:type="dxa"/>
            <w:hideMark/>
          </w:tcPr>
          <w:p w:rsidR="008F12EE" w:rsidRPr="00221E54" w:rsidRDefault="008F12EE" w:rsidP="00BD471F">
            <w:pPr>
              <w:pStyle w:val="ARtabletextright"/>
              <w:rPr>
                <w:b/>
              </w:rPr>
            </w:pPr>
            <w:r w:rsidRPr="00221E54">
              <w:rPr>
                <w:b/>
              </w:rPr>
              <w:t>13,502</w:t>
            </w:r>
          </w:p>
        </w:tc>
        <w:tc>
          <w:tcPr>
            <w:tcW w:w="1235" w:type="dxa"/>
            <w:hideMark/>
          </w:tcPr>
          <w:p w:rsidR="008F12EE" w:rsidRPr="00221E54" w:rsidRDefault="008F12EE" w:rsidP="00BD471F">
            <w:pPr>
              <w:pStyle w:val="ARtabletextright"/>
              <w:rPr>
                <w:b/>
              </w:rPr>
            </w:pPr>
            <w:r w:rsidRPr="00221E54">
              <w:rPr>
                <w:b/>
              </w:rPr>
              <w:t>7.5</w:t>
            </w:r>
          </w:p>
        </w:tc>
        <w:tc>
          <w:tcPr>
            <w:tcW w:w="609" w:type="dxa"/>
            <w:hideMark/>
          </w:tcPr>
          <w:p w:rsidR="008F12EE" w:rsidRPr="00221E54" w:rsidRDefault="008F12EE" w:rsidP="00BD471F">
            <w:pPr>
              <w:pStyle w:val="ARtabletextright"/>
              <w:rPr>
                <w:b/>
              </w:rPr>
            </w:pPr>
          </w:p>
        </w:tc>
      </w:tr>
    </w:tbl>
    <w:p w:rsidR="00AA035A" w:rsidRDefault="008F12EE" w:rsidP="00876A68">
      <w:pPr>
        <w:pStyle w:val="ARtablefootnote"/>
        <w:numPr>
          <w:ilvl w:val="0"/>
          <w:numId w:val="46"/>
        </w:numPr>
        <w:ind w:left="284" w:hanging="284"/>
      </w:pPr>
      <w:r w:rsidRPr="005259FC">
        <w:rPr>
          <w:rFonts w:eastAsia="Times"/>
        </w:rPr>
        <w:t>The variances reflect higher than anticipated balances of short term investments, held by the hospitals sector at balance date, with Treasury Corporation Victoria and Victorian Funds Management Corporation.</w:t>
      </w:r>
    </w:p>
    <w:p w:rsidR="008F12EE" w:rsidRDefault="008F12EE" w:rsidP="00876A68">
      <w:pPr>
        <w:pStyle w:val="ARtablefootnote"/>
        <w:numPr>
          <w:ilvl w:val="0"/>
          <w:numId w:val="46"/>
        </w:numPr>
        <w:spacing w:before="0"/>
        <w:ind w:left="284" w:hanging="284"/>
        <w:rPr>
          <w:lang w:eastAsia="en-AU"/>
        </w:rPr>
      </w:pPr>
      <w:r w:rsidRPr="005259FC">
        <w:rPr>
          <w:lang w:eastAsia="en-AU"/>
        </w:rPr>
        <w:t>The variance reflects a balance greater than initially anticipated at Published Budget of current receivables across public hospitals and health services, which was subsequently updated for Revised Budget</w:t>
      </w:r>
      <w:r w:rsidRPr="006167CA">
        <w:rPr>
          <w:lang w:eastAsia="en-AU"/>
        </w:rPr>
        <w:t>.</w:t>
      </w:r>
    </w:p>
    <w:p w:rsidR="008F12EE" w:rsidRDefault="008F12EE" w:rsidP="00876A68">
      <w:pPr>
        <w:pStyle w:val="ARtablefootnote"/>
        <w:numPr>
          <w:ilvl w:val="0"/>
          <w:numId w:val="46"/>
        </w:numPr>
        <w:spacing w:before="0"/>
        <w:ind w:left="284" w:hanging="284"/>
        <w:rPr>
          <w:lang w:eastAsia="en-AU"/>
        </w:rPr>
      </w:pPr>
      <w:r w:rsidRPr="005259FC">
        <w:rPr>
          <w:lang w:eastAsia="en-AU"/>
        </w:rPr>
        <w:t>The variance reflects a balance greater than anticipated of current term deposits across public hospitals and health services.</w:t>
      </w:r>
    </w:p>
    <w:p w:rsidR="008F12EE" w:rsidRDefault="008F12EE" w:rsidP="00876A68">
      <w:pPr>
        <w:pStyle w:val="ARtablefootnote"/>
        <w:numPr>
          <w:ilvl w:val="0"/>
          <w:numId w:val="46"/>
        </w:numPr>
        <w:spacing w:before="0"/>
        <w:ind w:left="284" w:hanging="284"/>
        <w:rPr>
          <w:lang w:eastAsia="en-AU"/>
        </w:rPr>
      </w:pPr>
      <w:r w:rsidRPr="005259FC">
        <w:rPr>
          <w:lang w:eastAsia="en-AU"/>
        </w:rPr>
        <w:t>The variance reflects the disposal of assets to Jewish Care (Victoria) Inc. during 20</w:t>
      </w:r>
      <w:r>
        <w:rPr>
          <w:lang w:eastAsia="en-AU"/>
        </w:rPr>
        <w:t>16–17</w:t>
      </w:r>
      <w:r w:rsidRPr="005259FC">
        <w:rPr>
          <w:lang w:eastAsia="en-AU"/>
        </w:rPr>
        <w:t xml:space="preserve"> which was not anticipated at Revised Budget.</w:t>
      </w:r>
      <w:r w:rsidR="00F8267D">
        <w:rPr>
          <w:lang w:eastAsia="en-AU"/>
        </w:rPr>
        <w:t xml:space="preserve"> </w:t>
      </w:r>
      <w:r w:rsidRPr="005259FC">
        <w:rPr>
          <w:lang w:eastAsia="en-AU"/>
        </w:rPr>
        <w:t xml:space="preserve">The former site of the Peter </w:t>
      </w:r>
      <w:proofErr w:type="spellStart"/>
      <w:r w:rsidRPr="005259FC">
        <w:rPr>
          <w:lang w:eastAsia="en-AU"/>
        </w:rPr>
        <w:t>MacCallum</w:t>
      </w:r>
      <w:proofErr w:type="spellEnd"/>
      <w:r w:rsidRPr="005259FC">
        <w:rPr>
          <w:lang w:eastAsia="en-AU"/>
        </w:rPr>
        <w:t xml:space="preserve"> Cancer Centre in East Melbourne is now represented in the remaining balance.</w:t>
      </w:r>
    </w:p>
    <w:p w:rsidR="008F12EE" w:rsidRDefault="008F12EE" w:rsidP="00876A68">
      <w:pPr>
        <w:pStyle w:val="ARtablefootnote"/>
        <w:numPr>
          <w:ilvl w:val="0"/>
          <w:numId w:val="46"/>
        </w:numPr>
        <w:spacing w:before="0"/>
        <w:ind w:left="284" w:hanging="284"/>
        <w:rPr>
          <w:lang w:eastAsia="en-AU"/>
        </w:rPr>
      </w:pPr>
      <w:r w:rsidRPr="005259FC">
        <w:rPr>
          <w:lang w:eastAsia="en-AU"/>
        </w:rPr>
        <w:t>The variance reflects properties held by the Victorian Eye and Ear Hospital that ceased being used as administration offices and were re-classified as investment properties.</w:t>
      </w:r>
    </w:p>
    <w:p w:rsidR="008F12EE" w:rsidRDefault="008F12EE" w:rsidP="00876A68">
      <w:pPr>
        <w:pStyle w:val="ARtablefootnote"/>
        <w:numPr>
          <w:ilvl w:val="0"/>
          <w:numId w:val="46"/>
        </w:numPr>
        <w:spacing w:before="0"/>
        <w:ind w:left="284" w:hanging="284"/>
        <w:rPr>
          <w:lang w:eastAsia="en-AU"/>
        </w:rPr>
      </w:pPr>
      <w:r w:rsidRPr="005259FC">
        <w:rPr>
          <w:lang w:eastAsia="en-AU"/>
        </w:rPr>
        <w:t>The variances reflect increases in the expected and actual value of software assets recognised during the financial year.</w:t>
      </w:r>
    </w:p>
    <w:p w:rsidR="008F12EE" w:rsidRDefault="008F12EE" w:rsidP="00876A68">
      <w:pPr>
        <w:pStyle w:val="ARtablefootnote"/>
        <w:numPr>
          <w:ilvl w:val="0"/>
          <w:numId w:val="46"/>
        </w:numPr>
        <w:spacing w:before="0"/>
        <w:ind w:left="284" w:hanging="284"/>
        <w:rPr>
          <w:lang w:eastAsia="en-AU"/>
        </w:rPr>
      </w:pPr>
      <w:r w:rsidRPr="005259FC">
        <w:rPr>
          <w:lang w:eastAsia="en-AU"/>
        </w:rPr>
        <w:t>The variances reflect increases in both expected and actual value of deposits and advances payable, including aged care accommodation deposits, during the year.</w:t>
      </w:r>
    </w:p>
    <w:p w:rsidR="008F12EE" w:rsidRPr="001E35D0" w:rsidRDefault="008F12EE" w:rsidP="0066026E">
      <w:pPr>
        <w:pStyle w:val="Heading3"/>
      </w:pPr>
      <w:r>
        <w:br w:type="page"/>
      </w:r>
      <w:bookmarkStart w:id="120" w:name="_Toc462577201"/>
      <w:bookmarkStart w:id="121" w:name="_Ref492907675"/>
      <w:r w:rsidRPr="001E35D0">
        <w:lastRenderedPageBreak/>
        <w:t>Statement of cash flows for the f</w:t>
      </w:r>
      <w:r>
        <w:t>inancial year ended 30 June 201</w:t>
      </w:r>
      <w:bookmarkEnd w:id="120"/>
      <w:r>
        <w:t>7</w:t>
      </w:r>
      <w:bookmarkEnd w:id="121"/>
    </w:p>
    <w:tbl>
      <w:tblPr>
        <w:tblStyle w:val="TableGrid"/>
        <w:tblW w:w="9639" w:type="dxa"/>
        <w:tblLayout w:type="fixed"/>
        <w:tblLook w:val="06A0" w:firstRow="1" w:lastRow="0" w:firstColumn="1" w:lastColumn="0" w:noHBand="1" w:noVBand="1"/>
      </w:tblPr>
      <w:tblGrid>
        <w:gridCol w:w="2836"/>
        <w:gridCol w:w="1134"/>
        <w:gridCol w:w="1134"/>
        <w:gridCol w:w="1247"/>
        <w:gridCol w:w="1247"/>
        <w:gridCol w:w="1304"/>
        <w:gridCol w:w="737"/>
      </w:tblGrid>
      <w:tr w:rsidR="00396BC3" w:rsidRPr="00F03176" w:rsidTr="0064554F">
        <w:trPr>
          <w:cnfStyle w:val="100000000000" w:firstRow="1" w:lastRow="0" w:firstColumn="0" w:lastColumn="0" w:oddVBand="0" w:evenVBand="0" w:oddHBand="0" w:evenHBand="0" w:firstRowFirstColumn="0" w:firstRowLastColumn="0" w:lastRowFirstColumn="0" w:lastRowLastColumn="0"/>
          <w:tblHeader/>
        </w:trPr>
        <w:tc>
          <w:tcPr>
            <w:tcW w:w="2836" w:type="dxa"/>
            <w:tcBorders>
              <w:bottom w:val="single" w:sz="4" w:space="0" w:color="auto"/>
            </w:tcBorders>
            <w:hideMark/>
          </w:tcPr>
          <w:p w:rsidR="00396BC3" w:rsidRPr="00F03176" w:rsidRDefault="00396BC3" w:rsidP="00396BC3">
            <w:pPr>
              <w:rPr>
                <w:rFonts w:cs="Arial"/>
                <w:b/>
                <w:bCs/>
                <w:color w:val="000000"/>
                <w:sz w:val="18"/>
                <w:szCs w:val="18"/>
                <w:lang w:eastAsia="en-AU"/>
              </w:rPr>
            </w:pPr>
          </w:p>
        </w:tc>
        <w:tc>
          <w:tcPr>
            <w:tcW w:w="1134" w:type="dxa"/>
            <w:tcBorders>
              <w:bottom w:val="single" w:sz="4" w:space="0" w:color="auto"/>
            </w:tcBorders>
            <w:hideMark/>
          </w:tcPr>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2016</w:t>
            </w:r>
            <w:r>
              <w:rPr>
                <w:lang w:eastAsia="en-AU"/>
              </w:rPr>
              <w:t>–</w:t>
            </w:r>
            <w:r w:rsidRPr="00F03176">
              <w:rPr>
                <w:lang w:eastAsia="en-AU"/>
              </w:rPr>
              <w:t xml:space="preserve">17 </w:t>
            </w:r>
            <w:r>
              <w:rPr>
                <w:lang w:eastAsia="en-AU"/>
              </w:rPr>
              <w:t>a</w:t>
            </w:r>
            <w:r w:rsidRPr="00F03176">
              <w:rPr>
                <w:lang w:eastAsia="en-AU"/>
              </w:rPr>
              <w:t>ctual</w:t>
            </w:r>
          </w:p>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$M</w:t>
            </w:r>
          </w:p>
        </w:tc>
        <w:tc>
          <w:tcPr>
            <w:tcW w:w="1134" w:type="dxa"/>
            <w:tcBorders>
              <w:bottom w:val="single" w:sz="4" w:space="0" w:color="auto"/>
            </w:tcBorders>
            <w:hideMark/>
          </w:tcPr>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2016</w:t>
            </w:r>
            <w:r>
              <w:rPr>
                <w:lang w:eastAsia="en-AU"/>
              </w:rPr>
              <w:t>–</w:t>
            </w:r>
            <w:r w:rsidRPr="00F03176">
              <w:rPr>
                <w:lang w:eastAsia="en-AU"/>
              </w:rPr>
              <w:t xml:space="preserve">17 </w:t>
            </w:r>
            <w:r>
              <w:rPr>
                <w:lang w:eastAsia="en-AU"/>
              </w:rPr>
              <w:t>r</w:t>
            </w:r>
            <w:r w:rsidRPr="00F03176">
              <w:rPr>
                <w:lang w:eastAsia="en-AU"/>
              </w:rPr>
              <w:t xml:space="preserve">evised </w:t>
            </w:r>
            <w:r>
              <w:rPr>
                <w:lang w:eastAsia="en-AU"/>
              </w:rPr>
              <w:t>b</w:t>
            </w:r>
            <w:r w:rsidRPr="00F03176">
              <w:rPr>
                <w:lang w:eastAsia="en-AU"/>
              </w:rPr>
              <w:t>udget</w:t>
            </w:r>
          </w:p>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$M</w:t>
            </w:r>
          </w:p>
        </w:tc>
        <w:tc>
          <w:tcPr>
            <w:tcW w:w="1247" w:type="dxa"/>
            <w:tcBorders>
              <w:bottom w:val="single" w:sz="4" w:space="0" w:color="auto"/>
            </w:tcBorders>
            <w:hideMark/>
          </w:tcPr>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 xml:space="preserve">Variation </w:t>
            </w:r>
            <w:r>
              <w:rPr>
                <w:lang w:eastAsia="en-AU"/>
              </w:rPr>
              <w:br/>
            </w:r>
            <w:r w:rsidRPr="00F03176">
              <w:rPr>
                <w:lang w:eastAsia="en-AU"/>
              </w:rPr>
              <w:t xml:space="preserve">to </w:t>
            </w:r>
            <w:r>
              <w:rPr>
                <w:lang w:eastAsia="en-AU"/>
              </w:rPr>
              <w:t>r</w:t>
            </w:r>
            <w:r w:rsidRPr="00F03176">
              <w:rPr>
                <w:lang w:eastAsia="en-AU"/>
              </w:rPr>
              <w:t xml:space="preserve">evised </w:t>
            </w:r>
            <w:r>
              <w:rPr>
                <w:lang w:eastAsia="en-AU"/>
              </w:rPr>
              <w:t>b</w:t>
            </w:r>
            <w:r w:rsidRPr="00F03176">
              <w:rPr>
                <w:lang w:eastAsia="en-AU"/>
              </w:rPr>
              <w:t>udget</w:t>
            </w:r>
          </w:p>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w:t>
            </w:r>
          </w:p>
        </w:tc>
        <w:tc>
          <w:tcPr>
            <w:tcW w:w="1247" w:type="dxa"/>
            <w:tcBorders>
              <w:bottom w:val="single" w:sz="4" w:space="0" w:color="auto"/>
            </w:tcBorders>
            <w:hideMark/>
          </w:tcPr>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2016</w:t>
            </w:r>
            <w:r>
              <w:rPr>
                <w:lang w:eastAsia="en-AU"/>
              </w:rPr>
              <w:t>–</w:t>
            </w:r>
            <w:r w:rsidRPr="00F03176">
              <w:rPr>
                <w:lang w:eastAsia="en-AU"/>
              </w:rPr>
              <w:t xml:space="preserve">17 </w:t>
            </w:r>
            <w:r>
              <w:rPr>
                <w:lang w:eastAsia="en-AU"/>
              </w:rPr>
              <w:t>p</w:t>
            </w:r>
            <w:r w:rsidRPr="00F03176">
              <w:rPr>
                <w:lang w:eastAsia="en-AU"/>
              </w:rPr>
              <w:t xml:space="preserve">ublished </w:t>
            </w:r>
            <w:r>
              <w:rPr>
                <w:lang w:eastAsia="en-AU"/>
              </w:rPr>
              <w:t>b</w:t>
            </w:r>
            <w:r w:rsidRPr="00F03176">
              <w:rPr>
                <w:lang w:eastAsia="en-AU"/>
              </w:rPr>
              <w:t>udget</w:t>
            </w:r>
          </w:p>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$M</w:t>
            </w:r>
          </w:p>
        </w:tc>
        <w:tc>
          <w:tcPr>
            <w:tcW w:w="1304" w:type="dxa"/>
            <w:tcBorders>
              <w:bottom w:val="single" w:sz="4" w:space="0" w:color="auto"/>
            </w:tcBorders>
            <w:hideMark/>
          </w:tcPr>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Variation</w:t>
            </w:r>
            <w:r>
              <w:rPr>
                <w:lang w:eastAsia="en-AU"/>
              </w:rPr>
              <w:br/>
            </w:r>
            <w:r w:rsidRPr="00F03176">
              <w:rPr>
                <w:lang w:eastAsia="en-AU"/>
              </w:rPr>
              <w:t xml:space="preserve"> to </w:t>
            </w:r>
            <w:r>
              <w:rPr>
                <w:lang w:eastAsia="en-AU"/>
              </w:rPr>
              <w:t>p</w:t>
            </w:r>
            <w:r w:rsidRPr="00F03176">
              <w:rPr>
                <w:lang w:eastAsia="en-AU"/>
              </w:rPr>
              <w:t>ublished</w:t>
            </w:r>
            <w:r>
              <w:rPr>
                <w:lang w:eastAsia="en-AU"/>
              </w:rPr>
              <w:t xml:space="preserve"> b</w:t>
            </w:r>
            <w:r w:rsidRPr="00F03176">
              <w:rPr>
                <w:lang w:eastAsia="en-AU"/>
              </w:rPr>
              <w:t>udget</w:t>
            </w:r>
          </w:p>
          <w:p w:rsidR="00396BC3" w:rsidRPr="00F03176" w:rsidRDefault="00396BC3" w:rsidP="00E924ED">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w:t>
            </w:r>
          </w:p>
        </w:tc>
        <w:tc>
          <w:tcPr>
            <w:tcW w:w="737" w:type="dxa"/>
            <w:tcBorders>
              <w:bottom w:val="single" w:sz="4" w:space="0" w:color="auto"/>
            </w:tcBorders>
            <w:hideMark/>
          </w:tcPr>
          <w:p w:rsidR="00396BC3" w:rsidRPr="00F03176" w:rsidRDefault="00396BC3" w:rsidP="00396BC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F03176">
              <w:rPr>
                <w:lang w:eastAsia="en-AU"/>
              </w:rPr>
              <w:t>Notes</w:t>
            </w:r>
          </w:p>
        </w:tc>
      </w:tr>
      <w:tr w:rsidR="008F12EE" w:rsidRPr="00F03176" w:rsidTr="0064554F">
        <w:tc>
          <w:tcPr>
            <w:tcW w:w="2836"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r w:rsidRPr="00F03176">
              <w:t>Cash flows from operating activities</w:t>
            </w:r>
          </w:p>
        </w:tc>
        <w:tc>
          <w:tcPr>
            <w:tcW w:w="1134"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p>
        </w:tc>
        <w:tc>
          <w:tcPr>
            <w:tcW w:w="1134"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p>
        </w:tc>
        <w:tc>
          <w:tcPr>
            <w:tcW w:w="1247"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p>
        </w:tc>
        <w:tc>
          <w:tcPr>
            <w:tcW w:w="1247"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p>
        </w:tc>
        <w:tc>
          <w:tcPr>
            <w:tcW w:w="1304"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p>
        </w:tc>
        <w:tc>
          <w:tcPr>
            <w:tcW w:w="737"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r w:rsidRPr="00F03176">
              <w:t>Receipts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Receipts from government</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16,340</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16,552</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(1.3)</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15,825</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3.3</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Receipts from other entities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6,453</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6,597</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(2.2)</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6,053</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6.6</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Interest received</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45</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38</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18.4</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68</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(33.8)</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jc w:val="right"/>
            </w:pPr>
            <w:r w:rsidRPr="00F03176">
              <w:t>1</w:t>
            </w: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Dividends received</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6</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jc w:val="right"/>
            </w:pPr>
          </w:p>
        </w:tc>
      </w:tr>
      <w:tr w:rsidR="008F12EE" w:rsidRPr="00F03176" w:rsidTr="0064554F">
        <w:tc>
          <w:tcPr>
            <w:tcW w:w="2836" w:type="dxa"/>
            <w:tcBorders>
              <w:top w:val="single" w:sz="4" w:space="0" w:color="A6A6A6" w:themeColor="background1" w:themeShade="A6"/>
            </w:tcBorders>
            <w:hideMark/>
          </w:tcPr>
          <w:p w:rsidR="008F12EE" w:rsidRPr="00F03176" w:rsidRDefault="008F12EE" w:rsidP="00CF1B4C">
            <w:pPr>
              <w:pStyle w:val="ARtabletext"/>
              <w:spacing w:before="60"/>
            </w:pPr>
            <w:r w:rsidRPr="00F03176">
              <w:t>Other receipts</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702</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800</w:t>
            </w:r>
          </w:p>
        </w:tc>
        <w:tc>
          <w:tcPr>
            <w:tcW w:w="1247" w:type="dxa"/>
            <w:tcBorders>
              <w:top w:val="single" w:sz="4" w:space="0" w:color="A6A6A6" w:themeColor="background1" w:themeShade="A6"/>
            </w:tcBorders>
            <w:hideMark/>
          </w:tcPr>
          <w:p w:rsidR="008F12EE" w:rsidRPr="00F03176" w:rsidRDefault="008F12EE" w:rsidP="00CF1B4C">
            <w:pPr>
              <w:pStyle w:val="ARtabletextright"/>
              <w:spacing w:before="60"/>
            </w:pPr>
            <w:r w:rsidRPr="00F03176">
              <w:t>(12.3)</w:t>
            </w:r>
          </w:p>
        </w:tc>
        <w:tc>
          <w:tcPr>
            <w:tcW w:w="1247" w:type="dxa"/>
            <w:tcBorders>
              <w:top w:val="single" w:sz="4" w:space="0" w:color="A6A6A6" w:themeColor="background1" w:themeShade="A6"/>
            </w:tcBorders>
            <w:hideMark/>
          </w:tcPr>
          <w:p w:rsidR="008F12EE" w:rsidRPr="00F03176" w:rsidRDefault="008F12EE" w:rsidP="00CF1B4C">
            <w:pPr>
              <w:pStyle w:val="ARtabletextright"/>
              <w:spacing w:before="60"/>
            </w:pPr>
            <w:r w:rsidRPr="00F03176">
              <w:t>581</w:t>
            </w:r>
          </w:p>
        </w:tc>
        <w:tc>
          <w:tcPr>
            <w:tcW w:w="130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20.8</w:t>
            </w:r>
          </w:p>
        </w:tc>
        <w:tc>
          <w:tcPr>
            <w:tcW w:w="737" w:type="dxa"/>
            <w:tcBorders>
              <w:top w:val="single" w:sz="4" w:space="0" w:color="A6A6A6" w:themeColor="background1" w:themeShade="A6"/>
            </w:tcBorders>
            <w:hideMark/>
          </w:tcPr>
          <w:p w:rsidR="008F12EE" w:rsidRPr="00F03176" w:rsidRDefault="008F12EE" w:rsidP="00CF1B4C">
            <w:pPr>
              <w:pStyle w:val="ARtabletextbold"/>
              <w:spacing w:before="60"/>
              <w:jc w:val="right"/>
            </w:pPr>
            <w:r w:rsidRPr="00F03176">
              <w:t>2</w:t>
            </w:r>
          </w:p>
        </w:tc>
      </w:tr>
      <w:tr w:rsidR="008F12EE" w:rsidRPr="00F03176" w:rsidTr="0064554F">
        <w:tc>
          <w:tcPr>
            <w:tcW w:w="2836" w:type="dxa"/>
            <w:tcBorders>
              <w:bottom w:val="single" w:sz="4" w:space="0" w:color="auto"/>
            </w:tcBorders>
            <w:hideMark/>
          </w:tcPr>
          <w:p w:rsidR="008F12EE" w:rsidRPr="00F03176" w:rsidRDefault="008F12EE" w:rsidP="00CF1B4C">
            <w:pPr>
              <w:pStyle w:val="ARtabletextbold"/>
              <w:spacing w:before="60"/>
            </w:pPr>
            <w:r w:rsidRPr="00F03176">
              <w:t>Total receipts</w:t>
            </w:r>
          </w:p>
        </w:tc>
        <w:tc>
          <w:tcPr>
            <w:tcW w:w="1134" w:type="dxa"/>
            <w:tcBorders>
              <w:bottom w:val="single" w:sz="4" w:space="0" w:color="auto"/>
            </w:tcBorders>
            <w:hideMark/>
          </w:tcPr>
          <w:p w:rsidR="008F12EE" w:rsidRPr="00221E54" w:rsidRDefault="008F12EE" w:rsidP="00CF1B4C">
            <w:pPr>
              <w:pStyle w:val="ARtabletextright"/>
              <w:spacing w:before="60"/>
              <w:rPr>
                <w:b/>
              </w:rPr>
            </w:pPr>
            <w:r w:rsidRPr="00221E54">
              <w:rPr>
                <w:b/>
              </w:rPr>
              <w:t>23,546</w:t>
            </w:r>
          </w:p>
        </w:tc>
        <w:tc>
          <w:tcPr>
            <w:tcW w:w="1134" w:type="dxa"/>
            <w:tcBorders>
              <w:bottom w:val="single" w:sz="4" w:space="0" w:color="auto"/>
            </w:tcBorders>
            <w:hideMark/>
          </w:tcPr>
          <w:p w:rsidR="008F12EE" w:rsidRPr="00221E54" w:rsidRDefault="008F12EE" w:rsidP="00CF1B4C">
            <w:pPr>
              <w:pStyle w:val="ARtabletextright"/>
              <w:spacing w:before="60"/>
              <w:rPr>
                <w:b/>
              </w:rPr>
            </w:pPr>
            <w:r w:rsidRPr="00221E54">
              <w:rPr>
                <w:b/>
              </w:rPr>
              <w:t>23,987</w:t>
            </w:r>
          </w:p>
        </w:tc>
        <w:tc>
          <w:tcPr>
            <w:tcW w:w="1247" w:type="dxa"/>
            <w:tcBorders>
              <w:bottom w:val="single" w:sz="4" w:space="0" w:color="auto"/>
            </w:tcBorders>
            <w:hideMark/>
          </w:tcPr>
          <w:p w:rsidR="008F12EE" w:rsidRPr="00221E54" w:rsidRDefault="008F12EE" w:rsidP="00CF1B4C">
            <w:pPr>
              <w:pStyle w:val="ARtabletextright"/>
              <w:spacing w:before="60"/>
              <w:rPr>
                <w:b/>
              </w:rPr>
            </w:pPr>
            <w:r w:rsidRPr="00221E54">
              <w:rPr>
                <w:b/>
              </w:rPr>
              <w:t>(1.8)</w:t>
            </w:r>
          </w:p>
        </w:tc>
        <w:tc>
          <w:tcPr>
            <w:tcW w:w="1247" w:type="dxa"/>
            <w:tcBorders>
              <w:bottom w:val="single" w:sz="4" w:space="0" w:color="auto"/>
            </w:tcBorders>
            <w:hideMark/>
          </w:tcPr>
          <w:p w:rsidR="008F12EE" w:rsidRPr="00221E54" w:rsidRDefault="008F12EE" w:rsidP="00CF1B4C">
            <w:pPr>
              <w:pStyle w:val="ARtabletextright"/>
              <w:spacing w:before="60"/>
              <w:rPr>
                <w:b/>
              </w:rPr>
            </w:pPr>
            <w:r w:rsidRPr="00221E54">
              <w:rPr>
                <w:b/>
              </w:rPr>
              <w:t>22,527</w:t>
            </w:r>
          </w:p>
        </w:tc>
        <w:tc>
          <w:tcPr>
            <w:tcW w:w="1304" w:type="dxa"/>
            <w:tcBorders>
              <w:bottom w:val="single" w:sz="4" w:space="0" w:color="auto"/>
            </w:tcBorders>
            <w:hideMark/>
          </w:tcPr>
          <w:p w:rsidR="008F12EE" w:rsidRPr="00221E54" w:rsidRDefault="008F12EE" w:rsidP="00CF1B4C">
            <w:pPr>
              <w:pStyle w:val="ARtabletextright"/>
              <w:spacing w:before="60"/>
              <w:rPr>
                <w:b/>
              </w:rPr>
            </w:pPr>
            <w:r w:rsidRPr="00221E54">
              <w:rPr>
                <w:b/>
              </w:rPr>
              <w:t>4.5</w:t>
            </w:r>
          </w:p>
        </w:tc>
        <w:tc>
          <w:tcPr>
            <w:tcW w:w="737" w:type="dxa"/>
            <w:tcBorders>
              <w:bottom w:val="single" w:sz="4" w:space="0" w:color="auto"/>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64554F">
        <w:tc>
          <w:tcPr>
            <w:tcW w:w="2836"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r w:rsidRPr="00F03176">
              <w:t>Payments</w:t>
            </w:r>
          </w:p>
        </w:tc>
        <w:tc>
          <w:tcPr>
            <w:tcW w:w="1134" w:type="dxa"/>
            <w:tcBorders>
              <w:top w:val="single" w:sz="4" w:space="0" w:color="auto"/>
              <w:bottom w:val="single" w:sz="4" w:space="0" w:color="A6A6A6" w:themeColor="background1" w:themeShade="A6"/>
            </w:tcBorders>
            <w:noWrap/>
            <w:hideMark/>
          </w:tcPr>
          <w:p w:rsidR="008F12EE" w:rsidRPr="00F03176" w:rsidRDefault="008F12EE" w:rsidP="00CF1B4C">
            <w:pPr>
              <w:spacing w:before="60" w:after="60"/>
              <w:jc w:val="right"/>
              <w:rPr>
                <w:rFonts w:cs="Arial"/>
                <w:color w:val="000000"/>
                <w:sz w:val="18"/>
                <w:szCs w:val="18"/>
                <w:lang w:eastAsia="en-AU"/>
              </w:rPr>
            </w:pPr>
          </w:p>
        </w:tc>
        <w:tc>
          <w:tcPr>
            <w:tcW w:w="1134" w:type="dxa"/>
            <w:tcBorders>
              <w:top w:val="single" w:sz="4" w:space="0" w:color="auto"/>
              <w:bottom w:val="single" w:sz="4" w:space="0" w:color="A6A6A6" w:themeColor="background1" w:themeShade="A6"/>
            </w:tcBorders>
            <w:noWrap/>
            <w:hideMark/>
          </w:tcPr>
          <w:p w:rsidR="008F12EE" w:rsidRPr="00F03176" w:rsidRDefault="008F12EE" w:rsidP="00CF1B4C">
            <w:pPr>
              <w:spacing w:before="60" w:after="60"/>
              <w:jc w:val="right"/>
              <w:rPr>
                <w:rFonts w:cs="Arial"/>
                <w:color w:val="000000"/>
                <w:sz w:val="18"/>
                <w:szCs w:val="18"/>
                <w:lang w:eastAsia="en-AU"/>
              </w:rPr>
            </w:pPr>
          </w:p>
        </w:tc>
        <w:tc>
          <w:tcPr>
            <w:tcW w:w="1247"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color w:val="000000"/>
                <w:sz w:val="18"/>
                <w:szCs w:val="18"/>
                <w:lang w:eastAsia="en-AU"/>
              </w:rPr>
            </w:pPr>
          </w:p>
        </w:tc>
        <w:tc>
          <w:tcPr>
            <w:tcW w:w="1247" w:type="dxa"/>
            <w:tcBorders>
              <w:top w:val="single" w:sz="4" w:space="0" w:color="auto"/>
              <w:bottom w:val="single" w:sz="4" w:space="0" w:color="A6A6A6" w:themeColor="background1" w:themeShade="A6"/>
            </w:tcBorders>
            <w:noWrap/>
            <w:hideMark/>
          </w:tcPr>
          <w:p w:rsidR="008F12EE" w:rsidRPr="00F03176" w:rsidRDefault="008F12EE" w:rsidP="00CF1B4C">
            <w:pPr>
              <w:spacing w:before="60" w:after="60"/>
              <w:jc w:val="right"/>
              <w:rPr>
                <w:rFonts w:cs="Arial"/>
                <w:color w:val="000000"/>
                <w:sz w:val="18"/>
                <w:szCs w:val="18"/>
                <w:lang w:eastAsia="en-AU"/>
              </w:rPr>
            </w:pPr>
          </w:p>
        </w:tc>
        <w:tc>
          <w:tcPr>
            <w:tcW w:w="1304"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color w:val="000000"/>
                <w:sz w:val="18"/>
                <w:szCs w:val="18"/>
                <w:lang w:eastAsia="en-AU"/>
              </w:rPr>
            </w:pPr>
          </w:p>
        </w:tc>
        <w:tc>
          <w:tcPr>
            <w:tcW w:w="737"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Payments of grants and other transfers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(2,081)</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(2,032)</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2.4</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(1,740)</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19.6</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r w:rsidRPr="00F03176">
              <w:rPr>
                <w:rFonts w:cs="Arial"/>
                <w:b/>
                <w:bCs/>
                <w:color w:val="000000"/>
                <w:sz w:val="18"/>
                <w:szCs w:val="18"/>
                <w:lang w:eastAsia="en-AU"/>
              </w:rPr>
              <w:t>3</w:t>
            </w: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Payments to suppliers and employees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(18,418)</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(19,382)</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(5.0)</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(18,117)</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1.7</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Capital asset charge</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(1,117)</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(1,117)</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(1,120)</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(0.3)</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tcBorders>
            <w:hideMark/>
          </w:tcPr>
          <w:p w:rsidR="008F12EE" w:rsidRPr="00F03176" w:rsidRDefault="008F12EE" w:rsidP="00CF1B4C">
            <w:pPr>
              <w:pStyle w:val="ARtabletext"/>
              <w:spacing w:before="60"/>
            </w:pPr>
            <w:r w:rsidRPr="00F03176">
              <w:t>Interest and other costs of finance paid</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(187)</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(194)</w:t>
            </w:r>
          </w:p>
        </w:tc>
        <w:tc>
          <w:tcPr>
            <w:tcW w:w="1247" w:type="dxa"/>
            <w:tcBorders>
              <w:top w:val="single" w:sz="4" w:space="0" w:color="A6A6A6" w:themeColor="background1" w:themeShade="A6"/>
            </w:tcBorders>
            <w:hideMark/>
          </w:tcPr>
          <w:p w:rsidR="008F12EE" w:rsidRPr="00F03176" w:rsidRDefault="008F12EE" w:rsidP="00CF1B4C">
            <w:pPr>
              <w:pStyle w:val="ARtabletextright"/>
              <w:spacing w:before="60"/>
            </w:pPr>
            <w:r w:rsidRPr="00F03176">
              <w:t>(3.6)</w:t>
            </w:r>
          </w:p>
        </w:tc>
        <w:tc>
          <w:tcPr>
            <w:tcW w:w="1247" w:type="dxa"/>
            <w:tcBorders>
              <w:top w:val="single" w:sz="4" w:space="0" w:color="A6A6A6" w:themeColor="background1" w:themeShade="A6"/>
            </w:tcBorders>
            <w:hideMark/>
          </w:tcPr>
          <w:p w:rsidR="008F12EE" w:rsidRPr="00F03176" w:rsidRDefault="008F12EE" w:rsidP="00CF1B4C">
            <w:pPr>
              <w:pStyle w:val="ARtabletextright"/>
              <w:spacing w:before="60"/>
            </w:pPr>
            <w:r w:rsidRPr="00F03176">
              <w:t>(185)</w:t>
            </w:r>
          </w:p>
        </w:tc>
        <w:tc>
          <w:tcPr>
            <w:tcW w:w="130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1.1</w:t>
            </w:r>
          </w:p>
        </w:tc>
        <w:tc>
          <w:tcPr>
            <w:tcW w:w="737" w:type="dxa"/>
            <w:tcBorders>
              <w:top w:val="single" w:sz="4" w:space="0" w:color="A6A6A6" w:themeColor="background1" w:themeShade="A6"/>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64554F">
        <w:tc>
          <w:tcPr>
            <w:tcW w:w="2836" w:type="dxa"/>
            <w:tcBorders>
              <w:bottom w:val="single" w:sz="4" w:space="0" w:color="auto"/>
            </w:tcBorders>
            <w:hideMark/>
          </w:tcPr>
          <w:p w:rsidR="008F12EE" w:rsidRPr="00F03176" w:rsidRDefault="008F12EE" w:rsidP="00CF1B4C">
            <w:pPr>
              <w:pStyle w:val="ARtabletextbold"/>
              <w:spacing w:before="60"/>
            </w:pPr>
            <w:r w:rsidRPr="00F03176">
              <w:t>Total payments</w:t>
            </w:r>
          </w:p>
        </w:tc>
        <w:tc>
          <w:tcPr>
            <w:tcW w:w="1134" w:type="dxa"/>
            <w:tcBorders>
              <w:bottom w:val="single" w:sz="4" w:space="0" w:color="auto"/>
            </w:tcBorders>
            <w:hideMark/>
          </w:tcPr>
          <w:p w:rsidR="008F12EE" w:rsidRPr="00221E54" w:rsidRDefault="008F12EE" w:rsidP="00CF1B4C">
            <w:pPr>
              <w:pStyle w:val="ARtabletextright"/>
              <w:spacing w:before="60"/>
              <w:rPr>
                <w:b/>
              </w:rPr>
            </w:pPr>
            <w:r w:rsidRPr="00221E54">
              <w:rPr>
                <w:b/>
              </w:rPr>
              <w:t>(21,803)</w:t>
            </w:r>
          </w:p>
        </w:tc>
        <w:tc>
          <w:tcPr>
            <w:tcW w:w="1134" w:type="dxa"/>
            <w:tcBorders>
              <w:bottom w:val="single" w:sz="4" w:space="0" w:color="auto"/>
            </w:tcBorders>
            <w:hideMark/>
          </w:tcPr>
          <w:p w:rsidR="008F12EE" w:rsidRPr="00221E54" w:rsidRDefault="008F12EE" w:rsidP="00CF1B4C">
            <w:pPr>
              <w:pStyle w:val="ARtabletextright"/>
              <w:spacing w:before="60"/>
              <w:rPr>
                <w:b/>
              </w:rPr>
            </w:pPr>
            <w:r w:rsidRPr="00221E54">
              <w:rPr>
                <w:b/>
              </w:rPr>
              <w:t>(22,725)</w:t>
            </w:r>
          </w:p>
        </w:tc>
        <w:tc>
          <w:tcPr>
            <w:tcW w:w="1247" w:type="dxa"/>
            <w:tcBorders>
              <w:bottom w:val="single" w:sz="4" w:space="0" w:color="auto"/>
            </w:tcBorders>
            <w:hideMark/>
          </w:tcPr>
          <w:p w:rsidR="008F12EE" w:rsidRPr="00221E54" w:rsidRDefault="008F12EE" w:rsidP="00CF1B4C">
            <w:pPr>
              <w:pStyle w:val="ARtabletextright"/>
              <w:spacing w:before="60"/>
              <w:rPr>
                <w:b/>
              </w:rPr>
            </w:pPr>
            <w:r w:rsidRPr="00221E54">
              <w:rPr>
                <w:b/>
              </w:rPr>
              <w:t>(4.1)</w:t>
            </w:r>
          </w:p>
        </w:tc>
        <w:tc>
          <w:tcPr>
            <w:tcW w:w="1247" w:type="dxa"/>
            <w:tcBorders>
              <w:bottom w:val="single" w:sz="4" w:space="0" w:color="auto"/>
            </w:tcBorders>
            <w:hideMark/>
          </w:tcPr>
          <w:p w:rsidR="008F12EE" w:rsidRPr="00221E54" w:rsidRDefault="008F12EE" w:rsidP="00CF1B4C">
            <w:pPr>
              <w:pStyle w:val="ARtabletextright"/>
              <w:spacing w:before="60"/>
              <w:rPr>
                <w:b/>
              </w:rPr>
            </w:pPr>
            <w:r w:rsidRPr="00221E54">
              <w:rPr>
                <w:b/>
              </w:rPr>
              <w:t>(21,161)</w:t>
            </w:r>
          </w:p>
        </w:tc>
        <w:tc>
          <w:tcPr>
            <w:tcW w:w="1304" w:type="dxa"/>
            <w:tcBorders>
              <w:bottom w:val="single" w:sz="4" w:space="0" w:color="auto"/>
            </w:tcBorders>
            <w:hideMark/>
          </w:tcPr>
          <w:p w:rsidR="008F12EE" w:rsidRPr="00221E54" w:rsidRDefault="008F12EE" w:rsidP="00CF1B4C">
            <w:pPr>
              <w:pStyle w:val="ARtabletextright"/>
              <w:spacing w:before="60"/>
              <w:rPr>
                <w:b/>
              </w:rPr>
            </w:pPr>
            <w:r w:rsidRPr="00221E54">
              <w:rPr>
                <w:b/>
              </w:rPr>
              <w:t>3.0</w:t>
            </w:r>
          </w:p>
        </w:tc>
        <w:tc>
          <w:tcPr>
            <w:tcW w:w="737" w:type="dxa"/>
            <w:tcBorders>
              <w:bottom w:val="single" w:sz="4" w:space="0" w:color="auto"/>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64554F">
        <w:tc>
          <w:tcPr>
            <w:tcW w:w="2836" w:type="dxa"/>
            <w:tcBorders>
              <w:top w:val="single" w:sz="4" w:space="0" w:color="auto"/>
              <w:bottom w:val="single" w:sz="4" w:space="0" w:color="A6A6A6" w:themeColor="background1" w:themeShade="A6"/>
            </w:tcBorders>
            <w:hideMark/>
          </w:tcPr>
          <w:p w:rsidR="008F12EE" w:rsidRPr="00F03176" w:rsidRDefault="008F12EE" w:rsidP="00CF1B4C">
            <w:pPr>
              <w:pStyle w:val="ARtabletextbold"/>
              <w:spacing w:before="60"/>
            </w:pPr>
            <w:r w:rsidRPr="00F03176">
              <w:t>Net cash flows from/(used in) operating activities</w:t>
            </w:r>
          </w:p>
        </w:tc>
        <w:tc>
          <w:tcPr>
            <w:tcW w:w="1134" w:type="dxa"/>
            <w:tcBorders>
              <w:top w:val="single" w:sz="4" w:space="0" w:color="auto"/>
              <w:bottom w:val="single" w:sz="4" w:space="0" w:color="A6A6A6" w:themeColor="background1" w:themeShade="A6"/>
            </w:tcBorders>
            <w:hideMark/>
          </w:tcPr>
          <w:p w:rsidR="008F12EE" w:rsidRPr="00221E54" w:rsidRDefault="008F12EE" w:rsidP="00CF1B4C">
            <w:pPr>
              <w:pStyle w:val="ARtabletextright"/>
              <w:spacing w:before="60"/>
              <w:rPr>
                <w:b/>
              </w:rPr>
            </w:pPr>
            <w:r w:rsidRPr="00221E54">
              <w:rPr>
                <w:b/>
              </w:rPr>
              <w:t>1,743</w:t>
            </w:r>
          </w:p>
        </w:tc>
        <w:tc>
          <w:tcPr>
            <w:tcW w:w="1134" w:type="dxa"/>
            <w:tcBorders>
              <w:top w:val="single" w:sz="4" w:space="0" w:color="auto"/>
              <w:bottom w:val="single" w:sz="4" w:space="0" w:color="A6A6A6" w:themeColor="background1" w:themeShade="A6"/>
            </w:tcBorders>
            <w:hideMark/>
          </w:tcPr>
          <w:p w:rsidR="008F12EE" w:rsidRPr="00221E54" w:rsidRDefault="008F12EE" w:rsidP="00CF1B4C">
            <w:pPr>
              <w:pStyle w:val="ARtabletextright"/>
              <w:spacing w:before="60"/>
              <w:rPr>
                <w:b/>
              </w:rPr>
            </w:pPr>
            <w:r w:rsidRPr="00221E54">
              <w:rPr>
                <w:b/>
              </w:rPr>
              <w:t>1,262</w:t>
            </w:r>
          </w:p>
        </w:tc>
        <w:tc>
          <w:tcPr>
            <w:tcW w:w="1247" w:type="dxa"/>
            <w:tcBorders>
              <w:top w:val="single" w:sz="4" w:space="0" w:color="auto"/>
              <w:bottom w:val="single" w:sz="4" w:space="0" w:color="A6A6A6" w:themeColor="background1" w:themeShade="A6"/>
            </w:tcBorders>
            <w:hideMark/>
          </w:tcPr>
          <w:p w:rsidR="008F12EE" w:rsidRPr="00221E54" w:rsidRDefault="008F12EE" w:rsidP="00CF1B4C">
            <w:pPr>
              <w:pStyle w:val="ARtabletextright"/>
              <w:spacing w:before="60"/>
              <w:rPr>
                <w:b/>
              </w:rPr>
            </w:pPr>
            <w:r w:rsidRPr="00221E54">
              <w:rPr>
                <w:b/>
              </w:rPr>
              <w:t>38.1</w:t>
            </w:r>
          </w:p>
        </w:tc>
        <w:tc>
          <w:tcPr>
            <w:tcW w:w="1247" w:type="dxa"/>
            <w:tcBorders>
              <w:top w:val="single" w:sz="4" w:space="0" w:color="auto"/>
              <w:bottom w:val="single" w:sz="4" w:space="0" w:color="A6A6A6" w:themeColor="background1" w:themeShade="A6"/>
            </w:tcBorders>
            <w:hideMark/>
          </w:tcPr>
          <w:p w:rsidR="008F12EE" w:rsidRPr="00221E54" w:rsidRDefault="008F12EE" w:rsidP="00CF1B4C">
            <w:pPr>
              <w:pStyle w:val="ARtabletextright"/>
              <w:spacing w:before="60"/>
              <w:rPr>
                <w:b/>
              </w:rPr>
            </w:pPr>
            <w:r w:rsidRPr="00221E54">
              <w:rPr>
                <w:b/>
              </w:rPr>
              <w:t>1,366</w:t>
            </w:r>
          </w:p>
        </w:tc>
        <w:tc>
          <w:tcPr>
            <w:tcW w:w="1304" w:type="dxa"/>
            <w:tcBorders>
              <w:top w:val="single" w:sz="4" w:space="0" w:color="auto"/>
              <w:bottom w:val="single" w:sz="4" w:space="0" w:color="A6A6A6" w:themeColor="background1" w:themeShade="A6"/>
            </w:tcBorders>
            <w:hideMark/>
          </w:tcPr>
          <w:p w:rsidR="008F12EE" w:rsidRPr="00221E54" w:rsidRDefault="008F12EE" w:rsidP="00CF1B4C">
            <w:pPr>
              <w:pStyle w:val="ARtabletextright"/>
              <w:spacing w:before="60"/>
              <w:rPr>
                <w:b/>
              </w:rPr>
            </w:pPr>
            <w:r w:rsidRPr="00221E54">
              <w:rPr>
                <w:b/>
              </w:rPr>
              <w:t>27.6</w:t>
            </w:r>
          </w:p>
        </w:tc>
        <w:tc>
          <w:tcPr>
            <w:tcW w:w="737" w:type="dxa"/>
            <w:tcBorders>
              <w:top w:val="single" w:sz="4" w:space="0" w:color="auto"/>
              <w:bottom w:val="single" w:sz="4" w:space="0" w:color="A6A6A6" w:themeColor="background1" w:themeShade="A6"/>
            </w:tcBorders>
            <w:hideMark/>
          </w:tcPr>
          <w:p w:rsidR="008F12EE" w:rsidRPr="00221E54" w:rsidRDefault="008F12EE" w:rsidP="00CF1B4C">
            <w:pPr>
              <w:pStyle w:val="ARtabletextright"/>
              <w:spacing w:before="60"/>
              <w:rPr>
                <w:b/>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bold"/>
              <w:spacing w:before="60"/>
            </w:pPr>
            <w:r w:rsidRPr="00F03176">
              <w:t>Cash flows from investing activities</w:t>
            </w:r>
          </w:p>
        </w:tc>
        <w:tc>
          <w:tcPr>
            <w:tcW w:w="1134" w:type="dxa"/>
            <w:tcBorders>
              <w:top w:val="single" w:sz="4" w:space="0" w:color="A6A6A6" w:themeColor="background1" w:themeShade="A6"/>
              <w:bottom w:val="single" w:sz="4" w:space="0" w:color="A6A6A6" w:themeColor="background1" w:themeShade="A6"/>
            </w:tcBorders>
            <w:noWrap/>
            <w:hideMark/>
          </w:tcPr>
          <w:p w:rsidR="008F12EE" w:rsidRPr="00F03176" w:rsidRDefault="008F12EE" w:rsidP="00CF1B4C">
            <w:pPr>
              <w:spacing w:before="60" w:after="60"/>
              <w:jc w:val="right"/>
              <w:rPr>
                <w:rFonts w:cs="Arial"/>
                <w:b/>
                <w:bCs/>
                <w:color w:val="000000"/>
                <w:sz w:val="18"/>
                <w:szCs w:val="18"/>
                <w:lang w:eastAsia="en-AU"/>
              </w:rPr>
            </w:pPr>
          </w:p>
        </w:tc>
        <w:tc>
          <w:tcPr>
            <w:tcW w:w="1134" w:type="dxa"/>
            <w:tcBorders>
              <w:top w:val="single" w:sz="4" w:space="0" w:color="A6A6A6" w:themeColor="background1" w:themeShade="A6"/>
              <w:bottom w:val="single" w:sz="4" w:space="0" w:color="A6A6A6" w:themeColor="background1" w:themeShade="A6"/>
            </w:tcBorders>
            <w:noWrap/>
            <w:hideMark/>
          </w:tcPr>
          <w:p w:rsidR="008F12EE" w:rsidRPr="00F03176" w:rsidRDefault="008F12EE" w:rsidP="00CF1B4C">
            <w:pPr>
              <w:spacing w:before="60" w:after="60"/>
              <w:jc w:val="right"/>
              <w:rPr>
                <w:rFonts w:cs="Arial"/>
                <w:b/>
                <w:bCs/>
                <w:color w:val="000000"/>
                <w:sz w:val="18"/>
                <w:szCs w:val="18"/>
                <w:lang w:eastAsia="en-AU"/>
              </w:rPr>
            </w:pP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c>
          <w:tcPr>
            <w:tcW w:w="1247" w:type="dxa"/>
            <w:tcBorders>
              <w:top w:val="single" w:sz="4" w:space="0" w:color="A6A6A6" w:themeColor="background1" w:themeShade="A6"/>
              <w:bottom w:val="single" w:sz="4" w:space="0" w:color="A6A6A6" w:themeColor="background1" w:themeShade="A6"/>
            </w:tcBorders>
            <w:noWrap/>
            <w:hideMark/>
          </w:tcPr>
          <w:p w:rsidR="008F12EE" w:rsidRPr="00F03176" w:rsidRDefault="008F12EE" w:rsidP="00CF1B4C">
            <w:pPr>
              <w:spacing w:before="60" w:after="60"/>
              <w:jc w:val="right"/>
              <w:rPr>
                <w:rFonts w:cs="Arial"/>
                <w:b/>
                <w:bCs/>
                <w:color w:val="000000"/>
                <w:sz w:val="18"/>
                <w:szCs w:val="18"/>
                <w:lang w:eastAsia="en-AU"/>
              </w:rPr>
            </w:pP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Net investment</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(202)</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5</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(4,140.0)</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r w:rsidRPr="00F03176">
              <w:rPr>
                <w:rFonts w:cs="Arial"/>
                <w:b/>
                <w:bCs/>
                <w:color w:val="000000"/>
                <w:sz w:val="18"/>
                <w:szCs w:val="18"/>
                <w:lang w:eastAsia="en-AU"/>
              </w:rPr>
              <w:t>4</w:t>
            </w: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Payments for non-financial assets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(1,384)</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(1,346)</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2.8</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(1,367)</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1.2</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Proceeds from sale of non-financial assets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23</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3</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666.7</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A01B92" w:rsidP="00CF1B4C">
            <w:pPr>
              <w:pStyle w:val="ARtabletextright"/>
              <w:spacing w:before="60"/>
            </w:pPr>
            <w:r>
              <w:t>–</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r w:rsidRPr="00F03176">
              <w:rPr>
                <w:rFonts w:cs="Arial"/>
                <w:b/>
                <w:bCs/>
                <w:color w:val="000000"/>
                <w:sz w:val="18"/>
                <w:szCs w:val="18"/>
                <w:lang w:eastAsia="en-AU"/>
              </w:rPr>
              <w:t>5</w:t>
            </w: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pPr>
            <w:r w:rsidRPr="00F03176">
              <w:t>Net loans to other parties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(50.0)</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(50.0)</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tcBorders>
            <w:hideMark/>
          </w:tcPr>
          <w:p w:rsidR="008F12EE" w:rsidRPr="00F03176" w:rsidRDefault="008F12EE" w:rsidP="00CF1B4C">
            <w:pPr>
              <w:pStyle w:val="ARtabletext"/>
              <w:spacing w:before="60"/>
              <w:rPr>
                <w:color w:val="000000"/>
              </w:rPr>
            </w:pPr>
            <w:r w:rsidRPr="00F03176">
              <w:rPr>
                <w:color w:val="000000"/>
              </w:rPr>
              <w:t>Net (purchase)/disposal of investments – policy purposes</w:t>
            </w:r>
          </w:p>
        </w:tc>
        <w:tc>
          <w:tcPr>
            <w:tcW w:w="1134" w:type="dxa"/>
            <w:tcBorders>
              <w:top w:val="single" w:sz="4" w:space="0" w:color="A6A6A6" w:themeColor="background1" w:themeShade="A6"/>
            </w:tcBorders>
          </w:tcPr>
          <w:p w:rsidR="008F12EE" w:rsidRPr="00AB390F" w:rsidRDefault="00AB390F" w:rsidP="00CF1B4C">
            <w:pPr>
              <w:pStyle w:val="ARtabletextright"/>
              <w:spacing w:before="60"/>
            </w:pPr>
            <w:r w:rsidRPr="00AB390F">
              <w:t>–</w:t>
            </w:r>
          </w:p>
        </w:tc>
        <w:tc>
          <w:tcPr>
            <w:tcW w:w="1134" w:type="dxa"/>
            <w:tcBorders>
              <w:top w:val="single" w:sz="4" w:space="0" w:color="A6A6A6" w:themeColor="background1" w:themeShade="A6"/>
            </w:tcBorders>
          </w:tcPr>
          <w:p w:rsidR="008F12EE" w:rsidRPr="00AB390F" w:rsidRDefault="00AB390F" w:rsidP="00CF1B4C">
            <w:pPr>
              <w:pStyle w:val="ARtabletextright"/>
              <w:spacing w:before="60"/>
            </w:pPr>
            <w:r w:rsidRPr="00AB390F">
              <w:t>–</w:t>
            </w:r>
          </w:p>
        </w:tc>
        <w:tc>
          <w:tcPr>
            <w:tcW w:w="1247" w:type="dxa"/>
            <w:tcBorders>
              <w:top w:val="single" w:sz="4" w:space="0" w:color="A6A6A6" w:themeColor="background1" w:themeShade="A6"/>
            </w:tcBorders>
          </w:tcPr>
          <w:p w:rsidR="008F12EE" w:rsidRPr="00AB390F" w:rsidRDefault="00AB390F" w:rsidP="00CF1B4C">
            <w:pPr>
              <w:pStyle w:val="ARtabletextright"/>
              <w:spacing w:before="60"/>
            </w:pPr>
            <w:r w:rsidRPr="00AB390F">
              <w:t>–</w:t>
            </w:r>
          </w:p>
        </w:tc>
        <w:tc>
          <w:tcPr>
            <w:tcW w:w="1247" w:type="dxa"/>
            <w:tcBorders>
              <w:top w:val="single" w:sz="4" w:space="0" w:color="A6A6A6" w:themeColor="background1" w:themeShade="A6"/>
            </w:tcBorders>
          </w:tcPr>
          <w:p w:rsidR="008F12EE" w:rsidRPr="00AB390F" w:rsidRDefault="00AB390F" w:rsidP="00CF1B4C">
            <w:pPr>
              <w:pStyle w:val="ARtabletextright"/>
              <w:spacing w:before="60"/>
            </w:pPr>
            <w:r w:rsidRPr="00AB390F">
              <w:t>–</w:t>
            </w:r>
          </w:p>
        </w:tc>
        <w:tc>
          <w:tcPr>
            <w:tcW w:w="1304" w:type="dxa"/>
            <w:tcBorders>
              <w:top w:val="single" w:sz="4" w:space="0" w:color="A6A6A6" w:themeColor="background1" w:themeShade="A6"/>
            </w:tcBorders>
          </w:tcPr>
          <w:p w:rsidR="008F12EE" w:rsidRPr="00AB390F" w:rsidRDefault="008F12EE" w:rsidP="00CF1B4C">
            <w:pPr>
              <w:pStyle w:val="ARtabletextright"/>
              <w:spacing w:before="60"/>
            </w:pPr>
          </w:p>
        </w:tc>
        <w:tc>
          <w:tcPr>
            <w:tcW w:w="737" w:type="dxa"/>
            <w:tcBorders>
              <w:top w:val="single" w:sz="4" w:space="0" w:color="A6A6A6" w:themeColor="background1" w:themeShade="A6"/>
            </w:tcBorders>
          </w:tcPr>
          <w:p w:rsidR="008F12EE" w:rsidRPr="00AB390F" w:rsidRDefault="008F12EE" w:rsidP="00CF1B4C">
            <w:pPr>
              <w:pStyle w:val="ARtabletextright"/>
              <w:spacing w:before="60"/>
              <w:rPr>
                <w:highlight w:val="yellow"/>
              </w:rPr>
            </w:pPr>
          </w:p>
        </w:tc>
      </w:tr>
      <w:tr w:rsidR="008F12EE" w:rsidRPr="00F03176" w:rsidTr="0064554F">
        <w:tc>
          <w:tcPr>
            <w:tcW w:w="2836" w:type="dxa"/>
            <w:tcBorders>
              <w:bottom w:val="single" w:sz="4" w:space="0" w:color="auto"/>
            </w:tcBorders>
            <w:hideMark/>
          </w:tcPr>
          <w:p w:rsidR="008F12EE" w:rsidRPr="00F03176" w:rsidRDefault="008F12EE" w:rsidP="00CF1B4C">
            <w:pPr>
              <w:pStyle w:val="ARtabletext"/>
              <w:spacing w:before="60"/>
              <w:rPr>
                <w:b/>
                <w:bCs/>
                <w:color w:val="000000"/>
              </w:rPr>
            </w:pPr>
            <w:r w:rsidRPr="00F03176">
              <w:rPr>
                <w:b/>
                <w:bCs/>
                <w:color w:val="000000"/>
              </w:rPr>
              <w:t>Net cash flows from/(used in) investing activities</w:t>
            </w:r>
          </w:p>
        </w:tc>
        <w:tc>
          <w:tcPr>
            <w:tcW w:w="1134"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(1,562)</w:t>
            </w:r>
          </w:p>
        </w:tc>
        <w:tc>
          <w:tcPr>
            <w:tcW w:w="1134"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(1,336)</w:t>
            </w:r>
          </w:p>
        </w:tc>
        <w:tc>
          <w:tcPr>
            <w:tcW w:w="1247"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16.9</w:t>
            </w:r>
          </w:p>
        </w:tc>
        <w:tc>
          <w:tcPr>
            <w:tcW w:w="1247"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(1,365)</w:t>
            </w:r>
          </w:p>
        </w:tc>
        <w:tc>
          <w:tcPr>
            <w:tcW w:w="1304"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14.4</w:t>
            </w:r>
          </w:p>
        </w:tc>
        <w:tc>
          <w:tcPr>
            <w:tcW w:w="737" w:type="dxa"/>
            <w:tcBorders>
              <w:bottom w:val="single" w:sz="4" w:space="0" w:color="auto"/>
            </w:tcBorders>
            <w:hideMark/>
          </w:tcPr>
          <w:p w:rsidR="008F12EE" w:rsidRPr="00F03176" w:rsidRDefault="008F12EE" w:rsidP="00CF1B4C">
            <w:pPr>
              <w:spacing w:before="60" w:after="60"/>
              <w:jc w:val="right"/>
              <w:rPr>
                <w:rFonts w:cs="Arial"/>
                <w:b/>
                <w:bCs/>
                <w:color w:val="000000"/>
                <w:sz w:val="18"/>
                <w:szCs w:val="18"/>
                <w:lang w:eastAsia="en-AU"/>
              </w:rPr>
            </w:pPr>
          </w:p>
        </w:tc>
      </w:tr>
      <w:tr w:rsidR="008F12EE" w:rsidRPr="00F03176" w:rsidTr="0064554F">
        <w:tc>
          <w:tcPr>
            <w:tcW w:w="2836" w:type="dxa"/>
            <w:tcBorders>
              <w:top w:val="single" w:sz="4" w:space="0" w:color="auto"/>
              <w:bottom w:val="single" w:sz="4" w:space="0" w:color="A6A6A6" w:themeColor="background1" w:themeShade="A6"/>
            </w:tcBorders>
            <w:hideMark/>
          </w:tcPr>
          <w:p w:rsidR="008F12EE" w:rsidRPr="00F03176" w:rsidRDefault="008F12EE" w:rsidP="00CF1B4C">
            <w:pPr>
              <w:pStyle w:val="ARtabletext"/>
              <w:spacing w:before="60"/>
              <w:rPr>
                <w:b/>
                <w:bCs/>
                <w:color w:val="000000"/>
              </w:rPr>
            </w:pPr>
            <w:r w:rsidRPr="00F03176">
              <w:rPr>
                <w:b/>
                <w:bCs/>
                <w:color w:val="000000"/>
              </w:rPr>
              <w:t>Cash flows from financing activities</w:t>
            </w:r>
          </w:p>
        </w:tc>
        <w:tc>
          <w:tcPr>
            <w:tcW w:w="1134"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c>
          <w:tcPr>
            <w:tcW w:w="1134"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c>
          <w:tcPr>
            <w:tcW w:w="1247"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c>
          <w:tcPr>
            <w:tcW w:w="1247"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c>
          <w:tcPr>
            <w:tcW w:w="1304"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c>
          <w:tcPr>
            <w:tcW w:w="737"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rPr>
                <w:color w:val="000000"/>
              </w:rPr>
            </w:pPr>
            <w:r w:rsidRPr="00F03176">
              <w:rPr>
                <w:color w:val="000000"/>
              </w:rPr>
              <w:t>Owner contributions by state government</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77</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190</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(59.5)</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148</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(48.0)</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r>
      <w:tr w:rsidR="008F12EE" w:rsidRPr="00F03176" w:rsidTr="0064554F">
        <w:tc>
          <w:tcPr>
            <w:tcW w:w="2836"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
              <w:spacing w:before="60"/>
              <w:rPr>
                <w:color w:val="000000"/>
              </w:rPr>
            </w:pPr>
            <w:r w:rsidRPr="00F03176">
              <w:rPr>
                <w:color w:val="000000"/>
              </w:rPr>
              <w:t>Repayment of finance leases</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(55)</w:t>
            </w:r>
          </w:p>
        </w:tc>
        <w:tc>
          <w:tcPr>
            <w:tcW w:w="113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(23)</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139.1</w:t>
            </w:r>
          </w:p>
        </w:tc>
        <w:tc>
          <w:tcPr>
            <w:tcW w:w="124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(23)</w:t>
            </w:r>
          </w:p>
        </w:tc>
        <w:tc>
          <w:tcPr>
            <w:tcW w:w="1304"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pStyle w:val="ARtabletextright"/>
              <w:spacing w:before="60"/>
            </w:pPr>
            <w:r w:rsidRPr="00F03176">
              <w:t>139.1</w:t>
            </w:r>
          </w:p>
        </w:tc>
        <w:tc>
          <w:tcPr>
            <w:tcW w:w="737" w:type="dxa"/>
            <w:tcBorders>
              <w:top w:val="single" w:sz="4" w:space="0" w:color="A6A6A6" w:themeColor="background1" w:themeShade="A6"/>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r w:rsidRPr="00F03176">
              <w:rPr>
                <w:rFonts w:cs="Arial"/>
                <w:b/>
                <w:bCs/>
                <w:color w:val="000000"/>
                <w:sz w:val="18"/>
                <w:szCs w:val="18"/>
                <w:lang w:eastAsia="en-AU"/>
              </w:rPr>
              <w:t>6</w:t>
            </w:r>
          </w:p>
        </w:tc>
      </w:tr>
      <w:tr w:rsidR="008F12EE" w:rsidRPr="00F03176" w:rsidTr="0064554F">
        <w:tc>
          <w:tcPr>
            <w:tcW w:w="2836" w:type="dxa"/>
            <w:tcBorders>
              <w:top w:val="single" w:sz="4" w:space="0" w:color="A6A6A6" w:themeColor="background1" w:themeShade="A6"/>
            </w:tcBorders>
            <w:hideMark/>
          </w:tcPr>
          <w:p w:rsidR="008F12EE" w:rsidRPr="00F03176" w:rsidRDefault="008F12EE" w:rsidP="00CF1B4C">
            <w:pPr>
              <w:pStyle w:val="ARtabletext"/>
              <w:spacing w:before="60"/>
              <w:rPr>
                <w:color w:val="000000"/>
              </w:rPr>
            </w:pPr>
            <w:r w:rsidRPr="00F03176">
              <w:rPr>
                <w:color w:val="000000"/>
              </w:rPr>
              <w:t>Net borrowings</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15</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(6)</w:t>
            </w:r>
          </w:p>
        </w:tc>
        <w:tc>
          <w:tcPr>
            <w:tcW w:w="1247" w:type="dxa"/>
            <w:tcBorders>
              <w:top w:val="single" w:sz="4" w:space="0" w:color="A6A6A6" w:themeColor="background1" w:themeShade="A6"/>
            </w:tcBorders>
            <w:hideMark/>
          </w:tcPr>
          <w:p w:rsidR="008F12EE" w:rsidRPr="00F03176" w:rsidRDefault="008F12EE" w:rsidP="00CF1B4C">
            <w:pPr>
              <w:pStyle w:val="ARtabletextright"/>
              <w:spacing w:before="60"/>
            </w:pPr>
            <w:r w:rsidRPr="00F03176">
              <w:t>(350.0)</w:t>
            </w:r>
          </w:p>
        </w:tc>
        <w:tc>
          <w:tcPr>
            <w:tcW w:w="1247" w:type="dxa"/>
            <w:tcBorders>
              <w:top w:val="single" w:sz="4" w:space="0" w:color="A6A6A6" w:themeColor="background1" w:themeShade="A6"/>
            </w:tcBorders>
            <w:hideMark/>
          </w:tcPr>
          <w:p w:rsidR="008F12EE" w:rsidRPr="00F03176" w:rsidRDefault="008F12EE" w:rsidP="00CF1B4C">
            <w:pPr>
              <w:pStyle w:val="ARtabletextright"/>
              <w:spacing w:before="60"/>
            </w:pPr>
            <w:r w:rsidRPr="00F03176">
              <w:t>(6)</w:t>
            </w:r>
          </w:p>
        </w:tc>
        <w:tc>
          <w:tcPr>
            <w:tcW w:w="130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(350.0)</w:t>
            </w:r>
          </w:p>
        </w:tc>
        <w:tc>
          <w:tcPr>
            <w:tcW w:w="737" w:type="dxa"/>
            <w:tcBorders>
              <w:top w:val="single" w:sz="4" w:space="0" w:color="A6A6A6" w:themeColor="background1" w:themeShade="A6"/>
            </w:tcBorders>
            <w:hideMark/>
          </w:tcPr>
          <w:p w:rsidR="008F12EE" w:rsidRPr="00F03176" w:rsidRDefault="008F12EE" w:rsidP="00CF1B4C">
            <w:pPr>
              <w:spacing w:before="60" w:after="60"/>
              <w:jc w:val="center"/>
              <w:rPr>
                <w:rFonts w:cs="Arial"/>
                <w:b/>
                <w:bCs/>
                <w:color w:val="000000"/>
                <w:sz w:val="18"/>
                <w:szCs w:val="18"/>
                <w:lang w:eastAsia="en-AU"/>
              </w:rPr>
            </w:pPr>
          </w:p>
        </w:tc>
      </w:tr>
      <w:tr w:rsidR="008F12EE" w:rsidRPr="00F03176" w:rsidTr="00BD471F">
        <w:tc>
          <w:tcPr>
            <w:tcW w:w="2836" w:type="dxa"/>
            <w:tcBorders>
              <w:bottom w:val="single" w:sz="4" w:space="0" w:color="auto"/>
            </w:tcBorders>
            <w:hideMark/>
          </w:tcPr>
          <w:p w:rsidR="008F12EE" w:rsidRPr="00F03176" w:rsidRDefault="008F12EE" w:rsidP="00CF1B4C">
            <w:pPr>
              <w:pStyle w:val="ARtabletext"/>
              <w:spacing w:before="60"/>
              <w:rPr>
                <w:b/>
                <w:bCs/>
                <w:color w:val="000000"/>
              </w:rPr>
            </w:pPr>
            <w:r w:rsidRPr="00F03176">
              <w:rPr>
                <w:b/>
                <w:bCs/>
                <w:color w:val="000000"/>
              </w:rPr>
              <w:t>Net cash flows from/(used in) financing activities</w:t>
            </w:r>
          </w:p>
        </w:tc>
        <w:tc>
          <w:tcPr>
            <w:tcW w:w="1134"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37</w:t>
            </w:r>
          </w:p>
        </w:tc>
        <w:tc>
          <w:tcPr>
            <w:tcW w:w="1134"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161</w:t>
            </w:r>
          </w:p>
        </w:tc>
        <w:tc>
          <w:tcPr>
            <w:tcW w:w="1247"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(77.0)</w:t>
            </w:r>
          </w:p>
        </w:tc>
        <w:tc>
          <w:tcPr>
            <w:tcW w:w="1247"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119</w:t>
            </w:r>
          </w:p>
        </w:tc>
        <w:tc>
          <w:tcPr>
            <w:tcW w:w="1304" w:type="dxa"/>
            <w:tcBorders>
              <w:bottom w:val="single" w:sz="4" w:space="0" w:color="auto"/>
            </w:tcBorders>
            <w:hideMark/>
          </w:tcPr>
          <w:p w:rsidR="008F12EE" w:rsidRPr="00AB390F" w:rsidRDefault="008F12EE" w:rsidP="00CF1B4C">
            <w:pPr>
              <w:pStyle w:val="ARtabletextright"/>
              <w:spacing w:before="60"/>
              <w:rPr>
                <w:rStyle w:val="Strong"/>
              </w:rPr>
            </w:pPr>
            <w:r w:rsidRPr="00AB390F">
              <w:rPr>
                <w:rStyle w:val="Strong"/>
              </w:rPr>
              <w:t>(68.8)</w:t>
            </w:r>
          </w:p>
        </w:tc>
        <w:tc>
          <w:tcPr>
            <w:tcW w:w="737" w:type="dxa"/>
            <w:tcBorders>
              <w:bottom w:val="single" w:sz="4" w:space="0" w:color="auto"/>
            </w:tcBorders>
            <w:hideMark/>
          </w:tcPr>
          <w:p w:rsidR="008F12EE" w:rsidRPr="00F03176" w:rsidRDefault="008F12EE" w:rsidP="00CF1B4C">
            <w:pPr>
              <w:spacing w:before="60" w:after="60"/>
              <w:jc w:val="right"/>
              <w:rPr>
                <w:rFonts w:cs="Arial"/>
                <w:b/>
                <w:bCs/>
                <w:color w:val="000000"/>
                <w:sz w:val="18"/>
                <w:szCs w:val="18"/>
                <w:lang w:eastAsia="en-AU"/>
              </w:rPr>
            </w:pPr>
          </w:p>
        </w:tc>
      </w:tr>
      <w:tr w:rsidR="008F12EE" w:rsidRPr="00F03176" w:rsidTr="00BD471F">
        <w:tc>
          <w:tcPr>
            <w:tcW w:w="2836" w:type="dxa"/>
            <w:tcBorders>
              <w:top w:val="single" w:sz="4" w:space="0" w:color="auto"/>
              <w:bottom w:val="single" w:sz="4" w:space="0" w:color="A6A6A6" w:themeColor="background1" w:themeShade="A6"/>
            </w:tcBorders>
            <w:hideMark/>
          </w:tcPr>
          <w:p w:rsidR="008F12EE" w:rsidRPr="00F03176" w:rsidRDefault="008F12EE" w:rsidP="00CF1B4C">
            <w:pPr>
              <w:pStyle w:val="ARtabletext"/>
              <w:spacing w:before="60"/>
              <w:rPr>
                <w:b/>
                <w:bCs/>
                <w:color w:val="000000"/>
              </w:rPr>
            </w:pPr>
            <w:r w:rsidRPr="00F03176">
              <w:rPr>
                <w:b/>
                <w:bCs/>
                <w:color w:val="000000"/>
              </w:rPr>
              <w:t>Net increase (decrease) in cash and cash equivalents</w:t>
            </w:r>
          </w:p>
        </w:tc>
        <w:tc>
          <w:tcPr>
            <w:tcW w:w="1134" w:type="dxa"/>
            <w:tcBorders>
              <w:top w:val="single" w:sz="4" w:space="0" w:color="auto"/>
              <w:bottom w:val="single" w:sz="4" w:space="0" w:color="A6A6A6" w:themeColor="background1" w:themeShade="A6"/>
            </w:tcBorders>
            <w:hideMark/>
          </w:tcPr>
          <w:p w:rsidR="008F12EE" w:rsidRPr="00AB390F" w:rsidRDefault="008F12EE" w:rsidP="00CF1B4C">
            <w:pPr>
              <w:pStyle w:val="ARtabletextright"/>
              <w:spacing w:before="60"/>
              <w:rPr>
                <w:rStyle w:val="Strong"/>
              </w:rPr>
            </w:pPr>
            <w:r w:rsidRPr="00AB390F">
              <w:rPr>
                <w:rStyle w:val="Strong"/>
              </w:rPr>
              <w:t>218</w:t>
            </w:r>
          </w:p>
        </w:tc>
        <w:tc>
          <w:tcPr>
            <w:tcW w:w="1134" w:type="dxa"/>
            <w:tcBorders>
              <w:top w:val="single" w:sz="4" w:space="0" w:color="auto"/>
              <w:bottom w:val="single" w:sz="4" w:space="0" w:color="A6A6A6" w:themeColor="background1" w:themeShade="A6"/>
            </w:tcBorders>
            <w:hideMark/>
          </w:tcPr>
          <w:p w:rsidR="008F12EE" w:rsidRPr="00AB390F" w:rsidRDefault="008F12EE" w:rsidP="00CF1B4C">
            <w:pPr>
              <w:pStyle w:val="ARtabletextright"/>
              <w:spacing w:before="60"/>
              <w:rPr>
                <w:rStyle w:val="Strong"/>
              </w:rPr>
            </w:pPr>
            <w:r w:rsidRPr="00AB390F">
              <w:rPr>
                <w:rStyle w:val="Strong"/>
              </w:rPr>
              <w:t>87</w:t>
            </w:r>
          </w:p>
        </w:tc>
        <w:tc>
          <w:tcPr>
            <w:tcW w:w="1247" w:type="dxa"/>
            <w:tcBorders>
              <w:top w:val="single" w:sz="4" w:space="0" w:color="auto"/>
              <w:bottom w:val="single" w:sz="4" w:space="0" w:color="A6A6A6" w:themeColor="background1" w:themeShade="A6"/>
            </w:tcBorders>
            <w:hideMark/>
          </w:tcPr>
          <w:p w:rsidR="008F12EE" w:rsidRPr="00AB390F" w:rsidRDefault="008F12EE" w:rsidP="00CF1B4C">
            <w:pPr>
              <w:pStyle w:val="ARtabletextright"/>
              <w:spacing w:before="60"/>
              <w:rPr>
                <w:rStyle w:val="Strong"/>
              </w:rPr>
            </w:pPr>
            <w:r w:rsidRPr="00AB390F">
              <w:rPr>
                <w:rStyle w:val="Strong"/>
              </w:rPr>
              <w:t>150.6</w:t>
            </w:r>
          </w:p>
        </w:tc>
        <w:tc>
          <w:tcPr>
            <w:tcW w:w="1247" w:type="dxa"/>
            <w:tcBorders>
              <w:top w:val="single" w:sz="4" w:space="0" w:color="auto"/>
              <w:bottom w:val="single" w:sz="4" w:space="0" w:color="A6A6A6" w:themeColor="background1" w:themeShade="A6"/>
            </w:tcBorders>
            <w:hideMark/>
          </w:tcPr>
          <w:p w:rsidR="008F12EE" w:rsidRPr="00AB390F" w:rsidRDefault="008F12EE" w:rsidP="00CF1B4C">
            <w:pPr>
              <w:pStyle w:val="ARtabletextright"/>
              <w:spacing w:before="60"/>
              <w:rPr>
                <w:rStyle w:val="Strong"/>
              </w:rPr>
            </w:pPr>
            <w:r w:rsidRPr="00AB390F">
              <w:rPr>
                <w:rStyle w:val="Strong"/>
              </w:rPr>
              <w:t>119</w:t>
            </w:r>
          </w:p>
        </w:tc>
        <w:tc>
          <w:tcPr>
            <w:tcW w:w="1304" w:type="dxa"/>
            <w:tcBorders>
              <w:top w:val="single" w:sz="4" w:space="0" w:color="auto"/>
              <w:bottom w:val="single" w:sz="4" w:space="0" w:color="A6A6A6" w:themeColor="background1" w:themeShade="A6"/>
            </w:tcBorders>
            <w:hideMark/>
          </w:tcPr>
          <w:p w:rsidR="008F12EE" w:rsidRPr="00AB390F" w:rsidRDefault="008F12EE" w:rsidP="00CF1B4C">
            <w:pPr>
              <w:pStyle w:val="ARtabletextright"/>
              <w:spacing w:before="60"/>
              <w:rPr>
                <w:rStyle w:val="Strong"/>
              </w:rPr>
            </w:pPr>
            <w:r w:rsidRPr="00AB390F">
              <w:rPr>
                <w:rStyle w:val="Strong"/>
              </w:rPr>
              <w:t>83.2</w:t>
            </w:r>
          </w:p>
        </w:tc>
        <w:tc>
          <w:tcPr>
            <w:tcW w:w="737" w:type="dxa"/>
            <w:tcBorders>
              <w:top w:val="single" w:sz="4" w:space="0" w:color="auto"/>
              <w:bottom w:val="single" w:sz="4" w:space="0" w:color="A6A6A6" w:themeColor="background1" w:themeShade="A6"/>
            </w:tcBorders>
            <w:hideMark/>
          </w:tcPr>
          <w:p w:rsidR="008F12EE" w:rsidRPr="00F03176" w:rsidRDefault="008F12EE" w:rsidP="00CF1B4C">
            <w:pPr>
              <w:spacing w:before="60" w:after="60"/>
              <w:jc w:val="right"/>
              <w:rPr>
                <w:rFonts w:cs="Arial"/>
                <w:b/>
                <w:bCs/>
                <w:color w:val="000000"/>
                <w:sz w:val="18"/>
                <w:szCs w:val="18"/>
                <w:lang w:eastAsia="en-AU"/>
              </w:rPr>
            </w:pPr>
          </w:p>
        </w:tc>
      </w:tr>
      <w:tr w:rsidR="008F12EE" w:rsidRPr="00F03176" w:rsidTr="00BD471F">
        <w:tc>
          <w:tcPr>
            <w:tcW w:w="2836" w:type="dxa"/>
            <w:tcBorders>
              <w:top w:val="single" w:sz="4" w:space="0" w:color="A6A6A6" w:themeColor="background1" w:themeShade="A6"/>
            </w:tcBorders>
            <w:hideMark/>
          </w:tcPr>
          <w:p w:rsidR="008F12EE" w:rsidRPr="00F03176" w:rsidRDefault="008F12EE" w:rsidP="00CF1B4C">
            <w:pPr>
              <w:pStyle w:val="ARtabletext"/>
              <w:spacing w:before="60"/>
              <w:rPr>
                <w:color w:val="000000"/>
              </w:rPr>
            </w:pPr>
            <w:r w:rsidRPr="00F03176">
              <w:rPr>
                <w:color w:val="000000"/>
              </w:rPr>
              <w:t>Cash and cash equivalents at the beginning of the financial year</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975</w:t>
            </w:r>
          </w:p>
        </w:tc>
        <w:tc>
          <w:tcPr>
            <w:tcW w:w="113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975</w:t>
            </w:r>
          </w:p>
        </w:tc>
        <w:tc>
          <w:tcPr>
            <w:tcW w:w="1247" w:type="dxa"/>
            <w:tcBorders>
              <w:top w:val="single" w:sz="4" w:space="0" w:color="A6A6A6" w:themeColor="background1" w:themeShade="A6"/>
            </w:tcBorders>
            <w:hideMark/>
          </w:tcPr>
          <w:p w:rsidR="008F12EE" w:rsidRPr="00F03176" w:rsidRDefault="008A73F2" w:rsidP="00CF1B4C">
            <w:pPr>
              <w:pStyle w:val="ARtabletextright"/>
              <w:spacing w:before="60"/>
            </w:pPr>
            <w:r>
              <w:t>–</w:t>
            </w:r>
          </w:p>
        </w:tc>
        <w:tc>
          <w:tcPr>
            <w:tcW w:w="1247" w:type="dxa"/>
            <w:tcBorders>
              <w:top w:val="single" w:sz="4" w:space="0" w:color="A6A6A6" w:themeColor="background1" w:themeShade="A6"/>
            </w:tcBorders>
            <w:hideMark/>
          </w:tcPr>
          <w:p w:rsidR="008F12EE" w:rsidRPr="00F03176" w:rsidRDefault="008F12EE" w:rsidP="00CF1B4C">
            <w:pPr>
              <w:pStyle w:val="ARtabletextright"/>
              <w:spacing w:before="60"/>
            </w:pPr>
            <w:r w:rsidRPr="00F03176">
              <w:t>1,058</w:t>
            </w:r>
          </w:p>
        </w:tc>
        <w:tc>
          <w:tcPr>
            <w:tcW w:w="1304" w:type="dxa"/>
            <w:tcBorders>
              <w:top w:val="single" w:sz="4" w:space="0" w:color="A6A6A6" w:themeColor="background1" w:themeShade="A6"/>
            </w:tcBorders>
            <w:hideMark/>
          </w:tcPr>
          <w:p w:rsidR="008F12EE" w:rsidRPr="00F03176" w:rsidRDefault="008F12EE" w:rsidP="00CF1B4C">
            <w:pPr>
              <w:pStyle w:val="ARtabletextright"/>
              <w:spacing w:before="60"/>
            </w:pPr>
            <w:r w:rsidRPr="00F03176">
              <w:t>(7.8)</w:t>
            </w:r>
          </w:p>
        </w:tc>
        <w:tc>
          <w:tcPr>
            <w:tcW w:w="737" w:type="dxa"/>
            <w:tcBorders>
              <w:top w:val="single" w:sz="4" w:space="0" w:color="A6A6A6" w:themeColor="background1" w:themeShade="A6"/>
            </w:tcBorders>
            <w:hideMark/>
          </w:tcPr>
          <w:p w:rsidR="008F12EE" w:rsidRPr="00F03176" w:rsidRDefault="008F12EE" w:rsidP="00CF1B4C">
            <w:pPr>
              <w:pStyle w:val="ARtabletextright"/>
              <w:spacing w:before="60"/>
            </w:pPr>
          </w:p>
        </w:tc>
      </w:tr>
      <w:tr w:rsidR="008F12EE" w:rsidRPr="00F03176" w:rsidTr="00CF1B4C">
        <w:tc>
          <w:tcPr>
            <w:tcW w:w="2836" w:type="dxa"/>
            <w:hideMark/>
          </w:tcPr>
          <w:p w:rsidR="008F12EE" w:rsidRPr="00F03176" w:rsidRDefault="008F12EE" w:rsidP="00CF1B4C">
            <w:pPr>
              <w:pStyle w:val="ARtabletext"/>
              <w:spacing w:before="60"/>
              <w:rPr>
                <w:b/>
                <w:bCs/>
                <w:color w:val="000000"/>
              </w:rPr>
            </w:pPr>
            <w:r w:rsidRPr="00F03176">
              <w:rPr>
                <w:b/>
                <w:bCs/>
                <w:color w:val="000000"/>
              </w:rPr>
              <w:t>Cash and cash equivalents at the end of the financial year</w:t>
            </w:r>
          </w:p>
        </w:tc>
        <w:tc>
          <w:tcPr>
            <w:tcW w:w="1134" w:type="dxa"/>
            <w:hideMark/>
          </w:tcPr>
          <w:p w:rsidR="008F12EE" w:rsidRPr="00AB390F" w:rsidRDefault="008F12EE" w:rsidP="00CF1B4C">
            <w:pPr>
              <w:pStyle w:val="ARtabletextright"/>
              <w:spacing w:before="60"/>
              <w:rPr>
                <w:rStyle w:val="Strong"/>
              </w:rPr>
            </w:pPr>
            <w:r w:rsidRPr="00AB390F">
              <w:rPr>
                <w:rStyle w:val="Strong"/>
              </w:rPr>
              <w:t>1,193</w:t>
            </w:r>
          </w:p>
        </w:tc>
        <w:tc>
          <w:tcPr>
            <w:tcW w:w="1134" w:type="dxa"/>
            <w:hideMark/>
          </w:tcPr>
          <w:p w:rsidR="008F12EE" w:rsidRPr="00AB390F" w:rsidRDefault="008F12EE" w:rsidP="00CF1B4C">
            <w:pPr>
              <w:pStyle w:val="ARtabletextright"/>
              <w:spacing w:before="60"/>
              <w:rPr>
                <w:rStyle w:val="Strong"/>
              </w:rPr>
            </w:pPr>
            <w:r w:rsidRPr="00AB390F">
              <w:rPr>
                <w:rStyle w:val="Strong"/>
              </w:rPr>
              <w:t>1,063</w:t>
            </w:r>
          </w:p>
        </w:tc>
        <w:tc>
          <w:tcPr>
            <w:tcW w:w="1247" w:type="dxa"/>
            <w:hideMark/>
          </w:tcPr>
          <w:p w:rsidR="008F12EE" w:rsidRPr="00AB390F" w:rsidRDefault="008F12EE" w:rsidP="00CF1B4C">
            <w:pPr>
              <w:pStyle w:val="ARtabletextright"/>
              <w:spacing w:before="60"/>
              <w:rPr>
                <w:rStyle w:val="Strong"/>
              </w:rPr>
            </w:pPr>
            <w:r w:rsidRPr="00AB390F">
              <w:rPr>
                <w:rStyle w:val="Strong"/>
              </w:rPr>
              <w:t>12.2</w:t>
            </w:r>
          </w:p>
        </w:tc>
        <w:tc>
          <w:tcPr>
            <w:tcW w:w="1247" w:type="dxa"/>
            <w:hideMark/>
          </w:tcPr>
          <w:p w:rsidR="008F12EE" w:rsidRPr="00AB390F" w:rsidRDefault="008F12EE" w:rsidP="00CF1B4C">
            <w:pPr>
              <w:pStyle w:val="ARtabletextright"/>
              <w:spacing w:before="60"/>
              <w:rPr>
                <w:rStyle w:val="Strong"/>
              </w:rPr>
            </w:pPr>
            <w:r w:rsidRPr="00AB390F">
              <w:rPr>
                <w:rStyle w:val="Strong"/>
              </w:rPr>
              <w:t>1,178</w:t>
            </w:r>
          </w:p>
        </w:tc>
        <w:tc>
          <w:tcPr>
            <w:tcW w:w="1304" w:type="dxa"/>
            <w:hideMark/>
          </w:tcPr>
          <w:p w:rsidR="008F12EE" w:rsidRPr="00AB390F" w:rsidRDefault="008F12EE" w:rsidP="00CF1B4C">
            <w:pPr>
              <w:pStyle w:val="ARtabletextright"/>
              <w:spacing w:before="60"/>
              <w:rPr>
                <w:rStyle w:val="Strong"/>
              </w:rPr>
            </w:pPr>
            <w:r w:rsidRPr="00AB390F">
              <w:rPr>
                <w:rStyle w:val="Strong"/>
              </w:rPr>
              <w:t>1.3</w:t>
            </w:r>
          </w:p>
        </w:tc>
        <w:tc>
          <w:tcPr>
            <w:tcW w:w="737" w:type="dxa"/>
            <w:hideMark/>
          </w:tcPr>
          <w:p w:rsidR="008F12EE" w:rsidRPr="00F03176" w:rsidRDefault="008F12EE" w:rsidP="00CF1B4C">
            <w:pPr>
              <w:spacing w:before="60" w:after="60"/>
              <w:jc w:val="right"/>
              <w:rPr>
                <w:rFonts w:cs="Arial"/>
                <w:b/>
                <w:bCs/>
                <w:color w:val="000000"/>
                <w:sz w:val="18"/>
                <w:szCs w:val="18"/>
                <w:lang w:eastAsia="en-AU"/>
              </w:rPr>
            </w:pPr>
          </w:p>
        </w:tc>
      </w:tr>
    </w:tbl>
    <w:p w:rsidR="00AA035A" w:rsidRDefault="008F12EE" w:rsidP="00876A68">
      <w:pPr>
        <w:pStyle w:val="ARtablefootnote"/>
        <w:numPr>
          <w:ilvl w:val="0"/>
          <w:numId w:val="51"/>
        </w:numPr>
        <w:ind w:left="284" w:hanging="284"/>
      </w:pPr>
      <w:r w:rsidRPr="00F03176">
        <w:rPr>
          <w:rFonts w:eastAsia="Times"/>
        </w:rPr>
        <w:lastRenderedPageBreak/>
        <w:t xml:space="preserve">The variances reflect a </w:t>
      </w:r>
      <w:r>
        <w:rPr>
          <w:rFonts w:eastAsia="Times"/>
        </w:rPr>
        <w:t>r</w:t>
      </w:r>
      <w:r w:rsidRPr="00F03176">
        <w:rPr>
          <w:rFonts w:eastAsia="Times"/>
        </w:rPr>
        <w:t xml:space="preserve">evised </w:t>
      </w:r>
      <w:r>
        <w:rPr>
          <w:rFonts w:eastAsia="Times"/>
        </w:rPr>
        <w:t>b</w:t>
      </w:r>
      <w:r w:rsidRPr="00F03176">
        <w:rPr>
          <w:rFonts w:eastAsia="Times"/>
        </w:rPr>
        <w:t xml:space="preserve">udget that was reduced from </w:t>
      </w:r>
      <w:r>
        <w:rPr>
          <w:rFonts w:eastAsia="Times"/>
        </w:rPr>
        <w:t>p</w:t>
      </w:r>
      <w:r w:rsidRPr="00F03176">
        <w:rPr>
          <w:rFonts w:eastAsia="Times"/>
        </w:rPr>
        <w:t xml:space="preserve">ublished </w:t>
      </w:r>
      <w:r>
        <w:rPr>
          <w:rFonts w:eastAsia="Times"/>
        </w:rPr>
        <w:t>b</w:t>
      </w:r>
      <w:r w:rsidRPr="00F03176">
        <w:rPr>
          <w:rFonts w:eastAsia="Times"/>
        </w:rPr>
        <w:t xml:space="preserve">udget due to lower expectations of interest revenue during the year. Subsequently the actual revenue was higher than </w:t>
      </w:r>
      <w:r>
        <w:rPr>
          <w:rFonts w:eastAsia="Times"/>
        </w:rPr>
        <w:t>r</w:t>
      </w:r>
      <w:r w:rsidRPr="00F03176">
        <w:rPr>
          <w:rFonts w:eastAsia="Times"/>
        </w:rPr>
        <w:t xml:space="preserve">evised </w:t>
      </w:r>
      <w:r>
        <w:rPr>
          <w:rFonts w:eastAsia="Times"/>
        </w:rPr>
        <w:t>b</w:t>
      </w:r>
      <w:r w:rsidRPr="00F03176">
        <w:rPr>
          <w:rFonts w:eastAsia="Times"/>
        </w:rPr>
        <w:t>udget due to greater investment balances held in the hospitals sector.</w:t>
      </w:r>
    </w:p>
    <w:p w:rsidR="008F12EE" w:rsidRDefault="008F12EE" w:rsidP="00876A68">
      <w:pPr>
        <w:pStyle w:val="ARtablefootnote"/>
        <w:numPr>
          <w:ilvl w:val="0"/>
          <w:numId w:val="51"/>
        </w:numPr>
        <w:ind w:left="284" w:hanging="284"/>
        <w:rPr>
          <w:lang w:eastAsia="en-AU"/>
        </w:rPr>
      </w:pPr>
      <w:r w:rsidRPr="00F03176">
        <w:rPr>
          <w:lang w:eastAsia="en-AU"/>
        </w:rPr>
        <w:t xml:space="preserve">The variance mainly reflects donations, fundraising, bequests and research revenue from non-government sources that were less than anticipated at </w:t>
      </w:r>
      <w:r>
        <w:rPr>
          <w:lang w:eastAsia="en-AU"/>
        </w:rPr>
        <w:t>r</w:t>
      </w:r>
      <w:r w:rsidRPr="00F03176">
        <w:rPr>
          <w:lang w:eastAsia="en-AU"/>
        </w:rPr>
        <w:t xml:space="preserve">evised </w:t>
      </w:r>
      <w:r>
        <w:rPr>
          <w:lang w:eastAsia="en-AU"/>
        </w:rPr>
        <w:t>b</w:t>
      </w:r>
      <w:r w:rsidRPr="00F03176">
        <w:rPr>
          <w:lang w:eastAsia="en-AU"/>
        </w:rPr>
        <w:t xml:space="preserve">udget. The </w:t>
      </w:r>
      <w:r>
        <w:rPr>
          <w:lang w:eastAsia="en-AU"/>
        </w:rPr>
        <w:t>p</w:t>
      </w:r>
      <w:r w:rsidRPr="00F03176">
        <w:rPr>
          <w:lang w:eastAsia="en-AU"/>
        </w:rPr>
        <w:t xml:space="preserve">ublished </w:t>
      </w:r>
      <w:r>
        <w:rPr>
          <w:lang w:eastAsia="en-AU"/>
        </w:rPr>
        <w:t>b</w:t>
      </w:r>
      <w:r w:rsidRPr="00F03176">
        <w:rPr>
          <w:lang w:eastAsia="en-AU"/>
        </w:rPr>
        <w:t>udget was revised with higher expectations during the financial year</w:t>
      </w:r>
      <w:r w:rsidRPr="006167CA">
        <w:rPr>
          <w:lang w:eastAsia="en-AU"/>
        </w:rPr>
        <w:t>.</w:t>
      </w:r>
    </w:p>
    <w:p w:rsidR="00B20190" w:rsidRPr="00B20190" w:rsidRDefault="00B20190" w:rsidP="00876A68">
      <w:pPr>
        <w:pStyle w:val="ARtablefootnote"/>
        <w:numPr>
          <w:ilvl w:val="0"/>
          <w:numId w:val="51"/>
        </w:numPr>
        <w:ind w:left="284" w:hanging="284"/>
        <w:rPr>
          <w:lang w:eastAsia="en-AU"/>
        </w:rPr>
      </w:pPr>
      <w:r w:rsidRPr="00B20190">
        <w:rPr>
          <w:lang w:eastAsia="en-AU"/>
        </w:rPr>
        <w:t>The variance between actuals and Published Budget is $341 million and is mainly due to the transition to NDIS which was not reflected in the Published Budget. As a result of this transition, expenses relating to the disability output that were previously paid directly to service providers and accounted for as other operating expenses are now paid to the NDIA and accounted for as grants and other expense transfers.</w:t>
      </w:r>
    </w:p>
    <w:p w:rsidR="008F12EE" w:rsidRDefault="008F12EE" w:rsidP="00876A68">
      <w:pPr>
        <w:pStyle w:val="ARtablefootnote"/>
        <w:numPr>
          <w:ilvl w:val="0"/>
          <w:numId w:val="51"/>
        </w:numPr>
        <w:ind w:left="284" w:hanging="284"/>
        <w:rPr>
          <w:lang w:eastAsia="en-AU"/>
        </w:rPr>
      </w:pPr>
      <w:r w:rsidRPr="00F03176">
        <w:rPr>
          <w:lang w:eastAsia="en-AU"/>
        </w:rPr>
        <w:t>The variance reflects greater than anticipated term deposit investments across public hospitals and health services.</w:t>
      </w:r>
    </w:p>
    <w:p w:rsidR="008F12EE" w:rsidRDefault="008F12EE" w:rsidP="00876A68">
      <w:pPr>
        <w:pStyle w:val="ARtablefootnote"/>
        <w:numPr>
          <w:ilvl w:val="0"/>
          <w:numId w:val="51"/>
        </w:numPr>
        <w:ind w:left="284" w:hanging="284"/>
        <w:rPr>
          <w:lang w:eastAsia="en-AU"/>
        </w:rPr>
      </w:pPr>
      <w:r w:rsidRPr="00F03176">
        <w:rPr>
          <w:lang w:eastAsia="en-AU"/>
        </w:rPr>
        <w:t>The variance mainly reflects sale proceeds for vehicles sold across the portfolio.</w:t>
      </w:r>
    </w:p>
    <w:p w:rsidR="008F12EE" w:rsidRDefault="008F12EE" w:rsidP="00876A68">
      <w:pPr>
        <w:pStyle w:val="ARtablefootnote"/>
        <w:numPr>
          <w:ilvl w:val="0"/>
          <w:numId w:val="51"/>
        </w:numPr>
        <w:ind w:left="284" w:hanging="284"/>
        <w:rPr>
          <w:lang w:eastAsia="en-AU"/>
        </w:rPr>
      </w:pPr>
      <w:r w:rsidRPr="00F03176">
        <w:rPr>
          <w:lang w:eastAsia="en-AU"/>
        </w:rPr>
        <w:t>The variance reflects repayments of finance leases mainly for public private partnerships.</w:t>
      </w:r>
    </w:p>
    <w:p w:rsidR="008F12EE" w:rsidRPr="0066026E" w:rsidRDefault="008F12EE" w:rsidP="008F12EE">
      <w:pPr>
        <w:pStyle w:val="Heading3"/>
      </w:pPr>
      <w:r w:rsidRPr="0066026E">
        <w:br w:type="page"/>
      </w:r>
      <w:bookmarkStart w:id="122" w:name="_Toc462577202"/>
      <w:r w:rsidRPr="0066026E">
        <w:lastRenderedPageBreak/>
        <w:t>Statement of changes in equity for the financial year ended 30 June 201</w:t>
      </w:r>
      <w:bookmarkEnd w:id="122"/>
      <w:r w:rsidRPr="0066026E">
        <w:t>7</w:t>
      </w:r>
    </w:p>
    <w:tbl>
      <w:tblPr>
        <w:tblStyle w:val="TableGrid"/>
        <w:tblW w:w="9639" w:type="dxa"/>
        <w:tblLayout w:type="fixed"/>
        <w:tblLook w:val="06A0" w:firstRow="1" w:lastRow="0" w:firstColumn="1" w:lastColumn="0" w:noHBand="1" w:noVBand="1"/>
      </w:tblPr>
      <w:tblGrid>
        <w:gridCol w:w="2952"/>
        <w:gridCol w:w="1338"/>
        <w:gridCol w:w="1337"/>
        <w:gridCol w:w="1337"/>
        <w:gridCol w:w="1337"/>
        <w:gridCol w:w="1338"/>
      </w:tblGrid>
      <w:tr w:rsidR="00CF1B4C" w:rsidRPr="000546C1" w:rsidTr="00BD471F">
        <w:trPr>
          <w:cnfStyle w:val="100000000000" w:firstRow="1" w:lastRow="0" w:firstColumn="0" w:lastColumn="0" w:oddVBand="0" w:evenVBand="0" w:oddHBand="0" w:evenHBand="0" w:firstRowFirstColumn="0" w:firstRowLastColumn="0" w:lastRowFirstColumn="0" w:lastRowLastColumn="0"/>
          <w:tblHeader/>
        </w:trPr>
        <w:tc>
          <w:tcPr>
            <w:tcW w:w="2952" w:type="dxa"/>
            <w:tcBorders>
              <w:bottom w:val="single" w:sz="4" w:space="0" w:color="auto"/>
            </w:tcBorders>
            <w:hideMark/>
          </w:tcPr>
          <w:p w:rsidR="00CF1B4C" w:rsidRPr="000546C1" w:rsidRDefault="00CF1B4C" w:rsidP="00E924ED">
            <w:pPr>
              <w:rPr>
                <w:rFonts w:cs="Arial"/>
                <w:b/>
                <w:bCs/>
                <w:color w:val="000000"/>
                <w:sz w:val="18"/>
                <w:szCs w:val="18"/>
                <w:lang w:eastAsia="en-AU"/>
              </w:rPr>
            </w:pPr>
          </w:p>
        </w:tc>
        <w:tc>
          <w:tcPr>
            <w:tcW w:w="1338" w:type="dxa"/>
            <w:tcBorders>
              <w:bottom w:val="single" w:sz="4" w:space="0" w:color="auto"/>
            </w:tcBorders>
            <w:hideMark/>
          </w:tcPr>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2016</w:t>
            </w:r>
            <w:r>
              <w:rPr>
                <w:lang w:eastAsia="en-AU"/>
              </w:rPr>
              <w:t>–</w:t>
            </w:r>
            <w:r w:rsidRPr="000546C1">
              <w:rPr>
                <w:lang w:eastAsia="en-AU"/>
              </w:rPr>
              <w:t xml:space="preserve">17 </w:t>
            </w:r>
            <w:r>
              <w:rPr>
                <w:lang w:eastAsia="en-AU"/>
              </w:rPr>
              <w:t>a</w:t>
            </w:r>
            <w:r w:rsidRPr="000546C1">
              <w:rPr>
                <w:lang w:eastAsia="en-AU"/>
              </w:rPr>
              <w:t>ctual</w:t>
            </w:r>
          </w:p>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$M</w:t>
            </w:r>
          </w:p>
        </w:tc>
        <w:tc>
          <w:tcPr>
            <w:tcW w:w="1337" w:type="dxa"/>
            <w:tcBorders>
              <w:bottom w:val="single" w:sz="4" w:space="0" w:color="auto"/>
            </w:tcBorders>
            <w:hideMark/>
          </w:tcPr>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2016</w:t>
            </w:r>
            <w:r>
              <w:rPr>
                <w:lang w:eastAsia="en-AU"/>
              </w:rPr>
              <w:t>–</w:t>
            </w:r>
            <w:r w:rsidRPr="000546C1">
              <w:rPr>
                <w:lang w:eastAsia="en-AU"/>
              </w:rPr>
              <w:t xml:space="preserve">17 </w:t>
            </w:r>
            <w:r>
              <w:rPr>
                <w:lang w:eastAsia="en-AU"/>
              </w:rPr>
              <w:br/>
              <w:t>r</w:t>
            </w:r>
            <w:r w:rsidRPr="000546C1">
              <w:rPr>
                <w:lang w:eastAsia="en-AU"/>
              </w:rPr>
              <w:t xml:space="preserve">evised </w:t>
            </w:r>
            <w:r>
              <w:rPr>
                <w:lang w:eastAsia="en-AU"/>
              </w:rPr>
              <w:t>b</w:t>
            </w:r>
            <w:r w:rsidRPr="000546C1">
              <w:rPr>
                <w:lang w:eastAsia="en-AU"/>
              </w:rPr>
              <w:t>udget</w:t>
            </w:r>
          </w:p>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$M</w:t>
            </w:r>
          </w:p>
        </w:tc>
        <w:tc>
          <w:tcPr>
            <w:tcW w:w="1337" w:type="dxa"/>
            <w:tcBorders>
              <w:bottom w:val="single" w:sz="4" w:space="0" w:color="auto"/>
            </w:tcBorders>
            <w:hideMark/>
          </w:tcPr>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 xml:space="preserve">Variation to </w:t>
            </w:r>
            <w:r>
              <w:rPr>
                <w:lang w:eastAsia="en-AU"/>
              </w:rPr>
              <w:br/>
              <w:t>r</w:t>
            </w:r>
            <w:r w:rsidRPr="000546C1">
              <w:rPr>
                <w:lang w:eastAsia="en-AU"/>
              </w:rPr>
              <w:t xml:space="preserve">evised </w:t>
            </w:r>
            <w:r>
              <w:rPr>
                <w:lang w:eastAsia="en-AU"/>
              </w:rPr>
              <w:t>b</w:t>
            </w:r>
            <w:r w:rsidRPr="000546C1">
              <w:rPr>
                <w:lang w:eastAsia="en-AU"/>
              </w:rPr>
              <w:t>udget</w:t>
            </w:r>
          </w:p>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w:t>
            </w:r>
          </w:p>
        </w:tc>
        <w:tc>
          <w:tcPr>
            <w:tcW w:w="1337" w:type="dxa"/>
            <w:tcBorders>
              <w:bottom w:val="single" w:sz="4" w:space="0" w:color="auto"/>
            </w:tcBorders>
            <w:hideMark/>
          </w:tcPr>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2016</w:t>
            </w:r>
            <w:r>
              <w:rPr>
                <w:lang w:eastAsia="en-AU"/>
              </w:rPr>
              <w:t>–</w:t>
            </w:r>
            <w:r w:rsidRPr="000546C1">
              <w:rPr>
                <w:lang w:eastAsia="en-AU"/>
              </w:rPr>
              <w:t xml:space="preserve">17 </w:t>
            </w:r>
            <w:r>
              <w:rPr>
                <w:lang w:eastAsia="en-AU"/>
              </w:rPr>
              <w:t>p</w:t>
            </w:r>
            <w:r w:rsidRPr="000546C1">
              <w:rPr>
                <w:lang w:eastAsia="en-AU"/>
              </w:rPr>
              <w:t xml:space="preserve">ublished </w:t>
            </w:r>
            <w:r>
              <w:rPr>
                <w:lang w:eastAsia="en-AU"/>
              </w:rPr>
              <w:t>b</w:t>
            </w:r>
            <w:r w:rsidRPr="000546C1">
              <w:rPr>
                <w:lang w:eastAsia="en-AU"/>
              </w:rPr>
              <w:t>udget</w:t>
            </w:r>
          </w:p>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$M</w:t>
            </w:r>
          </w:p>
        </w:tc>
        <w:tc>
          <w:tcPr>
            <w:tcW w:w="1338" w:type="dxa"/>
            <w:tcBorders>
              <w:bottom w:val="single" w:sz="4" w:space="0" w:color="auto"/>
            </w:tcBorders>
            <w:hideMark/>
          </w:tcPr>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 xml:space="preserve">Variation to </w:t>
            </w:r>
            <w:r>
              <w:rPr>
                <w:lang w:eastAsia="en-AU"/>
              </w:rPr>
              <w:t>p</w:t>
            </w:r>
            <w:r w:rsidRPr="000546C1">
              <w:rPr>
                <w:lang w:eastAsia="en-AU"/>
              </w:rPr>
              <w:t xml:space="preserve">ublished </w:t>
            </w:r>
            <w:r>
              <w:rPr>
                <w:lang w:eastAsia="en-AU"/>
              </w:rPr>
              <w:t>b</w:t>
            </w:r>
            <w:r w:rsidRPr="000546C1">
              <w:rPr>
                <w:lang w:eastAsia="en-AU"/>
              </w:rPr>
              <w:t>udget</w:t>
            </w:r>
          </w:p>
          <w:p w:rsidR="00CF1B4C" w:rsidRPr="000546C1" w:rsidRDefault="00CF1B4C"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0546C1">
              <w:rPr>
                <w:lang w:eastAsia="en-AU"/>
              </w:rPr>
              <w:t>%</w:t>
            </w:r>
          </w:p>
        </w:tc>
      </w:tr>
      <w:tr w:rsidR="008F12EE" w:rsidRPr="000546C1" w:rsidTr="00BD471F">
        <w:tc>
          <w:tcPr>
            <w:tcW w:w="2952" w:type="dxa"/>
            <w:tcBorders>
              <w:top w:val="single" w:sz="4" w:space="0" w:color="auto"/>
              <w:bottom w:val="single" w:sz="4" w:space="0" w:color="A6A6A6" w:themeColor="background1" w:themeShade="A6"/>
            </w:tcBorders>
            <w:hideMark/>
          </w:tcPr>
          <w:p w:rsidR="008F12EE" w:rsidRPr="000546C1" w:rsidRDefault="008F12EE" w:rsidP="00BD471F">
            <w:pPr>
              <w:pStyle w:val="ARtabletext"/>
            </w:pPr>
            <w:r w:rsidRPr="000546C1">
              <w:t>Accumulated funds</w:t>
            </w:r>
          </w:p>
        </w:tc>
        <w:tc>
          <w:tcPr>
            <w:tcW w:w="1338"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1,147</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1,217</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(5.8)</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1,074</w:t>
            </w:r>
          </w:p>
        </w:tc>
        <w:tc>
          <w:tcPr>
            <w:tcW w:w="1338"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6.8</w:t>
            </w:r>
          </w:p>
        </w:tc>
      </w:tr>
      <w:tr w:rsidR="008F12EE" w:rsidRPr="000546C1" w:rsidTr="00BD471F">
        <w:tc>
          <w:tcPr>
            <w:tcW w:w="2952"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
            </w:pPr>
            <w:r w:rsidRPr="000546C1">
              <w:t>Adjustment due to change in accounting policy</w:t>
            </w:r>
          </w:p>
        </w:tc>
        <w:tc>
          <w:tcPr>
            <w:tcW w:w="1338"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right"/>
            </w:pPr>
            <w:r w:rsidRPr="000546C1">
              <w:t>(18)</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c>
          <w:tcPr>
            <w:tcW w:w="1338"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r>
      <w:tr w:rsidR="008F12EE" w:rsidRPr="000546C1" w:rsidTr="00BD471F">
        <w:tc>
          <w:tcPr>
            <w:tcW w:w="2952"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
            </w:pPr>
            <w:r w:rsidRPr="000546C1">
              <w:t>Transactions with owners in their capacity as owners</w:t>
            </w:r>
          </w:p>
        </w:tc>
        <w:tc>
          <w:tcPr>
            <w:tcW w:w="1338"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right"/>
            </w:pPr>
            <w:r w:rsidRPr="000546C1">
              <w:t>60</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right"/>
            </w:pPr>
            <w:r w:rsidRPr="000546C1">
              <w:t>(100.0)</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c>
          <w:tcPr>
            <w:tcW w:w="1338"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r>
      <w:tr w:rsidR="008F12EE" w:rsidRPr="000546C1" w:rsidTr="00BD471F">
        <w:tc>
          <w:tcPr>
            <w:tcW w:w="2952" w:type="dxa"/>
            <w:tcBorders>
              <w:top w:val="single" w:sz="4" w:space="0" w:color="A6A6A6" w:themeColor="background1" w:themeShade="A6"/>
            </w:tcBorders>
            <w:hideMark/>
          </w:tcPr>
          <w:p w:rsidR="008F12EE" w:rsidRPr="000546C1" w:rsidRDefault="008F12EE" w:rsidP="00BD471F">
            <w:pPr>
              <w:pStyle w:val="ARtabletext"/>
            </w:pPr>
            <w:r w:rsidRPr="000546C1">
              <w:t>Comprehensive result</w:t>
            </w:r>
          </w:p>
        </w:tc>
        <w:tc>
          <w:tcPr>
            <w:tcW w:w="1338" w:type="dxa"/>
            <w:tcBorders>
              <w:top w:val="single" w:sz="4" w:space="0" w:color="A6A6A6" w:themeColor="background1" w:themeShade="A6"/>
            </w:tcBorders>
            <w:hideMark/>
          </w:tcPr>
          <w:p w:rsidR="008F12EE" w:rsidRPr="000546C1" w:rsidRDefault="008F12EE" w:rsidP="00BD471F">
            <w:pPr>
              <w:pStyle w:val="ARtabletextright"/>
            </w:pPr>
            <w:r w:rsidRPr="000546C1">
              <w:t>651</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275</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136.7</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98</w:t>
            </w:r>
          </w:p>
        </w:tc>
        <w:tc>
          <w:tcPr>
            <w:tcW w:w="1338" w:type="dxa"/>
            <w:tcBorders>
              <w:top w:val="single" w:sz="4" w:space="0" w:color="A6A6A6" w:themeColor="background1" w:themeShade="A6"/>
            </w:tcBorders>
            <w:hideMark/>
          </w:tcPr>
          <w:p w:rsidR="008F12EE" w:rsidRPr="000546C1" w:rsidRDefault="008F12EE" w:rsidP="00BD471F">
            <w:pPr>
              <w:pStyle w:val="ARtabletextright"/>
            </w:pPr>
            <w:r w:rsidRPr="000546C1">
              <w:t>564.3</w:t>
            </w:r>
          </w:p>
        </w:tc>
      </w:tr>
      <w:tr w:rsidR="008F12EE" w:rsidRPr="000546C1" w:rsidTr="00BD471F">
        <w:tc>
          <w:tcPr>
            <w:tcW w:w="2952" w:type="dxa"/>
            <w:tcBorders>
              <w:bottom w:val="single" w:sz="4" w:space="0" w:color="auto"/>
            </w:tcBorders>
            <w:hideMark/>
          </w:tcPr>
          <w:p w:rsidR="008F12EE" w:rsidRPr="000546C1" w:rsidRDefault="008F12EE" w:rsidP="00BD471F">
            <w:pPr>
              <w:pStyle w:val="ARtabletextbold"/>
            </w:pPr>
            <w:r w:rsidRPr="000546C1">
              <w:t>Accumulated surplus/(deficit)</w:t>
            </w:r>
          </w:p>
        </w:tc>
        <w:tc>
          <w:tcPr>
            <w:tcW w:w="1338" w:type="dxa"/>
            <w:tcBorders>
              <w:bottom w:val="single" w:sz="4" w:space="0" w:color="auto"/>
            </w:tcBorders>
            <w:hideMark/>
          </w:tcPr>
          <w:p w:rsidR="008F12EE" w:rsidRPr="000546C1" w:rsidRDefault="008F12EE" w:rsidP="00BD471F">
            <w:pPr>
              <w:pStyle w:val="ARtabletextright"/>
              <w:rPr>
                <w:b/>
                <w:bCs/>
              </w:rPr>
            </w:pPr>
            <w:r w:rsidRPr="000546C1">
              <w:rPr>
                <w:b/>
                <w:bCs/>
              </w:rPr>
              <w:t>1,780</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1,552</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14.7</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1,171</w:t>
            </w:r>
          </w:p>
        </w:tc>
        <w:tc>
          <w:tcPr>
            <w:tcW w:w="1338" w:type="dxa"/>
            <w:tcBorders>
              <w:bottom w:val="single" w:sz="4" w:space="0" w:color="auto"/>
            </w:tcBorders>
            <w:hideMark/>
          </w:tcPr>
          <w:p w:rsidR="008F12EE" w:rsidRPr="000546C1" w:rsidRDefault="008F12EE" w:rsidP="00BD471F">
            <w:pPr>
              <w:pStyle w:val="ARtabletextright"/>
              <w:rPr>
                <w:b/>
                <w:bCs/>
              </w:rPr>
            </w:pPr>
            <w:r w:rsidRPr="000546C1">
              <w:rPr>
                <w:b/>
                <w:bCs/>
              </w:rPr>
              <w:t>52.0</w:t>
            </w:r>
          </w:p>
        </w:tc>
      </w:tr>
      <w:tr w:rsidR="008F12EE" w:rsidRPr="000546C1" w:rsidTr="00BD471F">
        <w:tc>
          <w:tcPr>
            <w:tcW w:w="2952" w:type="dxa"/>
            <w:tcBorders>
              <w:top w:val="single" w:sz="4" w:space="0" w:color="auto"/>
              <w:bottom w:val="single" w:sz="4" w:space="0" w:color="A6A6A6" w:themeColor="background1" w:themeShade="A6"/>
            </w:tcBorders>
            <w:hideMark/>
          </w:tcPr>
          <w:p w:rsidR="008F12EE" w:rsidRPr="000546C1" w:rsidRDefault="008F12EE" w:rsidP="00BD471F">
            <w:pPr>
              <w:pStyle w:val="ARtabletext"/>
            </w:pPr>
            <w:r w:rsidRPr="000546C1">
              <w:t>Net contributions by owners</w:t>
            </w:r>
          </w:p>
        </w:tc>
        <w:tc>
          <w:tcPr>
            <w:tcW w:w="1338"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5,891</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6,313</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(6.7)</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6,344</w:t>
            </w:r>
          </w:p>
        </w:tc>
        <w:tc>
          <w:tcPr>
            <w:tcW w:w="1338"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(7.1)</w:t>
            </w:r>
          </w:p>
        </w:tc>
      </w:tr>
      <w:tr w:rsidR="008F12EE" w:rsidRPr="000546C1" w:rsidTr="00BD471F">
        <w:tc>
          <w:tcPr>
            <w:tcW w:w="2952" w:type="dxa"/>
            <w:tcBorders>
              <w:top w:val="single" w:sz="4" w:space="0" w:color="A6A6A6" w:themeColor="background1" w:themeShade="A6"/>
            </w:tcBorders>
            <w:hideMark/>
          </w:tcPr>
          <w:p w:rsidR="008F12EE" w:rsidRPr="000546C1" w:rsidRDefault="008F12EE" w:rsidP="00BD471F">
            <w:pPr>
              <w:pStyle w:val="ARtabletext"/>
            </w:pPr>
            <w:r w:rsidRPr="000546C1">
              <w:t>Transactions with owners in their capacity as owners</w:t>
            </w:r>
          </w:p>
        </w:tc>
        <w:tc>
          <w:tcPr>
            <w:tcW w:w="1338" w:type="dxa"/>
            <w:tcBorders>
              <w:top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(253)</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(100.0)</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68</w:t>
            </w:r>
          </w:p>
        </w:tc>
        <w:tc>
          <w:tcPr>
            <w:tcW w:w="1338" w:type="dxa"/>
            <w:tcBorders>
              <w:top w:val="single" w:sz="4" w:space="0" w:color="A6A6A6" w:themeColor="background1" w:themeShade="A6"/>
            </w:tcBorders>
            <w:hideMark/>
          </w:tcPr>
          <w:p w:rsidR="008F12EE" w:rsidRPr="000546C1" w:rsidRDefault="008F12EE" w:rsidP="00BD471F">
            <w:pPr>
              <w:pStyle w:val="ARtabletextright"/>
            </w:pPr>
            <w:r w:rsidRPr="000546C1">
              <w:t>(100.0)</w:t>
            </w:r>
          </w:p>
        </w:tc>
      </w:tr>
      <w:tr w:rsidR="008F12EE" w:rsidRPr="000546C1" w:rsidTr="00BD471F">
        <w:tc>
          <w:tcPr>
            <w:tcW w:w="2952" w:type="dxa"/>
            <w:tcBorders>
              <w:bottom w:val="single" w:sz="4" w:space="0" w:color="auto"/>
            </w:tcBorders>
            <w:hideMark/>
          </w:tcPr>
          <w:p w:rsidR="008F12EE" w:rsidRPr="000546C1" w:rsidRDefault="008F12EE" w:rsidP="00BD471F">
            <w:pPr>
              <w:pStyle w:val="ARtabletextbold"/>
            </w:pPr>
            <w:r w:rsidRPr="000546C1">
              <w:t>Contributions by owners</w:t>
            </w:r>
          </w:p>
        </w:tc>
        <w:tc>
          <w:tcPr>
            <w:tcW w:w="1338" w:type="dxa"/>
            <w:tcBorders>
              <w:bottom w:val="single" w:sz="4" w:space="0" w:color="auto"/>
            </w:tcBorders>
            <w:hideMark/>
          </w:tcPr>
          <w:p w:rsidR="008F12EE" w:rsidRPr="000546C1" w:rsidRDefault="008F12EE" w:rsidP="00BD471F">
            <w:pPr>
              <w:pStyle w:val="ARtabletextright"/>
              <w:rPr>
                <w:b/>
                <w:bCs/>
              </w:rPr>
            </w:pPr>
            <w:r w:rsidRPr="000546C1">
              <w:rPr>
                <w:b/>
                <w:bCs/>
              </w:rPr>
              <w:t>5,891</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6,060</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(2.8)</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6,412</w:t>
            </w:r>
          </w:p>
        </w:tc>
        <w:tc>
          <w:tcPr>
            <w:tcW w:w="1338" w:type="dxa"/>
            <w:tcBorders>
              <w:bottom w:val="single" w:sz="4" w:space="0" w:color="auto"/>
            </w:tcBorders>
            <w:hideMark/>
          </w:tcPr>
          <w:p w:rsidR="008F12EE" w:rsidRPr="000546C1" w:rsidRDefault="008F12EE" w:rsidP="00BD471F">
            <w:pPr>
              <w:pStyle w:val="ARtabletextright"/>
              <w:rPr>
                <w:b/>
                <w:bCs/>
              </w:rPr>
            </w:pPr>
            <w:r w:rsidRPr="000546C1">
              <w:rPr>
                <w:b/>
                <w:bCs/>
              </w:rPr>
              <w:t>(8.1)</w:t>
            </w:r>
          </w:p>
        </w:tc>
      </w:tr>
      <w:tr w:rsidR="008F12EE" w:rsidRPr="000546C1" w:rsidTr="00BD471F">
        <w:tc>
          <w:tcPr>
            <w:tcW w:w="2952" w:type="dxa"/>
            <w:tcBorders>
              <w:top w:val="single" w:sz="4" w:space="0" w:color="auto"/>
              <w:bottom w:val="single" w:sz="4" w:space="0" w:color="A6A6A6" w:themeColor="background1" w:themeShade="A6"/>
            </w:tcBorders>
            <w:hideMark/>
          </w:tcPr>
          <w:p w:rsidR="008F12EE" w:rsidRPr="000546C1" w:rsidRDefault="008F12EE" w:rsidP="00BD471F">
            <w:pPr>
              <w:pStyle w:val="ARtabletext"/>
            </w:pPr>
            <w:r w:rsidRPr="000546C1">
              <w:t>Physical asset revaluation reserve</w:t>
            </w:r>
          </w:p>
        </w:tc>
        <w:tc>
          <w:tcPr>
            <w:tcW w:w="1338"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6,238</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5,721</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9.0</w:t>
            </w:r>
          </w:p>
        </w:tc>
        <w:tc>
          <w:tcPr>
            <w:tcW w:w="1337"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5,291</w:t>
            </w:r>
          </w:p>
        </w:tc>
        <w:tc>
          <w:tcPr>
            <w:tcW w:w="1338"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17.9</w:t>
            </w:r>
          </w:p>
        </w:tc>
      </w:tr>
      <w:tr w:rsidR="008F12EE" w:rsidRPr="000546C1" w:rsidTr="00BD471F">
        <w:tc>
          <w:tcPr>
            <w:tcW w:w="2952"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
            </w:pPr>
            <w:r w:rsidRPr="000546C1">
              <w:t>Transactions with owners in their capacity as owners</w:t>
            </w:r>
          </w:p>
        </w:tc>
        <w:tc>
          <w:tcPr>
            <w:tcW w:w="1338"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right"/>
            </w:pPr>
            <w:r w:rsidRPr="000546C1">
              <w:t>174</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F12EE" w:rsidP="00BD471F">
            <w:pPr>
              <w:pStyle w:val="ARtabletextright"/>
            </w:pPr>
            <w:r w:rsidRPr="000546C1">
              <w:t>(100.0)</w:t>
            </w:r>
          </w:p>
        </w:tc>
        <w:tc>
          <w:tcPr>
            <w:tcW w:w="1337"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c>
          <w:tcPr>
            <w:tcW w:w="1338" w:type="dxa"/>
            <w:tcBorders>
              <w:top w:val="single" w:sz="4" w:space="0" w:color="A6A6A6" w:themeColor="background1" w:themeShade="A6"/>
              <w:bottom w:val="single" w:sz="4" w:space="0" w:color="A6A6A6" w:themeColor="background1" w:themeShade="A6"/>
            </w:tcBorders>
            <w:hideMark/>
          </w:tcPr>
          <w:p w:rsidR="008F12EE" w:rsidRPr="000546C1" w:rsidRDefault="008A73F2" w:rsidP="00BD471F">
            <w:pPr>
              <w:pStyle w:val="ARtabletextright"/>
            </w:pPr>
            <w:r>
              <w:t>–</w:t>
            </w:r>
          </w:p>
        </w:tc>
      </w:tr>
      <w:tr w:rsidR="008F12EE" w:rsidRPr="000546C1" w:rsidTr="00BD471F">
        <w:tc>
          <w:tcPr>
            <w:tcW w:w="2952" w:type="dxa"/>
            <w:tcBorders>
              <w:top w:val="single" w:sz="4" w:space="0" w:color="A6A6A6" w:themeColor="background1" w:themeShade="A6"/>
            </w:tcBorders>
            <w:hideMark/>
          </w:tcPr>
          <w:p w:rsidR="008F12EE" w:rsidRPr="000546C1" w:rsidRDefault="008F12EE" w:rsidP="00BD471F">
            <w:pPr>
              <w:pStyle w:val="ARtabletext"/>
            </w:pPr>
            <w:r w:rsidRPr="000546C1">
              <w:t>Comprehensive result</w:t>
            </w:r>
          </w:p>
        </w:tc>
        <w:tc>
          <w:tcPr>
            <w:tcW w:w="1338" w:type="dxa"/>
            <w:tcBorders>
              <w:top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(55)</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(100.0)</w:t>
            </w:r>
          </w:p>
        </w:tc>
        <w:tc>
          <w:tcPr>
            <w:tcW w:w="1337" w:type="dxa"/>
            <w:tcBorders>
              <w:top w:val="single" w:sz="4" w:space="0" w:color="A6A6A6" w:themeColor="background1" w:themeShade="A6"/>
            </w:tcBorders>
            <w:hideMark/>
          </w:tcPr>
          <w:p w:rsidR="008F12EE" w:rsidRPr="000546C1" w:rsidRDefault="008A73F2" w:rsidP="00BD471F">
            <w:pPr>
              <w:pStyle w:val="ARtabletextright"/>
            </w:pPr>
            <w:r>
              <w:t>–</w:t>
            </w:r>
          </w:p>
        </w:tc>
        <w:tc>
          <w:tcPr>
            <w:tcW w:w="1338" w:type="dxa"/>
            <w:tcBorders>
              <w:top w:val="single" w:sz="4" w:space="0" w:color="A6A6A6" w:themeColor="background1" w:themeShade="A6"/>
            </w:tcBorders>
            <w:hideMark/>
          </w:tcPr>
          <w:p w:rsidR="008F12EE" w:rsidRPr="000546C1" w:rsidRDefault="008A73F2" w:rsidP="00BD471F">
            <w:pPr>
              <w:pStyle w:val="ARtabletextright"/>
            </w:pPr>
            <w:r>
              <w:t>–</w:t>
            </w:r>
          </w:p>
        </w:tc>
      </w:tr>
      <w:tr w:rsidR="008F12EE" w:rsidRPr="000546C1" w:rsidTr="00BD471F">
        <w:tc>
          <w:tcPr>
            <w:tcW w:w="2952" w:type="dxa"/>
            <w:tcBorders>
              <w:bottom w:val="single" w:sz="4" w:space="0" w:color="auto"/>
            </w:tcBorders>
            <w:hideMark/>
          </w:tcPr>
          <w:p w:rsidR="008F12EE" w:rsidRPr="000546C1" w:rsidRDefault="008F12EE" w:rsidP="00BD471F">
            <w:pPr>
              <w:pStyle w:val="ARtabletextbold"/>
            </w:pPr>
            <w:r w:rsidRPr="000546C1">
              <w:t>Physical asset revaluation reserve</w:t>
            </w:r>
          </w:p>
        </w:tc>
        <w:tc>
          <w:tcPr>
            <w:tcW w:w="1338" w:type="dxa"/>
            <w:tcBorders>
              <w:bottom w:val="single" w:sz="4" w:space="0" w:color="auto"/>
            </w:tcBorders>
            <w:hideMark/>
          </w:tcPr>
          <w:p w:rsidR="008F12EE" w:rsidRPr="000546C1" w:rsidRDefault="008F12EE" w:rsidP="00BD471F">
            <w:pPr>
              <w:pStyle w:val="ARtabletextright"/>
              <w:rPr>
                <w:b/>
                <w:bCs/>
              </w:rPr>
            </w:pPr>
            <w:r w:rsidRPr="000546C1">
              <w:rPr>
                <w:b/>
                <w:bCs/>
              </w:rPr>
              <w:t>6,238</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5,840</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6.8</w:t>
            </w:r>
          </w:p>
        </w:tc>
        <w:tc>
          <w:tcPr>
            <w:tcW w:w="1337" w:type="dxa"/>
            <w:tcBorders>
              <w:bottom w:val="single" w:sz="4" w:space="0" w:color="auto"/>
            </w:tcBorders>
            <w:hideMark/>
          </w:tcPr>
          <w:p w:rsidR="008F12EE" w:rsidRPr="000546C1" w:rsidRDefault="008F12EE" w:rsidP="00BD471F">
            <w:pPr>
              <w:pStyle w:val="ARtabletextright"/>
              <w:rPr>
                <w:b/>
                <w:bCs/>
              </w:rPr>
            </w:pPr>
            <w:r w:rsidRPr="000546C1">
              <w:rPr>
                <w:b/>
                <w:bCs/>
              </w:rPr>
              <w:t>5,291</w:t>
            </w:r>
          </w:p>
        </w:tc>
        <w:tc>
          <w:tcPr>
            <w:tcW w:w="1338" w:type="dxa"/>
            <w:tcBorders>
              <w:bottom w:val="single" w:sz="4" w:space="0" w:color="auto"/>
            </w:tcBorders>
            <w:hideMark/>
          </w:tcPr>
          <w:p w:rsidR="008F12EE" w:rsidRPr="000546C1" w:rsidRDefault="008F12EE" w:rsidP="00BD471F">
            <w:pPr>
              <w:pStyle w:val="ARtabletextright"/>
              <w:rPr>
                <w:b/>
                <w:bCs/>
              </w:rPr>
            </w:pPr>
            <w:r w:rsidRPr="000546C1">
              <w:rPr>
                <w:b/>
                <w:bCs/>
              </w:rPr>
              <w:t>17.9</w:t>
            </w:r>
          </w:p>
        </w:tc>
      </w:tr>
      <w:tr w:rsidR="008F12EE" w:rsidRPr="000546C1" w:rsidTr="00BD471F">
        <w:tc>
          <w:tcPr>
            <w:tcW w:w="2952" w:type="dxa"/>
            <w:tcBorders>
              <w:top w:val="single" w:sz="4" w:space="0" w:color="auto"/>
              <w:bottom w:val="single" w:sz="4" w:space="0" w:color="A6A6A6" w:themeColor="background1" w:themeShade="A6"/>
            </w:tcBorders>
            <w:hideMark/>
          </w:tcPr>
          <w:p w:rsidR="008F12EE" w:rsidRPr="000546C1" w:rsidRDefault="008F12EE" w:rsidP="00BD471F">
            <w:pPr>
              <w:pStyle w:val="ARtabletext"/>
            </w:pPr>
            <w:r w:rsidRPr="000546C1">
              <w:t>Financial assets available-for-sale reserve</w:t>
            </w:r>
          </w:p>
        </w:tc>
        <w:tc>
          <w:tcPr>
            <w:tcW w:w="1338" w:type="dxa"/>
            <w:tcBorders>
              <w:top w:val="single" w:sz="4" w:space="0" w:color="auto"/>
              <w:bottom w:val="single" w:sz="4" w:space="0" w:color="A6A6A6" w:themeColor="background1" w:themeShade="A6"/>
            </w:tcBorders>
            <w:hideMark/>
          </w:tcPr>
          <w:p w:rsidR="008F12EE" w:rsidRPr="000546C1" w:rsidRDefault="008F12EE" w:rsidP="00BD471F">
            <w:pPr>
              <w:pStyle w:val="ARtabletextright"/>
            </w:pPr>
            <w:r w:rsidRPr="000546C1">
              <w:t>607</w:t>
            </w:r>
          </w:p>
        </w:tc>
        <w:tc>
          <w:tcPr>
            <w:tcW w:w="1337" w:type="dxa"/>
            <w:tcBorders>
              <w:top w:val="single" w:sz="4" w:space="0" w:color="auto"/>
              <w:bottom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uto"/>
              <w:bottom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uto"/>
              <w:bottom w:val="single" w:sz="4" w:space="0" w:color="A6A6A6" w:themeColor="background1" w:themeShade="A6"/>
            </w:tcBorders>
            <w:hideMark/>
          </w:tcPr>
          <w:p w:rsidR="008F12EE" w:rsidRPr="000546C1" w:rsidRDefault="008A73F2" w:rsidP="00BD471F">
            <w:pPr>
              <w:pStyle w:val="ARtabletextright"/>
            </w:pPr>
            <w:r>
              <w:t>–</w:t>
            </w:r>
          </w:p>
        </w:tc>
        <w:tc>
          <w:tcPr>
            <w:tcW w:w="1338" w:type="dxa"/>
            <w:tcBorders>
              <w:top w:val="single" w:sz="4" w:space="0" w:color="auto"/>
              <w:bottom w:val="single" w:sz="4" w:space="0" w:color="A6A6A6" w:themeColor="background1" w:themeShade="A6"/>
            </w:tcBorders>
            <w:hideMark/>
          </w:tcPr>
          <w:p w:rsidR="008F12EE" w:rsidRPr="000546C1" w:rsidRDefault="008A73F2" w:rsidP="00BD471F">
            <w:pPr>
              <w:pStyle w:val="ARtabletextright"/>
            </w:pPr>
            <w:r>
              <w:t>–</w:t>
            </w:r>
          </w:p>
        </w:tc>
      </w:tr>
      <w:tr w:rsidR="008F12EE" w:rsidRPr="000546C1" w:rsidTr="00BD471F">
        <w:tc>
          <w:tcPr>
            <w:tcW w:w="2952" w:type="dxa"/>
            <w:tcBorders>
              <w:top w:val="single" w:sz="4" w:space="0" w:color="A6A6A6" w:themeColor="background1" w:themeShade="A6"/>
            </w:tcBorders>
            <w:hideMark/>
          </w:tcPr>
          <w:p w:rsidR="008F12EE" w:rsidRPr="000546C1" w:rsidRDefault="008F12EE" w:rsidP="00BD471F">
            <w:pPr>
              <w:pStyle w:val="ARtabletext"/>
            </w:pPr>
            <w:r w:rsidRPr="000546C1">
              <w:t>Other reserves</w:t>
            </w:r>
          </w:p>
        </w:tc>
        <w:tc>
          <w:tcPr>
            <w:tcW w:w="1338" w:type="dxa"/>
            <w:tcBorders>
              <w:top w:val="single" w:sz="4" w:space="0" w:color="A6A6A6" w:themeColor="background1" w:themeShade="A6"/>
            </w:tcBorders>
            <w:hideMark/>
          </w:tcPr>
          <w:p w:rsidR="008F12EE" w:rsidRPr="000546C1" w:rsidRDefault="008A73F2" w:rsidP="00BD471F">
            <w:pPr>
              <w:pStyle w:val="ARtabletextright"/>
            </w:pPr>
            <w:r>
              <w:t>–</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471</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(100.0)</w:t>
            </w:r>
          </w:p>
        </w:tc>
        <w:tc>
          <w:tcPr>
            <w:tcW w:w="1337" w:type="dxa"/>
            <w:tcBorders>
              <w:top w:val="single" w:sz="4" w:space="0" w:color="A6A6A6" w:themeColor="background1" w:themeShade="A6"/>
            </w:tcBorders>
            <w:hideMark/>
          </w:tcPr>
          <w:p w:rsidR="008F12EE" w:rsidRPr="000546C1" w:rsidRDefault="008F12EE" w:rsidP="00BD471F">
            <w:pPr>
              <w:pStyle w:val="ARtabletextright"/>
            </w:pPr>
            <w:r w:rsidRPr="000546C1">
              <w:t>627</w:t>
            </w:r>
          </w:p>
        </w:tc>
        <w:tc>
          <w:tcPr>
            <w:tcW w:w="1338" w:type="dxa"/>
            <w:tcBorders>
              <w:top w:val="single" w:sz="4" w:space="0" w:color="A6A6A6" w:themeColor="background1" w:themeShade="A6"/>
            </w:tcBorders>
            <w:hideMark/>
          </w:tcPr>
          <w:p w:rsidR="008F12EE" w:rsidRPr="000546C1" w:rsidRDefault="008F12EE" w:rsidP="00BD471F">
            <w:pPr>
              <w:pStyle w:val="ARtabletextright"/>
            </w:pPr>
            <w:r w:rsidRPr="000546C1">
              <w:t>(100.0)</w:t>
            </w:r>
          </w:p>
        </w:tc>
      </w:tr>
      <w:tr w:rsidR="008F12EE" w:rsidRPr="000546C1" w:rsidTr="00287144">
        <w:tc>
          <w:tcPr>
            <w:tcW w:w="2952" w:type="dxa"/>
            <w:hideMark/>
          </w:tcPr>
          <w:p w:rsidR="008F12EE" w:rsidRPr="000546C1" w:rsidRDefault="008F12EE" w:rsidP="00BD471F">
            <w:pPr>
              <w:pStyle w:val="ARtabletextbold"/>
            </w:pPr>
            <w:r w:rsidRPr="000546C1">
              <w:t>Other reserves</w:t>
            </w:r>
          </w:p>
        </w:tc>
        <w:tc>
          <w:tcPr>
            <w:tcW w:w="1338" w:type="dxa"/>
            <w:hideMark/>
          </w:tcPr>
          <w:p w:rsidR="008F12EE" w:rsidRPr="000546C1" w:rsidRDefault="008F12EE" w:rsidP="00BD471F">
            <w:pPr>
              <w:pStyle w:val="ARtabletextright"/>
              <w:rPr>
                <w:b/>
                <w:bCs/>
              </w:rPr>
            </w:pPr>
            <w:r w:rsidRPr="000546C1">
              <w:rPr>
                <w:b/>
                <w:bCs/>
              </w:rPr>
              <w:t>607</w:t>
            </w:r>
          </w:p>
        </w:tc>
        <w:tc>
          <w:tcPr>
            <w:tcW w:w="1337" w:type="dxa"/>
            <w:hideMark/>
          </w:tcPr>
          <w:p w:rsidR="008F12EE" w:rsidRPr="000546C1" w:rsidRDefault="008F12EE" w:rsidP="00BD471F">
            <w:pPr>
              <w:pStyle w:val="ARtabletextright"/>
              <w:rPr>
                <w:b/>
                <w:bCs/>
              </w:rPr>
            </w:pPr>
            <w:r w:rsidRPr="000546C1">
              <w:rPr>
                <w:b/>
                <w:bCs/>
              </w:rPr>
              <w:t>471</w:t>
            </w:r>
          </w:p>
        </w:tc>
        <w:tc>
          <w:tcPr>
            <w:tcW w:w="1337" w:type="dxa"/>
            <w:hideMark/>
          </w:tcPr>
          <w:p w:rsidR="008F12EE" w:rsidRPr="000546C1" w:rsidRDefault="008F12EE" w:rsidP="00BD471F">
            <w:pPr>
              <w:pStyle w:val="ARtabletextright"/>
              <w:rPr>
                <w:b/>
                <w:bCs/>
              </w:rPr>
            </w:pPr>
            <w:r w:rsidRPr="000546C1">
              <w:rPr>
                <w:b/>
                <w:bCs/>
              </w:rPr>
              <w:t>28.9</w:t>
            </w:r>
          </w:p>
        </w:tc>
        <w:tc>
          <w:tcPr>
            <w:tcW w:w="1337" w:type="dxa"/>
            <w:hideMark/>
          </w:tcPr>
          <w:p w:rsidR="008F12EE" w:rsidRPr="000546C1" w:rsidRDefault="008F12EE" w:rsidP="00BD471F">
            <w:pPr>
              <w:pStyle w:val="ARtabletextright"/>
              <w:rPr>
                <w:b/>
                <w:bCs/>
              </w:rPr>
            </w:pPr>
            <w:r w:rsidRPr="000546C1">
              <w:rPr>
                <w:b/>
                <w:bCs/>
              </w:rPr>
              <w:t>627</w:t>
            </w:r>
          </w:p>
        </w:tc>
        <w:tc>
          <w:tcPr>
            <w:tcW w:w="1338" w:type="dxa"/>
            <w:hideMark/>
          </w:tcPr>
          <w:p w:rsidR="008F12EE" w:rsidRPr="000546C1" w:rsidRDefault="008F12EE" w:rsidP="00BD471F">
            <w:pPr>
              <w:pStyle w:val="ARtabletextright"/>
              <w:rPr>
                <w:b/>
                <w:bCs/>
              </w:rPr>
            </w:pPr>
            <w:r w:rsidRPr="000546C1">
              <w:rPr>
                <w:b/>
                <w:bCs/>
              </w:rPr>
              <w:t>(3.2)</w:t>
            </w:r>
          </w:p>
        </w:tc>
      </w:tr>
      <w:tr w:rsidR="008F12EE" w:rsidRPr="000546C1" w:rsidTr="00287144">
        <w:tc>
          <w:tcPr>
            <w:tcW w:w="2952" w:type="dxa"/>
            <w:hideMark/>
          </w:tcPr>
          <w:p w:rsidR="008F12EE" w:rsidRPr="000546C1" w:rsidRDefault="008F12EE" w:rsidP="00BD471F">
            <w:pPr>
              <w:pStyle w:val="ARtabletextbold"/>
            </w:pPr>
            <w:r w:rsidRPr="000546C1">
              <w:t>Changes in equity</w:t>
            </w:r>
          </w:p>
        </w:tc>
        <w:tc>
          <w:tcPr>
            <w:tcW w:w="1338" w:type="dxa"/>
            <w:hideMark/>
          </w:tcPr>
          <w:p w:rsidR="008F12EE" w:rsidRPr="000546C1" w:rsidRDefault="008F12EE" w:rsidP="00BD471F">
            <w:pPr>
              <w:pStyle w:val="ARtabletextright"/>
              <w:rPr>
                <w:b/>
                <w:bCs/>
              </w:rPr>
            </w:pPr>
            <w:r w:rsidRPr="000546C1">
              <w:rPr>
                <w:b/>
                <w:bCs/>
              </w:rPr>
              <w:t>14,516</w:t>
            </w:r>
          </w:p>
        </w:tc>
        <w:tc>
          <w:tcPr>
            <w:tcW w:w="1337" w:type="dxa"/>
            <w:hideMark/>
          </w:tcPr>
          <w:p w:rsidR="008F12EE" w:rsidRPr="000546C1" w:rsidRDefault="008F12EE" w:rsidP="00BD471F">
            <w:pPr>
              <w:pStyle w:val="ARtabletextright"/>
              <w:rPr>
                <w:b/>
                <w:bCs/>
              </w:rPr>
            </w:pPr>
            <w:r w:rsidRPr="000546C1">
              <w:rPr>
                <w:b/>
                <w:bCs/>
              </w:rPr>
              <w:t>13,923</w:t>
            </w:r>
          </w:p>
        </w:tc>
        <w:tc>
          <w:tcPr>
            <w:tcW w:w="1337" w:type="dxa"/>
            <w:hideMark/>
          </w:tcPr>
          <w:p w:rsidR="008F12EE" w:rsidRPr="000546C1" w:rsidRDefault="008F12EE" w:rsidP="00BD471F">
            <w:pPr>
              <w:pStyle w:val="ARtabletextright"/>
              <w:rPr>
                <w:b/>
                <w:bCs/>
              </w:rPr>
            </w:pPr>
            <w:r w:rsidRPr="000546C1">
              <w:rPr>
                <w:b/>
                <w:bCs/>
              </w:rPr>
              <w:t>4.3</w:t>
            </w:r>
          </w:p>
        </w:tc>
        <w:tc>
          <w:tcPr>
            <w:tcW w:w="1337" w:type="dxa"/>
            <w:hideMark/>
          </w:tcPr>
          <w:p w:rsidR="008F12EE" w:rsidRPr="000546C1" w:rsidRDefault="008F12EE" w:rsidP="00BD471F">
            <w:pPr>
              <w:pStyle w:val="ARtabletextright"/>
              <w:rPr>
                <w:b/>
                <w:bCs/>
              </w:rPr>
            </w:pPr>
            <w:r w:rsidRPr="000546C1">
              <w:rPr>
                <w:b/>
                <w:bCs/>
              </w:rPr>
              <w:t>13,502</w:t>
            </w:r>
          </w:p>
        </w:tc>
        <w:tc>
          <w:tcPr>
            <w:tcW w:w="1338" w:type="dxa"/>
            <w:hideMark/>
          </w:tcPr>
          <w:p w:rsidR="008F12EE" w:rsidRPr="000546C1" w:rsidRDefault="008F12EE" w:rsidP="00BD471F">
            <w:pPr>
              <w:pStyle w:val="ARtabletextright"/>
              <w:rPr>
                <w:b/>
                <w:bCs/>
              </w:rPr>
            </w:pPr>
            <w:r w:rsidRPr="000546C1">
              <w:rPr>
                <w:b/>
                <w:bCs/>
              </w:rPr>
              <w:t>7.5</w:t>
            </w:r>
          </w:p>
        </w:tc>
      </w:tr>
    </w:tbl>
    <w:p w:rsidR="008F12EE" w:rsidRPr="001E35D0" w:rsidRDefault="008F12EE" w:rsidP="008F12EE">
      <w:pPr>
        <w:pStyle w:val="Heading3"/>
      </w:pPr>
      <w:r>
        <w:br w:type="page"/>
      </w:r>
      <w:bookmarkStart w:id="123" w:name="_Toc462577203"/>
      <w:r w:rsidRPr="001E35D0">
        <w:lastRenderedPageBreak/>
        <w:t>Administered items statement for the f</w:t>
      </w:r>
      <w:r>
        <w:t>inancial year ended 30 June 201</w:t>
      </w:r>
      <w:bookmarkEnd w:id="123"/>
      <w:r>
        <w:t>7</w:t>
      </w:r>
    </w:p>
    <w:tbl>
      <w:tblPr>
        <w:tblStyle w:val="TableGrid"/>
        <w:tblW w:w="9639" w:type="dxa"/>
        <w:tblLook w:val="06A0" w:firstRow="1" w:lastRow="0" w:firstColumn="1" w:lastColumn="0" w:noHBand="1" w:noVBand="1"/>
      </w:tblPr>
      <w:tblGrid>
        <w:gridCol w:w="2583"/>
        <w:gridCol w:w="1289"/>
        <w:gridCol w:w="1289"/>
        <w:gridCol w:w="1290"/>
        <w:gridCol w:w="1289"/>
        <w:gridCol w:w="1290"/>
        <w:gridCol w:w="609"/>
      </w:tblGrid>
      <w:tr w:rsidR="00287144" w:rsidRPr="00B8215B" w:rsidTr="00BD471F">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rsidR="00287144" w:rsidRPr="00B8215B" w:rsidRDefault="00287144" w:rsidP="00E924ED">
            <w:pPr>
              <w:rPr>
                <w:rFonts w:cs="Arial"/>
                <w:b/>
                <w:bCs/>
                <w:color w:val="000000"/>
                <w:sz w:val="18"/>
                <w:szCs w:val="18"/>
                <w:lang w:eastAsia="en-AU"/>
              </w:rPr>
            </w:pPr>
          </w:p>
        </w:tc>
        <w:tc>
          <w:tcPr>
            <w:tcW w:w="1289" w:type="dxa"/>
            <w:tcBorders>
              <w:bottom w:val="single" w:sz="4" w:space="0" w:color="auto"/>
            </w:tcBorders>
            <w:hideMark/>
          </w:tcPr>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2016</w:t>
            </w:r>
            <w:r>
              <w:rPr>
                <w:lang w:eastAsia="en-AU"/>
              </w:rPr>
              <w:t>–</w:t>
            </w:r>
            <w:r w:rsidRPr="00B8215B">
              <w:rPr>
                <w:lang w:eastAsia="en-AU"/>
              </w:rPr>
              <w:t xml:space="preserve">17 </w:t>
            </w:r>
            <w:r>
              <w:rPr>
                <w:lang w:eastAsia="en-AU"/>
              </w:rPr>
              <w:t>a</w:t>
            </w:r>
            <w:r w:rsidRPr="00B8215B">
              <w:rPr>
                <w:lang w:eastAsia="en-AU"/>
              </w:rPr>
              <w:t>ctual</w:t>
            </w:r>
          </w:p>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$M</w:t>
            </w:r>
          </w:p>
        </w:tc>
        <w:tc>
          <w:tcPr>
            <w:tcW w:w="1289" w:type="dxa"/>
            <w:tcBorders>
              <w:bottom w:val="single" w:sz="4" w:space="0" w:color="auto"/>
            </w:tcBorders>
            <w:hideMark/>
          </w:tcPr>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2016</w:t>
            </w:r>
            <w:r>
              <w:rPr>
                <w:lang w:eastAsia="en-AU"/>
              </w:rPr>
              <w:t>–</w:t>
            </w:r>
            <w:r w:rsidRPr="00B8215B">
              <w:rPr>
                <w:lang w:eastAsia="en-AU"/>
              </w:rPr>
              <w:t xml:space="preserve">17 </w:t>
            </w:r>
            <w:r>
              <w:rPr>
                <w:lang w:eastAsia="en-AU"/>
              </w:rPr>
              <w:t>r</w:t>
            </w:r>
            <w:r w:rsidRPr="00B8215B">
              <w:rPr>
                <w:lang w:eastAsia="en-AU"/>
              </w:rPr>
              <w:t xml:space="preserve">evised </w:t>
            </w:r>
            <w:r>
              <w:rPr>
                <w:lang w:eastAsia="en-AU"/>
              </w:rPr>
              <w:t>b</w:t>
            </w:r>
            <w:r w:rsidRPr="00B8215B">
              <w:rPr>
                <w:lang w:eastAsia="en-AU"/>
              </w:rPr>
              <w:t>udget</w:t>
            </w:r>
          </w:p>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$M</w:t>
            </w:r>
          </w:p>
        </w:tc>
        <w:tc>
          <w:tcPr>
            <w:tcW w:w="1290" w:type="dxa"/>
            <w:tcBorders>
              <w:bottom w:val="single" w:sz="4" w:space="0" w:color="auto"/>
            </w:tcBorders>
            <w:hideMark/>
          </w:tcPr>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 xml:space="preserve">Variation to </w:t>
            </w:r>
            <w:r>
              <w:rPr>
                <w:lang w:eastAsia="en-AU"/>
              </w:rPr>
              <w:t>r</w:t>
            </w:r>
            <w:r w:rsidRPr="00B8215B">
              <w:rPr>
                <w:lang w:eastAsia="en-AU"/>
              </w:rPr>
              <w:t xml:space="preserve">evised </w:t>
            </w:r>
            <w:r>
              <w:rPr>
                <w:lang w:eastAsia="en-AU"/>
              </w:rPr>
              <w:t>b</w:t>
            </w:r>
            <w:r w:rsidRPr="00B8215B">
              <w:rPr>
                <w:lang w:eastAsia="en-AU"/>
              </w:rPr>
              <w:t>udget</w:t>
            </w:r>
          </w:p>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w:t>
            </w:r>
          </w:p>
        </w:tc>
        <w:tc>
          <w:tcPr>
            <w:tcW w:w="1289" w:type="dxa"/>
            <w:tcBorders>
              <w:bottom w:val="single" w:sz="4" w:space="0" w:color="auto"/>
            </w:tcBorders>
            <w:hideMark/>
          </w:tcPr>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2016</w:t>
            </w:r>
            <w:r>
              <w:rPr>
                <w:lang w:eastAsia="en-AU"/>
              </w:rPr>
              <w:t>–</w:t>
            </w:r>
            <w:r w:rsidRPr="00B8215B">
              <w:rPr>
                <w:lang w:eastAsia="en-AU"/>
              </w:rPr>
              <w:t xml:space="preserve">17 </w:t>
            </w:r>
            <w:r>
              <w:rPr>
                <w:lang w:eastAsia="en-AU"/>
              </w:rPr>
              <w:t>p</w:t>
            </w:r>
            <w:r w:rsidRPr="00B8215B">
              <w:rPr>
                <w:lang w:eastAsia="en-AU"/>
              </w:rPr>
              <w:t xml:space="preserve">ublished </w:t>
            </w:r>
            <w:r>
              <w:rPr>
                <w:lang w:eastAsia="en-AU"/>
              </w:rPr>
              <w:t>b</w:t>
            </w:r>
            <w:r w:rsidRPr="00B8215B">
              <w:rPr>
                <w:lang w:eastAsia="en-AU"/>
              </w:rPr>
              <w:t>udget</w:t>
            </w:r>
          </w:p>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$M</w:t>
            </w:r>
          </w:p>
        </w:tc>
        <w:tc>
          <w:tcPr>
            <w:tcW w:w="1290" w:type="dxa"/>
            <w:tcBorders>
              <w:bottom w:val="single" w:sz="4" w:space="0" w:color="auto"/>
            </w:tcBorders>
            <w:hideMark/>
          </w:tcPr>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 xml:space="preserve">Variation to </w:t>
            </w:r>
            <w:r>
              <w:rPr>
                <w:lang w:eastAsia="en-AU"/>
              </w:rPr>
              <w:t>p</w:t>
            </w:r>
            <w:r w:rsidRPr="00B8215B">
              <w:rPr>
                <w:lang w:eastAsia="en-AU"/>
              </w:rPr>
              <w:t xml:space="preserve">ublished </w:t>
            </w:r>
            <w:r>
              <w:rPr>
                <w:lang w:eastAsia="en-AU"/>
              </w:rPr>
              <w:t>b</w:t>
            </w:r>
            <w:r w:rsidRPr="00B8215B">
              <w:rPr>
                <w:lang w:eastAsia="en-AU"/>
              </w:rPr>
              <w:t>udget</w:t>
            </w:r>
          </w:p>
          <w:p w:rsidR="00287144" w:rsidRPr="00B8215B" w:rsidRDefault="00287144" w:rsidP="000B0531">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w:t>
            </w:r>
          </w:p>
        </w:tc>
        <w:tc>
          <w:tcPr>
            <w:tcW w:w="0" w:type="auto"/>
            <w:tcBorders>
              <w:bottom w:val="single" w:sz="4" w:space="0" w:color="auto"/>
            </w:tcBorders>
            <w:hideMark/>
          </w:tcPr>
          <w:p w:rsidR="00287144" w:rsidRPr="00B8215B" w:rsidRDefault="00287144" w:rsidP="00287144">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B8215B">
              <w:rPr>
                <w:lang w:eastAsia="en-AU"/>
              </w:rPr>
              <w:t>Notes</w:t>
            </w:r>
          </w:p>
        </w:tc>
      </w:tr>
      <w:tr w:rsidR="008F12EE" w:rsidRPr="00B8215B" w:rsidTr="00BD471F">
        <w:tc>
          <w:tcPr>
            <w:tcW w:w="0" w:type="auto"/>
            <w:tcBorders>
              <w:top w:val="single" w:sz="4" w:space="0" w:color="auto"/>
              <w:bottom w:val="single" w:sz="4" w:space="0" w:color="A6A6A6" w:themeColor="background1" w:themeShade="A6"/>
            </w:tcBorders>
            <w:hideMark/>
          </w:tcPr>
          <w:p w:rsidR="008F12EE" w:rsidRPr="00B8215B" w:rsidRDefault="008F12EE" w:rsidP="00BD471F">
            <w:pPr>
              <w:pStyle w:val="ARtabletextbold"/>
            </w:pPr>
            <w:r w:rsidRPr="00B8215B">
              <w:t>Administered income</w:t>
            </w: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noWrap/>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noWrap/>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noWrap/>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noWrap/>
            <w:hideMark/>
          </w:tcPr>
          <w:p w:rsidR="008F12EE" w:rsidRPr="00B8215B" w:rsidRDefault="008F12EE" w:rsidP="00BD471F">
            <w:pPr>
              <w:pStyle w:val="ARtabletextright"/>
            </w:pPr>
          </w:p>
        </w:tc>
        <w:tc>
          <w:tcPr>
            <w:tcW w:w="0" w:type="auto"/>
            <w:tcBorders>
              <w:top w:val="single" w:sz="4" w:space="0" w:color="auto"/>
              <w:bottom w:val="single" w:sz="4" w:space="0" w:color="A6A6A6" w:themeColor="background1" w:themeShade="A6"/>
            </w:tcBorders>
            <w:noWrap/>
            <w:hideMark/>
          </w:tcPr>
          <w:p w:rsidR="008F12EE" w:rsidRPr="00B8215B" w:rsidRDefault="008F12EE" w:rsidP="00BD471F">
            <w:pPr>
              <w:spacing w:before="80" w:after="60"/>
              <w:jc w:val="center"/>
              <w:rPr>
                <w:rFonts w:cs="Arial"/>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 xml:space="preserve">Appropriations </w:t>
            </w:r>
            <w:r>
              <w:t>–</w:t>
            </w:r>
            <w:r w:rsidRPr="00B8215B">
              <w:t xml:space="preserve"> </w:t>
            </w:r>
            <w:r>
              <w:t>p</w:t>
            </w:r>
            <w:r w:rsidRPr="00B8215B">
              <w:t xml:space="preserve">ayments made on behalf of the </w:t>
            </w:r>
            <w:r>
              <w:t>s</w:t>
            </w:r>
            <w:r w:rsidRPr="00B8215B">
              <w:t>tate</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(100.0)</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center"/>
              <w:rPr>
                <w:rFonts w:cs="Arial"/>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Sales of goods and services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349</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343</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1.7</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335</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4.2</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center"/>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Grants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9,265</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9,385</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(1.3)</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8,506</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8.9</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center"/>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Interest</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(66.7)</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(66.7)</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center"/>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tcBorders>
            <w:hideMark/>
          </w:tcPr>
          <w:p w:rsidR="008F12EE" w:rsidRPr="00B8215B" w:rsidRDefault="008F12EE" w:rsidP="00BD471F">
            <w:pPr>
              <w:pStyle w:val="ARtabletext"/>
            </w:pPr>
            <w:r w:rsidRPr="00B8215B">
              <w:t>Other income</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27</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55</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(50.9)</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55</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(50.9)</w:t>
            </w:r>
          </w:p>
        </w:tc>
        <w:tc>
          <w:tcPr>
            <w:tcW w:w="0" w:type="auto"/>
            <w:tcBorders>
              <w:top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r w:rsidRPr="00B8215B">
              <w:rPr>
                <w:rFonts w:cs="Arial"/>
                <w:b/>
                <w:bCs/>
                <w:color w:val="000000"/>
                <w:sz w:val="18"/>
                <w:szCs w:val="18"/>
                <w:lang w:eastAsia="en-AU"/>
              </w:rPr>
              <w:t>1</w:t>
            </w:r>
          </w:p>
        </w:tc>
      </w:tr>
      <w:tr w:rsidR="008F12EE" w:rsidRPr="00B8215B" w:rsidTr="00BD471F">
        <w:tc>
          <w:tcPr>
            <w:tcW w:w="0" w:type="auto"/>
            <w:tcBorders>
              <w:bottom w:val="single" w:sz="4" w:space="0" w:color="auto"/>
            </w:tcBorders>
            <w:hideMark/>
          </w:tcPr>
          <w:p w:rsidR="008F12EE" w:rsidRPr="00B8215B" w:rsidRDefault="008F12EE" w:rsidP="00BD471F">
            <w:pPr>
              <w:pStyle w:val="ARtabletextbold"/>
            </w:pPr>
            <w:r w:rsidRPr="00B8215B">
              <w:t>Total administered income</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9,642</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9,788</w:t>
            </w:r>
          </w:p>
        </w:tc>
        <w:tc>
          <w:tcPr>
            <w:tcW w:w="1290"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(1.5)</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8,898</w:t>
            </w:r>
          </w:p>
        </w:tc>
        <w:tc>
          <w:tcPr>
            <w:tcW w:w="1290"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8.4</w:t>
            </w:r>
          </w:p>
        </w:tc>
        <w:tc>
          <w:tcPr>
            <w:tcW w:w="0" w:type="auto"/>
            <w:tcBorders>
              <w:bottom w:val="single" w:sz="4" w:space="0" w:color="auto"/>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uto"/>
              <w:bottom w:val="single" w:sz="4" w:space="0" w:color="A6A6A6" w:themeColor="background1" w:themeShade="A6"/>
            </w:tcBorders>
            <w:hideMark/>
          </w:tcPr>
          <w:p w:rsidR="008F12EE" w:rsidRPr="00B8215B" w:rsidRDefault="008F12EE" w:rsidP="00BD471F">
            <w:pPr>
              <w:pStyle w:val="ARtabletextbold"/>
            </w:pPr>
            <w:r w:rsidRPr="00B8215B">
              <w:t>Administered expenses</w:t>
            </w: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0" w:type="auto"/>
            <w:tcBorders>
              <w:top w:val="single" w:sz="4" w:space="0" w:color="auto"/>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Expenses on behalf of the state</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744</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735</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1.2</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722</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3.0</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Grants and other transfers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8,442</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8,609</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(1.9)</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7,757</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8.8</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tcBorders>
            <w:hideMark/>
          </w:tcPr>
          <w:p w:rsidR="008F12EE" w:rsidRPr="00B8215B" w:rsidRDefault="008F12EE" w:rsidP="00BD471F">
            <w:pPr>
              <w:pStyle w:val="ARtabletext"/>
            </w:pPr>
            <w:r w:rsidRPr="00B8215B">
              <w:t>Payments into the consolidated fund</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456</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453</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0.7</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429</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6.3</w:t>
            </w:r>
          </w:p>
        </w:tc>
        <w:tc>
          <w:tcPr>
            <w:tcW w:w="0" w:type="auto"/>
            <w:tcBorders>
              <w:top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287144">
        <w:tc>
          <w:tcPr>
            <w:tcW w:w="0" w:type="auto"/>
            <w:hideMark/>
          </w:tcPr>
          <w:p w:rsidR="008F12EE" w:rsidRPr="00B8215B" w:rsidRDefault="008F12EE" w:rsidP="00BD471F">
            <w:pPr>
              <w:pStyle w:val="ARtabletextbold"/>
            </w:pPr>
            <w:r w:rsidRPr="00B8215B">
              <w:t>Total administered expenses</w:t>
            </w:r>
          </w:p>
        </w:tc>
        <w:tc>
          <w:tcPr>
            <w:tcW w:w="1289" w:type="dxa"/>
            <w:hideMark/>
          </w:tcPr>
          <w:p w:rsidR="008F12EE" w:rsidRPr="000B0531" w:rsidRDefault="008F12EE" w:rsidP="00BD471F">
            <w:pPr>
              <w:pStyle w:val="ARtabletextright"/>
              <w:rPr>
                <w:rStyle w:val="Strong"/>
              </w:rPr>
            </w:pPr>
            <w:r w:rsidRPr="000B0531">
              <w:rPr>
                <w:rStyle w:val="Strong"/>
              </w:rPr>
              <w:t>9,642</w:t>
            </w:r>
          </w:p>
        </w:tc>
        <w:tc>
          <w:tcPr>
            <w:tcW w:w="1289" w:type="dxa"/>
            <w:hideMark/>
          </w:tcPr>
          <w:p w:rsidR="008F12EE" w:rsidRPr="000B0531" w:rsidRDefault="008F12EE" w:rsidP="00BD471F">
            <w:pPr>
              <w:pStyle w:val="ARtabletextright"/>
              <w:rPr>
                <w:rStyle w:val="Strong"/>
              </w:rPr>
            </w:pPr>
            <w:r w:rsidRPr="000B0531">
              <w:rPr>
                <w:rStyle w:val="Strong"/>
              </w:rPr>
              <w:t>9,797</w:t>
            </w:r>
          </w:p>
        </w:tc>
        <w:tc>
          <w:tcPr>
            <w:tcW w:w="1290" w:type="dxa"/>
            <w:hideMark/>
          </w:tcPr>
          <w:p w:rsidR="008F12EE" w:rsidRPr="000B0531" w:rsidRDefault="008F12EE" w:rsidP="00BD471F">
            <w:pPr>
              <w:pStyle w:val="ARtabletextright"/>
              <w:rPr>
                <w:rStyle w:val="Strong"/>
              </w:rPr>
            </w:pPr>
            <w:r w:rsidRPr="000B0531">
              <w:rPr>
                <w:rStyle w:val="Strong"/>
              </w:rPr>
              <w:t>(1.6)</w:t>
            </w:r>
          </w:p>
        </w:tc>
        <w:tc>
          <w:tcPr>
            <w:tcW w:w="1289" w:type="dxa"/>
            <w:hideMark/>
          </w:tcPr>
          <w:p w:rsidR="008F12EE" w:rsidRPr="000B0531" w:rsidRDefault="008F12EE" w:rsidP="00BD471F">
            <w:pPr>
              <w:pStyle w:val="ARtabletextright"/>
              <w:rPr>
                <w:rStyle w:val="Strong"/>
              </w:rPr>
            </w:pPr>
            <w:r w:rsidRPr="000B0531">
              <w:rPr>
                <w:rStyle w:val="Strong"/>
              </w:rPr>
              <w:t>8,907</w:t>
            </w:r>
          </w:p>
        </w:tc>
        <w:tc>
          <w:tcPr>
            <w:tcW w:w="1290" w:type="dxa"/>
            <w:hideMark/>
          </w:tcPr>
          <w:p w:rsidR="008F12EE" w:rsidRPr="000B0531" w:rsidRDefault="008F12EE" w:rsidP="00BD471F">
            <w:pPr>
              <w:pStyle w:val="ARtabletextright"/>
              <w:rPr>
                <w:rStyle w:val="Strong"/>
              </w:rPr>
            </w:pPr>
            <w:r w:rsidRPr="000B0531">
              <w:rPr>
                <w:rStyle w:val="Strong"/>
              </w:rPr>
              <w:t>8.3</w:t>
            </w:r>
          </w:p>
        </w:tc>
        <w:tc>
          <w:tcPr>
            <w:tcW w:w="0" w:type="auto"/>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bottom w:val="single" w:sz="4" w:space="0" w:color="auto"/>
            </w:tcBorders>
            <w:hideMark/>
          </w:tcPr>
          <w:p w:rsidR="008F12EE" w:rsidRPr="00B8215B" w:rsidRDefault="008F12EE" w:rsidP="00BD471F">
            <w:pPr>
              <w:pStyle w:val="ARtabletextbold"/>
            </w:pPr>
            <w:r w:rsidRPr="00B8215B">
              <w:t>Income less expenses</w:t>
            </w:r>
          </w:p>
        </w:tc>
        <w:tc>
          <w:tcPr>
            <w:tcW w:w="1289" w:type="dxa"/>
            <w:tcBorders>
              <w:bottom w:val="single" w:sz="4" w:space="0" w:color="auto"/>
            </w:tcBorders>
            <w:hideMark/>
          </w:tcPr>
          <w:p w:rsidR="008F12EE" w:rsidRPr="00B8215B" w:rsidRDefault="008A73F2" w:rsidP="00BD471F">
            <w:pPr>
              <w:pStyle w:val="ARtabletextright"/>
            </w:pPr>
            <w:r>
              <w:t>–</w:t>
            </w:r>
          </w:p>
        </w:tc>
        <w:tc>
          <w:tcPr>
            <w:tcW w:w="1289" w:type="dxa"/>
            <w:tcBorders>
              <w:bottom w:val="single" w:sz="4" w:space="0" w:color="auto"/>
            </w:tcBorders>
            <w:hideMark/>
          </w:tcPr>
          <w:p w:rsidR="008F12EE" w:rsidRPr="00B8215B" w:rsidRDefault="008F12EE" w:rsidP="00BD471F">
            <w:pPr>
              <w:pStyle w:val="ARtabletextright"/>
            </w:pPr>
            <w:r w:rsidRPr="00B8215B">
              <w:t>(9)</w:t>
            </w:r>
          </w:p>
        </w:tc>
        <w:tc>
          <w:tcPr>
            <w:tcW w:w="1290" w:type="dxa"/>
            <w:tcBorders>
              <w:bottom w:val="single" w:sz="4" w:space="0" w:color="auto"/>
            </w:tcBorders>
            <w:hideMark/>
          </w:tcPr>
          <w:p w:rsidR="008F12EE" w:rsidRPr="00B8215B" w:rsidRDefault="008F12EE" w:rsidP="00BD471F">
            <w:pPr>
              <w:pStyle w:val="ARtabletextright"/>
            </w:pPr>
            <w:r w:rsidRPr="00B8215B">
              <w:t>(100.0)</w:t>
            </w:r>
          </w:p>
        </w:tc>
        <w:tc>
          <w:tcPr>
            <w:tcW w:w="1289" w:type="dxa"/>
            <w:tcBorders>
              <w:bottom w:val="single" w:sz="4" w:space="0" w:color="auto"/>
            </w:tcBorders>
            <w:hideMark/>
          </w:tcPr>
          <w:p w:rsidR="008F12EE" w:rsidRPr="00B8215B" w:rsidRDefault="008F12EE" w:rsidP="00BD471F">
            <w:pPr>
              <w:pStyle w:val="ARtabletextright"/>
            </w:pPr>
            <w:r w:rsidRPr="00B8215B">
              <w:t>(9)</w:t>
            </w:r>
          </w:p>
        </w:tc>
        <w:tc>
          <w:tcPr>
            <w:tcW w:w="1290" w:type="dxa"/>
            <w:tcBorders>
              <w:bottom w:val="single" w:sz="4" w:space="0" w:color="auto"/>
            </w:tcBorders>
            <w:hideMark/>
          </w:tcPr>
          <w:p w:rsidR="008F12EE" w:rsidRPr="00B8215B" w:rsidRDefault="008F12EE" w:rsidP="00BD471F">
            <w:pPr>
              <w:pStyle w:val="ARtabletextright"/>
            </w:pPr>
            <w:r w:rsidRPr="00B8215B">
              <w:t>(100.0)</w:t>
            </w:r>
          </w:p>
        </w:tc>
        <w:tc>
          <w:tcPr>
            <w:tcW w:w="0" w:type="auto"/>
            <w:tcBorders>
              <w:bottom w:val="single" w:sz="4" w:space="0" w:color="auto"/>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uto"/>
              <w:bottom w:val="single" w:sz="4" w:space="0" w:color="A6A6A6" w:themeColor="background1" w:themeShade="A6"/>
            </w:tcBorders>
            <w:hideMark/>
          </w:tcPr>
          <w:p w:rsidR="008F12EE" w:rsidRPr="00B8215B" w:rsidRDefault="008F12EE" w:rsidP="00BD471F">
            <w:pPr>
              <w:pStyle w:val="ARtabletextbold"/>
            </w:pPr>
            <w:r w:rsidRPr="00B8215B">
              <w:t>Other economic flows included in net result</w:t>
            </w: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0" w:type="auto"/>
            <w:tcBorders>
              <w:top w:val="single" w:sz="4" w:space="0" w:color="auto"/>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Net gain/(loss) on non-financial assets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(24)</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9</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(366.7)</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9</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(366.7)</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r w:rsidRPr="00B8215B">
              <w:rPr>
                <w:rFonts w:cs="Arial"/>
                <w:b/>
                <w:bCs/>
                <w:color w:val="000000"/>
                <w:sz w:val="18"/>
                <w:szCs w:val="18"/>
                <w:lang w:eastAsia="en-AU"/>
              </w:rPr>
              <w:t>2</w:t>
            </w:r>
          </w:p>
        </w:tc>
      </w:tr>
      <w:tr w:rsidR="008F12EE" w:rsidRPr="00B8215B" w:rsidTr="00BD471F">
        <w:tc>
          <w:tcPr>
            <w:tcW w:w="0" w:type="auto"/>
            <w:tcBorders>
              <w:top w:val="single" w:sz="4" w:space="0" w:color="A6A6A6" w:themeColor="background1" w:themeShade="A6"/>
            </w:tcBorders>
            <w:hideMark/>
          </w:tcPr>
          <w:p w:rsidR="008F12EE" w:rsidRPr="00B8215B" w:rsidRDefault="008F12EE" w:rsidP="00BD471F">
            <w:pPr>
              <w:pStyle w:val="ARtabletext"/>
            </w:pPr>
            <w:r w:rsidRPr="00B8215B">
              <w:t>Net gain/(loss) on financial instruments and statutory receivables/payables</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(1)</w:t>
            </w:r>
          </w:p>
        </w:tc>
        <w:tc>
          <w:tcPr>
            <w:tcW w:w="1289" w:type="dxa"/>
            <w:tcBorders>
              <w:top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tcBorders>
            <w:hideMark/>
          </w:tcPr>
          <w:p w:rsidR="008F12EE" w:rsidRPr="00B8215B" w:rsidRDefault="008A73F2" w:rsidP="00BD471F">
            <w:pPr>
              <w:pStyle w:val="ARtabletextright"/>
            </w:pPr>
            <w:r>
              <w:t>–</w:t>
            </w:r>
          </w:p>
        </w:tc>
        <w:tc>
          <w:tcPr>
            <w:tcW w:w="1289" w:type="dxa"/>
            <w:tcBorders>
              <w:top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tcBorders>
            <w:hideMark/>
          </w:tcPr>
          <w:p w:rsidR="008F12EE" w:rsidRPr="00B8215B" w:rsidRDefault="008A73F2" w:rsidP="00BD471F">
            <w:pPr>
              <w:pStyle w:val="ARtabletextright"/>
            </w:pPr>
            <w:r>
              <w:t>–</w:t>
            </w:r>
          </w:p>
        </w:tc>
        <w:tc>
          <w:tcPr>
            <w:tcW w:w="0" w:type="auto"/>
            <w:tcBorders>
              <w:top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287144">
        <w:tc>
          <w:tcPr>
            <w:tcW w:w="0" w:type="auto"/>
            <w:hideMark/>
          </w:tcPr>
          <w:p w:rsidR="008F12EE" w:rsidRPr="00B8215B" w:rsidRDefault="008F12EE" w:rsidP="00BD471F">
            <w:pPr>
              <w:pStyle w:val="ARtabletextbold"/>
            </w:pPr>
            <w:r w:rsidRPr="00B8215B">
              <w:t>Total other economic flows included in net result</w:t>
            </w:r>
          </w:p>
        </w:tc>
        <w:tc>
          <w:tcPr>
            <w:tcW w:w="1289" w:type="dxa"/>
            <w:hideMark/>
          </w:tcPr>
          <w:p w:rsidR="008F12EE" w:rsidRPr="000B0531" w:rsidRDefault="008F12EE" w:rsidP="00BD471F">
            <w:pPr>
              <w:pStyle w:val="ARtabletextright"/>
              <w:rPr>
                <w:rStyle w:val="Strong"/>
              </w:rPr>
            </w:pPr>
            <w:r w:rsidRPr="000B0531">
              <w:rPr>
                <w:rStyle w:val="Strong"/>
              </w:rPr>
              <w:t>(25)</w:t>
            </w:r>
          </w:p>
        </w:tc>
        <w:tc>
          <w:tcPr>
            <w:tcW w:w="1289" w:type="dxa"/>
            <w:hideMark/>
          </w:tcPr>
          <w:p w:rsidR="008F12EE" w:rsidRPr="000B0531" w:rsidRDefault="008F12EE" w:rsidP="00BD471F">
            <w:pPr>
              <w:pStyle w:val="ARtabletextright"/>
              <w:rPr>
                <w:rStyle w:val="Strong"/>
              </w:rPr>
            </w:pPr>
            <w:r w:rsidRPr="000B0531">
              <w:rPr>
                <w:rStyle w:val="Strong"/>
              </w:rPr>
              <w:t>9</w:t>
            </w:r>
          </w:p>
        </w:tc>
        <w:tc>
          <w:tcPr>
            <w:tcW w:w="1290" w:type="dxa"/>
            <w:hideMark/>
          </w:tcPr>
          <w:p w:rsidR="008F12EE" w:rsidRPr="000B0531" w:rsidRDefault="008F12EE" w:rsidP="00BD471F">
            <w:pPr>
              <w:pStyle w:val="ARtabletextright"/>
              <w:rPr>
                <w:rStyle w:val="Strong"/>
              </w:rPr>
            </w:pPr>
            <w:r w:rsidRPr="000B0531">
              <w:rPr>
                <w:rStyle w:val="Strong"/>
              </w:rPr>
              <w:t>(377.8)</w:t>
            </w:r>
          </w:p>
        </w:tc>
        <w:tc>
          <w:tcPr>
            <w:tcW w:w="1289" w:type="dxa"/>
            <w:hideMark/>
          </w:tcPr>
          <w:p w:rsidR="008F12EE" w:rsidRPr="000B0531" w:rsidRDefault="008F12EE" w:rsidP="00BD471F">
            <w:pPr>
              <w:pStyle w:val="ARtabletextright"/>
              <w:rPr>
                <w:rStyle w:val="Strong"/>
              </w:rPr>
            </w:pPr>
            <w:r w:rsidRPr="000B0531">
              <w:rPr>
                <w:rStyle w:val="Strong"/>
              </w:rPr>
              <w:t>9</w:t>
            </w:r>
          </w:p>
        </w:tc>
        <w:tc>
          <w:tcPr>
            <w:tcW w:w="1290" w:type="dxa"/>
            <w:hideMark/>
          </w:tcPr>
          <w:p w:rsidR="008F12EE" w:rsidRPr="000B0531" w:rsidRDefault="008F12EE" w:rsidP="00BD471F">
            <w:pPr>
              <w:pStyle w:val="ARtabletextright"/>
              <w:rPr>
                <w:rStyle w:val="Strong"/>
              </w:rPr>
            </w:pPr>
            <w:r w:rsidRPr="000B0531">
              <w:rPr>
                <w:rStyle w:val="Strong"/>
              </w:rPr>
              <w:t>(377.8)</w:t>
            </w:r>
          </w:p>
        </w:tc>
        <w:tc>
          <w:tcPr>
            <w:tcW w:w="0" w:type="auto"/>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bottom w:val="single" w:sz="4" w:space="0" w:color="auto"/>
            </w:tcBorders>
            <w:hideMark/>
          </w:tcPr>
          <w:p w:rsidR="008F12EE" w:rsidRPr="00B8215B" w:rsidRDefault="008F12EE" w:rsidP="00BD471F">
            <w:pPr>
              <w:pStyle w:val="ARtabletextbold"/>
            </w:pPr>
            <w:r w:rsidRPr="00B8215B">
              <w:t>Net result</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(25)</w:t>
            </w:r>
          </w:p>
        </w:tc>
        <w:tc>
          <w:tcPr>
            <w:tcW w:w="1289" w:type="dxa"/>
            <w:tcBorders>
              <w:bottom w:val="single" w:sz="4" w:space="0" w:color="auto"/>
            </w:tcBorders>
            <w:hideMark/>
          </w:tcPr>
          <w:p w:rsidR="008F12EE" w:rsidRPr="00B8215B" w:rsidRDefault="008A73F2" w:rsidP="00BD471F">
            <w:pPr>
              <w:pStyle w:val="ARtabletextright"/>
            </w:pPr>
            <w:r>
              <w:t>–</w:t>
            </w:r>
          </w:p>
        </w:tc>
        <w:tc>
          <w:tcPr>
            <w:tcW w:w="1290" w:type="dxa"/>
            <w:tcBorders>
              <w:bottom w:val="single" w:sz="4" w:space="0" w:color="auto"/>
            </w:tcBorders>
            <w:hideMark/>
          </w:tcPr>
          <w:p w:rsidR="008F12EE" w:rsidRPr="00B8215B" w:rsidRDefault="008A73F2" w:rsidP="00BD471F">
            <w:pPr>
              <w:pStyle w:val="ARtabletextright"/>
            </w:pPr>
            <w:r>
              <w:t>–</w:t>
            </w:r>
          </w:p>
        </w:tc>
        <w:tc>
          <w:tcPr>
            <w:tcW w:w="1289" w:type="dxa"/>
            <w:tcBorders>
              <w:bottom w:val="single" w:sz="4" w:space="0" w:color="auto"/>
            </w:tcBorders>
            <w:hideMark/>
          </w:tcPr>
          <w:p w:rsidR="008F12EE" w:rsidRPr="00B8215B" w:rsidRDefault="008A73F2" w:rsidP="00BD471F">
            <w:pPr>
              <w:pStyle w:val="ARtabletextright"/>
            </w:pPr>
            <w:r>
              <w:t>–</w:t>
            </w:r>
          </w:p>
        </w:tc>
        <w:tc>
          <w:tcPr>
            <w:tcW w:w="1290" w:type="dxa"/>
            <w:tcBorders>
              <w:bottom w:val="single" w:sz="4" w:space="0" w:color="auto"/>
            </w:tcBorders>
            <w:hideMark/>
          </w:tcPr>
          <w:p w:rsidR="008F12EE" w:rsidRPr="00B8215B" w:rsidRDefault="008A73F2" w:rsidP="00BD471F">
            <w:pPr>
              <w:pStyle w:val="ARtabletextright"/>
            </w:pPr>
            <w:r>
              <w:t>–</w:t>
            </w:r>
          </w:p>
        </w:tc>
        <w:tc>
          <w:tcPr>
            <w:tcW w:w="0" w:type="auto"/>
            <w:tcBorders>
              <w:bottom w:val="single" w:sz="4" w:space="0" w:color="auto"/>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uto"/>
              <w:bottom w:val="single" w:sz="4" w:space="0" w:color="A6A6A6" w:themeColor="background1" w:themeShade="A6"/>
            </w:tcBorders>
            <w:hideMark/>
          </w:tcPr>
          <w:p w:rsidR="008F12EE" w:rsidRPr="00B8215B" w:rsidRDefault="008F12EE" w:rsidP="00BD471F">
            <w:pPr>
              <w:pStyle w:val="ARtabletextbold"/>
            </w:pPr>
            <w:r w:rsidRPr="00B8215B">
              <w:t>Other economic flows – other comprehensive income</w:t>
            </w: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0" w:type="auto"/>
            <w:tcBorders>
              <w:top w:val="single" w:sz="4" w:space="0" w:color="auto"/>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tcBorders>
            <w:hideMark/>
          </w:tcPr>
          <w:p w:rsidR="008F12EE" w:rsidRPr="00B8215B" w:rsidRDefault="008F12EE" w:rsidP="00BD471F">
            <w:pPr>
              <w:spacing w:before="80" w:after="60"/>
              <w:rPr>
                <w:rFonts w:cs="Arial"/>
                <w:color w:val="000000"/>
                <w:sz w:val="18"/>
                <w:szCs w:val="18"/>
                <w:lang w:eastAsia="en-AU"/>
              </w:rPr>
            </w:pPr>
            <w:r w:rsidRPr="00B8215B">
              <w:rPr>
                <w:rFonts w:cs="Arial"/>
                <w:color w:val="000000"/>
                <w:sz w:val="18"/>
                <w:szCs w:val="18"/>
                <w:lang w:eastAsia="en-AU"/>
              </w:rPr>
              <w:t>Other</w:t>
            </w:r>
          </w:p>
        </w:tc>
        <w:tc>
          <w:tcPr>
            <w:tcW w:w="1289" w:type="dxa"/>
            <w:tcBorders>
              <w:top w:val="single" w:sz="4" w:space="0" w:color="A6A6A6" w:themeColor="background1" w:themeShade="A6"/>
            </w:tcBorders>
            <w:hideMark/>
          </w:tcPr>
          <w:p w:rsidR="008F12EE" w:rsidRPr="00B8215B" w:rsidRDefault="008A73F2" w:rsidP="00BD471F">
            <w:pPr>
              <w:pStyle w:val="ARtabletextright"/>
            </w:pPr>
            <w:r>
              <w:t>–</w:t>
            </w:r>
          </w:p>
        </w:tc>
        <w:tc>
          <w:tcPr>
            <w:tcW w:w="1289" w:type="dxa"/>
            <w:tcBorders>
              <w:top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tcBorders>
            <w:hideMark/>
          </w:tcPr>
          <w:p w:rsidR="008F12EE" w:rsidRPr="00B8215B" w:rsidRDefault="008A73F2" w:rsidP="00BD471F">
            <w:pPr>
              <w:pStyle w:val="ARtabletextright"/>
            </w:pPr>
            <w:r>
              <w:t>–</w:t>
            </w:r>
          </w:p>
        </w:tc>
        <w:tc>
          <w:tcPr>
            <w:tcW w:w="1289" w:type="dxa"/>
            <w:tcBorders>
              <w:top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tcBorders>
            <w:hideMark/>
          </w:tcPr>
          <w:p w:rsidR="008F12EE" w:rsidRPr="00B8215B" w:rsidRDefault="008A73F2" w:rsidP="00BD471F">
            <w:pPr>
              <w:pStyle w:val="ARtabletextright"/>
            </w:pPr>
            <w:r>
              <w:t>–</w:t>
            </w:r>
          </w:p>
        </w:tc>
        <w:tc>
          <w:tcPr>
            <w:tcW w:w="0" w:type="auto"/>
            <w:tcBorders>
              <w:top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287144">
        <w:tc>
          <w:tcPr>
            <w:tcW w:w="0" w:type="auto"/>
            <w:hideMark/>
          </w:tcPr>
          <w:p w:rsidR="008F12EE" w:rsidRPr="00B8215B" w:rsidRDefault="008F12EE" w:rsidP="00BD471F">
            <w:pPr>
              <w:pStyle w:val="ARtabletextbold"/>
            </w:pPr>
            <w:r w:rsidRPr="00B8215B">
              <w:t>Total other economic flows – other comprehensive income</w:t>
            </w:r>
          </w:p>
        </w:tc>
        <w:tc>
          <w:tcPr>
            <w:tcW w:w="1289" w:type="dxa"/>
            <w:hideMark/>
          </w:tcPr>
          <w:p w:rsidR="008F12EE" w:rsidRPr="00B8215B" w:rsidRDefault="008A73F2" w:rsidP="00BD471F">
            <w:pPr>
              <w:pStyle w:val="ARtabletextright"/>
            </w:pPr>
            <w:r>
              <w:t>–</w:t>
            </w:r>
          </w:p>
        </w:tc>
        <w:tc>
          <w:tcPr>
            <w:tcW w:w="1289" w:type="dxa"/>
            <w:hideMark/>
          </w:tcPr>
          <w:p w:rsidR="008F12EE" w:rsidRPr="00B8215B" w:rsidRDefault="008A73F2" w:rsidP="00BD471F">
            <w:pPr>
              <w:pStyle w:val="ARtabletextright"/>
            </w:pPr>
            <w:r>
              <w:t>–</w:t>
            </w:r>
          </w:p>
        </w:tc>
        <w:tc>
          <w:tcPr>
            <w:tcW w:w="1290" w:type="dxa"/>
            <w:hideMark/>
          </w:tcPr>
          <w:p w:rsidR="008F12EE" w:rsidRPr="00B8215B" w:rsidRDefault="008A73F2" w:rsidP="00BD471F">
            <w:pPr>
              <w:pStyle w:val="ARtabletextright"/>
            </w:pPr>
            <w:r>
              <w:t>–</w:t>
            </w:r>
          </w:p>
        </w:tc>
        <w:tc>
          <w:tcPr>
            <w:tcW w:w="1289" w:type="dxa"/>
            <w:hideMark/>
          </w:tcPr>
          <w:p w:rsidR="008F12EE" w:rsidRPr="00B8215B" w:rsidRDefault="008A73F2" w:rsidP="00BD471F">
            <w:pPr>
              <w:pStyle w:val="ARtabletextright"/>
            </w:pPr>
            <w:r>
              <w:t>–</w:t>
            </w:r>
          </w:p>
        </w:tc>
        <w:tc>
          <w:tcPr>
            <w:tcW w:w="1290" w:type="dxa"/>
            <w:hideMark/>
          </w:tcPr>
          <w:p w:rsidR="008F12EE" w:rsidRPr="00B8215B" w:rsidRDefault="008A73F2" w:rsidP="00BD471F">
            <w:pPr>
              <w:pStyle w:val="ARtabletextright"/>
            </w:pPr>
            <w:r>
              <w:t>–</w:t>
            </w:r>
          </w:p>
        </w:tc>
        <w:tc>
          <w:tcPr>
            <w:tcW w:w="0" w:type="auto"/>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bottom w:val="single" w:sz="4" w:space="0" w:color="auto"/>
            </w:tcBorders>
            <w:hideMark/>
          </w:tcPr>
          <w:p w:rsidR="008F12EE" w:rsidRPr="00B8215B" w:rsidRDefault="008F12EE" w:rsidP="00BD471F">
            <w:pPr>
              <w:pStyle w:val="ARtabletextbold"/>
            </w:pPr>
            <w:r w:rsidRPr="00B8215B">
              <w:t>Comprehensive result</w:t>
            </w:r>
          </w:p>
        </w:tc>
        <w:tc>
          <w:tcPr>
            <w:tcW w:w="1289" w:type="dxa"/>
            <w:tcBorders>
              <w:bottom w:val="single" w:sz="4" w:space="0" w:color="auto"/>
            </w:tcBorders>
            <w:hideMark/>
          </w:tcPr>
          <w:p w:rsidR="008F12EE" w:rsidRPr="00B8215B" w:rsidRDefault="008F12EE" w:rsidP="00BD471F">
            <w:pPr>
              <w:pStyle w:val="ARtabletextright"/>
            </w:pPr>
            <w:r w:rsidRPr="00B8215B">
              <w:t>(</w:t>
            </w:r>
            <w:r w:rsidRPr="000B0531">
              <w:rPr>
                <w:rStyle w:val="Strong"/>
              </w:rPr>
              <w:t>25</w:t>
            </w:r>
            <w:r w:rsidRPr="00B8215B">
              <w:t>)</w:t>
            </w:r>
          </w:p>
        </w:tc>
        <w:tc>
          <w:tcPr>
            <w:tcW w:w="1289" w:type="dxa"/>
            <w:tcBorders>
              <w:bottom w:val="single" w:sz="4" w:space="0" w:color="auto"/>
            </w:tcBorders>
            <w:hideMark/>
          </w:tcPr>
          <w:p w:rsidR="008F12EE" w:rsidRPr="00B8215B" w:rsidRDefault="008A73F2" w:rsidP="00BD471F">
            <w:pPr>
              <w:pStyle w:val="ARtabletextright"/>
            </w:pPr>
            <w:r>
              <w:t>–</w:t>
            </w:r>
          </w:p>
        </w:tc>
        <w:tc>
          <w:tcPr>
            <w:tcW w:w="1290" w:type="dxa"/>
            <w:tcBorders>
              <w:bottom w:val="single" w:sz="4" w:space="0" w:color="auto"/>
            </w:tcBorders>
            <w:hideMark/>
          </w:tcPr>
          <w:p w:rsidR="008F12EE" w:rsidRPr="00B8215B" w:rsidRDefault="008A73F2" w:rsidP="00BD471F">
            <w:pPr>
              <w:pStyle w:val="ARtabletextright"/>
            </w:pPr>
            <w:r>
              <w:t>–</w:t>
            </w:r>
          </w:p>
        </w:tc>
        <w:tc>
          <w:tcPr>
            <w:tcW w:w="1289" w:type="dxa"/>
            <w:tcBorders>
              <w:bottom w:val="single" w:sz="4" w:space="0" w:color="auto"/>
            </w:tcBorders>
            <w:hideMark/>
          </w:tcPr>
          <w:p w:rsidR="008F12EE" w:rsidRPr="00B8215B" w:rsidRDefault="008A73F2" w:rsidP="00BD471F">
            <w:pPr>
              <w:pStyle w:val="ARtabletextright"/>
            </w:pPr>
            <w:r>
              <w:t>–</w:t>
            </w:r>
          </w:p>
        </w:tc>
        <w:tc>
          <w:tcPr>
            <w:tcW w:w="1290" w:type="dxa"/>
            <w:tcBorders>
              <w:bottom w:val="single" w:sz="4" w:space="0" w:color="auto"/>
            </w:tcBorders>
            <w:hideMark/>
          </w:tcPr>
          <w:p w:rsidR="008F12EE" w:rsidRPr="00B8215B" w:rsidRDefault="008A73F2" w:rsidP="00BD471F">
            <w:pPr>
              <w:pStyle w:val="ARtabletextright"/>
            </w:pPr>
            <w:r>
              <w:t>–</w:t>
            </w:r>
          </w:p>
        </w:tc>
        <w:tc>
          <w:tcPr>
            <w:tcW w:w="0" w:type="auto"/>
            <w:tcBorders>
              <w:bottom w:val="single" w:sz="4" w:space="0" w:color="auto"/>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uto"/>
              <w:bottom w:val="single" w:sz="4" w:space="0" w:color="A6A6A6" w:themeColor="background1" w:themeShade="A6"/>
            </w:tcBorders>
            <w:hideMark/>
          </w:tcPr>
          <w:p w:rsidR="008F12EE" w:rsidRPr="00B8215B" w:rsidRDefault="008F12EE" w:rsidP="00BD471F">
            <w:pPr>
              <w:pStyle w:val="ARtabletextbold"/>
            </w:pPr>
            <w:r w:rsidRPr="00B8215B">
              <w:t>Administered assets</w:t>
            </w: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0" w:type="auto"/>
            <w:tcBorders>
              <w:top w:val="single" w:sz="4" w:space="0" w:color="auto"/>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Cash and deposits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2</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2</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Receivables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43</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9</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377.8</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7</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514.3</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r w:rsidRPr="00B8215B">
              <w:rPr>
                <w:rFonts w:cs="Arial"/>
                <w:b/>
                <w:bCs/>
                <w:color w:val="000000"/>
                <w:sz w:val="18"/>
                <w:szCs w:val="18"/>
                <w:lang w:eastAsia="en-AU"/>
              </w:rPr>
              <w:t>3</w:t>
            </w: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Other financial assets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4</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2</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100.0</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300.0</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tcBorders>
            <w:hideMark/>
          </w:tcPr>
          <w:p w:rsidR="008F12EE" w:rsidRPr="00B8215B" w:rsidRDefault="008F12EE" w:rsidP="00BD471F">
            <w:pPr>
              <w:pStyle w:val="ARtabletext"/>
            </w:pPr>
            <w:r w:rsidRPr="00B8215B">
              <w:t>Other</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4</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10</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(60.0)</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54</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(92.6)</w:t>
            </w:r>
          </w:p>
        </w:tc>
        <w:tc>
          <w:tcPr>
            <w:tcW w:w="0" w:type="auto"/>
            <w:tcBorders>
              <w:top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bottom w:val="single" w:sz="4" w:space="0" w:color="auto"/>
            </w:tcBorders>
            <w:hideMark/>
          </w:tcPr>
          <w:p w:rsidR="008F12EE" w:rsidRPr="00B8215B" w:rsidRDefault="008F12EE" w:rsidP="00BD471F">
            <w:pPr>
              <w:pStyle w:val="ARtabletextbold"/>
            </w:pPr>
            <w:r w:rsidRPr="00B8215B">
              <w:t>Total administered assets</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53</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23</w:t>
            </w:r>
          </w:p>
        </w:tc>
        <w:tc>
          <w:tcPr>
            <w:tcW w:w="1290"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130.4</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62</w:t>
            </w:r>
          </w:p>
        </w:tc>
        <w:tc>
          <w:tcPr>
            <w:tcW w:w="1290"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(14.5)</w:t>
            </w:r>
          </w:p>
        </w:tc>
        <w:tc>
          <w:tcPr>
            <w:tcW w:w="0" w:type="auto"/>
            <w:tcBorders>
              <w:bottom w:val="single" w:sz="4" w:space="0" w:color="auto"/>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uto"/>
              <w:bottom w:val="single" w:sz="4" w:space="0" w:color="A6A6A6" w:themeColor="background1" w:themeShade="A6"/>
            </w:tcBorders>
            <w:hideMark/>
          </w:tcPr>
          <w:p w:rsidR="008F12EE" w:rsidRPr="00B8215B" w:rsidRDefault="008F12EE" w:rsidP="007B7C3E">
            <w:pPr>
              <w:pStyle w:val="ARtabletextbold"/>
              <w:pageBreakBefore/>
            </w:pPr>
            <w:r w:rsidRPr="00B8215B">
              <w:lastRenderedPageBreak/>
              <w:t>Administered liabilities</w:t>
            </w: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0" w:type="auto"/>
            <w:tcBorders>
              <w:top w:val="single" w:sz="4" w:space="0" w:color="auto"/>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rPr>
                <w:rFonts w:cs="Arial"/>
                <w:color w:val="000000"/>
                <w:sz w:val="18"/>
                <w:szCs w:val="18"/>
                <w:lang w:eastAsia="en-AU"/>
              </w:rPr>
            </w:pPr>
            <w:r w:rsidRPr="00B8215B">
              <w:rPr>
                <w:rFonts w:cs="Arial"/>
                <w:color w:val="000000"/>
                <w:sz w:val="18"/>
                <w:szCs w:val="18"/>
                <w:lang w:eastAsia="en-AU"/>
              </w:rPr>
              <w:t>Payables</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32</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10</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220.0</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16</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100.0</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r w:rsidRPr="00B8215B">
              <w:rPr>
                <w:rFonts w:cs="Arial"/>
                <w:b/>
                <w:bCs/>
                <w:color w:val="000000"/>
                <w:sz w:val="18"/>
                <w:szCs w:val="18"/>
                <w:lang w:eastAsia="en-AU"/>
              </w:rPr>
              <w:t>4</w:t>
            </w:r>
          </w:p>
        </w:tc>
      </w:tr>
      <w:tr w:rsidR="008F12EE" w:rsidRPr="00B8215B" w:rsidTr="00BD471F">
        <w:tc>
          <w:tcPr>
            <w:tcW w:w="0" w:type="auto"/>
            <w:tcBorders>
              <w:top w:val="single" w:sz="4" w:space="0" w:color="A6A6A6" w:themeColor="background1" w:themeShade="A6"/>
            </w:tcBorders>
            <w:hideMark/>
          </w:tcPr>
          <w:p w:rsidR="008F12EE" w:rsidRPr="00B8215B" w:rsidRDefault="008F12EE" w:rsidP="00BD471F">
            <w:pPr>
              <w:spacing w:before="80" w:after="60"/>
              <w:rPr>
                <w:rFonts w:cs="Arial"/>
                <w:color w:val="000000"/>
                <w:sz w:val="18"/>
                <w:szCs w:val="18"/>
                <w:lang w:eastAsia="en-AU"/>
              </w:rPr>
            </w:pPr>
            <w:r w:rsidRPr="00B8215B">
              <w:rPr>
                <w:rFonts w:cs="Arial"/>
                <w:color w:val="000000"/>
                <w:sz w:val="18"/>
                <w:szCs w:val="18"/>
                <w:lang w:eastAsia="en-AU"/>
              </w:rPr>
              <w:t>Provisions</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8</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5</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60.0</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5</w:t>
            </w:r>
          </w:p>
        </w:tc>
        <w:tc>
          <w:tcPr>
            <w:tcW w:w="1290" w:type="dxa"/>
            <w:tcBorders>
              <w:top w:val="single" w:sz="4" w:space="0" w:color="A6A6A6" w:themeColor="background1" w:themeShade="A6"/>
            </w:tcBorders>
            <w:hideMark/>
          </w:tcPr>
          <w:p w:rsidR="008F12EE" w:rsidRPr="00B8215B" w:rsidRDefault="008F12EE" w:rsidP="00BD471F">
            <w:pPr>
              <w:pStyle w:val="ARtabletextright"/>
            </w:pPr>
            <w:r w:rsidRPr="00B8215B">
              <w:t>60.0</w:t>
            </w:r>
          </w:p>
        </w:tc>
        <w:tc>
          <w:tcPr>
            <w:tcW w:w="0" w:type="auto"/>
            <w:tcBorders>
              <w:top w:val="single" w:sz="4" w:space="0" w:color="A6A6A6" w:themeColor="background1" w:themeShade="A6"/>
            </w:tcBorders>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287144">
        <w:tc>
          <w:tcPr>
            <w:tcW w:w="0" w:type="auto"/>
            <w:hideMark/>
          </w:tcPr>
          <w:p w:rsidR="008F12EE" w:rsidRPr="00B8215B" w:rsidRDefault="008F12EE" w:rsidP="00BD471F">
            <w:pPr>
              <w:pStyle w:val="ARtabletextbold"/>
            </w:pPr>
            <w:r w:rsidRPr="00B8215B">
              <w:t>Total administered liabilities</w:t>
            </w:r>
          </w:p>
        </w:tc>
        <w:tc>
          <w:tcPr>
            <w:tcW w:w="1289" w:type="dxa"/>
            <w:hideMark/>
          </w:tcPr>
          <w:p w:rsidR="008F12EE" w:rsidRPr="000B0531" w:rsidRDefault="008F12EE" w:rsidP="00BD471F">
            <w:pPr>
              <w:pStyle w:val="ARtabletextright"/>
              <w:rPr>
                <w:rStyle w:val="Strong"/>
              </w:rPr>
            </w:pPr>
            <w:r w:rsidRPr="000B0531">
              <w:rPr>
                <w:rStyle w:val="Strong"/>
              </w:rPr>
              <w:t>40</w:t>
            </w:r>
          </w:p>
        </w:tc>
        <w:tc>
          <w:tcPr>
            <w:tcW w:w="1289" w:type="dxa"/>
            <w:hideMark/>
          </w:tcPr>
          <w:p w:rsidR="008F12EE" w:rsidRPr="000B0531" w:rsidRDefault="008F12EE" w:rsidP="00BD471F">
            <w:pPr>
              <w:pStyle w:val="ARtabletextright"/>
              <w:rPr>
                <w:rStyle w:val="Strong"/>
              </w:rPr>
            </w:pPr>
            <w:r w:rsidRPr="000B0531">
              <w:rPr>
                <w:rStyle w:val="Strong"/>
              </w:rPr>
              <w:t>15</w:t>
            </w:r>
          </w:p>
        </w:tc>
        <w:tc>
          <w:tcPr>
            <w:tcW w:w="1290" w:type="dxa"/>
            <w:hideMark/>
          </w:tcPr>
          <w:p w:rsidR="008F12EE" w:rsidRPr="000B0531" w:rsidRDefault="008F12EE" w:rsidP="00BD471F">
            <w:pPr>
              <w:pStyle w:val="ARtabletextright"/>
              <w:rPr>
                <w:rStyle w:val="Strong"/>
              </w:rPr>
            </w:pPr>
            <w:r w:rsidRPr="000B0531">
              <w:rPr>
                <w:rStyle w:val="Strong"/>
              </w:rPr>
              <w:t>166.7</w:t>
            </w:r>
          </w:p>
        </w:tc>
        <w:tc>
          <w:tcPr>
            <w:tcW w:w="1289" w:type="dxa"/>
            <w:hideMark/>
          </w:tcPr>
          <w:p w:rsidR="008F12EE" w:rsidRPr="000B0531" w:rsidRDefault="008F12EE" w:rsidP="00BD471F">
            <w:pPr>
              <w:pStyle w:val="ARtabletextright"/>
              <w:rPr>
                <w:rStyle w:val="Strong"/>
              </w:rPr>
            </w:pPr>
            <w:r w:rsidRPr="000B0531">
              <w:rPr>
                <w:rStyle w:val="Strong"/>
              </w:rPr>
              <w:t>20</w:t>
            </w:r>
          </w:p>
        </w:tc>
        <w:tc>
          <w:tcPr>
            <w:tcW w:w="1290" w:type="dxa"/>
            <w:hideMark/>
          </w:tcPr>
          <w:p w:rsidR="008F12EE" w:rsidRPr="000B0531" w:rsidRDefault="008F12EE" w:rsidP="00BD471F">
            <w:pPr>
              <w:pStyle w:val="ARtabletextright"/>
              <w:rPr>
                <w:rStyle w:val="Strong"/>
              </w:rPr>
            </w:pPr>
            <w:r w:rsidRPr="000B0531">
              <w:rPr>
                <w:rStyle w:val="Strong"/>
              </w:rPr>
              <w:t>100.0</w:t>
            </w:r>
          </w:p>
        </w:tc>
        <w:tc>
          <w:tcPr>
            <w:tcW w:w="0" w:type="auto"/>
            <w:hideMark/>
          </w:tcPr>
          <w:p w:rsidR="008F12EE" w:rsidRPr="00B8215B" w:rsidRDefault="008F12EE" w:rsidP="00BD471F">
            <w:pPr>
              <w:spacing w:before="80" w:after="60"/>
              <w:jc w:val="right"/>
              <w:rPr>
                <w:rFonts w:cs="Arial"/>
                <w:b/>
                <w:bCs/>
                <w:color w:val="000000"/>
                <w:sz w:val="18"/>
                <w:szCs w:val="18"/>
                <w:lang w:eastAsia="en-AU"/>
              </w:rPr>
            </w:pPr>
          </w:p>
        </w:tc>
      </w:tr>
      <w:tr w:rsidR="008F12EE" w:rsidRPr="00B8215B" w:rsidTr="00BD471F">
        <w:tc>
          <w:tcPr>
            <w:tcW w:w="0" w:type="auto"/>
            <w:tcBorders>
              <w:bottom w:val="single" w:sz="4" w:space="0" w:color="auto"/>
            </w:tcBorders>
            <w:hideMark/>
          </w:tcPr>
          <w:p w:rsidR="008F12EE" w:rsidRPr="00B8215B" w:rsidRDefault="008F12EE" w:rsidP="00BD471F">
            <w:pPr>
              <w:pStyle w:val="ARtabletextbold"/>
            </w:pPr>
            <w:r w:rsidRPr="00B8215B">
              <w:t>Net assets</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13</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8</w:t>
            </w:r>
          </w:p>
        </w:tc>
        <w:tc>
          <w:tcPr>
            <w:tcW w:w="1290"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62.5</w:t>
            </w:r>
          </w:p>
        </w:tc>
        <w:tc>
          <w:tcPr>
            <w:tcW w:w="1289"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41</w:t>
            </w:r>
          </w:p>
        </w:tc>
        <w:tc>
          <w:tcPr>
            <w:tcW w:w="1290" w:type="dxa"/>
            <w:tcBorders>
              <w:bottom w:val="single" w:sz="4" w:space="0" w:color="auto"/>
            </w:tcBorders>
            <w:hideMark/>
          </w:tcPr>
          <w:p w:rsidR="008F12EE" w:rsidRPr="000B0531" w:rsidRDefault="008F12EE" w:rsidP="00BD471F">
            <w:pPr>
              <w:pStyle w:val="ARtabletextright"/>
              <w:rPr>
                <w:rStyle w:val="Strong"/>
              </w:rPr>
            </w:pPr>
            <w:r w:rsidRPr="000B0531">
              <w:rPr>
                <w:rStyle w:val="Strong"/>
              </w:rPr>
              <w:t>(68.3)</w:t>
            </w:r>
          </w:p>
        </w:tc>
        <w:tc>
          <w:tcPr>
            <w:tcW w:w="0" w:type="auto"/>
            <w:tcBorders>
              <w:bottom w:val="single" w:sz="4" w:space="0" w:color="auto"/>
            </w:tcBorders>
            <w:hideMark/>
          </w:tcPr>
          <w:p w:rsidR="008F12EE" w:rsidRPr="00B8215B" w:rsidRDefault="008F12EE" w:rsidP="00BD471F">
            <w:pPr>
              <w:spacing w:before="80" w:after="60"/>
              <w:jc w:val="center"/>
              <w:rPr>
                <w:rFonts w:cs="Arial"/>
                <w:b/>
                <w:bCs/>
                <w:color w:val="000000"/>
                <w:sz w:val="18"/>
                <w:szCs w:val="18"/>
                <w:lang w:eastAsia="en-AU"/>
              </w:rPr>
            </w:pPr>
          </w:p>
        </w:tc>
      </w:tr>
      <w:tr w:rsidR="008F12EE" w:rsidRPr="00B8215B" w:rsidTr="00BD471F">
        <w:tc>
          <w:tcPr>
            <w:tcW w:w="0" w:type="auto"/>
            <w:tcBorders>
              <w:top w:val="single" w:sz="4" w:space="0" w:color="auto"/>
              <w:bottom w:val="single" w:sz="4" w:space="0" w:color="A6A6A6" w:themeColor="background1" w:themeShade="A6"/>
            </w:tcBorders>
            <w:hideMark/>
          </w:tcPr>
          <w:p w:rsidR="008F12EE" w:rsidRPr="00B8215B" w:rsidRDefault="008F12EE" w:rsidP="00BD471F">
            <w:pPr>
              <w:pStyle w:val="ARtabletextbold"/>
            </w:pPr>
            <w:r w:rsidRPr="00B8215B">
              <w:t>Equity</w:t>
            </w: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89"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1290" w:type="dxa"/>
            <w:tcBorders>
              <w:top w:val="single" w:sz="4" w:space="0" w:color="auto"/>
              <w:bottom w:val="single" w:sz="4" w:space="0" w:color="A6A6A6" w:themeColor="background1" w:themeShade="A6"/>
            </w:tcBorders>
            <w:hideMark/>
          </w:tcPr>
          <w:p w:rsidR="008F12EE" w:rsidRPr="00B8215B" w:rsidRDefault="008F12EE" w:rsidP="00BD471F">
            <w:pPr>
              <w:pStyle w:val="ARtabletextright"/>
            </w:pPr>
          </w:p>
        </w:tc>
        <w:tc>
          <w:tcPr>
            <w:tcW w:w="0" w:type="auto"/>
            <w:tcBorders>
              <w:top w:val="single" w:sz="4" w:space="0" w:color="auto"/>
              <w:bottom w:val="single" w:sz="4" w:space="0" w:color="A6A6A6" w:themeColor="background1" w:themeShade="A6"/>
            </w:tcBorders>
            <w:hideMark/>
          </w:tcPr>
          <w:p w:rsidR="008F12EE" w:rsidRPr="00B8215B" w:rsidRDefault="008F12EE" w:rsidP="00BD471F">
            <w:pPr>
              <w:spacing w:before="80" w:after="60"/>
              <w:jc w:val="center"/>
              <w:rPr>
                <w:rFonts w:cs="Arial"/>
                <w:b/>
                <w:bCs/>
                <w:color w:val="000000"/>
                <w:sz w:val="18"/>
                <w:szCs w:val="18"/>
                <w:lang w:eastAsia="en-AU"/>
              </w:rPr>
            </w:pPr>
          </w:p>
        </w:tc>
      </w:tr>
      <w:tr w:rsidR="008F12EE" w:rsidRPr="00B8215B" w:rsidTr="00BD471F">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
            </w:pPr>
            <w:r w:rsidRPr="00B8215B">
              <w:t>Accumulated surplus/(deficit)</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F12EE" w:rsidP="00BD471F">
            <w:pPr>
              <w:pStyle w:val="ARtabletextright"/>
            </w:pPr>
            <w:r w:rsidRPr="00B8215B">
              <w:t>49</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1289"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bottom w:val="single" w:sz="4" w:space="0" w:color="A6A6A6" w:themeColor="background1" w:themeShade="A6"/>
            </w:tcBorders>
            <w:hideMark/>
          </w:tcPr>
          <w:p w:rsidR="008F12EE" w:rsidRPr="00B8215B" w:rsidRDefault="008A73F2" w:rsidP="00BD471F">
            <w:pPr>
              <w:pStyle w:val="ARtabletextright"/>
            </w:pPr>
            <w:r>
              <w:t>–</w:t>
            </w:r>
          </w:p>
        </w:tc>
        <w:tc>
          <w:tcPr>
            <w:tcW w:w="0" w:type="auto"/>
            <w:tcBorders>
              <w:top w:val="single" w:sz="4" w:space="0" w:color="A6A6A6" w:themeColor="background1" w:themeShade="A6"/>
              <w:bottom w:val="single" w:sz="4" w:space="0" w:color="A6A6A6" w:themeColor="background1" w:themeShade="A6"/>
            </w:tcBorders>
            <w:hideMark/>
          </w:tcPr>
          <w:p w:rsidR="008F12EE" w:rsidRPr="00B8215B" w:rsidRDefault="008F12EE" w:rsidP="00BD471F">
            <w:pPr>
              <w:spacing w:before="80" w:after="60"/>
              <w:jc w:val="center"/>
              <w:rPr>
                <w:rFonts w:cs="Arial"/>
                <w:color w:val="000000"/>
                <w:sz w:val="18"/>
                <w:szCs w:val="18"/>
                <w:lang w:eastAsia="en-AU"/>
              </w:rPr>
            </w:pPr>
          </w:p>
        </w:tc>
      </w:tr>
      <w:tr w:rsidR="008F12EE" w:rsidRPr="00B8215B" w:rsidTr="00BD471F">
        <w:tc>
          <w:tcPr>
            <w:tcW w:w="0" w:type="auto"/>
            <w:tcBorders>
              <w:top w:val="single" w:sz="4" w:space="0" w:color="A6A6A6" w:themeColor="background1" w:themeShade="A6"/>
            </w:tcBorders>
            <w:hideMark/>
          </w:tcPr>
          <w:p w:rsidR="008F12EE" w:rsidRPr="00B8215B" w:rsidRDefault="008F12EE" w:rsidP="00BD471F">
            <w:pPr>
              <w:pStyle w:val="ARtabletext"/>
            </w:pPr>
            <w:r w:rsidRPr="00B8215B">
              <w:t>Contributed capital</w:t>
            </w:r>
          </w:p>
        </w:tc>
        <w:tc>
          <w:tcPr>
            <w:tcW w:w="1289" w:type="dxa"/>
            <w:tcBorders>
              <w:top w:val="single" w:sz="4" w:space="0" w:color="A6A6A6" w:themeColor="background1" w:themeShade="A6"/>
            </w:tcBorders>
            <w:hideMark/>
          </w:tcPr>
          <w:p w:rsidR="008F12EE" w:rsidRPr="00B8215B" w:rsidRDefault="008F12EE" w:rsidP="00BD471F">
            <w:pPr>
              <w:pStyle w:val="ARtabletextright"/>
            </w:pPr>
            <w:r w:rsidRPr="00B8215B">
              <w:t>(62)</w:t>
            </w:r>
          </w:p>
        </w:tc>
        <w:tc>
          <w:tcPr>
            <w:tcW w:w="1289" w:type="dxa"/>
            <w:tcBorders>
              <w:top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tcBorders>
            <w:hideMark/>
          </w:tcPr>
          <w:p w:rsidR="008F12EE" w:rsidRPr="00B8215B" w:rsidRDefault="008A73F2" w:rsidP="00BD471F">
            <w:pPr>
              <w:pStyle w:val="ARtabletextright"/>
            </w:pPr>
            <w:r>
              <w:t>–</w:t>
            </w:r>
          </w:p>
        </w:tc>
        <w:tc>
          <w:tcPr>
            <w:tcW w:w="1289" w:type="dxa"/>
            <w:tcBorders>
              <w:top w:val="single" w:sz="4" w:space="0" w:color="A6A6A6" w:themeColor="background1" w:themeShade="A6"/>
            </w:tcBorders>
            <w:hideMark/>
          </w:tcPr>
          <w:p w:rsidR="008F12EE" w:rsidRPr="00B8215B" w:rsidRDefault="008A73F2" w:rsidP="00BD471F">
            <w:pPr>
              <w:pStyle w:val="ARtabletextright"/>
            </w:pPr>
            <w:r>
              <w:t>–</w:t>
            </w:r>
          </w:p>
        </w:tc>
        <w:tc>
          <w:tcPr>
            <w:tcW w:w="1290" w:type="dxa"/>
            <w:tcBorders>
              <w:top w:val="single" w:sz="4" w:space="0" w:color="A6A6A6" w:themeColor="background1" w:themeShade="A6"/>
            </w:tcBorders>
            <w:hideMark/>
          </w:tcPr>
          <w:p w:rsidR="008F12EE" w:rsidRPr="00B8215B" w:rsidRDefault="008A73F2" w:rsidP="00BD471F">
            <w:pPr>
              <w:pStyle w:val="ARtabletextright"/>
            </w:pPr>
            <w:r>
              <w:t>–</w:t>
            </w:r>
          </w:p>
        </w:tc>
        <w:tc>
          <w:tcPr>
            <w:tcW w:w="0" w:type="auto"/>
            <w:tcBorders>
              <w:top w:val="single" w:sz="4" w:space="0" w:color="A6A6A6" w:themeColor="background1" w:themeShade="A6"/>
            </w:tcBorders>
            <w:hideMark/>
          </w:tcPr>
          <w:p w:rsidR="008F12EE" w:rsidRPr="00B8215B" w:rsidRDefault="008F12EE" w:rsidP="00BD471F">
            <w:pPr>
              <w:spacing w:before="80" w:after="60"/>
              <w:jc w:val="center"/>
              <w:rPr>
                <w:rFonts w:cs="Arial"/>
                <w:color w:val="000000"/>
                <w:sz w:val="18"/>
                <w:szCs w:val="18"/>
                <w:lang w:eastAsia="en-AU"/>
              </w:rPr>
            </w:pPr>
          </w:p>
        </w:tc>
      </w:tr>
      <w:tr w:rsidR="008F12EE" w:rsidRPr="00B8215B" w:rsidTr="00287144">
        <w:tc>
          <w:tcPr>
            <w:tcW w:w="0" w:type="auto"/>
            <w:noWrap/>
            <w:hideMark/>
          </w:tcPr>
          <w:p w:rsidR="008F12EE" w:rsidRPr="00B8215B" w:rsidRDefault="008F12EE" w:rsidP="00BD471F">
            <w:pPr>
              <w:pStyle w:val="ARtabletextbold"/>
            </w:pPr>
            <w:r w:rsidRPr="00B8215B">
              <w:t>Total equity</w:t>
            </w:r>
          </w:p>
        </w:tc>
        <w:tc>
          <w:tcPr>
            <w:tcW w:w="1289" w:type="dxa"/>
            <w:noWrap/>
            <w:hideMark/>
          </w:tcPr>
          <w:p w:rsidR="008F12EE" w:rsidRPr="00B8215B" w:rsidRDefault="008F12EE" w:rsidP="00BD471F">
            <w:pPr>
              <w:pStyle w:val="ARtabletextright"/>
            </w:pPr>
            <w:r w:rsidRPr="00B8215B">
              <w:t>(13)</w:t>
            </w:r>
          </w:p>
        </w:tc>
        <w:tc>
          <w:tcPr>
            <w:tcW w:w="1289" w:type="dxa"/>
            <w:hideMark/>
          </w:tcPr>
          <w:p w:rsidR="008F12EE" w:rsidRPr="00B8215B" w:rsidRDefault="008A73F2" w:rsidP="00BD471F">
            <w:pPr>
              <w:pStyle w:val="ARtabletextright"/>
            </w:pPr>
            <w:r>
              <w:t>–</w:t>
            </w:r>
          </w:p>
        </w:tc>
        <w:tc>
          <w:tcPr>
            <w:tcW w:w="1290" w:type="dxa"/>
            <w:hideMark/>
          </w:tcPr>
          <w:p w:rsidR="008F12EE" w:rsidRPr="00B8215B" w:rsidRDefault="008A73F2" w:rsidP="00BD471F">
            <w:pPr>
              <w:pStyle w:val="ARtabletextright"/>
            </w:pPr>
            <w:r>
              <w:t>–</w:t>
            </w:r>
          </w:p>
        </w:tc>
        <w:tc>
          <w:tcPr>
            <w:tcW w:w="1289" w:type="dxa"/>
            <w:hideMark/>
          </w:tcPr>
          <w:p w:rsidR="008F12EE" w:rsidRPr="00B8215B" w:rsidRDefault="008A73F2" w:rsidP="00BD471F">
            <w:pPr>
              <w:pStyle w:val="ARtabletextright"/>
            </w:pPr>
            <w:r>
              <w:t>–</w:t>
            </w:r>
          </w:p>
        </w:tc>
        <w:tc>
          <w:tcPr>
            <w:tcW w:w="1290" w:type="dxa"/>
            <w:hideMark/>
          </w:tcPr>
          <w:p w:rsidR="008F12EE" w:rsidRPr="00B8215B" w:rsidRDefault="008A73F2" w:rsidP="00BD471F">
            <w:pPr>
              <w:pStyle w:val="ARtabletextright"/>
            </w:pPr>
            <w:r>
              <w:t>–</w:t>
            </w:r>
          </w:p>
        </w:tc>
        <w:tc>
          <w:tcPr>
            <w:tcW w:w="0" w:type="auto"/>
            <w:hideMark/>
          </w:tcPr>
          <w:p w:rsidR="008F12EE" w:rsidRPr="00B8215B" w:rsidRDefault="008F12EE" w:rsidP="00BD471F">
            <w:pPr>
              <w:spacing w:before="80" w:after="60"/>
              <w:jc w:val="center"/>
              <w:rPr>
                <w:rFonts w:cs="Arial"/>
                <w:b/>
                <w:bCs/>
                <w:color w:val="000000"/>
                <w:sz w:val="18"/>
                <w:szCs w:val="18"/>
                <w:lang w:eastAsia="en-AU"/>
              </w:rPr>
            </w:pPr>
          </w:p>
        </w:tc>
      </w:tr>
    </w:tbl>
    <w:p w:rsidR="00AA035A" w:rsidRDefault="008F12EE" w:rsidP="00876A68">
      <w:pPr>
        <w:pStyle w:val="ARtablefootnote"/>
        <w:numPr>
          <w:ilvl w:val="0"/>
          <w:numId w:val="52"/>
        </w:numPr>
        <w:ind w:left="284" w:hanging="284"/>
      </w:pPr>
      <w:r w:rsidRPr="009306E0">
        <w:rPr>
          <w:rFonts w:eastAsia="Times"/>
        </w:rPr>
        <w:t>The variance primarily reflects miscellaneous revenues not budgeted as the revenue varies year on year</w:t>
      </w:r>
      <w:r w:rsidRPr="00F03176">
        <w:rPr>
          <w:rFonts w:eastAsia="Times"/>
        </w:rPr>
        <w:t>.</w:t>
      </w:r>
    </w:p>
    <w:p w:rsidR="008F12EE" w:rsidRDefault="008F12EE" w:rsidP="00876A68">
      <w:pPr>
        <w:pStyle w:val="ARtablefootnote"/>
        <w:numPr>
          <w:ilvl w:val="0"/>
          <w:numId w:val="52"/>
        </w:numPr>
        <w:ind w:left="284" w:hanging="284"/>
        <w:rPr>
          <w:lang w:eastAsia="en-AU"/>
        </w:rPr>
      </w:pPr>
      <w:r w:rsidRPr="009306E0">
        <w:rPr>
          <w:lang w:eastAsia="en-AU"/>
        </w:rPr>
        <w:t xml:space="preserve">This relates to the disposal of </w:t>
      </w:r>
      <w:r>
        <w:rPr>
          <w:lang w:eastAsia="en-AU"/>
        </w:rPr>
        <w:t xml:space="preserve">property related to </w:t>
      </w:r>
      <w:r w:rsidRPr="009306E0">
        <w:rPr>
          <w:lang w:eastAsia="en-AU"/>
        </w:rPr>
        <w:t>an aged care facility</w:t>
      </w:r>
      <w:r w:rsidRPr="006167CA">
        <w:rPr>
          <w:lang w:eastAsia="en-AU"/>
        </w:rPr>
        <w:t>.</w:t>
      </w:r>
    </w:p>
    <w:p w:rsidR="008F12EE" w:rsidRDefault="008F12EE" w:rsidP="00876A68">
      <w:pPr>
        <w:pStyle w:val="ARtablefootnote"/>
        <w:numPr>
          <w:ilvl w:val="0"/>
          <w:numId w:val="52"/>
        </w:numPr>
        <w:ind w:left="284" w:hanging="284"/>
        <w:rPr>
          <w:lang w:eastAsia="en-AU"/>
        </w:rPr>
      </w:pPr>
      <w:r w:rsidRPr="009306E0">
        <w:rPr>
          <w:lang w:eastAsia="en-AU"/>
        </w:rPr>
        <w:t xml:space="preserve">The variance primarily reflects the first year of operation of the National Disability Insurance Scheme (NDIS) trust fund, accordingly an amount of $28.5 million relates to the </w:t>
      </w:r>
      <w:r>
        <w:rPr>
          <w:lang w:eastAsia="en-AU"/>
        </w:rPr>
        <w:t>d</w:t>
      </w:r>
      <w:r w:rsidRPr="009306E0">
        <w:rPr>
          <w:lang w:eastAsia="en-AU"/>
        </w:rPr>
        <w:t>epartment</w:t>
      </w:r>
      <w:r>
        <w:rPr>
          <w:lang w:eastAsia="en-AU"/>
        </w:rPr>
        <w:t>’</w:t>
      </w:r>
      <w:r w:rsidRPr="009306E0">
        <w:rPr>
          <w:lang w:eastAsia="en-AU"/>
        </w:rPr>
        <w:t>s accrual funding contributions to the NDIS for June 2017. In addition</w:t>
      </w:r>
      <w:r>
        <w:rPr>
          <w:lang w:eastAsia="en-AU"/>
        </w:rPr>
        <w:t>,</w:t>
      </w:r>
      <w:r w:rsidRPr="009306E0">
        <w:rPr>
          <w:lang w:eastAsia="en-AU"/>
        </w:rPr>
        <w:t xml:space="preserve"> administered debtors payable to the consolidated fund increased by $4.6 million.</w:t>
      </w:r>
    </w:p>
    <w:p w:rsidR="008F12EE" w:rsidRDefault="008F12EE" w:rsidP="00876A68">
      <w:pPr>
        <w:pStyle w:val="ARtablefootnote"/>
        <w:numPr>
          <w:ilvl w:val="0"/>
          <w:numId w:val="52"/>
        </w:numPr>
        <w:ind w:left="284" w:hanging="284"/>
        <w:rPr>
          <w:lang w:eastAsia="en-AU"/>
        </w:rPr>
      </w:pPr>
      <w:r w:rsidRPr="009306E0">
        <w:rPr>
          <w:lang w:eastAsia="en-AU"/>
        </w:rPr>
        <w:t>The variance primarily reflects the first year of operation of the NDIS trust fund,</w:t>
      </w:r>
      <w:r>
        <w:rPr>
          <w:lang w:eastAsia="en-AU"/>
        </w:rPr>
        <w:t xml:space="preserve"> </w:t>
      </w:r>
      <w:r w:rsidRPr="009306E0">
        <w:rPr>
          <w:lang w:eastAsia="en-AU"/>
        </w:rPr>
        <w:t xml:space="preserve">accordingly an amount of $28.5 million relates to the </w:t>
      </w:r>
      <w:r>
        <w:rPr>
          <w:lang w:eastAsia="en-AU"/>
        </w:rPr>
        <w:t>d</w:t>
      </w:r>
      <w:r w:rsidRPr="009306E0">
        <w:rPr>
          <w:lang w:eastAsia="en-AU"/>
        </w:rPr>
        <w:t>epartment</w:t>
      </w:r>
      <w:r>
        <w:rPr>
          <w:lang w:eastAsia="en-AU"/>
        </w:rPr>
        <w:t>’</w:t>
      </w:r>
      <w:r w:rsidRPr="009306E0">
        <w:rPr>
          <w:lang w:eastAsia="en-AU"/>
        </w:rPr>
        <w:t>s accrual funding contributions to the NDIS for June 2017.</w:t>
      </w:r>
    </w:p>
    <w:p w:rsidR="008F12EE" w:rsidRDefault="008F12EE" w:rsidP="008F12EE">
      <w:pPr>
        <w:pStyle w:val="Heading2"/>
      </w:pPr>
      <w:r>
        <w:br w:type="page"/>
      </w:r>
      <w:bookmarkStart w:id="124" w:name="_Toc462577204"/>
      <w:bookmarkStart w:id="125" w:name="_Toc463776639"/>
      <w:bookmarkStart w:id="126" w:name="_Toc493164811"/>
      <w:r>
        <w:lastRenderedPageBreak/>
        <w:t>Director of Housing</w:t>
      </w:r>
      <w:bookmarkEnd w:id="124"/>
      <w:bookmarkEnd w:id="125"/>
      <w:bookmarkEnd w:id="126"/>
    </w:p>
    <w:p w:rsidR="008F12EE" w:rsidRPr="00F85858" w:rsidRDefault="008F12EE" w:rsidP="008F12EE">
      <w:pPr>
        <w:pStyle w:val="Heading3"/>
      </w:pPr>
      <w:bookmarkStart w:id="127" w:name="_Toc462577205"/>
      <w:r w:rsidRPr="00F85858">
        <w:t xml:space="preserve">Comprehensive operating statement for the financial year </w:t>
      </w:r>
      <w:r w:rsidRPr="00380AA7">
        <w:t>ended</w:t>
      </w:r>
      <w:r w:rsidRPr="00F85858">
        <w:t xml:space="preserve"> 30 June 201</w:t>
      </w:r>
      <w:bookmarkEnd w:id="127"/>
      <w:r>
        <w:t>7</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69"/>
        <w:gridCol w:w="1135"/>
        <w:gridCol w:w="1135"/>
      </w:tblGrid>
      <w:tr w:rsidR="008F12EE" w:rsidRPr="00F85858" w:rsidTr="008121EC">
        <w:trPr>
          <w:cantSplit/>
          <w:tblHeader/>
        </w:trPr>
        <w:tc>
          <w:tcPr>
            <w:tcW w:w="7366" w:type="dxa"/>
            <w:tcBorders>
              <w:bottom w:val="single" w:sz="4" w:space="0" w:color="auto"/>
            </w:tcBorders>
            <w:shd w:val="clear" w:color="auto" w:fill="auto"/>
          </w:tcPr>
          <w:p w:rsidR="008F12EE" w:rsidRPr="00F85858" w:rsidRDefault="008F12EE" w:rsidP="00E924ED">
            <w:pPr>
              <w:pStyle w:val="ARtablecolheadright"/>
            </w:pPr>
          </w:p>
        </w:tc>
        <w:tc>
          <w:tcPr>
            <w:tcW w:w="1134" w:type="dxa"/>
            <w:tcBorders>
              <w:bottom w:val="single" w:sz="4" w:space="0" w:color="auto"/>
            </w:tcBorders>
            <w:shd w:val="clear" w:color="auto" w:fill="E7E6E6"/>
          </w:tcPr>
          <w:p w:rsidR="008F12EE" w:rsidRDefault="008F12EE" w:rsidP="00E924ED">
            <w:pPr>
              <w:pStyle w:val="ARtablecolheadright"/>
            </w:pPr>
            <w:r w:rsidRPr="00F85858">
              <w:t>201</w:t>
            </w:r>
            <w:r>
              <w:t>7</w:t>
            </w:r>
          </w:p>
          <w:p w:rsidR="008F12EE" w:rsidRPr="00F85858" w:rsidRDefault="008F12EE" w:rsidP="00E924ED">
            <w:pPr>
              <w:pStyle w:val="ARtablecolheadright"/>
            </w:pPr>
            <w:r w:rsidRPr="00F85858">
              <w:t>$M</w:t>
            </w:r>
          </w:p>
        </w:tc>
        <w:tc>
          <w:tcPr>
            <w:tcW w:w="1134" w:type="dxa"/>
            <w:tcBorders>
              <w:bottom w:val="single" w:sz="4" w:space="0" w:color="auto"/>
            </w:tcBorders>
            <w:shd w:val="clear" w:color="auto" w:fill="auto"/>
          </w:tcPr>
          <w:p w:rsidR="008F12EE" w:rsidRDefault="008F12EE" w:rsidP="00E924ED">
            <w:pPr>
              <w:pStyle w:val="ARtablecolheadright"/>
            </w:pPr>
            <w:r>
              <w:t>2016</w:t>
            </w:r>
          </w:p>
          <w:p w:rsidR="008F12EE" w:rsidRPr="00F85858" w:rsidRDefault="008F12EE" w:rsidP="00E924ED">
            <w:pPr>
              <w:pStyle w:val="ARtablecolheadright"/>
            </w:pPr>
            <w:r w:rsidRPr="00F85858">
              <w:t>$M</w:t>
            </w:r>
          </w:p>
        </w:tc>
      </w:tr>
      <w:tr w:rsidR="008F12EE" w:rsidRPr="00C51DF6" w:rsidTr="008121EC">
        <w:trPr>
          <w:cantSplit/>
        </w:trPr>
        <w:tc>
          <w:tcPr>
            <w:tcW w:w="7366" w:type="dxa"/>
            <w:tcBorders>
              <w:top w:val="single" w:sz="4" w:space="0" w:color="auto"/>
              <w:bottom w:val="single" w:sz="4" w:space="0" w:color="A6A6A6"/>
            </w:tcBorders>
            <w:shd w:val="clear" w:color="auto" w:fill="auto"/>
          </w:tcPr>
          <w:p w:rsidR="008F12EE" w:rsidRPr="00C51DF6" w:rsidRDefault="008F12EE" w:rsidP="007B7C3E">
            <w:pPr>
              <w:pStyle w:val="ARtabletextbold"/>
              <w:rPr>
                <w:rStyle w:val="Strong"/>
                <w:b/>
              </w:rPr>
            </w:pPr>
            <w:r w:rsidRPr="00C51DF6">
              <w:rPr>
                <w:rStyle w:val="Strong"/>
                <w:b/>
              </w:rPr>
              <w:t>Income from transactions</w:t>
            </w:r>
          </w:p>
        </w:tc>
        <w:tc>
          <w:tcPr>
            <w:tcW w:w="1134" w:type="dxa"/>
            <w:tcBorders>
              <w:top w:val="single" w:sz="4" w:space="0" w:color="auto"/>
              <w:bottom w:val="single" w:sz="4" w:space="0" w:color="A6A6A6"/>
            </w:tcBorders>
            <w:shd w:val="clear" w:color="auto" w:fill="E7E6E6"/>
          </w:tcPr>
          <w:p w:rsidR="008F12EE" w:rsidRPr="00C51DF6" w:rsidRDefault="008F12EE" w:rsidP="007B7C3E">
            <w:pPr>
              <w:pStyle w:val="ARtablecolhead"/>
            </w:pPr>
          </w:p>
        </w:tc>
        <w:tc>
          <w:tcPr>
            <w:tcW w:w="1134" w:type="dxa"/>
            <w:tcBorders>
              <w:top w:val="single" w:sz="4" w:space="0" w:color="auto"/>
              <w:bottom w:val="single" w:sz="4" w:space="0" w:color="A6A6A6"/>
            </w:tcBorders>
            <w:shd w:val="clear" w:color="auto" w:fill="auto"/>
          </w:tcPr>
          <w:p w:rsidR="008F12EE" w:rsidRPr="00C51DF6" w:rsidRDefault="008F12EE" w:rsidP="007B7C3E">
            <w:pPr>
              <w:pStyle w:val="ARtablecolhead"/>
            </w:pP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C51DF6" w:rsidRDefault="008F12EE" w:rsidP="007B7C3E">
            <w:pPr>
              <w:pStyle w:val="ARtabletext"/>
            </w:pPr>
            <w:r w:rsidRPr="00C51DF6">
              <w:t>Output appropriations</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489.5</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460.4</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C51DF6" w:rsidRDefault="008F12EE" w:rsidP="007B7C3E">
            <w:pPr>
              <w:pStyle w:val="ARtabletext"/>
            </w:pPr>
            <w:r w:rsidRPr="00C51DF6">
              <w:t>Special appropriations</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0.4</w:t>
            </w:r>
          </w:p>
        </w:tc>
        <w:tc>
          <w:tcPr>
            <w:tcW w:w="1134" w:type="dxa"/>
            <w:tcBorders>
              <w:top w:val="single" w:sz="4" w:space="0" w:color="A6A6A6"/>
              <w:bottom w:val="single" w:sz="4" w:space="0" w:color="A6A6A6"/>
            </w:tcBorders>
            <w:shd w:val="clear" w:color="auto" w:fill="auto"/>
          </w:tcPr>
          <w:p w:rsidR="008F12EE" w:rsidRPr="00F85858" w:rsidRDefault="008A73F2" w:rsidP="007B7C3E">
            <w:pPr>
              <w:pStyle w:val="ARtabletextright"/>
            </w:pPr>
            <w:r>
              <w:t>–</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C51DF6" w:rsidRDefault="008F12EE" w:rsidP="007B7C3E">
            <w:pPr>
              <w:pStyle w:val="ARtabletext"/>
            </w:pPr>
            <w:r w:rsidRPr="00C51DF6">
              <w:t>Interest income</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8.9</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9.4</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C51DF6" w:rsidRDefault="008F12EE" w:rsidP="007B7C3E">
            <w:pPr>
              <w:pStyle w:val="ARtabletext"/>
            </w:pPr>
            <w:r w:rsidRPr="00C51DF6">
              <w:t>Rental income and income from services</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479.9</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476.6</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C51DF6" w:rsidRDefault="008F12EE" w:rsidP="007B7C3E">
            <w:pPr>
              <w:pStyle w:val="ARtabletext"/>
            </w:pPr>
            <w:r w:rsidRPr="00C51DF6">
              <w:t>Grants and other income transfers</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30.5</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13.4</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C51DF6" w:rsidRDefault="008F12EE" w:rsidP="007B7C3E">
            <w:pPr>
              <w:pStyle w:val="ARtabletext"/>
            </w:pPr>
            <w:r w:rsidRPr="00C51DF6">
              <w:t>Other income</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5.2</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326.5</w:t>
            </w:r>
          </w:p>
        </w:tc>
      </w:tr>
      <w:tr w:rsidR="008F12EE" w:rsidRPr="00F85858" w:rsidTr="008121EC">
        <w:trPr>
          <w:cantSplit/>
        </w:trPr>
        <w:tc>
          <w:tcPr>
            <w:tcW w:w="7366" w:type="dxa"/>
            <w:tcBorders>
              <w:top w:val="single" w:sz="4" w:space="0" w:color="A6A6A6"/>
            </w:tcBorders>
            <w:shd w:val="clear" w:color="auto" w:fill="auto"/>
          </w:tcPr>
          <w:p w:rsidR="008F12EE" w:rsidRPr="00C51DF6" w:rsidRDefault="008F12EE" w:rsidP="007B7C3E">
            <w:pPr>
              <w:pStyle w:val="ARtabletext"/>
            </w:pPr>
            <w:r w:rsidRPr="00C51DF6">
              <w:t>Fair value of assets and services received free of charge or for nominal consideration</w:t>
            </w:r>
          </w:p>
        </w:tc>
        <w:tc>
          <w:tcPr>
            <w:tcW w:w="1134" w:type="dxa"/>
            <w:tcBorders>
              <w:top w:val="single" w:sz="4" w:space="0" w:color="A6A6A6"/>
            </w:tcBorders>
            <w:shd w:val="clear" w:color="auto" w:fill="E7E6E6"/>
          </w:tcPr>
          <w:p w:rsidR="008F12EE" w:rsidRPr="00F85858" w:rsidRDefault="008F12EE" w:rsidP="007B7C3E">
            <w:pPr>
              <w:pStyle w:val="ARtabletextright"/>
            </w:pPr>
            <w:r>
              <w:t>0.7</w:t>
            </w:r>
          </w:p>
        </w:tc>
        <w:tc>
          <w:tcPr>
            <w:tcW w:w="1134" w:type="dxa"/>
            <w:tcBorders>
              <w:top w:val="single" w:sz="4" w:space="0" w:color="A6A6A6"/>
            </w:tcBorders>
            <w:shd w:val="clear" w:color="auto" w:fill="auto"/>
          </w:tcPr>
          <w:p w:rsidR="008F12EE" w:rsidRPr="00F85858" w:rsidRDefault="008F12EE" w:rsidP="007B7C3E">
            <w:pPr>
              <w:pStyle w:val="ARtabletextright"/>
            </w:pPr>
            <w:r w:rsidRPr="00F85858">
              <w:t>2.0</w:t>
            </w:r>
          </w:p>
        </w:tc>
      </w:tr>
      <w:tr w:rsidR="008F12EE" w:rsidRPr="00115037" w:rsidTr="008121EC">
        <w:trPr>
          <w:cantSplit/>
        </w:trPr>
        <w:tc>
          <w:tcPr>
            <w:tcW w:w="7366" w:type="dxa"/>
            <w:tcBorders>
              <w:bottom w:val="single" w:sz="4" w:space="0" w:color="auto"/>
            </w:tcBorders>
            <w:shd w:val="clear" w:color="auto" w:fill="auto"/>
          </w:tcPr>
          <w:p w:rsidR="008F12EE" w:rsidRPr="009C6CA7" w:rsidRDefault="008F12EE" w:rsidP="007B7C3E">
            <w:pPr>
              <w:pStyle w:val="ARtabletextbold"/>
              <w:rPr>
                <w:rStyle w:val="Strong"/>
                <w:b/>
                <w:bCs w:val="0"/>
              </w:rPr>
            </w:pPr>
            <w:r w:rsidRPr="009C6CA7">
              <w:rPr>
                <w:rStyle w:val="Strong"/>
                <w:b/>
                <w:bCs w:val="0"/>
              </w:rPr>
              <w:t>Total income from transactions</w:t>
            </w:r>
          </w:p>
        </w:tc>
        <w:tc>
          <w:tcPr>
            <w:tcW w:w="1134" w:type="dxa"/>
            <w:tcBorders>
              <w:bottom w:val="single" w:sz="4" w:space="0" w:color="auto"/>
            </w:tcBorders>
            <w:shd w:val="clear" w:color="auto" w:fill="E7E6E6"/>
          </w:tcPr>
          <w:p w:rsidR="008F12EE" w:rsidRPr="009C6CA7" w:rsidRDefault="008F12EE" w:rsidP="007B7C3E">
            <w:pPr>
              <w:pStyle w:val="ARtabletextright"/>
              <w:rPr>
                <w:rStyle w:val="Strong"/>
                <w:bCs w:val="0"/>
              </w:rPr>
            </w:pPr>
            <w:r w:rsidRPr="009C6CA7">
              <w:rPr>
                <w:rStyle w:val="Strong"/>
                <w:bCs w:val="0"/>
              </w:rPr>
              <w:t>1,015.1</w:t>
            </w:r>
          </w:p>
        </w:tc>
        <w:tc>
          <w:tcPr>
            <w:tcW w:w="1134" w:type="dxa"/>
            <w:tcBorders>
              <w:bottom w:val="single" w:sz="4" w:space="0" w:color="auto"/>
            </w:tcBorders>
            <w:shd w:val="clear" w:color="auto" w:fill="auto"/>
          </w:tcPr>
          <w:p w:rsidR="008F12EE" w:rsidRPr="009C6CA7" w:rsidRDefault="008F12EE" w:rsidP="007B7C3E">
            <w:pPr>
              <w:pStyle w:val="ARtabletextright"/>
              <w:rPr>
                <w:rStyle w:val="Strong"/>
                <w:bCs w:val="0"/>
              </w:rPr>
            </w:pPr>
            <w:r w:rsidRPr="009C6CA7">
              <w:rPr>
                <w:rStyle w:val="Strong"/>
                <w:bCs w:val="0"/>
              </w:rPr>
              <w:t>1,288.3</w:t>
            </w:r>
          </w:p>
        </w:tc>
      </w:tr>
      <w:tr w:rsidR="008F12EE" w:rsidRPr="009C6CA7" w:rsidTr="008121EC">
        <w:trPr>
          <w:cantSplit/>
        </w:trPr>
        <w:tc>
          <w:tcPr>
            <w:tcW w:w="7366" w:type="dxa"/>
            <w:tcBorders>
              <w:top w:val="single" w:sz="4" w:space="0" w:color="auto"/>
              <w:bottom w:val="single" w:sz="4" w:space="0" w:color="A6A6A6"/>
            </w:tcBorders>
            <w:shd w:val="clear" w:color="auto" w:fill="auto"/>
          </w:tcPr>
          <w:p w:rsidR="008F12EE" w:rsidRPr="009C6CA7" w:rsidRDefault="008F12EE" w:rsidP="007B7C3E">
            <w:pPr>
              <w:pStyle w:val="ARtabletextbold"/>
              <w:rPr>
                <w:rStyle w:val="Strong"/>
                <w:b/>
                <w:bCs w:val="0"/>
              </w:rPr>
            </w:pPr>
            <w:r w:rsidRPr="009C6CA7">
              <w:rPr>
                <w:rStyle w:val="Strong"/>
                <w:b/>
                <w:bCs w:val="0"/>
              </w:rPr>
              <w:t>Expenses from transactions</w:t>
            </w:r>
          </w:p>
        </w:tc>
        <w:tc>
          <w:tcPr>
            <w:tcW w:w="1134" w:type="dxa"/>
            <w:tcBorders>
              <w:top w:val="single" w:sz="4" w:space="0" w:color="auto"/>
              <w:bottom w:val="single" w:sz="4" w:space="0" w:color="A6A6A6"/>
            </w:tcBorders>
            <w:shd w:val="clear" w:color="auto" w:fill="E7E6E6"/>
          </w:tcPr>
          <w:p w:rsidR="008F12EE" w:rsidRPr="009C6CA7" w:rsidRDefault="008F12EE" w:rsidP="007B7C3E">
            <w:pPr>
              <w:pStyle w:val="ARtablecolhead"/>
            </w:pPr>
          </w:p>
        </w:tc>
        <w:tc>
          <w:tcPr>
            <w:tcW w:w="1134" w:type="dxa"/>
            <w:tcBorders>
              <w:top w:val="single" w:sz="4" w:space="0" w:color="auto"/>
              <w:bottom w:val="single" w:sz="4" w:space="0" w:color="A6A6A6"/>
            </w:tcBorders>
            <w:shd w:val="clear" w:color="auto" w:fill="auto"/>
          </w:tcPr>
          <w:p w:rsidR="008F12EE" w:rsidRPr="009C6CA7" w:rsidRDefault="008F12EE" w:rsidP="007B7C3E">
            <w:pPr>
              <w:pStyle w:val="ARtablecolhead"/>
            </w:pP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Employee expenses</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101.9</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97.5</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Depreciation and amortisation</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212.3</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212.6</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Rates to local authorities</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113.7</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116.3</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Maintenance</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171.4</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176.8</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Rental property lease expenses</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12.2</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13.2</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Tenant utilities and other expenses</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71.7</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78.6</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Home finance operating costs</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0.3</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2.0</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Grants and other expense transfers</w:t>
            </w:r>
          </w:p>
        </w:tc>
        <w:tc>
          <w:tcPr>
            <w:tcW w:w="1134" w:type="dxa"/>
            <w:tcBorders>
              <w:top w:val="single" w:sz="4" w:space="0" w:color="A6A6A6"/>
              <w:bottom w:val="single" w:sz="4" w:space="0" w:color="A6A6A6"/>
            </w:tcBorders>
            <w:shd w:val="clear" w:color="auto" w:fill="E7E6E6"/>
          </w:tcPr>
          <w:p w:rsidR="008F12EE" w:rsidRPr="009C6CA7" w:rsidRDefault="008F12EE" w:rsidP="007B7C3E">
            <w:pPr>
              <w:pStyle w:val="ARtabletextright"/>
            </w:pPr>
            <w:r w:rsidRPr="009C6CA7">
              <w:t>430.2</w:t>
            </w:r>
          </w:p>
        </w:tc>
        <w:tc>
          <w:tcPr>
            <w:tcW w:w="1134" w:type="dxa"/>
            <w:tcBorders>
              <w:top w:val="single" w:sz="4" w:space="0" w:color="A6A6A6"/>
              <w:bottom w:val="single" w:sz="4" w:space="0" w:color="A6A6A6"/>
            </w:tcBorders>
            <w:shd w:val="clear" w:color="auto" w:fill="auto"/>
          </w:tcPr>
          <w:p w:rsidR="008F12EE" w:rsidRPr="009C6CA7" w:rsidRDefault="008F12EE" w:rsidP="007B7C3E">
            <w:pPr>
              <w:pStyle w:val="ARtabletextright"/>
            </w:pPr>
            <w:r w:rsidRPr="009C6CA7">
              <w:t>279.4</w:t>
            </w:r>
          </w:p>
        </w:tc>
      </w:tr>
      <w:tr w:rsidR="008F12EE" w:rsidRPr="00F85858" w:rsidTr="008121EC">
        <w:trPr>
          <w:cantSplit/>
        </w:trPr>
        <w:tc>
          <w:tcPr>
            <w:tcW w:w="7366" w:type="dxa"/>
            <w:tcBorders>
              <w:top w:val="single" w:sz="4" w:space="0" w:color="A6A6A6"/>
              <w:bottom w:val="single" w:sz="4" w:space="0" w:color="A6A6A6" w:themeColor="background1" w:themeShade="A6"/>
            </w:tcBorders>
            <w:shd w:val="clear" w:color="auto" w:fill="auto"/>
          </w:tcPr>
          <w:p w:rsidR="008F12EE" w:rsidRPr="00F85858" w:rsidRDefault="008F12EE" w:rsidP="007B7C3E">
            <w:pPr>
              <w:pStyle w:val="ARtabletext"/>
            </w:pPr>
            <w:r>
              <w:t>Fair value of assets and services provided free of charge or for nominal consideration</w:t>
            </w:r>
          </w:p>
        </w:tc>
        <w:tc>
          <w:tcPr>
            <w:tcW w:w="1134" w:type="dxa"/>
            <w:tcBorders>
              <w:top w:val="single" w:sz="4" w:space="0" w:color="A6A6A6"/>
              <w:bottom w:val="single" w:sz="4" w:space="0" w:color="A6A6A6" w:themeColor="background1" w:themeShade="A6"/>
            </w:tcBorders>
            <w:shd w:val="clear" w:color="auto" w:fill="E7E6E6"/>
          </w:tcPr>
          <w:p w:rsidR="008F12EE" w:rsidRPr="009C6CA7" w:rsidRDefault="008F12EE" w:rsidP="007B7C3E">
            <w:pPr>
              <w:pStyle w:val="ARtabletextright"/>
            </w:pPr>
            <w:r w:rsidRPr="009C6CA7">
              <w:t>209.1</w:t>
            </w:r>
          </w:p>
        </w:tc>
        <w:tc>
          <w:tcPr>
            <w:tcW w:w="1134" w:type="dxa"/>
            <w:tcBorders>
              <w:top w:val="single" w:sz="4" w:space="0" w:color="A6A6A6"/>
              <w:bottom w:val="single" w:sz="4" w:space="0" w:color="A6A6A6" w:themeColor="background1" w:themeShade="A6"/>
            </w:tcBorders>
            <w:shd w:val="clear" w:color="auto" w:fill="auto"/>
          </w:tcPr>
          <w:p w:rsidR="008F12EE" w:rsidRPr="009C6CA7" w:rsidRDefault="008A73F2" w:rsidP="007B7C3E">
            <w:pPr>
              <w:pStyle w:val="ARtabletextright"/>
            </w:pPr>
            <w:r>
              <w:t>–</w:t>
            </w:r>
          </w:p>
        </w:tc>
      </w:tr>
      <w:tr w:rsidR="008F12EE" w:rsidRPr="00F85858" w:rsidTr="008121EC">
        <w:trPr>
          <w:cantSplit/>
        </w:trPr>
        <w:tc>
          <w:tcPr>
            <w:tcW w:w="7366" w:type="dxa"/>
            <w:tcBorders>
              <w:top w:val="single" w:sz="4" w:space="0" w:color="A6A6A6" w:themeColor="background1" w:themeShade="A6"/>
            </w:tcBorders>
            <w:shd w:val="clear" w:color="auto" w:fill="auto"/>
          </w:tcPr>
          <w:p w:rsidR="008F12EE" w:rsidRPr="00F85858" w:rsidRDefault="008F12EE" w:rsidP="007B7C3E">
            <w:pPr>
              <w:pStyle w:val="ARtabletext"/>
            </w:pPr>
            <w:r w:rsidRPr="00F85858">
              <w:t>Other operating expenses</w:t>
            </w:r>
          </w:p>
        </w:tc>
        <w:tc>
          <w:tcPr>
            <w:tcW w:w="1134" w:type="dxa"/>
            <w:tcBorders>
              <w:top w:val="single" w:sz="4" w:space="0" w:color="A6A6A6" w:themeColor="background1" w:themeShade="A6"/>
            </w:tcBorders>
            <w:shd w:val="clear" w:color="auto" w:fill="E7E6E6"/>
          </w:tcPr>
          <w:p w:rsidR="008F12EE" w:rsidRPr="00F85858" w:rsidRDefault="008F12EE" w:rsidP="007B7C3E">
            <w:pPr>
              <w:pStyle w:val="ARtabletextright"/>
            </w:pPr>
            <w:r>
              <w:t>46.6</w:t>
            </w:r>
          </w:p>
        </w:tc>
        <w:tc>
          <w:tcPr>
            <w:tcW w:w="1134" w:type="dxa"/>
            <w:tcBorders>
              <w:top w:val="single" w:sz="4" w:space="0" w:color="A6A6A6" w:themeColor="background1" w:themeShade="A6"/>
            </w:tcBorders>
            <w:shd w:val="clear" w:color="auto" w:fill="auto"/>
          </w:tcPr>
          <w:p w:rsidR="008F12EE" w:rsidRPr="00F85858" w:rsidRDefault="008F12EE" w:rsidP="007B7C3E">
            <w:pPr>
              <w:pStyle w:val="ARtabletextright"/>
            </w:pPr>
            <w:r w:rsidRPr="00F85858">
              <w:t>40.1</w:t>
            </w:r>
          </w:p>
        </w:tc>
      </w:tr>
      <w:tr w:rsidR="008F12EE" w:rsidRPr="00127401" w:rsidTr="008121EC">
        <w:trPr>
          <w:cantSplit/>
        </w:trPr>
        <w:tc>
          <w:tcPr>
            <w:tcW w:w="7366" w:type="dxa"/>
            <w:shd w:val="clear" w:color="auto" w:fill="auto"/>
          </w:tcPr>
          <w:p w:rsidR="008F12EE" w:rsidRPr="009C6CA7" w:rsidRDefault="008F12EE" w:rsidP="007B7C3E">
            <w:pPr>
              <w:pStyle w:val="ARtabletextbold"/>
              <w:rPr>
                <w:rStyle w:val="Strong"/>
                <w:b/>
                <w:bCs w:val="0"/>
              </w:rPr>
            </w:pPr>
            <w:r w:rsidRPr="009C6CA7">
              <w:rPr>
                <w:rStyle w:val="Strong"/>
                <w:b/>
                <w:bCs w:val="0"/>
              </w:rPr>
              <w:t xml:space="preserve">Total expenses from </w:t>
            </w:r>
            <w:r w:rsidRPr="000B0531">
              <w:rPr>
                <w:rStyle w:val="Strong"/>
                <w:b/>
                <w:bCs w:val="0"/>
              </w:rPr>
              <w:t>transactions</w:t>
            </w:r>
          </w:p>
        </w:tc>
        <w:tc>
          <w:tcPr>
            <w:tcW w:w="1134" w:type="dxa"/>
            <w:shd w:val="clear" w:color="auto" w:fill="E7E6E6"/>
          </w:tcPr>
          <w:p w:rsidR="008F12EE" w:rsidRPr="00127401" w:rsidRDefault="008F12EE" w:rsidP="007B7C3E">
            <w:pPr>
              <w:pStyle w:val="ARtabletextright"/>
              <w:rPr>
                <w:rStyle w:val="Strong"/>
              </w:rPr>
            </w:pPr>
            <w:r>
              <w:rPr>
                <w:rStyle w:val="Strong"/>
              </w:rPr>
              <w:t>1,369.5</w:t>
            </w:r>
          </w:p>
        </w:tc>
        <w:tc>
          <w:tcPr>
            <w:tcW w:w="1134" w:type="dxa"/>
            <w:shd w:val="clear" w:color="auto" w:fill="auto"/>
          </w:tcPr>
          <w:p w:rsidR="008F12EE" w:rsidRPr="00127401" w:rsidRDefault="008F12EE" w:rsidP="007B7C3E">
            <w:pPr>
              <w:pStyle w:val="ARtabletextright"/>
              <w:rPr>
                <w:rStyle w:val="Strong"/>
              </w:rPr>
            </w:pPr>
            <w:r w:rsidRPr="00127401">
              <w:rPr>
                <w:rStyle w:val="Strong"/>
              </w:rPr>
              <w:t>1,016.6</w:t>
            </w:r>
          </w:p>
        </w:tc>
      </w:tr>
      <w:tr w:rsidR="008F12EE" w:rsidRPr="009C6CA7" w:rsidTr="008121EC">
        <w:trPr>
          <w:cantSplit/>
        </w:trPr>
        <w:tc>
          <w:tcPr>
            <w:tcW w:w="7366" w:type="dxa"/>
            <w:tcBorders>
              <w:bottom w:val="single" w:sz="4" w:space="0" w:color="auto"/>
            </w:tcBorders>
            <w:shd w:val="clear" w:color="auto" w:fill="auto"/>
          </w:tcPr>
          <w:p w:rsidR="008F12EE" w:rsidRPr="009C6CA7" w:rsidRDefault="008F12EE" w:rsidP="007B7C3E">
            <w:pPr>
              <w:pStyle w:val="ARtabletextbold"/>
              <w:rPr>
                <w:rStyle w:val="Strong"/>
                <w:b/>
                <w:bCs w:val="0"/>
              </w:rPr>
            </w:pPr>
            <w:r w:rsidRPr="009C6CA7">
              <w:rPr>
                <w:rStyle w:val="Strong"/>
                <w:b/>
                <w:bCs w:val="0"/>
              </w:rPr>
              <w:t xml:space="preserve">Net </w:t>
            </w:r>
            <w:r w:rsidRPr="000B0531">
              <w:rPr>
                <w:rStyle w:val="Strong"/>
                <w:b/>
                <w:bCs w:val="0"/>
              </w:rPr>
              <w:t>result</w:t>
            </w:r>
            <w:r w:rsidRPr="009C6CA7">
              <w:rPr>
                <w:rStyle w:val="Strong"/>
                <w:b/>
                <w:bCs w:val="0"/>
              </w:rPr>
              <w:t xml:space="preserve"> from transactions (net operating balance)</w:t>
            </w:r>
            <w:r w:rsidRPr="00E36AC0">
              <w:rPr>
                <w:rStyle w:val="Strong"/>
                <w:b/>
                <w:bCs w:val="0"/>
                <w:vertAlign w:val="superscript"/>
              </w:rPr>
              <w:t>1</w:t>
            </w:r>
            <w:r w:rsidR="00CB4B73">
              <w:rPr>
                <w:rStyle w:val="Strong"/>
                <w:b/>
                <w:bCs w:val="0"/>
                <w:vertAlign w:val="superscript"/>
              </w:rPr>
              <w:t xml:space="preserve"> 2</w:t>
            </w:r>
          </w:p>
        </w:tc>
        <w:tc>
          <w:tcPr>
            <w:tcW w:w="1134" w:type="dxa"/>
            <w:tcBorders>
              <w:bottom w:val="single" w:sz="4" w:space="0" w:color="auto"/>
            </w:tcBorders>
            <w:shd w:val="clear" w:color="auto" w:fill="E7E6E6"/>
          </w:tcPr>
          <w:p w:rsidR="008F12EE" w:rsidRPr="009C6CA7" w:rsidRDefault="008F12EE" w:rsidP="007B7C3E">
            <w:pPr>
              <w:pStyle w:val="ARtabletextright"/>
              <w:rPr>
                <w:rStyle w:val="Strong"/>
                <w:bCs w:val="0"/>
              </w:rPr>
            </w:pPr>
            <w:r w:rsidRPr="009C6CA7">
              <w:rPr>
                <w:rStyle w:val="Strong"/>
                <w:bCs w:val="0"/>
              </w:rPr>
              <w:t>(354.4)</w:t>
            </w:r>
          </w:p>
        </w:tc>
        <w:tc>
          <w:tcPr>
            <w:tcW w:w="1134" w:type="dxa"/>
            <w:tcBorders>
              <w:bottom w:val="single" w:sz="4" w:space="0" w:color="auto"/>
            </w:tcBorders>
            <w:shd w:val="clear" w:color="auto" w:fill="auto"/>
          </w:tcPr>
          <w:p w:rsidR="008F12EE" w:rsidRPr="009C6CA7" w:rsidRDefault="008F12EE" w:rsidP="007B7C3E">
            <w:pPr>
              <w:pStyle w:val="ARtabletextright"/>
              <w:rPr>
                <w:rStyle w:val="Strong"/>
                <w:bCs w:val="0"/>
              </w:rPr>
            </w:pPr>
            <w:r w:rsidRPr="009C6CA7">
              <w:rPr>
                <w:rStyle w:val="Strong"/>
                <w:bCs w:val="0"/>
              </w:rPr>
              <w:t>271.7</w:t>
            </w:r>
          </w:p>
        </w:tc>
      </w:tr>
      <w:tr w:rsidR="008F12EE" w:rsidRPr="00F85858" w:rsidTr="008121EC">
        <w:trPr>
          <w:cantSplit/>
        </w:trPr>
        <w:tc>
          <w:tcPr>
            <w:tcW w:w="7366" w:type="dxa"/>
            <w:tcBorders>
              <w:top w:val="single" w:sz="4" w:space="0" w:color="auto"/>
              <w:bottom w:val="single" w:sz="4" w:space="0" w:color="A6A6A6"/>
            </w:tcBorders>
            <w:shd w:val="clear" w:color="auto" w:fill="auto"/>
          </w:tcPr>
          <w:p w:rsidR="008F12EE" w:rsidRPr="00F85858" w:rsidRDefault="008F12EE" w:rsidP="007B7C3E">
            <w:pPr>
              <w:pStyle w:val="ARtabletext"/>
            </w:pPr>
            <w:r w:rsidRPr="00F85858">
              <w:t>Other economic flows included in net result</w:t>
            </w:r>
          </w:p>
        </w:tc>
        <w:tc>
          <w:tcPr>
            <w:tcW w:w="1134" w:type="dxa"/>
            <w:tcBorders>
              <w:top w:val="single" w:sz="4" w:space="0" w:color="auto"/>
              <w:bottom w:val="single" w:sz="4" w:space="0" w:color="A6A6A6"/>
            </w:tcBorders>
            <w:shd w:val="clear" w:color="auto" w:fill="E7E6E6"/>
          </w:tcPr>
          <w:p w:rsidR="008F12EE" w:rsidRPr="00F85858" w:rsidRDefault="008F12EE" w:rsidP="007B7C3E">
            <w:pPr>
              <w:pStyle w:val="ARtabletextright"/>
            </w:pPr>
          </w:p>
        </w:tc>
        <w:tc>
          <w:tcPr>
            <w:tcW w:w="1134" w:type="dxa"/>
            <w:tcBorders>
              <w:top w:val="single" w:sz="4" w:space="0" w:color="auto"/>
              <w:bottom w:val="single" w:sz="4" w:space="0" w:color="A6A6A6"/>
            </w:tcBorders>
            <w:shd w:val="clear" w:color="auto" w:fill="auto"/>
          </w:tcPr>
          <w:p w:rsidR="008F12EE" w:rsidRPr="00F85858" w:rsidRDefault="008F12EE" w:rsidP="007B7C3E">
            <w:pPr>
              <w:pStyle w:val="ARtabletextright"/>
            </w:pP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Net gain/(loss) on non-financial assets</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(4.1)</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0.9</w:t>
            </w:r>
          </w:p>
        </w:tc>
      </w:tr>
      <w:tr w:rsidR="008F12EE" w:rsidRPr="00F85858" w:rsidTr="008121EC">
        <w:trPr>
          <w:cantSplit/>
        </w:trPr>
        <w:tc>
          <w:tcPr>
            <w:tcW w:w="7366" w:type="dxa"/>
            <w:tcBorders>
              <w:top w:val="single" w:sz="4" w:space="0" w:color="A6A6A6"/>
            </w:tcBorders>
            <w:shd w:val="clear" w:color="auto" w:fill="auto"/>
          </w:tcPr>
          <w:p w:rsidR="008F12EE" w:rsidRPr="00F85858" w:rsidRDefault="008F12EE" w:rsidP="007B7C3E">
            <w:pPr>
              <w:pStyle w:val="ARtabletext"/>
            </w:pPr>
            <w:r w:rsidRPr="00F85858">
              <w:t>Other gains/(losses) from other economic flows</w:t>
            </w:r>
          </w:p>
        </w:tc>
        <w:tc>
          <w:tcPr>
            <w:tcW w:w="1134" w:type="dxa"/>
            <w:tcBorders>
              <w:top w:val="single" w:sz="4" w:space="0" w:color="A6A6A6"/>
            </w:tcBorders>
            <w:shd w:val="clear" w:color="auto" w:fill="E7E6E6"/>
          </w:tcPr>
          <w:p w:rsidR="008F12EE" w:rsidRPr="00F85858" w:rsidRDefault="008F12EE" w:rsidP="007B7C3E">
            <w:pPr>
              <w:pStyle w:val="ARtabletextright"/>
            </w:pPr>
            <w:r>
              <w:t>(10.8)</w:t>
            </w:r>
          </w:p>
        </w:tc>
        <w:tc>
          <w:tcPr>
            <w:tcW w:w="1134" w:type="dxa"/>
            <w:tcBorders>
              <w:top w:val="single" w:sz="4" w:space="0" w:color="A6A6A6"/>
            </w:tcBorders>
            <w:shd w:val="clear" w:color="auto" w:fill="auto"/>
          </w:tcPr>
          <w:p w:rsidR="008F12EE" w:rsidRPr="00F85858" w:rsidRDefault="008F12EE" w:rsidP="007B7C3E">
            <w:pPr>
              <w:pStyle w:val="ARtabletextright"/>
            </w:pPr>
            <w:r w:rsidRPr="00F85858">
              <w:t>(6.7)</w:t>
            </w:r>
          </w:p>
        </w:tc>
      </w:tr>
      <w:tr w:rsidR="008F12EE" w:rsidRPr="009C6CA7" w:rsidTr="008121EC">
        <w:trPr>
          <w:cantSplit/>
        </w:trPr>
        <w:tc>
          <w:tcPr>
            <w:tcW w:w="7366" w:type="dxa"/>
            <w:shd w:val="clear" w:color="auto" w:fill="auto"/>
          </w:tcPr>
          <w:p w:rsidR="008F12EE" w:rsidRPr="009C6CA7" w:rsidRDefault="008F12EE" w:rsidP="007B7C3E">
            <w:pPr>
              <w:pStyle w:val="ARtabletextbold"/>
              <w:rPr>
                <w:rStyle w:val="Strong"/>
                <w:b/>
                <w:bCs w:val="0"/>
              </w:rPr>
            </w:pPr>
            <w:r w:rsidRPr="009C6CA7">
              <w:rPr>
                <w:rStyle w:val="Strong"/>
                <w:b/>
                <w:bCs w:val="0"/>
              </w:rPr>
              <w:t>Total other economic flows included in net result</w:t>
            </w:r>
          </w:p>
        </w:tc>
        <w:tc>
          <w:tcPr>
            <w:tcW w:w="1134" w:type="dxa"/>
            <w:shd w:val="clear" w:color="auto" w:fill="E7E6E6"/>
          </w:tcPr>
          <w:p w:rsidR="008F12EE" w:rsidRPr="009C6CA7" w:rsidRDefault="008F12EE" w:rsidP="007B7C3E">
            <w:pPr>
              <w:pStyle w:val="ARtabletextright"/>
              <w:rPr>
                <w:rStyle w:val="Strong"/>
                <w:bCs w:val="0"/>
              </w:rPr>
            </w:pPr>
            <w:r w:rsidRPr="009C6CA7">
              <w:rPr>
                <w:rStyle w:val="Strong"/>
                <w:bCs w:val="0"/>
              </w:rPr>
              <w:t>(14.9)</w:t>
            </w:r>
          </w:p>
        </w:tc>
        <w:tc>
          <w:tcPr>
            <w:tcW w:w="1134" w:type="dxa"/>
            <w:shd w:val="clear" w:color="auto" w:fill="auto"/>
          </w:tcPr>
          <w:p w:rsidR="008F12EE" w:rsidRPr="009C6CA7" w:rsidRDefault="008F12EE" w:rsidP="007B7C3E">
            <w:pPr>
              <w:pStyle w:val="ARtabletextright"/>
              <w:rPr>
                <w:rStyle w:val="Strong"/>
                <w:bCs w:val="0"/>
              </w:rPr>
            </w:pPr>
            <w:r w:rsidRPr="009C6CA7">
              <w:rPr>
                <w:rStyle w:val="Strong"/>
                <w:bCs w:val="0"/>
              </w:rPr>
              <w:t>(5.8)</w:t>
            </w:r>
          </w:p>
        </w:tc>
      </w:tr>
      <w:tr w:rsidR="008F12EE" w:rsidRPr="00127401" w:rsidTr="008121EC">
        <w:trPr>
          <w:cantSplit/>
        </w:trPr>
        <w:tc>
          <w:tcPr>
            <w:tcW w:w="7366" w:type="dxa"/>
            <w:tcBorders>
              <w:bottom w:val="single" w:sz="4" w:space="0" w:color="auto"/>
            </w:tcBorders>
            <w:shd w:val="clear" w:color="auto" w:fill="auto"/>
          </w:tcPr>
          <w:p w:rsidR="008F12EE" w:rsidRPr="009C6CA7" w:rsidRDefault="008F12EE" w:rsidP="007B7C3E">
            <w:pPr>
              <w:pStyle w:val="ARtabletextbold"/>
              <w:rPr>
                <w:rStyle w:val="Strong"/>
                <w:b/>
                <w:bCs w:val="0"/>
              </w:rPr>
            </w:pPr>
            <w:r w:rsidRPr="009C6CA7">
              <w:rPr>
                <w:rStyle w:val="Strong"/>
                <w:b/>
                <w:bCs w:val="0"/>
              </w:rPr>
              <w:t>Net result for the year</w:t>
            </w:r>
          </w:p>
        </w:tc>
        <w:tc>
          <w:tcPr>
            <w:tcW w:w="1134" w:type="dxa"/>
            <w:tcBorders>
              <w:bottom w:val="single" w:sz="4" w:space="0" w:color="auto"/>
            </w:tcBorders>
            <w:shd w:val="clear" w:color="auto" w:fill="E7E6E6"/>
          </w:tcPr>
          <w:p w:rsidR="008F12EE" w:rsidRPr="009C6CA7" w:rsidRDefault="008F12EE" w:rsidP="007B7C3E">
            <w:pPr>
              <w:pStyle w:val="ARtabletextright"/>
              <w:rPr>
                <w:rStyle w:val="Strong"/>
                <w:bCs w:val="0"/>
              </w:rPr>
            </w:pPr>
            <w:r w:rsidRPr="009C6CA7">
              <w:rPr>
                <w:rStyle w:val="Strong"/>
                <w:bCs w:val="0"/>
              </w:rPr>
              <w:t>(369.3)</w:t>
            </w:r>
          </w:p>
        </w:tc>
        <w:tc>
          <w:tcPr>
            <w:tcW w:w="1134" w:type="dxa"/>
            <w:tcBorders>
              <w:bottom w:val="single" w:sz="4" w:space="0" w:color="auto"/>
            </w:tcBorders>
            <w:shd w:val="clear" w:color="auto" w:fill="auto"/>
          </w:tcPr>
          <w:p w:rsidR="008F12EE" w:rsidRPr="009C6CA7" w:rsidRDefault="008F12EE" w:rsidP="007B7C3E">
            <w:pPr>
              <w:pStyle w:val="ARtabletextright"/>
              <w:rPr>
                <w:rStyle w:val="Strong"/>
                <w:bCs w:val="0"/>
              </w:rPr>
            </w:pPr>
            <w:r w:rsidRPr="009C6CA7">
              <w:rPr>
                <w:rStyle w:val="Strong"/>
                <w:bCs w:val="0"/>
              </w:rPr>
              <w:t>265.9</w:t>
            </w:r>
          </w:p>
        </w:tc>
      </w:tr>
      <w:tr w:rsidR="008F12EE" w:rsidRPr="00F85858" w:rsidTr="008121EC">
        <w:trPr>
          <w:cantSplit/>
        </w:trPr>
        <w:tc>
          <w:tcPr>
            <w:tcW w:w="7366" w:type="dxa"/>
            <w:tcBorders>
              <w:top w:val="single" w:sz="4" w:space="0" w:color="auto"/>
              <w:bottom w:val="single" w:sz="4" w:space="0" w:color="A6A6A6"/>
            </w:tcBorders>
            <w:shd w:val="clear" w:color="auto" w:fill="auto"/>
          </w:tcPr>
          <w:p w:rsidR="008F12EE" w:rsidRPr="00127401" w:rsidRDefault="008F12EE" w:rsidP="007B7C3E">
            <w:pPr>
              <w:pStyle w:val="ARtabletext"/>
              <w:rPr>
                <w:rStyle w:val="Strong"/>
              </w:rPr>
            </w:pPr>
            <w:r w:rsidRPr="00127401">
              <w:rPr>
                <w:rStyle w:val="Strong"/>
              </w:rPr>
              <w:t xml:space="preserve">Other economic flows </w:t>
            </w:r>
            <w:r>
              <w:rPr>
                <w:rStyle w:val="Strong"/>
              </w:rPr>
              <w:t>–</w:t>
            </w:r>
            <w:r w:rsidRPr="00127401">
              <w:rPr>
                <w:rStyle w:val="Strong"/>
              </w:rPr>
              <w:t xml:space="preserve"> other comprehensive income</w:t>
            </w:r>
          </w:p>
        </w:tc>
        <w:tc>
          <w:tcPr>
            <w:tcW w:w="1134" w:type="dxa"/>
            <w:tcBorders>
              <w:top w:val="single" w:sz="4" w:space="0" w:color="auto"/>
              <w:bottom w:val="single" w:sz="4" w:space="0" w:color="A6A6A6"/>
            </w:tcBorders>
            <w:shd w:val="clear" w:color="auto" w:fill="E7E6E6"/>
          </w:tcPr>
          <w:p w:rsidR="008F12EE" w:rsidRPr="00AD32FA" w:rsidRDefault="008F12EE" w:rsidP="007B7C3E">
            <w:pPr>
              <w:pStyle w:val="ARtabletextright"/>
            </w:pPr>
          </w:p>
        </w:tc>
        <w:tc>
          <w:tcPr>
            <w:tcW w:w="1134" w:type="dxa"/>
            <w:tcBorders>
              <w:top w:val="single" w:sz="4" w:space="0" w:color="auto"/>
              <w:bottom w:val="single" w:sz="4" w:space="0" w:color="A6A6A6"/>
            </w:tcBorders>
            <w:shd w:val="clear" w:color="auto" w:fill="auto"/>
          </w:tcPr>
          <w:p w:rsidR="008F12EE" w:rsidRPr="00AD32FA" w:rsidRDefault="008F12EE" w:rsidP="007B7C3E">
            <w:pPr>
              <w:pStyle w:val="ARtabletextright"/>
            </w:pP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127401" w:rsidRDefault="008F12EE" w:rsidP="007B7C3E">
            <w:pPr>
              <w:pStyle w:val="ARtabletext"/>
              <w:rPr>
                <w:rStyle w:val="Strong"/>
              </w:rPr>
            </w:pPr>
            <w:r w:rsidRPr="00127401">
              <w:rPr>
                <w:rStyle w:val="Strong"/>
              </w:rPr>
              <w:t>Items that will not be reclassified to net result</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r w:rsidRPr="00F85858">
              <w:t>Changes in physical asset revaluation reserve</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t>1,893.6</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2,345.9</w:t>
            </w:r>
          </w:p>
        </w:tc>
      </w:tr>
      <w:tr w:rsidR="008F12EE" w:rsidRPr="00F85858" w:rsidTr="008121EC">
        <w:trPr>
          <w:cantSplit/>
        </w:trPr>
        <w:tc>
          <w:tcPr>
            <w:tcW w:w="7366" w:type="dxa"/>
            <w:tcBorders>
              <w:top w:val="single" w:sz="4" w:space="0" w:color="A6A6A6"/>
              <w:bottom w:val="single" w:sz="4" w:space="0" w:color="A6A6A6"/>
            </w:tcBorders>
            <w:shd w:val="clear" w:color="auto" w:fill="auto"/>
          </w:tcPr>
          <w:p w:rsidR="008F12EE" w:rsidRPr="00F85858" w:rsidRDefault="008F12EE" w:rsidP="007B7C3E">
            <w:pPr>
              <w:pStyle w:val="ARtabletext"/>
            </w:pPr>
            <w:proofErr w:type="spellStart"/>
            <w:r w:rsidRPr="00F85858">
              <w:t>Re</w:t>
            </w:r>
            <w:r>
              <w:t>measurement</w:t>
            </w:r>
            <w:proofErr w:type="spellEnd"/>
            <w:r w:rsidRPr="00F85858">
              <w:t xml:space="preserve"> of superannuation defined benefit plans</w:t>
            </w:r>
          </w:p>
        </w:tc>
        <w:tc>
          <w:tcPr>
            <w:tcW w:w="1134" w:type="dxa"/>
            <w:tcBorders>
              <w:top w:val="single" w:sz="4" w:space="0" w:color="A6A6A6"/>
              <w:bottom w:val="single" w:sz="4" w:space="0" w:color="A6A6A6"/>
            </w:tcBorders>
            <w:shd w:val="clear" w:color="auto" w:fill="E7E6E6"/>
          </w:tcPr>
          <w:p w:rsidR="008F12EE" w:rsidRPr="00F85858" w:rsidRDefault="008F12EE" w:rsidP="007B7C3E">
            <w:pPr>
              <w:pStyle w:val="ARtabletextright"/>
            </w:pPr>
            <w:r w:rsidRPr="00F85858">
              <w:t>0.9</w:t>
            </w:r>
          </w:p>
        </w:tc>
        <w:tc>
          <w:tcPr>
            <w:tcW w:w="1134" w:type="dxa"/>
            <w:tcBorders>
              <w:top w:val="single" w:sz="4" w:space="0" w:color="A6A6A6"/>
              <w:bottom w:val="single" w:sz="4" w:space="0" w:color="A6A6A6"/>
            </w:tcBorders>
            <w:shd w:val="clear" w:color="auto" w:fill="auto"/>
          </w:tcPr>
          <w:p w:rsidR="008F12EE" w:rsidRPr="00F85858" w:rsidRDefault="008F12EE" w:rsidP="007B7C3E">
            <w:pPr>
              <w:pStyle w:val="ARtabletextright"/>
            </w:pPr>
            <w:r w:rsidRPr="00F85858">
              <w:t>0.9</w:t>
            </w:r>
          </w:p>
        </w:tc>
      </w:tr>
      <w:tr w:rsidR="008F12EE" w:rsidRPr="00127401" w:rsidTr="008121EC">
        <w:trPr>
          <w:cantSplit/>
        </w:trPr>
        <w:tc>
          <w:tcPr>
            <w:tcW w:w="7366" w:type="dxa"/>
            <w:tcBorders>
              <w:top w:val="single" w:sz="4" w:space="0" w:color="A6A6A6"/>
            </w:tcBorders>
            <w:shd w:val="clear" w:color="auto" w:fill="auto"/>
          </w:tcPr>
          <w:p w:rsidR="008F12EE" w:rsidRPr="00127401" w:rsidRDefault="008F12EE" w:rsidP="007B7C3E">
            <w:pPr>
              <w:pStyle w:val="ARtabletext"/>
              <w:rPr>
                <w:rStyle w:val="Strong"/>
              </w:rPr>
            </w:pPr>
            <w:r w:rsidRPr="00127401">
              <w:rPr>
                <w:rStyle w:val="Strong"/>
              </w:rPr>
              <w:t xml:space="preserve">Total other economic flows </w:t>
            </w:r>
            <w:r>
              <w:rPr>
                <w:rStyle w:val="Strong"/>
              </w:rPr>
              <w:t>–</w:t>
            </w:r>
            <w:r w:rsidRPr="00127401">
              <w:rPr>
                <w:rStyle w:val="Strong"/>
              </w:rPr>
              <w:t xml:space="preserve"> other comprehensive income</w:t>
            </w:r>
          </w:p>
        </w:tc>
        <w:tc>
          <w:tcPr>
            <w:tcW w:w="1134" w:type="dxa"/>
            <w:tcBorders>
              <w:top w:val="single" w:sz="4" w:space="0" w:color="A6A6A6"/>
            </w:tcBorders>
            <w:shd w:val="clear" w:color="auto" w:fill="E7E6E6"/>
          </w:tcPr>
          <w:p w:rsidR="008F12EE" w:rsidRPr="00127401" w:rsidRDefault="008F12EE" w:rsidP="007B7C3E">
            <w:pPr>
              <w:pStyle w:val="ARtabletextright"/>
              <w:rPr>
                <w:rStyle w:val="Strong"/>
              </w:rPr>
            </w:pPr>
            <w:r>
              <w:rPr>
                <w:rStyle w:val="Strong"/>
              </w:rPr>
              <w:t>1,894.4</w:t>
            </w:r>
          </w:p>
        </w:tc>
        <w:tc>
          <w:tcPr>
            <w:tcW w:w="1134" w:type="dxa"/>
            <w:tcBorders>
              <w:top w:val="single" w:sz="4" w:space="0" w:color="A6A6A6"/>
            </w:tcBorders>
            <w:shd w:val="clear" w:color="auto" w:fill="auto"/>
          </w:tcPr>
          <w:p w:rsidR="008F12EE" w:rsidRPr="00127401" w:rsidRDefault="008F12EE" w:rsidP="007B7C3E">
            <w:pPr>
              <w:pStyle w:val="ARtabletextright"/>
              <w:rPr>
                <w:rStyle w:val="Strong"/>
              </w:rPr>
            </w:pPr>
            <w:r w:rsidRPr="00127401">
              <w:rPr>
                <w:rStyle w:val="Strong"/>
              </w:rPr>
              <w:t>2,346.8</w:t>
            </w:r>
          </w:p>
        </w:tc>
      </w:tr>
      <w:tr w:rsidR="008F12EE" w:rsidRPr="00471D3D" w:rsidTr="008121EC">
        <w:trPr>
          <w:cantSplit/>
        </w:trPr>
        <w:tc>
          <w:tcPr>
            <w:tcW w:w="7366" w:type="dxa"/>
            <w:shd w:val="clear" w:color="auto" w:fill="auto"/>
          </w:tcPr>
          <w:p w:rsidR="008F12EE" w:rsidRPr="00471D3D" w:rsidRDefault="008F12EE" w:rsidP="007B7C3E">
            <w:pPr>
              <w:pStyle w:val="ARtabletextbold"/>
              <w:rPr>
                <w:rStyle w:val="Strong"/>
              </w:rPr>
            </w:pPr>
            <w:r w:rsidRPr="009C6CA7">
              <w:rPr>
                <w:rStyle w:val="Strong"/>
                <w:b/>
                <w:bCs w:val="0"/>
              </w:rPr>
              <w:t>Comprehensive</w:t>
            </w:r>
            <w:r w:rsidRPr="00471D3D">
              <w:rPr>
                <w:rStyle w:val="Strong"/>
              </w:rPr>
              <w:t xml:space="preserve"> </w:t>
            </w:r>
            <w:r w:rsidRPr="009C6CA7">
              <w:rPr>
                <w:rStyle w:val="Strong"/>
                <w:b/>
              </w:rPr>
              <w:t>result</w:t>
            </w:r>
          </w:p>
        </w:tc>
        <w:tc>
          <w:tcPr>
            <w:tcW w:w="1134" w:type="dxa"/>
            <w:shd w:val="clear" w:color="auto" w:fill="E7E6E6"/>
          </w:tcPr>
          <w:p w:rsidR="008F12EE" w:rsidRPr="00471D3D" w:rsidRDefault="008F12EE" w:rsidP="007B7C3E">
            <w:pPr>
              <w:pStyle w:val="ARtabletextright"/>
              <w:rPr>
                <w:rStyle w:val="Strong"/>
              </w:rPr>
            </w:pPr>
            <w:r>
              <w:rPr>
                <w:rStyle w:val="Strong"/>
              </w:rPr>
              <w:t>1,525.2</w:t>
            </w:r>
          </w:p>
        </w:tc>
        <w:tc>
          <w:tcPr>
            <w:tcW w:w="1134" w:type="dxa"/>
            <w:shd w:val="clear" w:color="auto" w:fill="auto"/>
          </w:tcPr>
          <w:p w:rsidR="008F12EE" w:rsidRPr="00471D3D" w:rsidRDefault="008F12EE" w:rsidP="007B7C3E">
            <w:pPr>
              <w:pStyle w:val="ARtabletextright"/>
              <w:rPr>
                <w:rStyle w:val="Strong"/>
              </w:rPr>
            </w:pPr>
            <w:r w:rsidRPr="00471D3D">
              <w:rPr>
                <w:rStyle w:val="Strong"/>
              </w:rPr>
              <w:t>2,612.7</w:t>
            </w:r>
          </w:p>
        </w:tc>
      </w:tr>
    </w:tbl>
    <w:p w:rsidR="005259DB" w:rsidRDefault="005259DB" w:rsidP="005259DB">
      <w:pPr>
        <w:pStyle w:val="ARbody"/>
      </w:pPr>
      <w:r>
        <w:br w:type="page"/>
      </w:r>
    </w:p>
    <w:p w:rsidR="008F12EE" w:rsidRPr="00A07A25" w:rsidRDefault="008F12EE" w:rsidP="008F12EE">
      <w:pPr>
        <w:pStyle w:val="Heading3"/>
        <w:rPr>
          <w:rFonts w:eastAsia="Times" w:cs="Arial"/>
          <w:b/>
          <w:bCs w:val="0"/>
          <w:color w:val="auto"/>
          <w:sz w:val="20"/>
          <w:szCs w:val="20"/>
          <w:lang w:eastAsia="en-US"/>
        </w:rPr>
      </w:pPr>
      <w:r w:rsidRPr="00A07A25">
        <w:rPr>
          <w:rFonts w:eastAsia="Times" w:cs="Arial"/>
          <w:b/>
          <w:bCs w:val="0"/>
          <w:color w:val="auto"/>
          <w:sz w:val="20"/>
          <w:szCs w:val="20"/>
          <w:lang w:eastAsia="en-US"/>
        </w:rPr>
        <w:lastRenderedPageBreak/>
        <w:t>Notes on extraordinary items affecting the net result from transactions:</w:t>
      </w:r>
    </w:p>
    <w:p w:rsidR="008F12EE" w:rsidRDefault="008F12EE" w:rsidP="00876A68">
      <w:pPr>
        <w:pStyle w:val="ARtablefootnotenumbered"/>
        <w:numPr>
          <w:ilvl w:val="0"/>
          <w:numId w:val="48"/>
        </w:numPr>
        <w:ind w:left="284" w:hanging="284"/>
        <w:rPr>
          <w:rFonts w:eastAsia="Times"/>
        </w:rPr>
      </w:pPr>
      <w:r w:rsidRPr="00A07A25">
        <w:rPr>
          <w:rFonts w:eastAsia="Times"/>
        </w:rPr>
        <w:t xml:space="preserve">The </w:t>
      </w:r>
      <w:r>
        <w:rPr>
          <w:rFonts w:eastAsia="Times"/>
        </w:rPr>
        <w:t>n</w:t>
      </w:r>
      <w:r w:rsidRPr="00A07A25">
        <w:rPr>
          <w:rFonts w:eastAsia="Times"/>
        </w:rPr>
        <w:t>et result from transactions for 2016</w:t>
      </w:r>
      <w:r>
        <w:rPr>
          <w:rFonts w:eastAsia="Times"/>
        </w:rPr>
        <w:t>–</w:t>
      </w:r>
      <w:r w:rsidRPr="00A07A25">
        <w:rPr>
          <w:rFonts w:eastAsia="Times"/>
        </w:rPr>
        <w:t>17 is ($354.4) million deficit.</w:t>
      </w:r>
      <w:r w:rsidRPr="00A07A25">
        <w:t xml:space="preserve"> </w:t>
      </w:r>
      <w:r w:rsidRPr="00A07A25">
        <w:rPr>
          <w:rFonts w:eastAsia="Times"/>
        </w:rPr>
        <w:t>The ($354.4) million deficit has resulted from two main reasons:</w:t>
      </w:r>
    </w:p>
    <w:p w:rsidR="008F12EE" w:rsidRDefault="008F12EE" w:rsidP="00876A68">
      <w:pPr>
        <w:pStyle w:val="ARtablefootnotenumbered"/>
        <w:numPr>
          <w:ilvl w:val="0"/>
          <w:numId w:val="49"/>
        </w:numPr>
        <w:ind w:left="568" w:hanging="284"/>
      </w:pPr>
      <w:r w:rsidRPr="00A07A25">
        <w:t xml:space="preserve">The Director of Housing’s first tranche of the staged title transfer of </w:t>
      </w:r>
      <w:r>
        <w:t>d</w:t>
      </w:r>
      <w:r w:rsidRPr="00A07A25">
        <w:t>irector</w:t>
      </w:r>
      <w:r>
        <w:t>-</w:t>
      </w:r>
      <w:r w:rsidRPr="00A07A25">
        <w:t xml:space="preserve">owned properties to Aboriginal Housing Victoria. The first tranche of approximately 500 dwellings located in the metropolitan area (approximately one third of AHV’s management portfolio) was transferred on 28 July 2016. The financial effect is a $205.1 million reduction of the director’s net assets in the balance sheet and a $205.1 million expense in the </w:t>
      </w:r>
      <w:r>
        <w:t>c</w:t>
      </w:r>
      <w:r w:rsidRPr="00A07A25">
        <w:t xml:space="preserve">omprehensive </w:t>
      </w:r>
      <w:r>
        <w:t>o</w:t>
      </w:r>
      <w:r w:rsidRPr="00A07A25">
        <w:t xml:space="preserve">perating </w:t>
      </w:r>
      <w:r>
        <w:t>s</w:t>
      </w:r>
      <w:r w:rsidRPr="00A07A25">
        <w:t xml:space="preserve">tatement (charged to the </w:t>
      </w:r>
      <w:r>
        <w:t>f</w:t>
      </w:r>
      <w:r w:rsidRPr="00A07A25">
        <w:t>air value of assets and services provided free of charge line)</w:t>
      </w:r>
      <w:r>
        <w:t>.</w:t>
      </w:r>
    </w:p>
    <w:p w:rsidR="008F12EE" w:rsidRDefault="008F12EE" w:rsidP="00876A68">
      <w:pPr>
        <w:pStyle w:val="ARtablefootnotenumbered"/>
        <w:numPr>
          <w:ilvl w:val="0"/>
          <w:numId w:val="49"/>
        </w:numPr>
        <w:ind w:left="568" w:hanging="284"/>
        <w:rPr>
          <w:lang w:eastAsia="en-AU"/>
        </w:rPr>
      </w:pPr>
      <w:r w:rsidRPr="00A07A25">
        <w:rPr>
          <w:lang w:eastAsia="en-AU"/>
        </w:rPr>
        <w:t>$150.8 million is due to increased expenditure on a number of new initiatives in Family Violence and Homelessness, including Rapid Housing, Home Boost and various Supported Accommodation Assisted Program Grants.</w:t>
      </w:r>
    </w:p>
    <w:p w:rsidR="008F12EE" w:rsidRDefault="008F12EE" w:rsidP="00876A68">
      <w:pPr>
        <w:pStyle w:val="ARtablefootnotenumbered"/>
        <w:numPr>
          <w:ilvl w:val="0"/>
          <w:numId w:val="48"/>
        </w:numPr>
        <w:ind w:left="284" w:hanging="284"/>
        <w:rPr>
          <w:lang w:eastAsia="en-AU"/>
        </w:rPr>
      </w:pPr>
      <w:r w:rsidRPr="00A07A25">
        <w:rPr>
          <w:lang w:eastAsia="en-AU"/>
        </w:rPr>
        <w:t xml:space="preserve">The </w:t>
      </w:r>
      <w:r>
        <w:rPr>
          <w:lang w:eastAsia="en-AU"/>
        </w:rPr>
        <w:t>n</w:t>
      </w:r>
      <w:r w:rsidRPr="00A07A25">
        <w:rPr>
          <w:lang w:eastAsia="en-AU"/>
        </w:rPr>
        <w:t>et result from transactions for 2015</w:t>
      </w:r>
      <w:r>
        <w:rPr>
          <w:lang w:eastAsia="en-AU"/>
        </w:rPr>
        <w:t>–</w:t>
      </w:r>
      <w:r w:rsidRPr="00A07A25">
        <w:rPr>
          <w:lang w:eastAsia="en-AU"/>
        </w:rPr>
        <w:t xml:space="preserve">16 was $271.7 million surplus. The surplus last year was due to one off revenue resulting from the extinguishment of the loan between the Director of Housing and the </w:t>
      </w:r>
      <w:r>
        <w:rPr>
          <w:lang w:eastAsia="en-AU"/>
        </w:rPr>
        <w:t>g</w:t>
      </w:r>
      <w:r w:rsidRPr="00A07A25">
        <w:rPr>
          <w:lang w:eastAsia="en-AU"/>
        </w:rPr>
        <w:t xml:space="preserve">overnment. The Director of Housing had an existing loan with the </w:t>
      </w:r>
      <w:r>
        <w:rPr>
          <w:lang w:eastAsia="en-AU"/>
        </w:rPr>
        <w:t>g</w:t>
      </w:r>
      <w:r w:rsidRPr="00A07A25">
        <w:rPr>
          <w:lang w:eastAsia="en-AU"/>
        </w:rPr>
        <w:t xml:space="preserve">overnment which was provided to grow public housing and homeownership. For administrative simplicity, the </w:t>
      </w:r>
      <w:r>
        <w:rPr>
          <w:lang w:eastAsia="en-AU"/>
        </w:rPr>
        <w:t>g</w:t>
      </w:r>
      <w:r w:rsidRPr="00A07A25">
        <w:rPr>
          <w:lang w:eastAsia="en-AU"/>
        </w:rPr>
        <w:t>overnment has forgiven the outstanding balance of the loan and the Director of Housing was no longer required to make repayments. Rather, grant revenue provided to the Director of Housing will be reduced by an amount equal to the annual repayment.</w:t>
      </w:r>
    </w:p>
    <w:p w:rsidR="008F12EE" w:rsidRPr="00DF00A8" w:rsidRDefault="008F12EE" w:rsidP="00DF00A8">
      <w:pPr>
        <w:pStyle w:val="ARbody"/>
      </w:pPr>
      <w:bookmarkStart w:id="128" w:name="_Toc462577206"/>
      <w:r>
        <w:br w:type="page"/>
      </w:r>
    </w:p>
    <w:p w:rsidR="008F12EE" w:rsidRDefault="008F12EE" w:rsidP="008F12EE">
      <w:pPr>
        <w:pStyle w:val="Heading3"/>
      </w:pPr>
      <w:r w:rsidRPr="00F85858">
        <w:lastRenderedPageBreak/>
        <w:t>Balance sheet as at 30 June 201</w:t>
      </w:r>
      <w:bookmarkEnd w:id="128"/>
      <w:r>
        <w:t>7</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F12EE" w:rsidRPr="008F6F61" w:rsidTr="008121EC">
        <w:trPr>
          <w:cantSplit/>
          <w:tblHeader/>
        </w:trPr>
        <w:tc>
          <w:tcPr>
            <w:tcW w:w="7371" w:type="dxa"/>
            <w:tcBorders>
              <w:bottom w:val="single" w:sz="4" w:space="0" w:color="auto"/>
            </w:tcBorders>
            <w:shd w:val="clear" w:color="auto" w:fill="auto"/>
          </w:tcPr>
          <w:p w:rsidR="008F12EE" w:rsidRPr="008F6F61" w:rsidRDefault="008F12EE" w:rsidP="00E924ED">
            <w:pPr>
              <w:pStyle w:val="ARtabletext"/>
              <w:rPr>
                <w:rStyle w:val="Strong"/>
              </w:rPr>
            </w:pPr>
          </w:p>
        </w:tc>
        <w:tc>
          <w:tcPr>
            <w:tcW w:w="1134" w:type="dxa"/>
            <w:tcBorders>
              <w:bottom w:val="single" w:sz="4" w:space="0" w:color="auto"/>
            </w:tcBorders>
            <w:shd w:val="clear" w:color="auto" w:fill="E7E6E6"/>
          </w:tcPr>
          <w:p w:rsidR="008F12EE" w:rsidRPr="00E15DF2" w:rsidRDefault="008F12EE" w:rsidP="00E15DF2">
            <w:pPr>
              <w:pStyle w:val="ARtablecolheadright"/>
              <w:rPr>
                <w:rStyle w:val="Strong"/>
                <w:b/>
                <w:bCs w:val="0"/>
              </w:rPr>
            </w:pPr>
            <w:r w:rsidRPr="00E15DF2">
              <w:rPr>
                <w:rStyle w:val="Strong"/>
                <w:b/>
                <w:bCs w:val="0"/>
              </w:rPr>
              <w:t>2017</w:t>
            </w:r>
          </w:p>
          <w:p w:rsidR="008F12EE" w:rsidRPr="00E15DF2" w:rsidRDefault="008F12EE" w:rsidP="00E15DF2">
            <w:pPr>
              <w:pStyle w:val="ARtablecolheadright"/>
              <w:rPr>
                <w:rStyle w:val="Strong"/>
                <w:b/>
                <w:bCs w:val="0"/>
              </w:rPr>
            </w:pPr>
            <w:r w:rsidRPr="00E15DF2">
              <w:rPr>
                <w:rStyle w:val="Strong"/>
                <w:b/>
                <w:bCs w:val="0"/>
              </w:rPr>
              <w:t>$M</w:t>
            </w:r>
          </w:p>
        </w:tc>
        <w:tc>
          <w:tcPr>
            <w:tcW w:w="1134" w:type="dxa"/>
            <w:tcBorders>
              <w:bottom w:val="single" w:sz="4" w:space="0" w:color="auto"/>
            </w:tcBorders>
            <w:shd w:val="clear" w:color="auto" w:fill="auto"/>
          </w:tcPr>
          <w:p w:rsidR="008F12EE" w:rsidRPr="00E15DF2" w:rsidRDefault="008F12EE" w:rsidP="00E15DF2">
            <w:pPr>
              <w:pStyle w:val="ARtablecolheadright"/>
              <w:rPr>
                <w:rStyle w:val="Strong"/>
                <w:b/>
                <w:bCs w:val="0"/>
              </w:rPr>
            </w:pPr>
            <w:r w:rsidRPr="00E15DF2">
              <w:rPr>
                <w:rStyle w:val="Strong"/>
                <w:b/>
                <w:bCs w:val="0"/>
              </w:rPr>
              <w:t>2016</w:t>
            </w:r>
          </w:p>
          <w:p w:rsidR="008F12EE" w:rsidRPr="00E15DF2" w:rsidRDefault="008F12EE" w:rsidP="00E15DF2">
            <w:pPr>
              <w:pStyle w:val="ARtablecolheadright"/>
              <w:rPr>
                <w:rStyle w:val="Strong"/>
                <w:b/>
                <w:bCs w:val="0"/>
              </w:rPr>
            </w:pPr>
            <w:r w:rsidRPr="00E15DF2">
              <w:rPr>
                <w:rStyle w:val="Strong"/>
                <w:b/>
                <w:bCs w:val="0"/>
              </w:rPr>
              <w:t>$M</w:t>
            </w:r>
          </w:p>
        </w:tc>
      </w:tr>
      <w:tr w:rsidR="008F12EE" w:rsidRPr="008F6F61" w:rsidTr="008121EC">
        <w:trPr>
          <w:cantSplit/>
        </w:trPr>
        <w:tc>
          <w:tcPr>
            <w:tcW w:w="7371" w:type="dxa"/>
            <w:tcBorders>
              <w:top w:val="single" w:sz="4" w:space="0" w:color="auto"/>
              <w:bottom w:val="single" w:sz="4" w:space="0" w:color="A6A6A6"/>
            </w:tcBorders>
            <w:shd w:val="clear" w:color="auto" w:fill="auto"/>
          </w:tcPr>
          <w:p w:rsidR="008F12EE" w:rsidRPr="008F6F61" w:rsidRDefault="008F12EE" w:rsidP="00E924ED">
            <w:pPr>
              <w:pStyle w:val="ARtabletext"/>
              <w:rPr>
                <w:rStyle w:val="Strong"/>
              </w:rPr>
            </w:pPr>
            <w:r w:rsidRPr="008F6F61">
              <w:rPr>
                <w:rStyle w:val="Strong"/>
              </w:rPr>
              <w:t>Assets</w:t>
            </w:r>
          </w:p>
        </w:tc>
        <w:tc>
          <w:tcPr>
            <w:tcW w:w="1134" w:type="dxa"/>
            <w:tcBorders>
              <w:top w:val="single" w:sz="4" w:space="0" w:color="auto"/>
              <w:bottom w:val="single" w:sz="4" w:space="0" w:color="A6A6A6"/>
            </w:tcBorders>
            <w:shd w:val="clear" w:color="auto" w:fill="E7E6E6"/>
          </w:tcPr>
          <w:p w:rsidR="008F12EE" w:rsidRPr="008F6F61" w:rsidRDefault="008F12EE" w:rsidP="00E924ED">
            <w:pPr>
              <w:pStyle w:val="ARtabletextright"/>
              <w:rPr>
                <w:rStyle w:val="Strong"/>
              </w:rPr>
            </w:pPr>
          </w:p>
        </w:tc>
        <w:tc>
          <w:tcPr>
            <w:tcW w:w="1134" w:type="dxa"/>
            <w:tcBorders>
              <w:top w:val="single" w:sz="4" w:space="0" w:color="auto"/>
              <w:bottom w:val="single" w:sz="4" w:space="0" w:color="A6A6A6"/>
            </w:tcBorders>
            <w:shd w:val="clear" w:color="auto" w:fill="auto"/>
          </w:tcPr>
          <w:p w:rsidR="008F12EE" w:rsidRPr="008F6F61" w:rsidRDefault="008F12EE" w:rsidP="00E924ED">
            <w:pPr>
              <w:pStyle w:val="ARtabletextright"/>
              <w:rPr>
                <w:rStyle w:val="Strong"/>
              </w:rPr>
            </w:pPr>
          </w:p>
        </w:tc>
      </w:tr>
      <w:tr w:rsidR="008F12EE" w:rsidRPr="008F6F61" w:rsidTr="008121EC">
        <w:trPr>
          <w:cantSplit/>
        </w:trPr>
        <w:tc>
          <w:tcPr>
            <w:tcW w:w="7371" w:type="dxa"/>
            <w:tcBorders>
              <w:top w:val="single" w:sz="4" w:space="0" w:color="A6A6A6"/>
              <w:bottom w:val="single" w:sz="4" w:space="0" w:color="A6A6A6"/>
            </w:tcBorders>
            <w:shd w:val="clear" w:color="auto" w:fill="auto"/>
          </w:tcPr>
          <w:p w:rsidR="008F12EE" w:rsidRPr="008F6F61" w:rsidRDefault="008F12EE" w:rsidP="00E924ED">
            <w:pPr>
              <w:pStyle w:val="ARtabletext"/>
              <w:rPr>
                <w:rStyle w:val="Strong"/>
              </w:rPr>
            </w:pPr>
            <w:r w:rsidRPr="008F6F61">
              <w:rPr>
                <w:rStyle w:val="Strong"/>
              </w:rPr>
              <w:t>Financial assets</w:t>
            </w:r>
          </w:p>
        </w:tc>
        <w:tc>
          <w:tcPr>
            <w:tcW w:w="1134" w:type="dxa"/>
            <w:tcBorders>
              <w:top w:val="single" w:sz="4" w:space="0" w:color="A6A6A6"/>
              <w:bottom w:val="single" w:sz="4" w:space="0" w:color="A6A6A6"/>
            </w:tcBorders>
            <w:shd w:val="clear" w:color="auto" w:fill="E7E6E6"/>
          </w:tcPr>
          <w:p w:rsidR="008F12EE" w:rsidRPr="008F6F61" w:rsidRDefault="008F12EE" w:rsidP="00E924ED">
            <w:pPr>
              <w:pStyle w:val="ARtabletextright"/>
              <w:rPr>
                <w:rStyle w:val="Strong"/>
              </w:rPr>
            </w:pPr>
          </w:p>
        </w:tc>
        <w:tc>
          <w:tcPr>
            <w:tcW w:w="1134" w:type="dxa"/>
            <w:tcBorders>
              <w:top w:val="single" w:sz="4" w:space="0" w:color="A6A6A6"/>
              <w:bottom w:val="single" w:sz="4" w:space="0" w:color="A6A6A6"/>
            </w:tcBorders>
            <w:shd w:val="clear" w:color="auto" w:fill="auto"/>
          </w:tcPr>
          <w:p w:rsidR="008F12EE" w:rsidRPr="008F6F61" w:rsidRDefault="008F12EE" w:rsidP="00E924ED">
            <w:pPr>
              <w:pStyle w:val="ARtabletextright"/>
              <w:rPr>
                <w:rStyle w:val="Strong"/>
              </w:rPr>
            </w:pP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Cash and deposits</w:t>
            </w:r>
          </w:p>
        </w:tc>
        <w:tc>
          <w:tcPr>
            <w:tcW w:w="1134" w:type="dxa"/>
            <w:tcBorders>
              <w:top w:val="single" w:sz="4" w:space="0" w:color="A6A6A6"/>
              <w:bottom w:val="single" w:sz="4" w:space="0" w:color="A6A6A6"/>
            </w:tcBorders>
            <w:shd w:val="clear" w:color="auto" w:fill="E7E6E6"/>
          </w:tcPr>
          <w:p w:rsidR="008F12EE" w:rsidRPr="002B0666" w:rsidRDefault="008F12EE" w:rsidP="00E924ED">
            <w:pPr>
              <w:pStyle w:val="ARtabletextright"/>
            </w:pPr>
            <w:r>
              <w:t>62.9</w:t>
            </w:r>
          </w:p>
        </w:tc>
        <w:tc>
          <w:tcPr>
            <w:tcW w:w="1134" w:type="dxa"/>
            <w:tcBorders>
              <w:top w:val="single" w:sz="4" w:space="0" w:color="A6A6A6"/>
              <w:bottom w:val="single" w:sz="4" w:space="0" w:color="A6A6A6"/>
            </w:tcBorders>
            <w:shd w:val="clear" w:color="auto" w:fill="auto"/>
          </w:tcPr>
          <w:p w:rsidR="008F12EE" w:rsidRPr="002B0666" w:rsidRDefault="008F12EE" w:rsidP="00E924ED">
            <w:pPr>
              <w:pStyle w:val="ARtabletextright"/>
            </w:pPr>
            <w:r w:rsidRPr="002B0666">
              <w:t>81.5</w:t>
            </w: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Receivables</w:t>
            </w:r>
          </w:p>
        </w:tc>
        <w:tc>
          <w:tcPr>
            <w:tcW w:w="1134" w:type="dxa"/>
            <w:tcBorders>
              <w:top w:val="single" w:sz="4" w:space="0" w:color="A6A6A6"/>
              <w:bottom w:val="single" w:sz="4" w:space="0" w:color="A6A6A6"/>
            </w:tcBorders>
            <w:shd w:val="clear" w:color="auto" w:fill="E7E6E6"/>
          </w:tcPr>
          <w:p w:rsidR="008F12EE" w:rsidRPr="00F85858" w:rsidRDefault="008F12EE" w:rsidP="00E924ED">
            <w:pPr>
              <w:pStyle w:val="ARtabletextright"/>
            </w:pPr>
            <w:r>
              <w:t>27.7</w:t>
            </w:r>
          </w:p>
        </w:tc>
        <w:tc>
          <w:tcPr>
            <w:tcW w:w="1134" w:type="dxa"/>
            <w:tcBorders>
              <w:top w:val="single" w:sz="4" w:space="0" w:color="A6A6A6"/>
              <w:bottom w:val="single" w:sz="4" w:space="0" w:color="A6A6A6"/>
            </w:tcBorders>
            <w:shd w:val="clear" w:color="auto" w:fill="auto"/>
          </w:tcPr>
          <w:p w:rsidR="008F12EE" w:rsidRPr="00F85858" w:rsidRDefault="008F12EE" w:rsidP="00E924ED">
            <w:pPr>
              <w:pStyle w:val="ARtabletextright"/>
            </w:pPr>
            <w:r w:rsidRPr="00F85858">
              <w:t>18.9</w:t>
            </w: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 xml:space="preserve">Loans </w:t>
            </w:r>
          </w:p>
        </w:tc>
        <w:tc>
          <w:tcPr>
            <w:tcW w:w="1134" w:type="dxa"/>
            <w:tcBorders>
              <w:top w:val="single" w:sz="4" w:space="0" w:color="A6A6A6"/>
              <w:bottom w:val="single" w:sz="4" w:space="0" w:color="A6A6A6"/>
            </w:tcBorders>
            <w:shd w:val="clear" w:color="auto" w:fill="E7E6E6"/>
          </w:tcPr>
          <w:p w:rsidR="008F12EE" w:rsidRPr="00F85858" w:rsidRDefault="008F12EE" w:rsidP="00E924ED">
            <w:pPr>
              <w:pStyle w:val="ARtabletextright"/>
            </w:pPr>
            <w:r>
              <w:t>40.0</w:t>
            </w:r>
          </w:p>
        </w:tc>
        <w:tc>
          <w:tcPr>
            <w:tcW w:w="1134" w:type="dxa"/>
            <w:tcBorders>
              <w:top w:val="single" w:sz="4" w:space="0" w:color="A6A6A6"/>
              <w:bottom w:val="single" w:sz="4" w:space="0" w:color="A6A6A6"/>
            </w:tcBorders>
            <w:shd w:val="clear" w:color="auto" w:fill="auto"/>
          </w:tcPr>
          <w:p w:rsidR="008F12EE" w:rsidRPr="00F85858" w:rsidRDefault="008F12EE" w:rsidP="00E924ED">
            <w:pPr>
              <w:pStyle w:val="ARtabletextright"/>
            </w:pPr>
            <w:r w:rsidRPr="00F85858">
              <w:t>42.5</w:t>
            </w:r>
          </w:p>
        </w:tc>
      </w:tr>
      <w:tr w:rsidR="008F12EE" w:rsidRPr="00F85858" w:rsidTr="008121EC">
        <w:trPr>
          <w:cantSplit/>
        </w:trPr>
        <w:tc>
          <w:tcPr>
            <w:tcW w:w="7371" w:type="dxa"/>
            <w:tcBorders>
              <w:top w:val="single" w:sz="4" w:space="0" w:color="A6A6A6"/>
            </w:tcBorders>
            <w:shd w:val="clear" w:color="auto" w:fill="auto"/>
          </w:tcPr>
          <w:p w:rsidR="008F12EE" w:rsidRPr="00F85858" w:rsidRDefault="008F12EE" w:rsidP="00E924ED">
            <w:pPr>
              <w:pStyle w:val="ARtabletext"/>
            </w:pPr>
            <w:r w:rsidRPr="00F85858">
              <w:t>Short</w:t>
            </w:r>
            <w:r>
              <w:t>-</w:t>
            </w:r>
            <w:r w:rsidRPr="00F85858">
              <w:t xml:space="preserve">term investments </w:t>
            </w:r>
            <w:r>
              <w:t>–</w:t>
            </w:r>
            <w:r w:rsidRPr="00F85858">
              <w:t xml:space="preserve"> term deposits</w:t>
            </w:r>
          </w:p>
        </w:tc>
        <w:tc>
          <w:tcPr>
            <w:tcW w:w="1134" w:type="dxa"/>
            <w:tcBorders>
              <w:top w:val="single" w:sz="4" w:space="0" w:color="A6A6A6"/>
            </w:tcBorders>
            <w:shd w:val="clear" w:color="auto" w:fill="E7E6E6"/>
          </w:tcPr>
          <w:p w:rsidR="008F12EE" w:rsidRPr="00F85858" w:rsidRDefault="008F12EE" w:rsidP="00E924ED">
            <w:pPr>
              <w:pStyle w:val="ARtabletextright"/>
            </w:pPr>
            <w:r>
              <w:t>418.5</w:t>
            </w:r>
          </w:p>
        </w:tc>
        <w:tc>
          <w:tcPr>
            <w:tcW w:w="1134" w:type="dxa"/>
            <w:tcBorders>
              <w:top w:val="single" w:sz="4" w:space="0" w:color="A6A6A6"/>
            </w:tcBorders>
            <w:shd w:val="clear" w:color="auto" w:fill="auto"/>
          </w:tcPr>
          <w:p w:rsidR="008F12EE" w:rsidRPr="00F85858" w:rsidRDefault="008F12EE" w:rsidP="00E924ED">
            <w:pPr>
              <w:pStyle w:val="ARtabletextright"/>
            </w:pPr>
            <w:r w:rsidRPr="00F85858">
              <w:t>346.8</w:t>
            </w:r>
          </w:p>
        </w:tc>
      </w:tr>
      <w:tr w:rsidR="008F12EE" w:rsidRPr="008F6F61" w:rsidTr="008121EC">
        <w:trPr>
          <w:cantSplit/>
        </w:trPr>
        <w:tc>
          <w:tcPr>
            <w:tcW w:w="7371" w:type="dxa"/>
            <w:tcBorders>
              <w:bottom w:val="single" w:sz="4" w:space="0" w:color="auto"/>
            </w:tcBorders>
            <w:shd w:val="clear" w:color="auto" w:fill="auto"/>
          </w:tcPr>
          <w:p w:rsidR="008F12EE" w:rsidRPr="008F6F61" w:rsidRDefault="008F12EE" w:rsidP="00E924ED">
            <w:pPr>
              <w:pStyle w:val="ARtabletext"/>
              <w:rPr>
                <w:rStyle w:val="Strong"/>
              </w:rPr>
            </w:pPr>
            <w:r w:rsidRPr="008F6F61">
              <w:rPr>
                <w:rStyle w:val="Strong"/>
              </w:rPr>
              <w:t>Total financial assets</w:t>
            </w:r>
          </w:p>
        </w:tc>
        <w:tc>
          <w:tcPr>
            <w:tcW w:w="1134" w:type="dxa"/>
            <w:tcBorders>
              <w:bottom w:val="single" w:sz="4" w:space="0" w:color="auto"/>
            </w:tcBorders>
            <w:shd w:val="clear" w:color="auto" w:fill="E7E6E6"/>
          </w:tcPr>
          <w:p w:rsidR="008F12EE" w:rsidRPr="008F6F61" w:rsidRDefault="008F12EE" w:rsidP="00E924ED">
            <w:pPr>
              <w:pStyle w:val="ARtabletextright"/>
              <w:rPr>
                <w:rStyle w:val="Strong"/>
              </w:rPr>
            </w:pPr>
            <w:r>
              <w:rPr>
                <w:rStyle w:val="Strong"/>
              </w:rPr>
              <w:t>549.1</w:t>
            </w:r>
          </w:p>
        </w:tc>
        <w:tc>
          <w:tcPr>
            <w:tcW w:w="1134" w:type="dxa"/>
            <w:tcBorders>
              <w:bottom w:val="single" w:sz="4" w:space="0" w:color="auto"/>
            </w:tcBorders>
            <w:shd w:val="clear" w:color="auto" w:fill="auto"/>
          </w:tcPr>
          <w:p w:rsidR="008F12EE" w:rsidRPr="008F6F61" w:rsidRDefault="008F12EE" w:rsidP="00E924ED">
            <w:pPr>
              <w:pStyle w:val="ARtabletextright"/>
              <w:rPr>
                <w:rStyle w:val="Strong"/>
              </w:rPr>
            </w:pPr>
            <w:r w:rsidRPr="008F6F61">
              <w:rPr>
                <w:rStyle w:val="Strong"/>
              </w:rPr>
              <w:t>489.7</w:t>
            </w:r>
          </w:p>
        </w:tc>
      </w:tr>
      <w:tr w:rsidR="008F12EE" w:rsidRPr="008F6F61" w:rsidTr="008121EC">
        <w:trPr>
          <w:cantSplit/>
        </w:trPr>
        <w:tc>
          <w:tcPr>
            <w:tcW w:w="7371" w:type="dxa"/>
            <w:tcBorders>
              <w:top w:val="single" w:sz="4" w:space="0" w:color="auto"/>
              <w:bottom w:val="single" w:sz="4" w:space="0" w:color="A6A6A6"/>
            </w:tcBorders>
            <w:shd w:val="clear" w:color="auto" w:fill="auto"/>
          </w:tcPr>
          <w:p w:rsidR="008F12EE" w:rsidRPr="008F6F61" w:rsidRDefault="008F12EE" w:rsidP="00E924ED">
            <w:pPr>
              <w:pStyle w:val="ARtabletext"/>
              <w:rPr>
                <w:rStyle w:val="Strong"/>
              </w:rPr>
            </w:pPr>
            <w:r w:rsidRPr="008F6F61">
              <w:rPr>
                <w:rStyle w:val="Strong"/>
              </w:rPr>
              <w:t>Non-financial assets</w:t>
            </w:r>
          </w:p>
        </w:tc>
        <w:tc>
          <w:tcPr>
            <w:tcW w:w="1134" w:type="dxa"/>
            <w:tcBorders>
              <w:top w:val="single" w:sz="4" w:space="0" w:color="auto"/>
              <w:bottom w:val="single" w:sz="4" w:space="0" w:color="A6A6A6"/>
            </w:tcBorders>
            <w:shd w:val="clear" w:color="auto" w:fill="E7E6E6"/>
          </w:tcPr>
          <w:p w:rsidR="008F12EE" w:rsidRPr="000C2617" w:rsidRDefault="008F12EE" w:rsidP="00E924ED">
            <w:pPr>
              <w:pStyle w:val="ARtabletextright"/>
              <w:rPr>
                <w:rStyle w:val="Strong"/>
                <w:b w:val="0"/>
                <w:bCs w:val="0"/>
              </w:rPr>
            </w:pPr>
          </w:p>
        </w:tc>
        <w:tc>
          <w:tcPr>
            <w:tcW w:w="1134" w:type="dxa"/>
            <w:tcBorders>
              <w:top w:val="single" w:sz="4" w:space="0" w:color="auto"/>
              <w:bottom w:val="single" w:sz="4" w:space="0" w:color="A6A6A6"/>
            </w:tcBorders>
            <w:shd w:val="clear" w:color="auto" w:fill="auto"/>
          </w:tcPr>
          <w:p w:rsidR="008F12EE" w:rsidRPr="000C2617" w:rsidRDefault="008F12EE" w:rsidP="00E924ED">
            <w:pPr>
              <w:pStyle w:val="ARtabletextright"/>
              <w:rPr>
                <w:rStyle w:val="Strong"/>
                <w:b w:val="0"/>
                <w:bCs w:val="0"/>
              </w:rPr>
            </w:pPr>
          </w:p>
        </w:tc>
      </w:tr>
      <w:tr w:rsidR="008F12EE" w:rsidRPr="008F6F61" w:rsidTr="008121EC">
        <w:trPr>
          <w:cantSplit/>
        </w:trPr>
        <w:tc>
          <w:tcPr>
            <w:tcW w:w="7371" w:type="dxa"/>
            <w:tcBorders>
              <w:top w:val="single" w:sz="4" w:space="0" w:color="A6A6A6"/>
              <w:bottom w:val="single" w:sz="4" w:space="0" w:color="A6A6A6"/>
            </w:tcBorders>
            <w:shd w:val="clear" w:color="auto" w:fill="auto"/>
          </w:tcPr>
          <w:p w:rsidR="008F12EE" w:rsidRPr="00901F2C" w:rsidRDefault="008F12EE" w:rsidP="00E924ED">
            <w:pPr>
              <w:pStyle w:val="ARtabletext"/>
              <w:rPr>
                <w:rStyle w:val="Strong"/>
                <w:b w:val="0"/>
              </w:rPr>
            </w:pPr>
            <w:r w:rsidRPr="00901F2C">
              <w:rPr>
                <w:rStyle w:val="Strong"/>
                <w:b w:val="0"/>
              </w:rPr>
              <w:t xml:space="preserve">Non-financial physical assets classified as held for sale </w:t>
            </w:r>
          </w:p>
        </w:tc>
        <w:tc>
          <w:tcPr>
            <w:tcW w:w="1134" w:type="dxa"/>
            <w:tcBorders>
              <w:top w:val="single" w:sz="4" w:space="0" w:color="A6A6A6"/>
              <w:bottom w:val="single" w:sz="4" w:space="0" w:color="A6A6A6"/>
            </w:tcBorders>
            <w:shd w:val="clear" w:color="auto" w:fill="E7E6E6"/>
          </w:tcPr>
          <w:p w:rsidR="008F12EE" w:rsidRPr="00901F2C" w:rsidRDefault="008F12EE" w:rsidP="00E924ED">
            <w:pPr>
              <w:pStyle w:val="ARtabletextright"/>
              <w:rPr>
                <w:rStyle w:val="Strong"/>
                <w:b w:val="0"/>
              </w:rPr>
            </w:pPr>
            <w:r>
              <w:rPr>
                <w:rStyle w:val="Strong"/>
                <w:b w:val="0"/>
              </w:rPr>
              <w:t>3.0</w:t>
            </w:r>
          </w:p>
        </w:tc>
        <w:tc>
          <w:tcPr>
            <w:tcW w:w="1134" w:type="dxa"/>
            <w:tcBorders>
              <w:top w:val="single" w:sz="4" w:space="0" w:color="A6A6A6"/>
              <w:bottom w:val="single" w:sz="4" w:space="0" w:color="A6A6A6"/>
            </w:tcBorders>
            <w:shd w:val="clear" w:color="auto" w:fill="auto"/>
          </w:tcPr>
          <w:p w:rsidR="008F12EE" w:rsidRPr="00901F2C" w:rsidRDefault="008F12EE" w:rsidP="00E924ED">
            <w:pPr>
              <w:pStyle w:val="ARtabletextright"/>
              <w:rPr>
                <w:rStyle w:val="Strong"/>
                <w:b w:val="0"/>
              </w:rPr>
            </w:pPr>
            <w:r w:rsidRPr="00901F2C">
              <w:rPr>
                <w:rStyle w:val="Strong"/>
                <w:b w:val="0"/>
              </w:rPr>
              <w:t>2.2</w:t>
            </w: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Property, plant and equipment</w:t>
            </w:r>
          </w:p>
        </w:tc>
        <w:tc>
          <w:tcPr>
            <w:tcW w:w="1134" w:type="dxa"/>
            <w:tcBorders>
              <w:top w:val="single" w:sz="4" w:space="0" w:color="A6A6A6"/>
              <w:bottom w:val="single" w:sz="4" w:space="0" w:color="A6A6A6"/>
            </w:tcBorders>
            <w:shd w:val="clear" w:color="auto" w:fill="E7E6E6"/>
          </w:tcPr>
          <w:p w:rsidR="008F12EE" w:rsidRPr="00126870" w:rsidRDefault="008F12EE" w:rsidP="00E924ED">
            <w:pPr>
              <w:pStyle w:val="ARtabletextright"/>
            </w:pPr>
            <w:r>
              <w:t>24,487.8</w:t>
            </w:r>
          </w:p>
        </w:tc>
        <w:tc>
          <w:tcPr>
            <w:tcW w:w="1134" w:type="dxa"/>
            <w:tcBorders>
              <w:top w:val="single" w:sz="4" w:space="0" w:color="A6A6A6"/>
              <w:bottom w:val="single" w:sz="4" w:space="0" w:color="A6A6A6"/>
            </w:tcBorders>
            <w:shd w:val="clear" w:color="auto" w:fill="auto"/>
          </w:tcPr>
          <w:p w:rsidR="008F12EE" w:rsidRPr="00126870" w:rsidRDefault="008F12EE" w:rsidP="00E924ED">
            <w:pPr>
              <w:pStyle w:val="ARtabletextright"/>
            </w:pPr>
            <w:r w:rsidRPr="00126870">
              <w:t>22,932.0</w:t>
            </w: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Intangible assets</w:t>
            </w:r>
          </w:p>
        </w:tc>
        <w:tc>
          <w:tcPr>
            <w:tcW w:w="1134" w:type="dxa"/>
            <w:tcBorders>
              <w:top w:val="single" w:sz="4" w:space="0" w:color="A6A6A6"/>
              <w:bottom w:val="single" w:sz="4" w:space="0" w:color="A6A6A6"/>
            </w:tcBorders>
            <w:shd w:val="clear" w:color="auto" w:fill="E7E6E6"/>
          </w:tcPr>
          <w:p w:rsidR="008F12EE" w:rsidRPr="00F85858" w:rsidRDefault="008F12EE" w:rsidP="00E924ED">
            <w:pPr>
              <w:pStyle w:val="ARtabletextright"/>
            </w:pPr>
            <w:r>
              <w:t>32.8</w:t>
            </w:r>
          </w:p>
        </w:tc>
        <w:tc>
          <w:tcPr>
            <w:tcW w:w="1134" w:type="dxa"/>
            <w:tcBorders>
              <w:top w:val="single" w:sz="4" w:space="0" w:color="A6A6A6"/>
              <w:bottom w:val="single" w:sz="4" w:space="0" w:color="A6A6A6"/>
            </w:tcBorders>
            <w:shd w:val="clear" w:color="auto" w:fill="auto"/>
          </w:tcPr>
          <w:p w:rsidR="008F12EE" w:rsidRPr="00F85858" w:rsidRDefault="008F12EE" w:rsidP="00E924ED">
            <w:pPr>
              <w:pStyle w:val="ARtabletextright"/>
            </w:pPr>
            <w:r w:rsidRPr="00F85858">
              <w:t>42.6</w:t>
            </w:r>
          </w:p>
        </w:tc>
      </w:tr>
      <w:tr w:rsidR="008F12EE" w:rsidRPr="00F85858" w:rsidTr="008121EC">
        <w:trPr>
          <w:cantSplit/>
        </w:trPr>
        <w:tc>
          <w:tcPr>
            <w:tcW w:w="7371" w:type="dxa"/>
            <w:tcBorders>
              <w:top w:val="single" w:sz="4" w:space="0" w:color="A6A6A6"/>
            </w:tcBorders>
            <w:shd w:val="clear" w:color="auto" w:fill="auto"/>
          </w:tcPr>
          <w:p w:rsidR="008F12EE" w:rsidRPr="00F85858" w:rsidRDefault="008F12EE" w:rsidP="00E924ED">
            <w:pPr>
              <w:pStyle w:val="ARtabletext"/>
            </w:pPr>
            <w:r w:rsidRPr="00F85858">
              <w:t>Prepayments</w:t>
            </w:r>
          </w:p>
        </w:tc>
        <w:tc>
          <w:tcPr>
            <w:tcW w:w="1134" w:type="dxa"/>
            <w:tcBorders>
              <w:top w:val="single" w:sz="4" w:space="0" w:color="A6A6A6"/>
            </w:tcBorders>
            <w:shd w:val="clear" w:color="auto" w:fill="E7E6E6"/>
          </w:tcPr>
          <w:p w:rsidR="008F12EE" w:rsidRPr="00F85858" w:rsidRDefault="008F12EE" w:rsidP="00E924ED">
            <w:pPr>
              <w:pStyle w:val="ARtabletextright"/>
            </w:pPr>
            <w:r>
              <w:t>1.0</w:t>
            </w:r>
          </w:p>
        </w:tc>
        <w:tc>
          <w:tcPr>
            <w:tcW w:w="1134" w:type="dxa"/>
            <w:tcBorders>
              <w:top w:val="single" w:sz="4" w:space="0" w:color="A6A6A6"/>
            </w:tcBorders>
            <w:shd w:val="clear" w:color="auto" w:fill="auto"/>
          </w:tcPr>
          <w:p w:rsidR="008F12EE" w:rsidRPr="00F85858" w:rsidRDefault="008F12EE" w:rsidP="00E924ED">
            <w:pPr>
              <w:pStyle w:val="ARtabletextright"/>
            </w:pPr>
            <w:r w:rsidRPr="00F85858">
              <w:t>2.5</w:t>
            </w:r>
          </w:p>
        </w:tc>
      </w:tr>
      <w:tr w:rsidR="008F12EE" w:rsidRPr="008F6F61" w:rsidTr="008121EC">
        <w:trPr>
          <w:cantSplit/>
        </w:trPr>
        <w:tc>
          <w:tcPr>
            <w:tcW w:w="7371" w:type="dxa"/>
            <w:shd w:val="clear" w:color="auto" w:fill="auto"/>
          </w:tcPr>
          <w:p w:rsidR="008F12EE" w:rsidRPr="008F6F61" w:rsidRDefault="008F12EE" w:rsidP="00E924ED">
            <w:pPr>
              <w:pStyle w:val="ARtabletext"/>
              <w:rPr>
                <w:rStyle w:val="Strong"/>
              </w:rPr>
            </w:pPr>
            <w:r w:rsidRPr="008F6F61">
              <w:rPr>
                <w:rStyle w:val="Strong"/>
              </w:rPr>
              <w:t>Total non-financial assets</w:t>
            </w:r>
          </w:p>
        </w:tc>
        <w:tc>
          <w:tcPr>
            <w:tcW w:w="1134" w:type="dxa"/>
            <w:shd w:val="clear" w:color="auto" w:fill="E7E6E6"/>
          </w:tcPr>
          <w:p w:rsidR="008F12EE" w:rsidRPr="008F6F61" w:rsidRDefault="008F12EE" w:rsidP="00E924ED">
            <w:pPr>
              <w:pStyle w:val="ARtabletextright"/>
              <w:rPr>
                <w:rStyle w:val="Strong"/>
              </w:rPr>
            </w:pPr>
            <w:r>
              <w:rPr>
                <w:rStyle w:val="Strong"/>
              </w:rPr>
              <w:t>2</w:t>
            </w:r>
            <w:r w:rsidR="00AB6828">
              <w:rPr>
                <w:rStyle w:val="Strong"/>
              </w:rPr>
              <w:t>4</w:t>
            </w:r>
            <w:r>
              <w:rPr>
                <w:rStyle w:val="Strong"/>
              </w:rPr>
              <w:t>,524.5</w:t>
            </w:r>
          </w:p>
        </w:tc>
        <w:tc>
          <w:tcPr>
            <w:tcW w:w="1134" w:type="dxa"/>
            <w:shd w:val="clear" w:color="auto" w:fill="auto"/>
          </w:tcPr>
          <w:p w:rsidR="008F12EE" w:rsidRPr="008F6F61" w:rsidRDefault="008F12EE" w:rsidP="00E924ED">
            <w:pPr>
              <w:pStyle w:val="ARtabletextright"/>
              <w:rPr>
                <w:rStyle w:val="Strong"/>
              </w:rPr>
            </w:pPr>
            <w:r w:rsidRPr="008F6F61">
              <w:rPr>
                <w:rStyle w:val="Strong"/>
              </w:rPr>
              <w:t>22,979.3</w:t>
            </w:r>
          </w:p>
        </w:tc>
      </w:tr>
      <w:tr w:rsidR="008F12EE" w:rsidRPr="008F6F61" w:rsidTr="008121EC">
        <w:trPr>
          <w:cantSplit/>
        </w:trPr>
        <w:tc>
          <w:tcPr>
            <w:tcW w:w="7371" w:type="dxa"/>
            <w:tcBorders>
              <w:bottom w:val="single" w:sz="4" w:space="0" w:color="auto"/>
            </w:tcBorders>
            <w:shd w:val="clear" w:color="auto" w:fill="auto"/>
          </w:tcPr>
          <w:p w:rsidR="008F12EE" w:rsidRPr="008F6F61" w:rsidRDefault="008F12EE" w:rsidP="00E924ED">
            <w:pPr>
              <w:pStyle w:val="ARtabletext"/>
              <w:rPr>
                <w:rStyle w:val="Strong"/>
              </w:rPr>
            </w:pPr>
            <w:r w:rsidRPr="008F6F61">
              <w:rPr>
                <w:rStyle w:val="Strong"/>
              </w:rPr>
              <w:t>Total assets</w:t>
            </w:r>
          </w:p>
        </w:tc>
        <w:tc>
          <w:tcPr>
            <w:tcW w:w="1134" w:type="dxa"/>
            <w:tcBorders>
              <w:bottom w:val="single" w:sz="4" w:space="0" w:color="auto"/>
            </w:tcBorders>
            <w:shd w:val="clear" w:color="auto" w:fill="E7E6E6"/>
          </w:tcPr>
          <w:p w:rsidR="008F12EE" w:rsidRPr="008F6F61" w:rsidRDefault="008F12EE" w:rsidP="00E924ED">
            <w:pPr>
              <w:pStyle w:val="ARtabletextright"/>
              <w:rPr>
                <w:rStyle w:val="Strong"/>
              </w:rPr>
            </w:pPr>
            <w:r>
              <w:rPr>
                <w:rStyle w:val="Strong"/>
              </w:rPr>
              <w:t>25,073.6</w:t>
            </w:r>
          </w:p>
        </w:tc>
        <w:tc>
          <w:tcPr>
            <w:tcW w:w="1134" w:type="dxa"/>
            <w:tcBorders>
              <w:bottom w:val="single" w:sz="4" w:space="0" w:color="auto"/>
            </w:tcBorders>
            <w:shd w:val="clear" w:color="auto" w:fill="auto"/>
          </w:tcPr>
          <w:p w:rsidR="008F12EE" w:rsidRPr="008F6F61" w:rsidRDefault="008F12EE" w:rsidP="00E924ED">
            <w:pPr>
              <w:pStyle w:val="ARtabletextright"/>
              <w:rPr>
                <w:rStyle w:val="Strong"/>
              </w:rPr>
            </w:pPr>
            <w:r w:rsidRPr="008F6F61">
              <w:rPr>
                <w:rStyle w:val="Strong"/>
              </w:rPr>
              <w:t>23,469.0</w:t>
            </w:r>
          </w:p>
        </w:tc>
      </w:tr>
      <w:tr w:rsidR="008F12EE" w:rsidRPr="00BD1529" w:rsidTr="008121EC">
        <w:trPr>
          <w:cantSplit/>
        </w:trPr>
        <w:tc>
          <w:tcPr>
            <w:tcW w:w="7371" w:type="dxa"/>
            <w:tcBorders>
              <w:top w:val="single" w:sz="4" w:space="0" w:color="auto"/>
              <w:bottom w:val="single" w:sz="4" w:space="0" w:color="A6A6A6"/>
            </w:tcBorders>
            <w:shd w:val="clear" w:color="auto" w:fill="auto"/>
          </w:tcPr>
          <w:p w:rsidR="008F12EE" w:rsidRPr="00BD1529" w:rsidRDefault="008F12EE" w:rsidP="00E924ED">
            <w:pPr>
              <w:pStyle w:val="ARtabletext"/>
              <w:rPr>
                <w:rStyle w:val="Strong"/>
              </w:rPr>
            </w:pPr>
            <w:r w:rsidRPr="00BD1529">
              <w:rPr>
                <w:rStyle w:val="Strong"/>
              </w:rPr>
              <w:t>Liabilities</w:t>
            </w:r>
          </w:p>
        </w:tc>
        <w:tc>
          <w:tcPr>
            <w:tcW w:w="1134" w:type="dxa"/>
            <w:tcBorders>
              <w:top w:val="single" w:sz="4" w:space="0" w:color="auto"/>
              <w:bottom w:val="single" w:sz="4" w:space="0" w:color="A6A6A6"/>
            </w:tcBorders>
            <w:shd w:val="clear" w:color="auto" w:fill="E7E6E6"/>
          </w:tcPr>
          <w:p w:rsidR="008F12EE" w:rsidRPr="00BD1529" w:rsidRDefault="008F12EE" w:rsidP="00E924ED">
            <w:pPr>
              <w:pStyle w:val="ARtabletextright"/>
              <w:rPr>
                <w:rStyle w:val="Strong"/>
              </w:rPr>
            </w:pPr>
          </w:p>
        </w:tc>
        <w:tc>
          <w:tcPr>
            <w:tcW w:w="1134" w:type="dxa"/>
            <w:tcBorders>
              <w:top w:val="single" w:sz="4" w:space="0" w:color="auto"/>
              <w:bottom w:val="single" w:sz="4" w:space="0" w:color="A6A6A6"/>
            </w:tcBorders>
            <w:shd w:val="clear" w:color="auto" w:fill="auto"/>
          </w:tcPr>
          <w:p w:rsidR="008F12EE" w:rsidRPr="00BD1529" w:rsidRDefault="008F12EE" w:rsidP="00E924ED">
            <w:pPr>
              <w:pStyle w:val="ARtabletextright"/>
              <w:rPr>
                <w:rStyle w:val="Strong"/>
              </w:rPr>
            </w:pP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Payables</w:t>
            </w:r>
          </w:p>
        </w:tc>
        <w:tc>
          <w:tcPr>
            <w:tcW w:w="1134" w:type="dxa"/>
            <w:tcBorders>
              <w:top w:val="single" w:sz="4" w:space="0" w:color="A6A6A6"/>
              <w:bottom w:val="single" w:sz="4" w:space="0" w:color="A6A6A6"/>
            </w:tcBorders>
            <w:shd w:val="clear" w:color="auto" w:fill="E7E6E6"/>
          </w:tcPr>
          <w:p w:rsidR="008F12EE" w:rsidRPr="00F85858" w:rsidRDefault="008F12EE" w:rsidP="00E924ED">
            <w:pPr>
              <w:pStyle w:val="ARtabletextright"/>
            </w:pPr>
            <w:r>
              <w:t>81.2</w:t>
            </w:r>
          </w:p>
        </w:tc>
        <w:tc>
          <w:tcPr>
            <w:tcW w:w="1134" w:type="dxa"/>
            <w:tcBorders>
              <w:top w:val="single" w:sz="4" w:space="0" w:color="A6A6A6"/>
              <w:bottom w:val="single" w:sz="4" w:space="0" w:color="A6A6A6"/>
            </w:tcBorders>
            <w:shd w:val="clear" w:color="auto" w:fill="auto"/>
          </w:tcPr>
          <w:p w:rsidR="008F12EE" w:rsidRPr="00F85858" w:rsidRDefault="008F12EE" w:rsidP="00E924ED">
            <w:pPr>
              <w:pStyle w:val="ARtabletextright"/>
            </w:pPr>
            <w:r w:rsidRPr="00F85858">
              <w:t>71.1</w:t>
            </w: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Borrowings</w:t>
            </w:r>
          </w:p>
        </w:tc>
        <w:tc>
          <w:tcPr>
            <w:tcW w:w="1134" w:type="dxa"/>
            <w:tcBorders>
              <w:top w:val="single" w:sz="4" w:space="0" w:color="A6A6A6"/>
              <w:bottom w:val="single" w:sz="4" w:space="0" w:color="A6A6A6"/>
            </w:tcBorders>
            <w:shd w:val="clear" w:color="auto" w:fill="E7E6E6"/>
          </w:tcPr>
          <w:p w:rsidR="008F12EE" w:rsidRPr="00F85858" w:rsidRDefault="008F12EE" w:rsidP="00E924ED">
            <w:pPr>
              <w:pStyle w:val="ARtabletextright"/>
            </w:pPr>
            <w:r w:rsidRPr="00F85858">
              <w:t>13.4</w:t>
            </w:r>
          </w:p>
        </w:tc>
        <w:tc>
          <w:tcPr>
            <w:tcW w:w="1134" w:type="dxa"/>
            <w:tcBorders>
              <w:top w:val="single" w:sz="4" w:space="0" w:color="A6A6A6"/>
              <w:bottom w:val="single" w:sz="4" w:space="0" w:color="A6A6A6"/>
            </w:tcBorders>
            <w:shd w:val="clear" w:color="auto" w:fill="auto"/>
          </w:tcPr>
          <w:p w:rsidR="008F12EE" w:rsidRPr="00F85858" w:rsidRDefault="008F12EE" w:rsidP="00E924ED">
            <w:pPr>
              <w:pStyle w:val="ARtabletextright"/>
            </w:pPr>
            <w:r w:rsidRPr="00F85858">
              <w:t>13.4</w:t>
            </w:r>
          </w:p>
        </w:tc>
      </w:tr>
      <w:tr w:rsidR="008F12EE" w:rsidRPr="00F85858" w:rsidTr="008121EC">
        <w:trPr>
          <w:cantSplit/>
        </w:trPr>
        <w:tc>
          <w:tcPr>
            <w:tcW w:w="7371" w:type="dxa"/>
            <w:tcBorders>
              <w:top w:val="single" w:sz="4" w:space="0" w:color="A6A6A6"/>
              <w:bottom w:val="single" w:sz="4" w:space="0" w:color="auto"/>
            </w:tcBorders>
            <w:shd w:val="clear" w:color="auto" w:fill="auto"/>
          </w:tcPr>
          <w:p w:rsidR="008F12EE" w:rsidRPr="00F85858" w:rsidRDefault="008F12EE" w:rsidP="00E924ED">
            <w:pPr>
              <w:pStyle w:val="ARtabletext"/>
            </w:pPr>
            <w:r w:rsidRPr="00F85858">
              <w:t>Provisions</w:t>
            </w:r>
          </w:p>
        </w:tc>
        <w:tc>
          <w:tcPr>
            <w:tcW w:w="1134" w:type="dxa"/>
            <w:tcBorders>
              <w:top w:val="single" w:sz="4" w:space="0" w:color="A6A6A6"/>
              <w:bottom w:val="single" w:sz="4" w:space="0" w:color="auto"/>
            </w:tcBorders>
            <w:shd w:val="clear" w:color="auto" w:fill="E7E6E6"/>
          </w:tcPr>
          <w:p w:rsidR="008F12EE" w:rsidRPr="00F85858" w:rsidRDefault="008F12EE" w:rsidP="00E924ED">
            <w:pPr>
              <w:pStyle w:val="ARtabletextright"/>
            </w:pPr>
            <w:r>
              <w:t>79.9</w:t>
            </w:r>
          </w:p>
        </w:tc>
        <w:tc>
          <w:tcPr>
            <w:tcW w:w="1134" w:type="dxa"/>
            <w:tcBorders>
              <w:top w:val="single" w:sz="4" w:space="0" w:color="A6A6A6"/>
              <w:bottom w:val="single" w:sz="4" w:space="0" w:color="auto"/>
            </w:tcBorders>
            <w:shd w:val="clear" w:color="auto" w:fill="auto"/>
          </w:tcPr>
          <w:p w:rsidR="008F12EE" w:rsidRPr="00F85858" w:rsidRDefault="008F12EE" w:rsidP="00E924ED">
            <w:pPr>
              <w:pStyle w:val="ARtabletextright"/>
            </w:pPr>
            <w:r w:rsidRPr="00F85858">
              <w:t>82.3</w:t>
            </w:r>
          </w:p>
        </w:tc>
      </w:tr>
      <w:tr w:rsidR="008F12EE" w:rsidRPr="00F85858" w:rsidTr="008121EC">
        <w:trPr>
          <w:cantSplit/>
        </w:trPr>
        <w:tc>
          <w:tcPr>
            <w:tcW w:w="7371" w:type="dxa"/>
            <w:tcBorders>
              <w:top w:val="single" w:sz="4" w:space="0" w:color="auto"/>
              <w:bottom w:val="single" w:sz="4" w:space="0" w:color="auto"/>
            </w:tcBorders>
            <w:shd w:val="clear" w:color="auto" w:fill="auto"/>
          </w:tcPr>
          <w:p w:rsidR="008F12EE" w:rsidRPr="00901F2C" w:rsidRDefault="008F12EE" w:rsidP="00E924ED">
            <w:pPr>
              <w:pStyle w:val="ARtabletext"/>
              <w:rPr>
                <w:b/>
              </w:rPr>
            </w:pPr>
            <w:r w:rsidRPr="00901F2C">
              <w:rPr>
                <w:b/>
              </w:rPr>
              <w:t>Total liabilities</w:t>
            </w:r>
          </w:p>
        </w:tc>
        <w:tc>
          <w:tcPr>
            <w:tcW w:w="1134" w:type="dxa"/>
            <w:tcBorders>
              <w:top w:val="single" w:sz="4" w:space="0" w:color="auto"/>
              <w:bottom w:val="single" w:sz="4" w:space="0" w:color="auto"/>
            </w:tcBorders>
            <w:shd w:val="clear" w:color="auto" w:fill="E7E6E6"/>
          </w:tcPr>
          <w:p w:rsidR="008F12EE" w:rsidRPr="00901F2C" w:rsidRDefault="008F12EE" w:rsidP="00E924ED">
            <w:pPr>
              <w:pStyle w:val="ARtabletextright"/>
              <w:rPr>
                <w:b/>
              </w:rPr>
            </w:pPr>
            <w:r w:rsidRPr="00901F2C">
              <w:rPr>
                <w:b/>
              </w:rPr>
              <w:t>174.4</w:t>
            </w:r>
          </w:p>
        </w:tc>
        <w:tc>
          <w:tcPr>
            <w:tcW w:w="1134" w:type="dxa"/>
            <w:tcBorders>
              <w:top w:val="single" w:sz="4" w:space="0" w:color="auto"/>
              <w:bottom w:val="single" w:sz="4" w:space="0" w:color="auto"/>
            </w:tcBorders>
            <w:shd w:val="clear" w:color="auto" w:fill="auto"/>
          </w:tcPr>
          <w:p w:rsidR="008F12EE" w:rsidRPr="00901F2C" w:rsidRDefault="008F12EE" w:rsidP="00E924ED">
            <w:pPr>
              <w:pStyle w:val="ARtabletextright"/>
              <w:rPr>
                <w:b/>
              </w:rPr>
            </w:pPr>
            <w:r w:rsidRPr="00901F2C">
              <w:rPr>
                <w:b/>
              </w:rPr>
              <w:t>166.8</w:t>
            </w:r>
          </w:p>
        </w:tc>
      </w:tr>
      <w:tr w:rsidR="008F12EE" w:rsidRPr="00F85858" w:rsidTr="008121EC">
        <w:trPr>
          <w:cantSplit/>
        </w:trPr>
        <w:tc>
          <w:tcPr>
            <w:tcW w:w="7371" w:type="dxa"/>
            <w:tcBorders>
              <w:top w:val="single" w:sz="4" w:space="0" w:color="auto"/>
              <w:bottom w:val="single" w:sz="4" w:space="0" w:color="auto"/>
            </w:tcBorders>
            <w:shd w:val="clear" w:color="auto" w:fill="auto"/>
          </w:tcPr>
          <w:p w:rsidR="008F12EE" w:rsidRPr="00901F2C" w:rsidRDefault="008F12EE" w:rsidP="00E924ED">
            <w:pPr>
              <w:pStyle w:val="ARtabletext"/>
              <w:rPr>
                <w:b/>
              </w:rPr>
            </w:pPr>
            <w:r w:rsidRPr="00901F2C">
              <w:rPr>
                <w:b/>
              </w:rPr>
              <w:t>Net assets</w:t>
            </w:r>
          </w:p>
        </w:tc>
        <w:tc>
          <w:tcPr>
            <w:tcW w:w="1134" w:type="dxa"/>
            <w:tcBorders>
              <w:top w:val="single" w:sz="4" w:space="0" w:color="auto"/>
              <w:bottom w:val="single" w:sz="4" w:space="0" w:color="auto"/>
            </w:tcBorders>
            <w:shd w:val="clear" w:color="auto" w:fill="E7E6E6"/>
          </w:tcPr>
          <w:p w:rsidR="008F12EE" w:rsidRPr="00901F2C" w:rsidRDefault="008F12EE" w:rsidP="00E924ED">
            <w:pPr>
              <w:pStyle w:val="ARtabletextright"/>
              <w:rPr>
                <w:b/>
              </w:rPr>
            </w:pPr>
            <w:r>
              <w:rPr>
                <w:b/>
              </w:rPr>
              <w:t>24,899.2</w:t>
            </w:r>
          </w:p>
        </w:tc>
        <w:tc>
          <w:tcPr>
            <w:tcW w:w="1134" w:type="dxa"/>
            <w:tcBorders>
              <w:top w:val="single" w:sz="4" w:space="0" w:color="auto"/>
              <w:bottom w:val="single" w:sz="4" w:space="0" w:color="auto"/>
            </w:tcBorders>
            <w:shd w:val="clear" w:color="auto" w:fill="auto"/>
          </w:tcPr>
          <w:p w:rsidR="008F12EE" w:rsidRPr="00901F2C" w:rsidRDefault="008F12EE" w:rsidP="00E924ED">
            <w:pPr>
              <w:pStyle w:val="ARtabletextright"/>
              <w:rPr>
                <w:b/>
              </w:rPr>
            </w:pPr>
            <w:r w:rsidRPr="00901F2C">
              <w:rPr>
                <w:b/>
              </w:rPr>
              <w:t>23,302.2</w:t>
            </w:r>
          </w:p>
        </w:tc>
      </w:tr>
      <w:tr w:rsidR="008F12EE" w:rsidRPr="00BD1529" w:rsidTr="008121EC">
        <w:trPr>
          <w:cantSplit/>
        </w:trPr>
        <w:tc>
          <w:tcPr>
            <w:tcW w:w="7371" w:type="dxa"/>
            <w:tcBorders>
              <w:top w:val="single" w:sz="4" w:space="0" w:color="auto"/>
              <w:bottom w:val="single" w:sz="4" w:space="0" w:color="A6A6A6"/>
            </w:tcBorders>
            <w:shd w:val="clear" w:color="auto" w:fill="auto"/>
          </w:tcPr>
          <w:p w:rsidR="008F12EE" w:rsidRPr="00BD1529" w:rsidRDefault="008F12EE" w:rsidP="00E924ED">
            <w:pPr>
              <w:pStyle w:val="ARtabletext"/>
              <w:rPr>
                <w:rStyle w:val="Strong"/>
              </w:rPr>
            </w:pPr>
            <w:r w:rsidRPr="00BD1529">
              <w:rPr>
                <w:rStyle w:val="Strong"/>
              </w:rPr>
              <w:t>Equity</w:t>
            </w:r>
          </w:p>
        </w:tc>
        <w:tc>
          <w:tcPr>
            <w:tcW w:w="1134" w:type="dxa"/>
            <w:tcBorders>
              <w:top w:val="single" w:sz="4" w:space="0" w:color="auto"/>
              <w:bottom w:val="single" w:sz="4" w:space="0" w:color="A6A6A6"/>
            </w:tcBorders>
            <w:shd w:val="clear" w:color="auto" w:fill="E7E6E6"/>
          </w:tcPr>
          <w:p w:rsidR="008F12EE" w:rsidRPr="00BD1529" w:rsidRDefault="008F12EE" w:rsidP="00E924ED">
            <w:pPr>
              <w:pStyle w:val="ARtabletextright"/>
              <w:rPr>
                <w:rStyle w:val="Strong"/>
              </w:rPr>
            </w:pPr>
          </w:p>
        </w:tc>
        <w:tc>
          <w:tcPr>
            <w:tcW w:w="1134" w:type="dxa"/>
            <w:tcBorders>
              <w:top w:val="single" w:sz="4" w:space="0" w:color="auto"/>
              <w:bottom w:val="single" w:sz="4" w:space="0" w:color="A6A6A6"/>
            </w:tcBorders>
            <w:shd w:val="clear" w:color="auto" w:fill="auto"/>
          </w:tcPr>
          <w:p w:rsidR="008F12EE" w:rsidRPr="00BD1529" w:rsidRDefault="008F12EE" w:rsidP="00E924ED">
            <w:pPr>
              <w:pStyle w:val="ARtabletextright"/>
              <w:rPr>
                <w:rStyle w:val="Strong"/>
              </w:rPr>
            </w:pP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Accumulated surplus/(deficit)</w:t>
            </w:r>
          </w:p>
        </w:tc>
        <w:tc>
          <w:tcPr>
            <w:tcW w:w="1134" w:type="dxa"/>
            <w:tcBorders>
              <w:top w:val="single" w:sz="4" w:space="0" w:color="A6A6A6"/>
              <w:bottom w:val="single" w:sz="4" w:space="0" w:color="A6A6A6"/>
            </w:tcBorders>
            <w:shd w:val="clear" w:color="auto" w:fill="E7E6E6"/>
          </w:tcPr>
          <w:p w:rsidR="008F12EE" w:rsidRPr="00F85858" w:rsidRDefault="008F12EE" w:rsidP="00E924ED">
            <w:pPr>
              <w:pStyle w:val="ARtabletextright"/>
            </w:pPr>
            <w:r>
              <w:t>(205.1)</w:t>
            </w:r>
          </w:p>
        </w:tc>
        <w:tc>
          <w:tcPr>
            <w:tcW w:w="1134" w:type="dxa"/>
            <w:tcBorders>
              <w:top w:val="single" w:sz="4" w:space="0" w:color="A6A6A6"/>
              <w:bottom w:val="single" w:sz="4" w:space="0" w:color="A6A6A6"/>
            </w:tcBorders>
            <w:shd w:val="clear" w:color="auto" w:fill="auto"/>
          </w:tcPr>
          <w:p w:rsidR="008F12EE" w:rsidRPr="00F85858" w:rsidRDefault="008F12EE" w:rsidP="00E924ED">
            <w:pPr>
              <w:pStyle w:val="ARtabletextright"/>
            </w:pPr>
            <w:r w:rsidRPr="00F85858">
              <w:t>163.3</w:t>
            </w:r>
          </w:p>
        </w:tc>
      </w:tr>
      <w:tr w:rsidR="008F12EE" w:rsidRPr="00F85858" w:rsidTr="008121EC">
        <w:trPr>
          <w:cantSplit/>
        </w:trPr>
        <w:tc>
          <w:tcPr>
            <w:tcW w:w="7371" w:type="dxa"/>
            <w:tcBorders>
              <w:top w:val="single" w:sz="4" w:space="0" w:color="A6A6A6"/>
              <w:bottom w:val="single" w:sz="4" w:space="0" w:color="A6A6A6"/>
            </w:tcBorders>
            <w:shd w:val="clear" w:color="auto" w:fill="auto"/>
          </w:tcPr>
          <w:p w:rsidR="008F12EE" w:rsidRPr="00F85858" w:rsidRDefault="008F12EE" w:rsidP="00E924ED">
            <w:pPr>
              <w:pStyle w:val="ARtabletext"/>
            </w:pPr>
            <w:r w:rsidRPr="00F85858">
              <w:t>Physical asset revaluation reserve</w:t>
            </w:r>
          </w:p>
        </w:tc>
        <w:tc>
          <w:tcPr>
            <w:tcW w:w="1134" w:type="dxa"/>
            <w:tcBorders>
              <w:top w:val="single" w:sz="4" w:space="0" w:color="A6A6A6"/>
              <w:bottom w:val="single" w:sz="4" w:space="0" w:color="A6A6A6"/>
            </w:tcBorders>
            <w:shd w:val="clear" w:color="auto" w:fill="E7E6E6"/>
          </w:tcPr>
          <w:p w:rsidR="008F12EE" w:rsidRPr="00F85858" w:rsidRDefault="008F12EE" w:rsidP="00E924ED">
            <w:pPr>
              <w:pStyle w:val="ARtabletextright"/>
            </w:pPr>
            <w:r>
              <w:t>4,244.2</w:t>
            </w:r>
          </w:p>
        </w:tc>
        <w:tc>
          <w:tcPr>
            <w:tcW w:w="1134" w:type="dxa"/>
            <w:tcBorders>
              <w:top w:val="single" w:sz="4" w:space="0" w:color="A6A6A6"/>
              <w:bottom w:val="single" w:sz="4" w:space="0" w:color="A6A6A6"/>
            </w:tcBorders>
            <w:shd w:val="clear" w:color="auto" w:fill="auto"/>
          </w:tcPr>
          <w:p w:rsidR="008F12EE" w:rsidRPr="00F85858" w:rsidRDefault="008F12EE" w:rsidP="00E924ED">
            <w:pPr>
              <w:pStyle w:val="ARtabletextright"/>
            </w:pPr>
            <w:r w:rsidRPr="00F85858">
              <w:t>2,350.6</w:t>
            </w:r>
          </w:p>
        </w:tc>
      </w:tr>
      <w:tr w:rsidR="008F12EE" w:rsidRPr="00F85858" w:rsidTr="008121EC">
        <w:trPr>
          <w:cantSplit/>
        </w:trPr>
        <w:tc>
          <w:tcPr>
            <w:tcW w:w="7371" w:type="dxa"/>
            <w:tcBorders>
              <w:top w:val="single" w:sz="4" w:space="0" w:color="A6A6A6"/>
            </w:tcBorders>
            <w:shd w:val="clear" w:color="auto" w:fill="auto"/>
          </w:tcPr>
          <w:p w:rsidR="008F12EE" w:rsidRPr="00F85858" w:rsidRDefault="008F12EE" w:rsidP="00E924ED">
            <w:pPr>
              <w:pStyle w:val="ARtabletext"/>
            </w:pPr>
            <w:r w:rsidRPr="00F85858">
              <w:t>Contributed capital</w:t>
            </w:r>
          </w:p>
        </w:tc>
        <w:tc>
          <w:tcPr>
            <w:tcW w:w="1134" w:type="dxa"/>
            <w:tcBorders>
              <w:top w:val="single" w:sz="4" w:space="0" w:color="A6A6A6"/>
            </w:tcBorders>
            <w:shd w:val="clear" w:color="auto" w:fill="E7E6E6"/>
          </w:tcPr>
          <w:p w:rsidR="008F12EE" w:rsidRPr="00F85858" w:rsidRDefault="008F12EE" w:rsidP="00E924ED">
            <w:pPr>
              <w:pStyle w:val="ARtabletextright"/>
            </w:pPr>
            <w:r>
              <w:t>20,860.1</w:t>
            </w:r>
          </w:p>
        </w:tc>
        <w:tc>
          <w:tcPr>
            <w:tcW w:w="1134" w:type="dxa"/>
            <w:tcBorders>
              <w:top w:val="single" w:sz="4" w:space="0" w:color="A6A6A6"/>
            </w:tcBorders>
            <w:shd w:val="clear" w:color="auto" w:fill="auto"/>
          </w:tcPr>
          <w:p w:rsidR="008F12EE" w:rsidRPr="00F85858" w:rsidRDefault="008F12EE" w:rsidP="00E924ED">
            <w:pPr>
              <w:pStyle w:val="ARtabletextright"/>
            </w:pPr>
            <w:r w:rsidRPr="00F85858">
              <w:t>20,788.3</w:t>
            </w:r>
          </w:p>
        </w:tc>
      </w:tr>
      <w:tr w:rsidR="008F12EE" w:rsidRPr="008F6F61" w:rsidTr="008121EC">
        <w:trPr>
          <w:cantSplit/>
        </w:trPr>
        <w:tc>
          <w:tcPr>
            <w:tcW w:w="7371" w:type="dxa"/>
            <w:shd w:val="clear" w:color="auto" w:fill="auto"/>
          </w:tcPr>
          <w:p w:rsidR="008F12EE" w:rsidRPr="008F6F61" w:rsidRDefault="008F12EE" w:rsidP="00E924ED">
            <w:pPr>
              <w:pStyle w:val="ARtabletext"/>
              <w:rPr>
                <w:rStyle w:val="Strong"/>
              </w:rPr>
            </w:pPr>
            <w:r w:rsidRPr="008F6F61">
              <w:rPr>
                <w:rStyle w:val="Strong"/>
              </w:rPr>
              <w:t>Net worth</w:t>
            </w:r>
          </w:p>
        </w:tc>
        <w:tc>
          <w:tcPr>
            <w:tcW w:w="1134" w:type="dxa"/>
            <w:shd w:val="clear" w:color="auto" w:fill="E7E6E6"/>
          </w:tcPr>
          <w:p w:rsidR="008F12EE" w:rsidRPr="008F6F61" w:rsidRDefault="008F12EE" w:rsidP="00E924ED">
            <w:pPr>
              <w:pStyle w:val="ARtabletextright"/>
              <w:rPr>
                <w:rStyle w:val="Strong"/>
              </w:rPr>
            </w:pPr>
            <w:r>
              <w:rPr>
                <w:rStyle w:val="Strong"/>
              </w:rPr>
              <w:t>24,899.2</w:t>
            </w:r>
          </w:p>
        </w:tc>
        <w:tc>
          <w:tcPr>
            <w:tcW w:w="1134" w:type="dxa"/>
            <w:shd w:val="clear" w:color="auto" w:fill="auto"/>
          </w:tcPr>
          <w:p w:rsidR="008F12EE" w:rsidRPr="008F6F61" w:rsidRDefault="008F12EE" w:rsidP="00E924ED">
            <w:pPr>
              <w:pStyle w:val="ARtabletextright"/>
              <w:rPr>
                <w:rStyle w:val="Strong"/>
              </w:rPr>
            </w:pPr>
            <w:r w:rsidRPr="008F6F61">
              <w:rPr>
                <w:rStyle w:val="Strong"/>
              </w:rPr>
              <w:t>23,302.2</w:t>
            </w:r>
          </w:p>
        </w:tc>
      </w:tr>
    </w:tbl>
    <w:p w:rsidR="008F12EE" w:rsidRPr="00FD20B7" w:rsidRDefault="008F12EE" w:rsidP="008F12EE">
      <w:pPr>
        <w:pStyle w:val="Heading3"/>
      </w:pPr>
      <w:r>
        <w:rPr>
          <w:rFonts w:eastAsia="Times New Roman"/>
          <w:bCs w:val="0"/>
          <w:color w:val="auto"/>
          <w:sz w:val="20"/>
          <w:szCs w:val="20"/>
          <w:lang w:eastAsia="en-US"/>
        </w:rPr>
        <w:br w:type="page"/>
      </w:r>
      <w:bookmarkStart w:id="129" w:name="_Toc462577207"/>
      <w:r w:rsidRPr="00FD20B7">
        <w:lastRenderedPageBreak/>
        <w:t>Statement of changes in equity for the financial year ended 30 June 201</w:t>
      </w:r>
      <w:bookmarkEnd w:id="129"/>
      <w:r>
        <w:t>7</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67"/>
        <w:gridCol w:w="1418"/>
        <w:gridCol w:w="1418"/>
        <w:gridCol w:w="1418"/>
        <w:gridCol w:w="1418"/>
      </w:tblGrid>
      <w:tr w:rsidR="008F12EE" w:rsidRPr="00E506FF" w:rsidTr="008121EC">
        <w:trPr>
          <w:cantSplit/>
          <w:tblHeader/>
        </w:trPr>
        <w:tc>
          <w:tcPr>
            <w:tcW w:w="3967" w:type="dxa"/>
            <w:shd w:val="clear" w:color="auto" w:fill="auto"/>
            <w:vAlign w:val="bottom"/>
          </w:tcPr>
          <w:p w:rsidR="008F12EE" w:rsidRPr="00E1063E" w:rsidRDefault="008F12EE" w:rsidP="00E924ED">
            <w:pPr>
              <w:pStyle w:val="ARtablecolhead"/>
            </w:pPr>
          </w:p>
        </w:tc>
        <w:tc>
          <w:tcPr>
            <w:tcW w:w="1418" w:type="dxa"/>
            <w:shd w:val="clear" w:color="auto" w:fill="auto"/>
            <w:vAlign w:val="bottom"/>
          </w:tcPr>
          <w:p w:rsidR="008F12EE" w:rsidRPr="00E15DF2" w:rsidRDefault="008F12EE" w:rsidP="00E15DF2">
            <w:pPr>
              <w:pStyle w:val="ARtablecolheadright"/>
              <w:rPr>
                <w:rStyle w:val="Strong"/>
                <w:b/>
                <w:bCs w:val="0"/>
              </w:rPr>
            </w:pPr>
            <w:r w:rsidRPr="00E15DF2">
              <w:rPr>
                <w:rStyle w:val="Strong"/>
                <w:b/>
                <w:bCs w:val="0"/>
              </w:rPr>
              <w:t>Physical asset revaluation reserve</w:t>
            </w:r>
          </w:p>
          <w:p w:rsidR="008F12EE" w:rsidRPr="00E15DF2" w:rsidRDefault="008F12EE" w:rsidP="00E15DF2">
            <w:pPr>
              <w:pStyle w:val="ARtablecolheadright"/>
              <w:rPr>
                <w:rStyle w:val="Strong"/>
                <w:b/>
                <w:bCs w:val="0"/>
              </w:rPr>
            </w:pPr>
            <w:r w:rsidRPr="00E15DF2">
              <w:rPr>
                <w:rStyle w:val="Strong"/>
                <w:b/>
                <w:bCs w:val="0"/>
              </w:rPr>
              <w:t>$M</w:t>
            </w:r>
          </w:p>
        </w:tc>
        <w:tc>
          <w:tcPr>
            <w:tcW w:w="1418" w:type="dxa"/>
            <w:shd w:val="clear" w:color="auto" w:fill="auto"/>
            <w:vAlign w:val="bottom"/>
          </w:tcPr>
          <w:p w:rsidR="008F12EE" w:rsidRPr="00E15DF2" w:rsidRDefault="008F12EE" w:rsidP="00E15DF2">
            <w:pPr>
              <w:pStyle w:val="ARtablecolheadright"/>
              <w:rPr>
                <w:rStyle w:val="Strong"/>
                <w:b/>
                <w:bCs w:val="0"/>
              </w:rPr>
            </w:pPr>
            <w:r w:rsidRPr="00E15DF2">
              <w:rPr>
                <w:rStyle w:val="Strong"/>
                <w:b/>
                <w:bCs w:val="0"/>
              </w:rPr>
              <w:t>Accumulated surplus/ (deficit)</w:t>
            </w:r>
          </w:p>
          <w:p w:rsidR="008F12EE" w:rsidRPr="00E15DF2" w:rsidRDefault="008F12EE" w:rsidP="00E15DF2">
            <w:pPr>
              <w:pStyle w:val="ARtablecolheadright"/>
              <w:rPr>
                <w:rStyle w:val="Strong"/>
                <w:b/>
                <w:bCs w:val="0"/>
              </w:rPr>
            </w:pPr>
            <w:r w:rsidRPr="00E15DF2">
              <w:rPr>
                <w:rStyle w:val="Strong"/>
                <w:b/>
                <w:bCs w:val="0"/>
              </w:rPr>
              <w:t>$M</w:t>
            </w:r>
          </w:p>
        </w:tc>
        <w:tc>
          <w:tcPr>
            <w:tcW w:w="1418" w:type="dxa"/>
            <w:shd w:val="clear" w:color="auto" w:fill="auto"/>
            <w:vAlign w:val="bottom"/>
          </w:tcPr>
          <w:p w:rsidR="008F12EE" w:rsidRPr="00E15DF2" w:rsidRDefault="008F12EE" w:rsidP="00E15DF2">
            <w:pPr>
              <w:pStyle w:val="ARtablecolheadright"/>
              <w:rPr>
                <w:rStyle w:val="Strong"/>
                <w:b/>
                <w:bCs w:val="0"/>
              </w:rPr>
            </w:pPr>
            <w:r w:rsidRPr="00E15DF2">
              <w:rPr>
                <w:rStyle w:val="Strong"/>
                <w:b/>
                <w:bCs w:val="0"/>
              </w:rPr>
              <w:t>Contributed capital</w:t>
            </w:r>
          </w:p>
          <w:p w:rsidR="008F12EE" w:rsidRPr="00E15DF2" w:rsidRDefault="008F12EE" w:rsidP="00E15DF2">
            <w:pPr>
              <w:pStyle w:val="ARtablecolheadright"/>
              <w:rPr>
                <w:rStyle w:val="Strong"/>
                <w:b/>
                <w:bCs w:val="0"/>
              </w:rPr>
            </w:pPr>
            <w:r w:rsidRPr="00E15DF2">
              <w:rPr>
                <w:rStyle w:val="Strong"/>
                <w:b/>
                <w:bCs w:val="0"/>
              </w:rPr>
              <w:t>$M</w:t>
            </w:r>
          </w:p>
        </w:tc>
        <w:tc>
          <w:tcPr>
            <w:tcW w:w="1418" w:type="dxa"/>
            <w:shd w:val="clear" w:color="auto" w:fill="auto"/>
            <w:vAlign w:val="bottom"/>
          </w:tcPr>
          <w:p w:rsidR="008F12EE" w:rsidRPr="00E15DF2" w:rsidRDefault="008F12EE" w:rsidP="00E15DF2">
            <w:pPr>
              <w:pStyle w:val="ARtablecolheadright"/>
              <w:rPr>
                <w:rStyle w:val="Strong"/>
                <w:b/>
                <w:bCs w:val="0"/>
              </w:rPr>
            </w:pPr>
            <w:r w:rsidRPr="00E15DF2">
              <w:rPr>
                <w:rStyle w:val="Strong"/>
                <w:b/>
                <w:bCs w:val="0"/>
              </w:rPr>
              <w:t>Total</w:t>
            </w:r>
          </w:p>
          <w:p w:rsidR="008F12EE" w:rsidRPr="00E15DF2" w:rsidRDefault="008F12EE" w:rsidP="00E15DF2">
            <w:pPr>
              <w:pStyle w:val="ARtablecolheadright"/>
              <w:rPr>
                <w:rStyle w:val="Strong"/>
                <w:b/>
                <w:bCs w:val="0"/>
              </w:rPr>
            </w:pPr>
            <w:r w:rsidRPr="00E15DF2">
              <w:rPr>
                <w:rStyle w:val="Strong"/>
                <w:b/>
                <w:bCs w:val="0"/>
              </w:rPr>
              <w:t>$M</w:t>
            </w:r>
          </w:p>
        </w:tc>
      </w:tr>
      <w:tr w:rsidR="008F12EE" w:rsidRPr="00E506FF" w:rsidTr="008121EC">
        <w:trPr>
          <w:cantSplit/>
        </w:trPr>
        <w:tc>
          <w:tcPr>
            <w:tcW w:w="3967" w:type="dxa"/>
            <w:tcBorders>
              <w:bottom w:val="single" w:sz="4" w:space="0" w:color="auto"/>
            </w:tcBorders>
            <w:shd w:val="clear" w:color="auto" w:fill="auto"/>
          </w:tcPr>
          <w:p w:rsidR="008F12EE" w:rsidRPr="00E506FF" w:rsidRDefault="008F12EE" w:rsidP="00E924ED">
            <w:pPr>
              <w:pStyle w:val="ARtabletext"/>
              <w:rPr>
                <w:rStyle w:val="Strong"/>
              </w:rPr>
            </w:pPr>
            <w:r>
              <w:rPr>
                <w:rStyle w:val="Strong"/>
              </w:rPr>
              <w:t>Balance at 1 July 2015</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4.7</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(103.5)</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20,770.7</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20,671.9</w:t>
            </w:r>
          </w:p>
        </w:tc>
      </w:tr>
      <w:tr w:rsidR="008F12EE" w:rsidRPr="00FD20B7" w:rsidTr="008121EC">
        <w:trPr>
          <w:cantSplit/>
        </w:trPr>
        <w:tc>
          <w:tcPr>
            <w:tcW w:w="3967" w:type="dxa"/>
            <w:tcBorders>
              <w:top w:val="single" w:sz="4" w:space="0" w:color="A6A6A6"/>
              <w:bottom w:val="single" w:sz="4" w:space="0" w:color="A6A6A6"/>
            </w:tcBorders>
            <w:shd w:val="clear" w:color="auto" w:fill="auto"/>
          </w:tcPr>
          <w:p w:rsidR="008F12EE" w:rsidRPr="00FD20B7" w:rsidRDefault="008F12EE" w:rsidP="00E924ED">
            <w:pPr>
              <w:pStyle w:val="ARtabletext"/>
            </w:pPr>
            <w:r w:rsidRPr="00FD20B7">
              <w:t>Net result for the year</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265.9</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265.9</w:t>
            </w:r>
          </w:p>
        </w:tc>
      </w:tr>
      <w:tr w:rsidR="008F12EE" w:rsidRPr="00FD20B7" w:rsidTr="008121EC">
        <w:trPr>
          <w:cantSplit/>
        </w:trPr>
        <w:tc>
          <w:tcPr>
            <w:tcW w:w="3967" w:type="dxa"/>
            <w:tcBorders>
              <w:top w:val="single" w:sz="4" w:space="0" w:color="A6A6A6"/>
              <w:bottom w:val="single" w:sz="4" w:space="0" w:color="A6A6A6"/>
            </w:tcBorders>
            <w:shd w:val="clear" w:color="auto" w:fill="auto"/>
          </w:tcPr>
          <w:p w:rsidR="008F12EE" w:rsidRPr="00FD20B7" w:rsidRDefault="008F12EE" w:rsidP="00E924ED">
            <w:pPr>
              <w:pStyle w:val="ARtabletext"/>
            </w:pPr>
            <w:proofErr w:type="spellStart"/>
            <w:r w:rsidRPr="00FD20B7">
              <w:t>Remeasurement</w:t>
            </w:r>
            <w:proofErr w:type="spellEnd"/>
            <w:r w:rsidRPr="00FD20B7">
              <w:t xml:space="preserve"> of superannuation defined benefit plans</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0.9</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0.9</w:t>
            </w:r>
          </w:p>
        </w:tc>
      </w:tr>
      <w:tr w:rsidR="008F12EE" w:rsidRPr="00FD20B7" w:rsidTr="008121EC">
        <w:trPr>
          <w:cantSplit/>
        </w:trPr>
        <w:tc>
          <w:tcPr>
            <w:tcW w:w="3967" w:type="dxa"/>
            <w:tcBorders>
              <w:top w:val="single" w:sz="4" w:space="0" w:color="A6A6A6"/>
              <w:bottom w:val="single" w:sz="4" w:space="0" w:color="A6A6A6"/>
            </w:tcBorders>
            <w:shd w:val="clear" w:color="auto" w:fill="auto"/>
          </w:tcPr>
          <w:p w:rsidR="008F12EE" w:rsidRPr="00FD20B7" w:rsidRDefault="008F12EE" w:rsidP="00E924ED">
            <w:pPr>
              <w:pStyle w:val="ARtabletext"/>
            </w:pPr>
            <w:r w:rsidRPr="00FD20B7">
              <w:t>Changes in physical asset revaluation reserve</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2,345.9</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2,345.9</w:t>
            </w:r>
          </w:p>
        </w:tc>
      </w:tr>
      <w:tr w:rsidR="008F12EE" w:rsidRPr="00FD20B7" w:rsidTr="008121EC">
        <w:trPr>
          <w:cantSplit/>
        </w:trPr>
        <w:tc>
          <w:tcPr>
            <w:tcW w:w="3967" w:type="dxa"/>
            <w:tcBorders>
              <w:top w:val="single" w:sz="4" w:space="0" w:color="A6A6A6"/>
            </w:tcBorders>
            <w:shd w:val="clear" w:color="auto" w:fill="auto"/>
          </w:tcPr>
          <w:p w:rsidR="008F12EE" w:rsidRPr="00FD20B7" w:rsidRDefault="008F12EE" w:rsidP="00E924ED">
            <w:pPr>
              <w:pStyle w:val="ARtabletext"/>
            </w:pPr>
            <w:r w:rsidRPr="00FD20B7">
              <w:t>Capital contribution by Victorian State Government</w:t>
            </w:r>
          </w:p>
        </w:tc>
        <w:tc>
          <w:tcPr>
            <w:tcW w:w="1418" w:type="dxa"/>
            <w:tcBorders>
              <w:top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tcBorders>
            <w:shd w:val="clear" w:color="auto" w:fill="auto"/>
          </w:tcPr>
          <w:p w:rsidR="008F12EE" w:rsidRPr="00FD20B7" w:rsidRDefault="008F12EE" w:rsidP="00E924ED">
            <w:pPr>
              <w:pStyle w:val="ARtabletextright"/>
            </w:pPr>
            <w:r>
              <w:t>17.6</w:t>
            </w:r>
          </w:p>
        </w:tc>
        <w:tc>
          <w:tcPr>
            <w:tcW w:w="1418" w:type="dxa"/>
            <w:tcBorders>
              <w:top w:val="single" w:sz="4" w:space="0" w:color="A6A6A6"/>
            </w:tcBorders>
            <w:shd w:val="clear" w:color="auto" w:fill="auto"/>
          </w:tcPr>
          <w:p w:rsidR="008F12EE" w:rsidRPr="00FD20B7" w:rsidRDefault="008F12EE" w:rsidP="00E924ED">
            <w:pPr>
              <w:pStyle w:val="ARtabletextright"/>
            </w:pPr>
            <w:r>
              <w:t>17.6</w:t>
            </w:r>
          </w:p>
        </w:tc>
      </w:tr>
      <w:tr w:rsidR="008F12EE" w:rsidRPr="00E506FF" w:rsidTr="008121EC">
        <w:trPr>
          <w:cantSplit/>
        </w:trPr>
        <w:tc>
          <w:tcPr>
            <w:tcW w:w="3967" w:type="dxa"/>
            <w:tcBorders>
              <w:bottom w:val="single" w:sz="4" w:space="0" w:color="auto"/>
            </w:tcBorders>
            <w:shd w:val="clear" w:color="auto" w:fill="auto"/>
          </w:tcPr>
          <w:p w:rsidR="008F12EE" w:rsidRPr="00E506FF" w:rsidRDefault="008F12EE" w:rsidP="00E924ED">
            <w:pPr>
              <w:pStyle w:val="ARtabletext"/>
              <w:rPr>
                <w:rStyle w:val="Strong"/>
              </w:rPr>
            </w:pPr>
            <w:r>
              <w:rPr>
                <w:rStyle w:val="Strong"/>
              </w:rPr>
              <w:t>Balance at 30 June 2016</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2,350.6</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163.3</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20,788.3</w:t>
            </w:r>
          </w:p>
        </w:tc>
        <w:tc>
          <w:tcPr>
            <w:tcW w:w="1418" w:type="dxa"/>
            <w:tcBorders>
              <w:bottom w:val="single" w:sz="4" w:space="0" w:color="auto"/>
            </w:tcBorders>
            <w:shd w:val="clear" w:color="auto" w:fill="auto"/>
          </w:tcPr>
          <w:p w:rsidR="008F12EE" w:rsidRPr="00E506FF" w:rsidRDefault="008F12EE" w:rsidP="00E924ED">
            <w:pPr>
              <w:pStyle w:val="ARtabletextright"/>
              <w:rPr>
                <w:rStyle w:val="Strong"/>
              </w:rPr>
            </w:pPr>
            <w:r>
              <w:rPr>
                <w:rStyle w:val="Strong"/>
              </w:rPr>
              <w:t>23,302.2</w:t>
            </w:r>
          </w:p>
        </w:tc>
      </w:tr>
      <w:tr w:rsidR="008F12EE" w:rsidRPr="007C2361" w:rsidTr="008121EC">
        <w:trPr>
          <w:cantSplit/>
        </w:trPr>
        <w:tc>
          <w:tcPr>
            <w:tcW w:w="3967" w:type="dxa"/>
            <w:tcBorders>
              <w:top w:val="single" w:sz="4" w:space="0" w:color="auto"/>
              <w:bottom w:val="single" w:sz="4" w:space="0" w:color="A6A6A6" w:themeColor="background1" w:themeShade="A6"/>
            </w:tcBorders>
            <w:shd w:val="clear" w:color="auto" w:fill="auto"/>
          </w:tcPr>
          <w:p w:rsidR="008F12EE" w:rsidRPr="00D40E00" w:rsidRDefault="008F12EE" w:rsidP="00E924ED">
            <w:pPr>
              <w:pStyle w:val="ARtabletext"/>
              <w:rPr>
                <w:rStyle w:val="Strong"/>
                <w:b w:val="0"/>
              </w:rPr>
            </w:pPr>
            <w:r w:rsidRPr="00D40E00">
              <w:rPr>
                <w:rStyle w:val="Strong"/>
                <w:b w:val="0"/>
              </w:rPr>
              <w:t>Net result for the year</w:t>
            </w:r>
          </w:p>
        </w:tc>
        <w:tc>
          <w:tcPr>
            <w:tcW w:w="1418" w:type="dxa"/>
            <w:tcBorders>
              <w:top w:val="single" w:sz="4" w:space="0" w:color="auto"/>
              <w:bottom w:val="single" w:sz="4" w:space="0" w:color="A6A6A6" w:themeColor="background1" w:themeShade="A6"/>
            </w:tcBorders>
            <w:shd w:val="clear" w:color="auto" w:fill="auto"/>
          </w:tcPr>
          <w:p w:rsidR="008F12EE" w:rsidRPr="00D40E00" w:rsidRDefault="008A73F2" w:rsidP="00E924ED">
            <w:pPr>
              <w:pStyle w:val="ARtabletextright"/>
              <w:rPr>
                <w:rStyle w:val="Strong"/>
                <w:b w:val="0"/>
              </w:rPr>
            </w:pPr>
            <w:r>
              <w:rPr>
                <w:rStyle w:val="Strong"/>
                <w:b w:val="0"/>
              </w:rPr>
              <w:t>–</w:t>
            </w:r>
          </w:p>
        </w:tc>
        <w:tc>
          <w:tcPr>
            <w:tcW w:w="1418" w:type="dxa"/>
            <w:tcBorders>
              <w:top w:val="single" w:sz="4" w:space="0" w:color="auto"/>
              <w:bottom w:val="single" w:sz="4" w:space="0" w:color="A6A6A6" w:themeColor="background1" w:themeShade="A6"/>
            </w:tcBorders>
            <w:shd w:val="clear" w:color="auto" w:fill="auto"/>
          </w:tcPr>
          <w:p w:rsidR="008F12EE" w:rsidRPr="00D40E00" w:rsidRDefault="008F12EE" w:rsidP="00E924ED">
            <w:pPr>
              <w:pStyle w:val="ARtabletextright"/>
              <w:rPr>
                <w:rStyle w:val="Strong"/>
                <w:b w:val="0"/>
              </w:rPr>
            </w:pPr>
            <w:r>
              <w:rPr>
                <w:rStyle w:val="Strong"/>
                <w:b w:val="0"/>
              </w:rPr>
              <w:t>(369.3)</w:t>
            </w:r>
          </w:p>
        </w:tc>
        <w:tc>
          <w:tcPr>
            <w:tcW w:w="1418" w:type="dxa"/>
            <w:tcBorders>
              <w:top w:val="single" w:sz="4" w:space="0" w:color="auto"/>
              <w:bottom w:val="single" w:sz="4" w:space="0" w:color="A6A6A6" w:themeColor="background1" w:themeShade="A6"/>
            </w:tcBorders>
            <w:shd w:val="clear" w:color="auto" w:fill="auto"/>
          </w:tcPr>
          <w:p w:rsidR="008F12EE" w:rsidRPr="00D40E00" w:rsidRDefault="008A73F2" w:rsidP="00E924ED">
            <w:pPr>
              <w:pStyle w:val="ARtabletextright"/>
              <w:rPr>
                <w:rStyle w:val="Strong"/>
                <w:b w:val="0"/>
              </w:rPr>
            </w:pPr>
            <w:r>
              <w:rPr>
                <w:rStyle w:val="Strong"/>
                <w:b w:val="0"/>
              </w:rPr>
              <w:t>–</w:t>
            </w:r>
          </w:p>
        </w:tc>
        <w:tc>
          <w:tcPr>
            <w:tcW w:w="1418" w:type="dxa"/>
            <w:tcBorders>
              <w:top w:val="single" w:sz="4" w:space="0" w:color="auto"/>
              <w:bottom w:val="single" w:sz="4" w:space="0" w:color="A6A6A6" w:themeColor="background1" w:themeShade="A6"/>
            </w:tcBorders>
            <w:shd w:val="clear" w:color="auto" w:fill="auto"/>
          </w:tcPr>
          <w:p w:rsidR="008F12EE" w:rsidRPr="00D40E00" w:rsidRDefault="008F12EE" w:rsidP="00E924ED">
            <w:pPr>
              <w:pStyle w:val="ARtabletextright"/>
              <w:rPr>
                <w:rStyle w:val="Strong"/>
                <w:b w:val="0"/>
              </w:rPr>
            </w:pPr>
            <w:r>
              <w:rPr>
                <w:rStyle w:val="Strong"/>
                <w:b w:val="0"/>
              </w:rPr>
              <w:t>(369.3)</w:t>
            </w:r>
          </w:p>
        </w:tc>
      </w:tr>
      <w:tr w:rsidR="008F12EE" w:rsidRPr="00FD20B7" w:rsidTr="008121EC">
        <w:trPr>
          <w:cantSplit/>
        </w:trPr>
        <w:tc>
          <w:tcPr>
            <w:tcW w:w="3967" w:type="dxa"/>
            <w:tcBorders>
              <w:top w:val="single" w:sz="4" w:space="0" w:color="A6A6A6" w:themeColor="background1" w:themeShade="A6"/>
              <w:bottom w:val="single" w:sz="4" w:space="0" w:color="A6A6A6"/>
            </w:tcBorders>
            <w:shd w:val="clear" w:color="auto" w:fill="auto"/>
          </w:tcPr>
          <w:p w:rsidR="008F12EE" w:rsidRPr="00FD20B7" w:rsidRDefault="008F12EE" w:rsidP="00E924ED">
            <w:pPr>
              <w:pStyle w:val="ARtabletext"/>
            </w:pPr>
            <w:proofErr w:type="spellStart"/>
            <w:r w:rsidRPr="00FD20B7">
              <w:t>Remeasurement</w:t>
            </w:r>
            <w:proofErr w:type="spellEnd"/>
            <w:r w:rsidRPr="00FD20B7">
              <w:t xml:space="preserve"> of superannuation defined benefit plans</w:t>
            </w:r>
          </w:p>
        </w:tc>
        <w:tc>
          <w:tcPr>
            <w:tcW w:w="1418" w:type="dxa"/>
            <w:tcBorders>
              <w:top w:val="single" w:sz="4" w:space="0" w:color="A6A6A6" w:themeColor="background1" w:themeShade="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themeColor="background1" w:themeShade="A6"/>
              <w:bottom w:val="single" w:sz="4" w:space="0" w:color="A6A6A6"/>
            </w:tcBorders>
            <w:shd w:val="clear" w:color="auto" w:fill="auto"/>
          </w:tcPr>
          <w:p w:rsidR="008F12EE" w:rsidRPr="00FD20B7" w:rsidRDefault="008F12EE" w:rsidP="00E924ED">
            <w:pPr>
              <w:pStyle w:val="ARtabletextright"/>
            </w:pPr>
            <w:r w:rsidRPr="00FD20B7">
              <w:t>0.9</w:t>
            </w:r>
          </w:p>
        </w:tc>
        <w:tc>
          <w:tcPr>
            <w:tcW w:w="1418" w:type="dxa"/>
            <w:tcBorders>
              <w:top w:val="single" w:sz="4" w:space="0" w:color="A6A6A6" w:themeColor="background1" w:themeShade="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themeColor="background1" w:themeShade="A6"/>
              <w:bottom w:val="single" w:sz="4" w:space="0" w:color="A6A6A6"/>
            </w:tcBorders>
            <w:shd w:val="clear" w:color="auto" w:fill="auto"/>
          </w:tcPr>
          <w:p w:rsidR="008F12EE" w:rsidRPr="00FD20B7" w:rsidRDefault="008F12EE" w:rsidP="00E924ED">
            <w:pPr>
              <w:pStyle w:val="ARtabletextright"/>
            </w:pPr>
            <w:r w:rsidRPr="00FD20B7">
              <w:t>0.9</w:t>
            </w:r>
          </w:p>
        </w:tc>
      </w:tr>
      <w:tr w:rsidR="008F12EE" w:rsidRPr="00FD20B7" w:rsidTr="008121EC">
        <w:trPr>
          <w:cantSplit/>
        </w:trPr>
        <w:tc>
          <w:tcPr>
            <w:tcW w:w="3967" w:type="dxa"/>
            <w:tcBorders>
              <w:top w:val="single" w:sz="4" w:space="0" w:color="A6A6A6"/>
              <w:bottom w:val="single" w:sz="4" w:space="0" w:color="A6A6A6"/>
            </w:tcBorders>
            <w:shd w:val="clear" w:color="auto" w:fill="auto"/>
          </w:tcPr>
          <w:p w:rsidR="008F12EE" w:rsidRPr="00FD20B7" w:rsidRDefault="008F12EE" w:rsidP="00E924ED">
            <w:pPr>
              <w:pStyle w:val="ARtabletext"/>
            </w:pPr>
            <w:r w:rsidRPr="00FD20B7">
              <w:t>Changes in physical asset revaluation reserve</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1,893.6</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bottom w:val="single" w:sz="4" w:space="0" w:color="A6A6A6"/>
            </w:tcBorders>
            <w:shd w:val="clear" w:color="auto" w:fill="auto"/>
          </w:tcPr>
          <w:p w:rsidR="008F12EE" w:rsidRPr="00FD20B7" w:rsidRDefault="008F12EE" w:rsidP="00E924ED">
            <w:pPr>
              <w:pStyle w:val="ARtabletextright"/>
            </w:pPr>
            <w:r>
              <w:t>1,893.6</w:t>
            </w:r>
          </w:p>
        </w:tc>
      </w:tr>
      <w:tr w:rsidR="008F12EE" w:rsidRPr="00FD20B7" w:rsidTr="008121EC">
        <w:trPr>
          <w:cantSplit/>
        </w:trPr>
        <w:tc>
          <w:tcPr>
            <w:tcW w:w="3967" w:type="dxa"/>
            <w:tcBorders>
              <w:top w:val="single" w:sz="4" w:space="0" w:color="A6A6A6"/>
            </w:tcBorders>
            <w:shd w:val="clear" w:color="auto" w:fill="auto"/>
          </w:tcPr>
          <w:p w:rsidR="008F12EE" w:rsidRPr="00FD20B7" w:rsidRDefault="008F12EE" w:rsidP="00E924ED">
            <w:pPr>
              <w:pStyle w:val="ARtabletext"/>
            </w:pPr>
            <w:r w:rsidRPr="00FD20B7">
              <w:t>Capital contribution by Victorian State Government</w:t>
            </w:r>
          </w:p>
        </w:tc>
        <w:tc>
          <w:tcPr>
            <w:tcW w:w="1418" w:type="dxa"/>
            <w:tcBorders>
              <w:top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tcBorders>
            <w:shd w:val="clear" w:color="auto" w:fill="auto"/>
          </w:tcPr>
          <w:p w:rsidR="008F12EE" w:rsidRPr="00FD20B7" w:rsidRDefault="008A73F2" w:rsidP="00E924ED">
            <w:pPr>
              <w:pStyle w:val="ARtabletextright"/>
            </w:pPr>
            <w:r>
              <w:t>–</w:t>
            </w:r>
          </w:p>
        </w:tc>
        <w:tc>
          <w:tcPr>
            <w:tcW w:w="1418" w:type="dxa"/>
            <w:tcBorders>
              <w:top w:val="single" w:sz="4" w:space="0" w:color="A6A6A6"/>
            </w:tcBorders>
            <w:shd w:val="clear" w:color="auto" w:fill="auto"/>
          </w:tcPr>
          <w:p w:rsidR="008F12EE" w:rsidRPr="00FD20B7" w:rsidRDefault="008F12EE" w:rsidP="00E924ED">
            <w:pPr>
              <w:pStyle w:val="ARtabletextright"/>
            </w:pPr>
            <w:r>
              <w:t>71.8</w:t>
            </w:r>
          </w:p>
        </w:tc>
        <w:tc>
          <w:tcPr>
            <w:tcW w:w="1418" w:type="dxa"/>
            <w:tcBorders>
              <w:top w:val="single" w:sz="4" w:space="0" w:color="A6A6A6"/>
            </w:tcBorders>
            <w:shd w:val="clear" w:color="auto" w:fill="auto"/>
          </w:tcPr>
          <w:p w:rsidR="008F12EE" w:rsidRPr="00FD20B7" w:rsidRDefault="008F12EE" w:rsidP="00E924ED">
            <w:pPr>
              <w:pStyle w:val="ARtabletextright"/>
            </w:pPr>
            <w:r>
              <w:t>71.8</w:t>
            </w:r>
          </w:p>
        </w:tc>
      </w:tr>
      <w:tr w:rsidR="008F12EE" w:rsidRPr="00E506FF" w:rsidTr="008121EC">
        <w:trPr>
          <w:cantSplit/>
        </w:trPr>
        <w:tc>
          <w:tcPr>
            <w:tcW w:w="3967" w:type="dxa"/>
            <w:shd w:val="clear" w:color="auto" w:fill="auto"/>
          </w:tcPr>
          <w:p w:rsidR="008F12EE" w:rsidRPr="00E506FF" w:rsidRDefault="008F12EE" w:rsidP="00E924ED">
            <w:pPr>
              <w:pStyle w:val="ARtabletext"/>
              <w:rPr>
                <w:rStyle w:val="Strong"/>
              </w:rPr>
            </w:pPr>
            <w:r>
              <w:rPr>
                <w:rStyle w:val="Strong"/>
              </w:rPr>
              <w:t>Balance at 30 June 2017</w:t>
            </w:r>
          </w:p>
        </w:tc>
        <w:tc>
          <w:tcPr>
            <w:tcW w:w="1418" w:type="dxa"/>
            <w:shd w:val="clear" w:color="auto" w:fill="auto"/>
          </w:tcPr>
          <w:p w:rsidR="008F12EE" w:rsidRPr="00E506FF" w:rsidRDefault="008F12EE" w:rsidP="00E924ED">
            <w:pPr>
              <w:pStyle w:val="ARtabletextright"/>
              <w:rPr>
                <w:rStyle w:val="Strong"/>
              </w:rPr>
            </w:pPr>
            <w:r>
              <w:rPr>
                <w:rStyle w:val="Strong"/>
              </w:rPr>
              <w:t>4,244.2</w:t>
            </w:r>
          </w:p>
        </w:tc>
        <w:tc>
          <w:tcPr>
            <w:tcW w:w="1418" w:type="dxa"/>
            <w:shd w:val="clear" w:color="auto" w:fill="auto"/>
          </w:tcPr>
          <w:p w:rsidR="008F12EE" w:rsidRPr="00E506FF" w:rsidRDefault="008F12EE" w:rsidP="00E924ED">
            <w:pPr>
              <w:pStyle w:val="ARtabletextright"/>
              <w:rPr>
                <w:rStyle w:val="Strong"/>
              </w:rPr>
            </w:pPr>
            <w:r>
              <w:rPr>
                <w:rStyle w:val="Strong"/>
              </w:rPr>
              <w:t>205.1</w:t>
            </w:r>
          </w:p>
        </w:tc>
        <w:tc>
          <w:tcPr>
            <w:tcW w:w="1418" w:type="dxa"/>
            <w:shd w:val="clear" w:color="auto" w:fill="auto"/>
          </w:tcPr>
          <w:p w:rsidR="008F12EE" w:rsidRPr="00E506FF" w:rsidRDefault="008F12EE" w:rsidP="00E924ED">
            <w:pPr>
              <w:pStyle w:val="ARtabletextright"/>
              <w:rPr>
                <w:rStyle w:val="Strong"/>
              </w:rPr>
            </w:pPr>
            <w:r>
              <w:rPr>
                <w:rStyle w:val="Strong"/>
              </w:rPr>
              <w:t>20,860.1</w:t>
            </w:r>
          </w:p>
        </w:tc>
        <w:tc>
          <w:tcPr>
            <w:tcW w:w="1418" w:type="dxa"/>
            <w:shd w:val="clear" w:color="auto" w:fill="auto"/>
          </w:tcPr>
          <w:p w:rsidR="008F12EE" w:rsidRPr="00E506FF" w:rsidRDefault="008F12EE" w:rsidP="00E924ED">
            <w:pPr>
              <w:pStyle w:val="ARtabletextright"/>
              <w:rPr>
                <w:rStyle w:val="Strong"/>
              </w:rPr>
            </w:pPr>
            <w:r>
              <w:rPr>
                <w:rStyle w:val="Strong"/>
              </w:rPr>
              <w:t>24,899.2</w:t>
            </w:r>
          </w:p>
        </w:tc>
      </w:tr>
    </w:tbl>
    <w:p w:rsidR="008F12EE" w:rsidRPr="00FD20B7" w:rsidRDefault="008F12EE" w:rsidP="008F12EE">
      <w:pPr>
        <w:pStyle w:val="Heading3"/>
      </w:pPr>
      <w:r>
        <w:br w:type="page"/>
      </w:r>
      <w:bookmarkStart w:id="130" w:name="_Toc462577208"/>
      <w:r w:rsidRPr="00FD20B7">
        <w:lastRenderedPageBreak/>
        <w:t>Cash flow statement for the financial year ended 30 June 201</w:t>
      </w:r>
      <w:bookmarkEnd w:id="130"/>
      <w:r>
        <w:t>7</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F12EE" w:rsidRPr="00FD20B7" w:rsidTr="008121EC">
        <w:trPr>
          <w:cantSplit/>
          <w:tblHeader/>
        </w:trPr>
        <w:tc>
          <w:tcPr>
            <w:tcW w:w="7371" w:type="dxa"/>
            <w:tcBorders>
              <w:bottom w:val="single" w:sz="4" w:space="0" w:color="auto"/>
            </w:tcBorders>
            <w:shd w:val="clear" w:color="auto" w:fill="auto"/>
          </w:tcPr>
          <w:p w:rsidR="008F12EE" w:rsidRPr="00FD20B7" w:rsidRDefault="008F12EE" w:rsidP="00E924ED">
            <w:pPr>
              <w:pStyle w:val="ARtablecolhead"/>
              <w:spacing w:before="70" w:after="50"/>
            </w:pPr>
          </w:p>
        </w:tc>
        <w:tc>
          <w:tcPr>
            <w:tcW w:w="1134" w:type="dxa"/>
            <w:tcBorders>
              <w:bottom w:val="single" w:sz="4" w:space="0" w:color="auto"/>
            </w:tcBorders>
            <w:shd w:val="clear" w:color="auto" w:fill="E7E6E6"/>
          </w:tcPr>
          <w:p w:rsidR="008F12EE" w:rsidRDefault="008F12EE" w:rsidP="00E924ED">
            <w:pPr>
              <w:pStyle w:val="ARtablecolheadright"/>
              <w:spacing w:before="70" w:after="50"/>
            </w:pPr>
            <w:r>
              <w:t>2017</w:t>
            </w:r>
          </w:p>
          <w:p w:rsidR="008F12EE" w:rsidRPr="00FD20B7" w:rsidRDefault="008F12EE" w:rsidP="00E924ED">
            <w:pPr>
              <w:pStyle w:val="ARtablecolheadright"/>
              <w:spacing w:before="70" w:after="50"/>
            </w:pPr>
            <w:r>
              <w:t>$M</w:t>
            </w:r>
          </w:p>
        </w:tc>
        <w:tc>
          <w:tcPr>
            <w:tcW w:w="1134" w:type="dxa"/>
            <w:tcBorders>
              <w:bottom w:val="single" w:sz="4" w:space="0" w:color="auto"/>
            </w:tcBorders>
            <w:shd w:val="clear" w:color="auto" w:fill="auto"/>
          </w:tcPr>
          <w:p w:rsidR="008F12EE" w:rsidRDefault="008F12EE" w:rsidP="00E924ED">
            <w:pPr>
              <w:pStyle w:val="ARtablecolheadright"/>
              <w:spacing w:before="70" w:after="50"/>
            </w:pPr>
            <w:r w:rsidRPr="00FD20B7">
              <w:t>201</w:t>
            </w:r>
            <w:r>
              <w:t>6</w:t>
            </w:r>
          </w:p>
          <w:p w:rsidR="008F12EE" w:rsidRPr="00FD20B7" w:rsidRDefault="008F12EE" w:rsidP="00E924ED">
            <w:pPr>
              <w:pStyle w:val="ARtablecolheadright"/>
              <w:spacing w:before="70" w:after="50"/>
            </w:pPr>
            <w:r>
              <w:t>$M</w:t>
            </w:r>
          </w:p>
        </w:tc>
      </w:tr>
      <w:tr w:rsidR="008F12EE" w:rsidRPr="0006234D" w:rsidTr="008121EC">
        <w:trPr>
          <w:cantSplit/>
        </w:trPr>
        <w:tc>
          <w:tcPr>
            <w:tcW w:w="7371" w:type="dxa"/>
            <w:tcBorders>
              <w:top w:val="single" w:sz="4" w:space="0" w:color="auto"/>
              <w:bottom w:val="single" w:sz="4" w:space="0" w:color="A6A6A6"/>
            </w:tcBorders>
            <w:shd w:val="clear" w:color="auto" w:fill="auto"/>
          </w:tcPr>
          <w:p w:rsidR="008F12EE" w:rsidRPr="0006234D" w:rsidRDefault="008F12EE" w:rsidP="00E924ED">
            <w:pPr>
              <w:pStyle w:val="ARtabletext"/>
              <w:spacing w:before="70" w:after="50"/>
              <w:rPr>
                <w:rStyle w:val="Strong"/>
              </w:rPr>
            </w:pPr>
            <w:r w:rsidRPr="0006234D">
              <w:rPr>
                <w:rStyle w:val="Strong"/>
              </w:rPr>
              <w:t>Cash flows from operating activities</w:t>
            </w:r>
          </w:p>
        </w:tc>
        <w:tc>
          <w:tcPr>
            <w:tcW w:w="1134" w:type="dxa"/>
            <w:tcBorders>
              <w:top w:val="single" w:sz="4" w:space="0" w:color="auto"/>
              <w:bottom w:val="single" w:sz="4" w:space="0" w:color="A6A6A6"/>
            </w:tcBorders>
            <w:shd w:val="clear" w:color="auto" w:fill="E7E6E6"/>
          </w:tcPr>
          <w:p w:rsidR="008F12EE" w:rsidRPr="0006234D" w:rsidRDefault="008F12EE" w:rsidP="00E924ED">
            <w:pPr>
              <w:pStyle w:val="ARtabletextright"/>
              <w:spacing w:before="70" w:after="50"/>
              <w:rPr>
                <w:rStyle w:val="Strong"/>
              </w:rPr>
            </w:pPr>
          </w:p>
        </w:tc>
        <w:tc>
          <w:tcPr>
            <w:tcW w:w="1134" w:type="dxa"/>
            <w:tcBorders>
              <w:top w:val="single" w:sz="4" w:space="0" w:color="auto"/>
              <w:bottom w:val="single" w:sz="4" w:space="0" w:color="A6A6A6"/>
            </w:tcBorders>
            <w:shd w:val="clear" w:color="auto" w:fill="auto"/>
          </w:tcPr>
          <w:p w:rsidR="008F12EE" w:rsidRPr="0006234D" w:rsidRDefault="008F12EE" w:rsidP="00E924ED">
            <w:pPr>
              <w:pStyle w:val="ARtabletextright"/>
              <w:spacing w:before="70" w:after="50"/>
              <w:rPr>
                <w:rStyle w:val="Strong"/>
              </w:rPr>
            </w:pPr>
          </w:p>
        </w:tc>
      </w:tr>
      <w:tr w:rsidR="008F12EE" w:rsidRPr="0006234D" w:rsidTr="008121EC">
        <w:trPr>
          <w:cantSplit/>
        </w:trPr>
        <w:tc>
          <w:tcPr>
            <w:tcW w:w="7371" w:type="dxa"/>
            <w:tcBorders>
              <w:top w:val="single" w:sz="4" w:space="0" w:color="A6A6A6"/>
              <w:bottom w:val="single" w:sz="4" w:space="0" w:color="A6A6A6"/>
            </w:tcBorders>
            <w:shd w:val="clear" w:color="auto" w:fill="auto"/>
          </w:tcPr>
          <w:p w:rsidR="008F12EE" w:rsidRPr="0006234D" w:rsidRDefault="008F12EE" w:rsidP="00E924ED">
            <w:pPr>
              <w:pStyle w:val="ARtabletext"/>
              <w:spacing w:before="70" w:after="50"/>
              <w:rPr>
                <w:rStyle w:val="Strong"/>
              </w:rPr>
            </w:pPr>
            <w:r w:rsidRPr="0006234D">
              <w:rPr>
                <w:rStyle w:val="Strong"/>
              </w:rPr>
              <w:t>Receipts</w:t>
            </w:r>
          </w:p>
        </w:tc>
        <w:tc>
          <w:tcPr>
            <w:tcW w:w="1134" w:type="dxa"/>
            <w:tcBorders>
              <w:top w:val="single" w:sz="4" w:space="0" w:color="A6A6A6"/>
              <w:bottom w:val="single" w:sz="4" w:space="0" w:color="A6A6A6"/>
            </w:tcBorders>
            <w:shd w:val="clear" w:color="auto" w:fill="E7E6E6"/>
          </w:tcPr>
          <w:p w:rsidR="008F12EE" w:rsidRPr="0006234D" w:rsidRDefault="008F12EE" w:rsidP="00E924ED">
            <w:pPr>
              <w:pStyle w:val="ARtabletextright"/>
              <w:spacing w:before="70" w:after="50"/>
              <w:rPr>
                <w:rStyle w:val="Strong"/>
              </w:rPr>
            </w:pPr>
          </w:p>
        </w:tc>
        <w:tc>
          <w:tcPr>
            <w:tcW w:w="1134" w:type="dxa"/>
            <w:tcBorders>
              <w:top w:val="single" w:sz="4" w:space="0" w:color="A6A6A6"/>
              <w:bottom w:val="single" w:sz="4" w:space="0" w:color="A6A6A6"/>
            </w:tcBorders>
            <w:shd w:val="clear" w:color="auto" w:fill="auto"/>
          </w:tcPr>
          <w:p w:rsidR="008F12EE" w:rsidRPr="0006234D" w:rsidRDefault="008F12EE" w:rsidP="00E924ED">
            <w:pPr>
              <w:pStyle w:val="ARtabletextright"/>
              <w:spacing w:before="70" w:after="50"/>
              <w:rPr>
                <w:rStyle w:val="Strong"/>
              </w:rPr>
            </w:pP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Receipts of output appropriations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489.5</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460</w:t>
            </w:r>
            <w:r>
              <w:t>.</w:t>
            </w:r>
            <w:r w:rsidRPr="00FD20B7">
              <w:t>4</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 xml:space="preserve">Receipts of </w:t>
            </w:r>
            <w:r>
              <w:t>special</w:t>
            </w:r>
            <w:r w:rsidRPr="00FD20B7">
              <w:t xml:space="preserve"> appropriations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0.4</w:t>
            </w:r>
          </w:p>
        </w:tc>
        <w:tc>
          <w:tcPr>
            <w:tcW w:w="1134" w:type="dxa"/>
            <w:tcBorders>
              <w:top w:val="single" w:sz="4" w:space="0" w:color="A6A6A6"/>
              <w:bottom w:val="single" w:sz="4" w:space="0" w:color="A6A6A6"/>
            </w:tcBorders>
            <w:shd w:val="clear" w:color="auto" w:fill="auto"/>
          </w:tcPr>
          <w:p w:rsidR="008F12EE" w:rsidRPr="00FD20B7" w:rsidRDefault="008A73F2" w:rsidP="00E924ED">
            <w:pPr>
              <w:pStyle w:val="ARtabletextright"/>
              <w:spacing w:before="70" w:after="50"/>
            </w:pPr>
            <w:r>
              <w:t>–</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Receipts of funds from other authori</w:t>
            </w:r>
            <w:r>
              <w:t>t</w:t>
            </w:r>
            <w:r w:rsidRPr="00FD20B7">
              <w:t>ies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31.9</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14.6</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Rent received</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465.1</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470.3</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 xml:space="preserve">User charges received </w:t>
            </w:r>
            <w:r>
              <w:t>–</w:t>
            </w:r>
            <w:r w:rsidRPr="00FD20B7">
              <w:t xml:space="preserve"> rental properties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rsidRPr="00FD20B7">
              <w:t>5.0</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5.0</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Interest received</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8.8</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9.2</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Other receipts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9.8</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14.4</w:t>
            </w:r>
          </w:p>
        </w:tc>
      </w:tr>
      <w:tr w:rsidR="008F12EE" w:rsidRPr="00FD20B7" w:rsidTr="008121EC">
        <w:trPr>
          <w:cantSplit/>
        </w:trPr>
        <w:tc>
          <w:tcPr>
            <w:tcW w:w="7371" w:type="dxa"/>
            <w:tcBorders>
              <w:top w:val="single" w:sz="4" w:space="0" w:color="A6A6A6"/>
            </w:tcBorders>
            <w:shd w:val="clear" w:color="auto" w:fill="auto"/>
          </w:tcPr>
          <w:p w:rsidR="008F12EE" w:rsidRPr="00FD20B7" w:rsidRDefault="008F12EE" w:rsidP="00E924ED">
            <w:pPr>
              <w:pStyle w:val="ARtabletext"/>
              <w:spacing w:before="70" w:after="50"/>
            </w:pPr>
            <w:r w:rsidRPr="00FD20B7">
              <w:t xml:space="preserve">GST recovered from Australian Taxation Office </w:t>
            </w:r>
            <w:r w:rsidRPr="000C2617">
              <w:rPr>
                <w:vertAlign w:val="superscript"/>
              </w:rPr>
              <w:t>(</w:t>
            </w:r>
            <w:proofErr w:type="spellStart"/>
            <w:r w:rsidRPr="000C2617">
              <w:rPr>
                <w:vertAlign w:val="superscript"/>
              </w:rPr>
              <w:t>i</w:t>
            </w:r>
            <w:proofErr w:type="spellEnd"/>
            <w:r w:rsidRPr="000C2617">
              <w:rPr>
                <w:vertAlign w:val="superscript"/>
              </w:rPr>
              <w:t>)</w:t>
            </w:r>
          </w:p>
        </w:tc>
        <w:tc>
          <w:tcPr>
            <w:tcW w:w="1134" w:type="dxa"/>
            <w:tcBorders>
              <w:top w:val="single" w:sz="4" w:space="0" w:color="A6A6A6"/>
            </w:tcBorders>
            <w:shd w:val="clear" w:color="auto" w:fill="E7E6E6"/>
          </w:tcPr>
          <w:p w:rsidR="008F12EE" w:rsidRPr="00FD20B7" w:rsidRDefault="008F12EE" w:rsidP="00E924ED">
            <w:pPr>
              <w:pStyle w:val="ARtabletextright"/>
              <w:spacing w:before="70" w:after="50"/>
            </w:pPr>
            <w:r>
              <w:t>33.4</w:t>
            </w:r>
          </w:p>
        </w:tc>
        <w:tc>
          <w:tcPr>
            <w:tcW w:w="1134" w:type="dxa"/>
            <w:tcBorders>
              <w:top w:val="single" w:sz="4" w:space="0" w:color="A6A6A6"/>
            </w:tcBorders>
            <w:shd w:val="clear" w:color="auto" w:fill="auto"/>
          </w:tcPr>
          <w:p w:rsidR="008F12EE" w:rsidRPr="00FD20B7" w:rsidRDefault="008F12EE" w:rsidP="00E924ED">
            <w:pPr>
              <w:pStyle w:val="ARtabletextright"/>
              <w:spacing w:before="70" w:after="50"/>
            </w:pPr>
            <w:r w:rsidRPr="00FD20B7">
              <w:t>31.7</w:t>
            </w:r>
          </w:p>
        </w:tc>
      </w:tr>
      <w:tr w:rsidR="008F12EE" w:rsidRPr="0006234D" w:rsidTr="008121EC">
        <w:trPr>
          <w:cantSplit/>
        </w:trPr>
        <w:tc>
          <w:tcPr>
            <w:tcW w:w="7371" w:type="dxa"/>
            <w:tcBorders>
              <w:bottom w:val="single" w:sz="4" w:space="0" w:color="auto"/>
            </w:tcBorders>
            <w:shd w:val="clear" w:color="auto" w:fill="auto"/>
          </w:tcPr>
          <w:p w:rsidR="008F12EE" w:rsidRPr="0006234D" w:rsidRDefault="008F12EE" w:rsidP="00E924ED">
            <w:pPr>
              <w:pStyle w:val="ARtabletext"/>
              <w:spacing w:before="70" w:after="50"/>
              <w:rPr>
                <w:rStyle w:val="Strong"/>
              </w:rPr>
            </w:pPr>
            <w:r w:rsidRPr="0006234D">
              <w:rPr>
                <w:rStyle w:val="Strong"/>
              </w:rPr>
              <w:t>Total receipts</w:t>
            </w:r>
          </w:p>
        </w:tc>
        <w:tc>
          <w:tcPr>
            <w:tcW w:w="1134" w:type="dxa"/>
            <w:tcBorders>
              <w:bottom w:val="single" w:sz="4" w:space="0" w:color="auto"/>
            </w:tcBorders>
            <w:shd w:val="clear" w:color="auto" w:fill="E7E6E6"/>
          </w:tcPr>
          <w:p w:rsidR="008F12EE" w:rsidRPr="0006234D" w:rsidRDefault="008F12EE" w:rsidP="00E924ED">
            <w:pPr>
              <w:pStyle w:val="ARtabletextright"/>
              <w:spacing w:before="70" w:after="50"/>
              <w:rPr>
                <w:rStyle w:val="Strong"/>
              </w:rPr>
            </w:pPr>
            <w:r>
              <w:rPr>
                <w:rStyle w:val="Strong"/>
              </w:rPr>
              <w:t>1,043.8</w:t>
            </w:r>
          </w:p>
        </w:tc>
        <w:tc>
          <w:tcPr>
            <w:tcW w:w="1134" w:type="dxa"/>
            <w:tcBorders>
              <w:bottom w:val="single" w:sz="4" w:space="0" w:color="auto"/>
            </w:tcBorders>
            <w:shd w:val="clear" w:color="auto" w:fill="auto"/>
          </w:tcPr>
          <w:p w:rsidR="008F12EE" w:rsidRPr="0006234D" w:rsidRDefault="008F12EE" w:rsidP="00E924ED">
            <w:pPr>
              <w:pStyle w:val="ARtabletextright"/>
              <w:spacing w:before="70" w:after="50"/>
              <w:rPr>
                <w:rStyle w:val="Strong"/>
              </w:rPr>
            </w:pPr>
            <w:r w:rsidRPr="0006234D">
              <w:rPr>
                <w:rStyle w:val="Strong"/>
              </w:rPr>
              <w:t>1,005.5</w:t>
            </w:r>
          </w:p>
        </w:tc>
      </w:tr>
      <w:tr w:rsidR="008F12EE" w:rsidRPr="00FD20B7" w:rsidTr="008121EC">
        <w:trPr>
          <w:cantSplit/>
        </w:trPr>
        <w:tc>
          <w:tcPr>
            <w:tcW w:w="7371" w:type="dxa"/>
            <w:tcBorders>
              <w:top w:val="single" w:sz="4" w:space="0" w:color="auto"/>
              <w:bottom w:val="single" w:sz="4" w:space="0" w:color="A6A6A6"/>
            </w:tcBorders>
            <w:shd w:val="clear" w:color="auto" w:fill="auto"/>
          </w:tcPr>
          <w:p w:rsidR="008F12EE" w:rsidRPr="00BD1529" w:rsidRDefault="008F12EE" w:rsidP="00E924ED">
            <w:pPr>
              <w:pStyle w:val="ARtabletext"/>
              <w:spacing w:before="70" w:after="50"/>
              <w:rPr>
                <w:rStyle w:val="Strong"/>
              </w:rPr>
            </w:pPr>
            <w:r w:rsidRPr="00BD1529">
              <w:rPr>
                <w:rStyle w:val="Strong"/>
              </w:rPr>
              <w:t>Payments</w:t>
            </w:r>
          </w:p>
        </w:tc>
        <w:tc>
          <w:tcPr>
            <w:tcW w:w="1134" w:type="dxa"/>
            <w:tcBorders>
              <w:top w:val="single" w:sz="4" w:space="0" w:color="auto"/>
              <w:bottom w:val="single" w:sz="4" w:space="0" w:color="A6A6A6"/>
            </w:tcBorders>
            <w:shd w:val="clear" w:color="auto" w:fill="E7E6E6"/>
          </w:tcPr>
          <w:p w:rsidR="008F12EE" w:rsidRPr="00FD20B7" w:rsidRDefault="008F12EE" w:rsidP="00E924ED">
            <w:pPr>
              <w:pStyle w:val="ARtabletextright"/>
              <w:spacing w:before="70" w:after="50"/>
            </w:pPr>
          </w:p>
        </w:tc>
        <w:tc>
          <w:tcPr>
            <w:tcW w:w="1134" w:type="dxa"/>
            <w:tcBorders>
              <w:top w:val="single" w:sz="4" w:space="0" w:color="auto"/>
              <w:bottom w:val="single" w:sz="4" w:space="0" w:color="A6A6A6"/>
            </w:tcBorders>
            <w:shd w:val="clear" w:color="auto" w:fill="auto"/>
          </w:tcPr>
          <w:p w:rsidR="008F12EE" w:rsidRPr="00FD20B7" w:rsidRDefault="008F12EE" w:rsidP="00E924ED">
            <w:pPr>
              <w:pStyle w:val="ARtabletextright"/>
              <w:spacing w:before="70" w:after="50"/>
            </w:pP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Payments of grants and other expense transfers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(467.0)</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(305.5)</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Payments for employee benefits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(103.4)</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(97.5)</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Payments for supplies and services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(47.2)</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(38.7)</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Interest and other costs of finance paid</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(3.6)</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(1.7)</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Maintenance</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(173.2)</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(178.1)</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t>Other property management expenses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(199.7)</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t>(211.6)</w:t>
            </w:r>
          </w:p>
        </w:tc>
      </w:tr>
      <w:tr w:rsidR="008F12EE" w:rsidRPr="0006234D" w:rsidTr="008121EC">
        <w:trPr>
          <w:cantSplit/>
        </w:trPr>
        <w:tc>
          <w:tcPr>
            <w:tcW w:w="7371" w:type="dxa"/>
            <w:shd w:val="clear" w:color="auto" w:fill="auto"/>
          </w:tcPr>
          <w:p w:rsidR="008F12EE" w:rsidRPr="0006234D" w:rsidRDefault="008F12EE" w:rsidP="00E924ED">
            <w:pPr>
              <w:pStyle w:val="ARtabletext"/>
              <w:spacing w:before="70" w:after="50"/>
              <w:rPr>
                <w:rStyle w:val="Strong"/>
              </w:rPr>
            </w:pPr>
            <w:r w:rsidRPr="0006234D">
              <w:rPr>
                <w:rStyle w:val="Strong"/>
              </w:rPr>
              <w:t>Total payments</w:t>
            </w:r>
          </w:p>
        </w:tc>
        <w:tc>
          <w:tcPr>
            <w:tcW w:w="1134" w:type="dxa"/>
            <w:shd w:val="clear" w:color="auto" w:fill="E7E6E6"/>
          </w:tcPr>
          <w:p w:rsidR="008F12EE" w:rsidRPr="0006234D" w:rsidRDefault="008F12EE" w:rsidP="00E924ED">
            <w:pPr>
              <w:pStyle w:val="ARtabletextright"/>
              <w:spacing w:before="70" w:after="50"/>
              <w:rPr>
                <w:rStyle w:val="Strong"/>
              </w:rPr>
            </w:pPr>
            <w:r>
              <w:rPr>
                <w:rStyle w:val="Strong"/>
              </w:rPr>
              <w:t>(994.1)</w:t>
            </w:r>
          </w:p>
        </w:tc>
        <w:tc>
          <w:tcPr>
            <w:tcW w:w="1134" w:type="dxa"/>
            <w:shd w:val="clear" w:color="auto" w:fill="auto"/>
          </w:tcPr>
          <w:p w:rsidR="008F12EE" w:rsidRPr="0006234D" w:rsidRDefault="008F12EE" w:rsidP="00E924ED">
            <w:pPr>
              <w:pStyle w:val="ARtabletextright"/>
              <w:spacing w:before="70" w:after="50"/>
              <w:rPr>
                <w:rStyle w:val="Strong"/>
              </w:rPr>
            </w:pPr>
            <w:r w:rsidRPr="0006234D">
              <w:rPr>
                <w:rStyle w:val="Strong"/>
              </w:rPr>
              <w:t>(833.1)</w:t>
            </w:r>
          </w:p>
        </w:tc>
      </w:tr>
      <w:tr w:rsidR="008F12EE" w:rsidRPr="0006234D" w:rsidTr="008121EC">
        <w:trPr>
          <w:cantSplit/>
        </w:trPr>
        <w:tc>
          <w:tcPr>
            <w:tcW w:w="7371" w:type="dxa"/>
            <w:tcBorders>
              <w:bottom w:val="single" w:sz="4" w:space="0" w:color="auto"/>
            </w:tcBorders>
            <w:shd w:val="clear" w:color="auto" w:fill="auto"/>
          </w:tcPr>
          <w:p w:rsidR="008F12EE" w:rsidRPr="0006234D" w:rsidRDefault="008F12EE" w:rsidP="00E924ED">
            <w:pPr>
              <w:pStyle w:val="ARtabletext"/>
              <w:spacing w:before="70" w:after="50"/>
              <w:rPr>
                <w:rStyle w:val="Strong"/>
              </w:rPr>
            </w:pPr>
            <w:r w:rsidRPr="0006234D">
              <w:rPr>
                <w:rStyle w:val="Strong"/>
              </w:rPr>
              <w:t>Net cash flows from/(used in) operating activities</w:t>
            </w:r>
          </w:p>
        </w:tc>
        <w:tc>
          <w:tcPr>
            <w:tcW w:w="1134" w:type="dxa"/>
            <w:tcBorders>
              <w:bottom w:val="single" w:sz="4" w:space="0" w:color="auto"/>
            </w:tcBorders>
            <w:shd w:val="clear" w:color="auto" w:fill="E7E6E6"/>
          </w:tcPr>
          <w:p w:rsidR="008F12EE" w:rsidRPr="0006234D" w:rsidRDefault="008F12EE" w:rsidP="00E924ED">
            <w:pPr>
              <w:pStyle w:val="ARtabletextright"/>
              <w:spacing w:before="70" w:after="50"/>
              <w:rPr>
                <w:rStyle w:val="Strong"/>
              </w:rPr>
            </w:pPr>
            <w:r>
              <w:rPr>
                <w:rStyle w:val="Strong"/>
              </w:rPr>
              <w:t>49.7</w:t>
            </w:r>
          </w:p>
        </w:tc>
        <w:tc>
          <w:tcPr>
            <w:tcW w:w="1134" w:type="dxa"/>
            <w:tcBorders>
              <w:bottom w:val="single" w:sz="4" w:space="0" w:color="auto"/>
            </w:tcBorders>
            <w:shd w:val="clear" w:color="auto" w:fill="auto"/>
          </w:tcPr>
          <w:p w:rsidR="008F12EE" w:rsidRPr="0006234D" w:rsidRDefault="008F12EE" w:rsidP="00E924ED">
            <w:pPr>
              <w:pStyle w:val="ARtabletextright"/>
              <w:spacing w:before="70" w:after="50"/>
              <w:rPr>
                <w:rStyle w:val="Strong"/>
              </w:rPr>
            </w:pPr>
            <w:r w:rsidRPr="0006234D">
              <w:rPr>
                <w:rStyle w:val="Strong"/>
              </w:rPr>
              <w:t>172.4</w:t>
            </w:r>
          </w:p>
        </w:tc>
      </w:tr>
      <w:tr w:rsidR="008F12EE" w:rsidRPr="00FD20B7" w:rsidTr="008121EC">
        <w:trPr>
          <w:cantSplit/>
        </w:trPr>
        <w:tc>
          <w:tcPr>
            <w:tcW w:w="7371" w:type="dxa"/>
            <w:tcBorders>
              <w:top w:val="single" w:sz="4" w:space="0" w:color="auto"/>
              <w:bottom w:val="single" w:sz="4" w:space="0" w:color="A6A6A6"/>
            </w:tcBorders>
            <w:shd w:val="clear" w:color="auto" w:fill="auto"/>
          </w:tcPr>
          <w:p w:rsidR="008F12EE" w:rsidRPr="00BD1529" w:rsidRDefault="008F12EE" w:rsidP="00E924ED">
            <w:pPr>
              <w:pStyle w:val="ARtabletext"/>
              <w:spacing w:before="70" w:after="50"/>
              <w:rPr>
                <w:rStyle w:val="Strong"/>
              </w:rPr>
            </w:pPr>
            <w:r w:rsidRPr="00BD1529">
              <w:rPr>
                <w:rStyle w:val="Strong"/>
              </w:rPr>
              <w:t>Cash flows from investing activities</w:t>
            </w:r>
          </w:p>
        </w:tc>
        <w:tc>
          <w:tcPr>
            <w:tcW w:w="1134" w:type="dxa"/>
            <w:tcBorders>
              <w:top w:val="single" w:sz="4" w:space="0" w:color="auto"/>
              <w:bottom w:val="single" w:sz="4" w:space="0" w:color="A6A6A6"/>
            </w:tcBorders>
            <w:shd w:val="clear" w:color="auto" w:fill="E7E6E6"/>
          </w:tcPr>
          <w:p w:rsidR="008F12EE" w:rsidRPr="00B3592F" w:rsidRDefault="008F12EE" w:rsidP="00E924ED">
            <w:pPr>
              <w:pStyle w:val="ARtabletextright"/>
              <w:spacing w:before="70" w:after="50"/>
            </w:pPr>
          </w:p>
        </w:tc>
        <w:tc>
          <w:tcPr>
            <w:tcW w:w="1134" w:type="dxa"/>
            <w:tcBorders>
              <w:top w:val="single" w:sz="4" w:space="0" w:color="auto"/>
              <w:bottom w:val="single" w:sz="4" w:space="0" w:color="A6A6A6"/>
            </w:tcBorders>
            <w:shd w:val="clear" w:color="auto" w:fill="auto"/>
          </w:tcPr>
          <w:p w:rsidR="008F12EE" w:rsidRPr="00B3592F" w:rsidRDefault="008F12EE" w:rsidP="00E924ED">
            <w:pPr>
              <w:pStyle w:val="ARtabletextright"/>
              <w:spacing w:before="70" w:after="50"/>
            </w:pP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Proceeds from the sale of non-financial assets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138.8</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151.2</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Purchase of short</w:t>
            </w:r>
            <w:r>
              <w:t>-</w:t>
            </w:r>
            <w:r w:rsidRPr="00FD20B7">
              <w:t xml:space="preserve">term investments </w:t>
            </w:r>
            <w:r>
              <w:t>–</w:t>
            </w:r>
            <w:r w:rsidRPr="00FD20B7">
              <w:t xml:space="preserve"> term deposits</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t>(71.6)</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(225.1)</w:t>
            </w:r>
          </w:p>
        </w:tc>
      </w:tr>
      <w:tr w:rsidR="008F12EE" w:rsidRPr="00FD20B7" w:rsidTr="008121EC">
        <w:trPr>
          <w:cantSplit/>
        </w:trPr>
        <w:tc>
          <w:tcPr>
            <w:tcW w:w="7371" w:type="dxa"/>
            <w:tcBorders>
              <w:top w:val="single" w:sz="4" w:space="0" w:color="A6A6A6"/>
              <w:bottom w:val="single" w:sz="4" w:space="0" w:color="A6A6A6"/>
            </w:tcBorders>
            <w:shd w:val="clear" w:color="auto" w:fill="auto"/>
          </w:tcPr>
          <w:p w:rsidR="008F12EE" w:rsidRPr="00FD20B7" w:rsidRDefault="008F12EE" w:rsidP="00E924ED">
            <w:pPr>
              <w:pStyle w:val="ARtabletext"/>
              <w:spacing w:before="70" w:after="50"/>
            </w:pPr>
            <w:r w:rsidRPr="00FD20B7">
              <w:t>Client loans repaid</w:t>
            </w:r>
          </w:p>
        </w:tc>
        <w:tc>
          <w:tcPr>
            <w:tcW w:w="1134" w:type="dxa"/>
            <w:tcBorders>
              <w:top w:val="single" w:sz="4" w:space="0" w:color="A6A6A6"/>
              <w:bottom w:val="single" w:sz="4" w:space="0" w:color="A6A6A6"/>
            </w:tcBorders>
            <w:shd w:val="clear" w:color="auto" w:fill="E7E6E6"/>
          </w:tcPr>
          <w:p w:rsidR="008F12EE" w:rsidRPr="00FD20B7" w:rsidRDefault="008F12EE" w:rsidP="00E924ED">
            <w:pPr>
              <w:pStyle w:val="ARtabletextright"/>
              <w:spacing w:before="70" w:after="50"/>
            </w:pPr>
            <w:r w:rsidRPr="00FD20B7">
              <w:t>2.5</w:t>
            </w:r>
          </w:p>
        </w:tc>
        <w:tc>
          <w:tcPr>
            <w:tcW w:w="1134" w:type="dxa"/>
            <w:tcBorders>
              <w:top w:val="single" w:sz="4" w:space="0" w:color="A6A6A6"/>
              <w:bottom w:val="single" w:sz="4" w:space="0" w:color="A6A6A6"/>
            </w:tcBorders>
            <w:shd w:val="clear" w:color="auto" w:fill="auto"/>
          </w:tcPr>
          <w:p w:rsidR="008F12EE" w:rsidRPr="00FD20B7" w:rsidRDefault="008F12EE" w:rsidP="00E924ED">
            <w:pPr>
              <w:pStyle w:val="ARtabletextright"/>
              <w:spacing w:before="70" w:after="50"/>
            </w:pPr>
            <w:r w:rsidRPr="00FD20B7">
              <w:t>2.5</w:t>
            </w:r>
          </w:p>
        </w:tc>
      </w:tr>
      <w:tr w:rsidR="008F12EE" w:rsidRPr="00FD20B7" w:rsidTr="008121EC">
        <w:trPr>
          <w:cantSplit/>
        </w:trPr>
        <w:tc>
          <w:tcPr>
            <w:tcW w:w="7371" w:type="dxa"/>
            <w:tcBorders>
              <w:top w:val="single" w:sz="4" w:space="0" w:color="A6A6A6"/>
              <w:bottom w:val="single" w:sz="4" w:space="0" w:color="auto"/>
            </w:tcBorders>
            <w:shd w:val="clear" w:color="auto" w:fill="auto"/>
          </w:tcPr>
          <w:p w:rsidR="008F12EE" w:rsidRPr="00FD20B7" w:rsidRDefault="008F12EE" w:rsidP="00E924ED">
            <w:pPr>
              <w:pStyle w:val="ARtabletext"/>
              <w:spacing w:before="70" w:after="50"/>
            </w:pPr>
            <w:r w:rsidRPr="00FD20B7">
              <w:t>Payment for non-financial assets</w:t>
            </w:r>
          </w:p>
        </w:tc>
        <w:tc>
          <w:tcPr>
            <w:tcW w:w="1134" w:type="dxa"/>
            <w:tcBorders>
              <w:top w:val="single" w:sz="4" w:space="0" w:color="A6A6A6"/>
              <w:bottom w:val="single" w:sz="4" w:space="0" w:color="auto"/>
            </w:tcBorders>
            <w:shd w:val="clear" w:color="auto" w:fill="E7E6E6"/>
          </w:tcPr>
          <w:p w:rsidR="008F12EE" w:rsidRPr="00FD20B7" w:rsidRDefault="008F12EE" w:rsidP="00E924ED">
            <w:pPr>
              <w:pStyle w:val="ARtabletextright"/>
              <w:spacing w:before="70" w:after="50"/>
            </w:pPr>
            <w:r>
              <w:t>(209.7)</w:t>
            </w:r>
          </w:p>
        </w:tc>
        <w:tc>
          <w:tcPr>
            <w:tcW w:w="1134" w:type="dxa"/>
            <w:tcBorders>
              <w:top w:val="single" w:sz="4" w:space="0" w:color="A6A6A6"/>
              <w:bottom w:val="single" w:sz="4" w:space="0" w:color="auto"/>
            </w:tcBorders>
            <w:shd w:val="clear" w:color="auto" w:fill="auto"/>
          </w:tcPr>
          <w:p w:rsidR="008F12EE" w:rsidRPr="00FD20B7" w:rsidRDefault="008F12EE" w:rsidP="00E924ED">
            <w:pPr>
              <w:pStyle w:val="ARtabletextright"/>
              <w:spacing w:before="70" w:after="50"/>
            </w:pPr>
            <w:r w:rsidRPr="00FD20B7">
              <w:t>(237.4)</w:t>
            </w:r>
          </w:p>
        </w:tc>
      </w:tr>
      <w:tr w:rsidR="008F12EE" w:rsidRPr="00FD20B7" w:rsidTr="008121EC">
        <w:trPr>
          <w:cantSplit/>
        </w:trPr>
        <w:tc>
          <w:tcPr>
            <w:tcW w:w="7371" w:type="dxa"/>
            <w:tcBorders>
              <w:top w:val="single" w:sz="4" w:space="0" w:color="auto"/>
              <w:bottom w:val="single" w:sz="4" w:space="0" w:color="auto"/>
            </w:tcBorders>
            <w:shd w:val="clear" w:color="auto" w:fill="auto"/>
          </w:tcPr>
          <w:p w:rsidR="008F12EE" w:rsidRPr="00A035E1" w:rsidRDefault="008F12EE" w:rsidP="00E924ED">
            <w:pPr>
              <w:pStyle w:val="ARtabletext"/>
              <w:spacing w:before="70" w:after="50"/>
              <w:rPr>
                <w:b/>
              </w:rPr>
            </w:pPr>
            <w:r w:rsidRPr="00A035E1">
              <w:rPr>
                <w:b/>
              </w:rPr>
              <w:t>Net cash flows from/(used in) investing activities</w:t>
            </w:r>
          </w:p>
        </w:tc>
        <w:tc>
          <w:tcPr>
            <w:tcW w:w="1134" w:type="dxa"/>
            <w:tcBorders>
              <w:top w:val="single" w:sz="4" w:space="0" w:color="auto"/>
              <w:bottom w:val="single" w:sz="4" w:space="0" w:color="auto"/>
            </w:tcBorders>
            <w:shd w:val="clear" w:color="auto" w:fill="E7E6E6"/>
          </w:tcPr>
          <w:p w:rsidR="008F12EE" w:rsidRPr="00A035E1" w:rsidRDefault="008F12EE" w:rsidP="00E924ED">
            <w:pPr>
              <w:pStyle w:val="ARtabletextright"/>
              <w:spacing w:before="70" w:after="50"/>
              <w:rPr>
                <w:b/>
              </w:rPr>
            </w:pPr>
            <w:r w:rsidRPr="00A035E1">
              <w:rPr>
                <w:b/>
              </w:rPr>
              <w:t>(140.1)</w:t>
            </w:r>
          </w:p>
        </w:tc>
        <w:tc>
          <w:tcPr>
            <w:tcW w:w="1134" w:type="dxa"/>
            <w:tcBorders>
              <w:top w:val="single" w:sz="4" w:space="0" w:color="auto"/>
              <w:bottom w:val="single" w:sz="4" w:space="0" w:color="auto"/>
            </w:tcBorders>
            <w:shd w:val="clear" w:color="auto" w:fill="auto"/>
          </w:tcPr>
          <w:p w:rsidR="008F12EE" w:rsidRPr="00A035E1" w:rsidRDefault="008F12EE" w:rsidP="00E924ED">
            <w:pPr>
              <w:pStyle w:val="ARtabletextright"/>
              <w:spacing w:before="70" w:after="50"/>
              <w:rPr>
                <w:b/>
              </w:rPr>
            </w:pPr>
            <w:r w:rsidRPr="00A035E1">
              <w:rPr>
                <w:b/>
              </w:rPr>
              <w:t>(308.7)</w:t>
            </w:r>
          </w:p>
        </w:tc>
      </w:tr>
      <w:tr w:rsidR="008F12EE" w:rsidRPr="00FD20B7" w:rsidTr="008121EC">
        <w:trPr>
          <w:cantSplit/>
        </w:trPr>
        <w:tc>
          <w:tcPr>
            <w:tcW w:w="7371" w:type="dxa"/>
            <w:tcBorders>
              <w:top w:val="single" w:sz="4" w:space="0" w:color="auto"/>
              <w:bottom w:val="single" w:sz="4" w:space="0" w:color="A6A6A6"/>
            </w:tcBorders>
            <w:shd w:val="clear" w:color="auto" w:fill="auto"/>
          </w:tcPr>
          <w:p w:rsidR="008F12EE" w:rsidRPr="00A035E1" w:rsidRDefault="008F12EE" w:rsidP="00E924ED">
            <w:pPr>
              <w:pStyle w:val="ARtabletext"/>
              <w:spacing w:before="70" w:after="50"/>
              <w:rPr>
                <w:b/>
              </w:rPr>
            </w:pPr>
            <w:r w:rsidRPr="00A035E1">
              <w:rPr>
                <w:b/>
              </w:rPr>
              <w:t>Cash flows from financing activities</w:t>
            </w:r>
          </w:p>
        </w:tc>
        <w:tc>
          <w:tcPr>
            <w:tcW w:w="1134" w:type="dxa"/>
            <w:tcBorders>
              <w:top w:val="single" w:sz="4" w:space="0" w:color="auto"/>
              <w:bottom w:val="single" w:sz="4" w:space="0" w:color="A6A6A6"/>
            </w:tcBorders>
            <w:shd w:val="clear" w:color="auto" w:fill="E7E6E6"/>
          </w:tcPr>
          <w:p w:rsidR="008F12EE" w:rsidRPr="00FD20B7" w:rsidRDefault="008F12EE" w:rsidP="00E924ED">
            <w:pPr>
              <w:pStyle w:val="ARtabletextright"/>
              <w:spacing w:before="70" w:after="50"/>
            </w:pPr>
          </w:p>
        </w:tc>
        <w:tc>
          <w:tcPr>
            <w:tcW w:w="1134" w:type="dxa"/>
            <w:tcBorders>
              <w:top w:val="single" w:sz="4" w:space="0" w:color="auto"/>
              <w:bottom w:val="single" w:sz="4" w:space="0" w:color="A6A6A6"/>
            </w:tcBorders>
            <w:shd w:val="clear" w:color="auto" w:fill="auto"/>
          </w:tcPr>
          <w:p w:rsidR="008F12EE" w:rsidRPr="00FD20B7" w:rsidRDefault="008F12EE" w:rsidP="00E924ED">
            <w:pPr>
              <w:pStyle w:val="ARtabletextright"/>
              <w:spacing w:before="70" w:after="50"/>
            </w:pPr>
          </w:p>
        </w:tc>
      </w:tr>
      <w:tr w:rsidR="008F12EE" w:rsidRPr="00FD20B7" w:rsidTr="008121EC">
        <w:trPr>
          <w:cantSplit/>
        </w:trPr>
        <w:tc>
          <w:tcPr>
            <w:tcW w:w="7371" w:type="dxa"/>
            <w:tcBorders>
              <w:top w:val="single" w:sz="4" w:space="0" w:color="A6A6A6"/>
              <w:bottom w:val="single" w:sz="4" w:space="0" w:color="auto"/>
            </w:tcBorders>
            <w:shd w:val="clear" w:color="auto" w:fill="auto"/>
          </w:tcPr>
          <w:p w:rsidR="008F12EE" w:rsidRPr="00FD20B7" w:rsidRDefault="008F12EE" w:rsidP="00E924ED">
            <w:pPr>
              <w:pStyle w:val="ARtabletext"/>
              <w:spacing w:before="70" w:after="50"/>
            </w:pPr>
            <w:r w:rsidRPr="00FD20B7">
              <w:t>Owner contributions by Victorian Government</w:t>
            </w:r>
            <w:r>
              <w:t xml:space="preserve"> – </w:t>
            </w:r>
            <w:r w:rsidRPr="00FD20B7">
              <w:t>a</w:t>
            </w:r>
            <w:r>
              <w:t>p</w:t>
            </w:r>
            <w:r w:rsidRPr="00FD20B7">
              <w:t>propriation for capital expenditure purposes</w:t>
            </w:r>
          </w:p>
        </w:tc>
        <w:tc>
          <w:tcPr>
            <w:tcW w:w="1134" w:type="dxa"/>
            <w:tcBorders>
              <w:top w:val="single" w:sz="4" w:space="0" w:color="A6A6A6"/>
              <w:bottom w:val="single" w:sz="4" w:space="0" w:color="auto"/>
            </w:tcBorders>
            <w:shd w:val="clear" w:color="auto" w:fill="E7E6E6"/>
          </w:tcPr>
          <w:p w:rsidR="008F12EE" w:rsidRPr="00FD20B7" w:rsidRDefault="008F12EE" w:rsidP="00E924ED">
            <w:pPr>
              <w:pStyle w:val="ARtabletextright"/>
              <w:spacing w:before="70" w:after="50"/>
            </w:pPr>
            <w:r>
              <w:t>71.8</w:t>
            </w:r>
            <w:r w:rsidRPr="00FD20B7">
              <w:t xml:space="preserve"> </w:t>
            </w:r>
          </w:p>
        </w:tc>
        <w:tc>
          <w:tcPr>
            <w:tcW w:w="1134" w:type="dxa"/>
            <w:tcBorders>
              <w:top w:val="single" w:sz="4" w:space="0" w:color="A6A6A6"/>
              <w:bottom w:val="single" w:sz="4" w:space="0" w:color="auto"/>
            </w:tcBorders>
            <w:shd w:val="clear" w:color="auto" w:fill="auto"/>
          </w:tcPr>
          <w:p w:rsidR="008F12EE" w:rsidRPr="00FD20B7" w:rsidRDefault="008F12EE" w:rsidP="00E924ED">
            <w:pPr>
              <w:pStyle w:val="ARtabletextright"/>
              <w:spacing w:before="70" w:after="50"/>
            </w:pPr>
            <w:r w:rsidRPr="00FD20B7">
              <w:t xml:space="preserve">17.6 </w:t>
            </w:r>
          </w:p>
        </w:tc>
      </w:tr>
      <w:tr w:rsidR="008F12EE" w:rsidRPr="00FD20B7" w:rsidTr="008121EC">
        <w:trPr>
          <w:cantSplit/>
        </w:trPr>
        <w:tc>
          <w:tcPr>
            <w:tcW w:w="7371" w:type="dxa"/>
            <w:tcBorders>
              <w:top w:val="single" w:sz="4" w:space="0" w:color="auto"/>
              <w:bottom w:val="single" w:sz="4" w:space="0" w:color="auto"/>
            </w:tcBorders>
            <w:shd w:val="clear" w:color="auto" w:fill="auto"/>
          </w:tcPr>
          <w:p w:rsidR="008F12EE" w:rsidRPr="00A035E1" w:rsidRDefault="008F12EE" w:rsidP="00E924ED">
            <w:pPr>
              <w:pStyle w:val="ARtabletext"/>
              <w:spacing w:before="70" w:after="50"/>
              <w:rPr>
                <w:b/>
              </w:rPr>
            </w:pPr>
            <w:r w:rsidRPr="00A035E1">
              <w:rPr>
                <w:b/>
              </w:rPr>
              <w:t>Net cash flows from/(used in) financing activities</w:t>
            </w:r>
          </w:p>
        </w:tc>
        <w:tc>
          <w:tcPr>
            <w:tcW w:w="1134" w:type="dxa"/>
            <w:tcBorders>
              <w:top w:val="single" w:sz="4" w:space="0" w:color="auto"/>
              <w:bottom w:val="single" w:sz="4" w:space="0" w:color="auto"/>
            </w:tcBorders>
            <w:shd w:val="clear" w:color="auto" w:fill="E7E6E6"/>
          </w:tcPr>
          <w:p w:rsidR="008F12EE" w:rsidRPr="00A035E1" w:rsidRDefault="008F12EE" w:rsidP="00E924ED">
            <w:pPr>
              <w:pStyle w:val="ARtabletextright"/>
              <w:spacing w:before="70" w:after="50"/>
              <w:rPr>
                <w:b/>
              </w:rPr>
            </w:pPr>
            <w:r w:rsidRPr="00A035E1">
              <w:rPr>
                <w:b/>
              </w:rPr>
              <w:t>71.8</w:t>
            </w:r>
          </w:p>
        </w:tc>
        <w:tc>
          <w:tcPr>
            <w:tcW w:w="1134" w:type="dxa"/>
            <w:tcBorders>
              <w:top w:val="single" w:sz="4" w:space="0" w:color="auto"/>
              <w:bottom w:val="single" w:sz="4" w:space="0" w:color="auto"/>
            </w:tcBorders>
            <w:shd w:val="clear" w:color="auto" w:fill="auto"/>
          </w:tcPr>
          <w:p w:rsidR="008F12EE" w:rsidRPr="00A035E1" w:rsidRDefault="008F12EE" w:rsidP="00E924ED">
            <w:pPr>
              <w:pStyle w:val="ARtabletextright"/>
              <w:spacing w:before="70" w:after="50"/>
              <w:rPr>
                <w:b/>
              </w:rPr>
            </w:pPr>
            <w:r w:rsidRPr="00A035E1">
              <w:rPr>
                <w:b/>
              </w:rPr>
              <w:t>17.6</w:t>
            </w:r>
          </w:p>
        </w:tc>
      </w:tr>
      <w:tr w:rsidR="008F12EE" w:rsidRPr="00FD20B7" w:rsidTr="008121EC">
        <w:trPr>
          <w:cantSplit/>
        </w:trPr>
        <w:tc>
          <w:tcPr>
            <w:tcW w:w="7371" w:type="dxa"/>
            <w:tcBorders>
              <w:top w:val="single" w:sz="4" w:space="0" w:color="auto"/>
              <w:bottom w:val="single" w:sz="4" w:space="0" w:color="A6A6A6"/>
            </w:tcBorders>
            <w:shd w:val="clear" w:color="auto" w:fill="auto"/>
          </w:tcPr>
          <w:p w:rsidR="008F12EE" w:rsidRPr="00FD20B7" w:rsidRDefault="008F12EE" w:rsidP="00E924ED">
            <w:pPr>
              <w:pStyle w:val="ARtabletext"/>
              <w:spacing w:before="70" w:after="50"/>
            </w:pPr>
            <w:r w:rsidRPr="00FD20B7">
              <w:t>Net increase/(decrease) in cash and deposits</w:t>
            </w:r>
          </w:p>
        </w:tc>
        <w:tc>
          <w:tcPr>
            <w:tcW w:w="1134" w:type="dxa"/>
            <w:tcBorders>
              <w:top w:val="single" w:sz="4" w:space="0" w:color="auto"/>
              <w:bottom w:val="single" w:sz="4" w:space="0" w:color="A6A6A6"/>
            </w:tcBorders>
            <w:shd w:val="clear" w:color="auto" w:fill="E7E6E6"/>
          </w:tcPr>
          <w:p w:rsidR="008F12EE" w:rsidRPr="00FD20B7" w:rsidRDefault="008F12EE" w:rsidP="00E924ED">
            <w:pPr>
              <w:pStyle w:val="ARtabletextright"/>
              <w:spacing w:before="70" w:after="50"/>
            </w:pPr>
            <w:r>
              <w:t>(18.5)</w:t>
            </w:r>
          </w:p>
        </w:tc>
        <w:tc>
          <w:tcPr>
            <w:tcW w:w="1134" w:type="dxa"/>
            <w:tcBorders>
              <w:top w:val="single" w:sz="4" w:space="0" w:color="auto"/>
              <w:bottom w:val="single" w:sz="4" w:space="0" w:color="A6A6A6"/>
            </w:tcBorders>
            <w:shd w:val="clear" w:color="auto" w:fill="auto"/>
          </w:tcPr>
          <w:p w:rsidR="008F12EE" w:rsidRPr="00FD20B7" w:rsidRDefault="008F12EE" w:rsidP="00E924ED">
            <w:pPr>
              <w:pStyle w:val="ARtabletextright"/>
              <w:spacing w:before="70" w:after="50"/>
            </w:pPr>
            <w:r w:rsidRPr="00FD20B7">
              <w:t>(118.7)</w:t>
            </w:r>
          </w:p>
        </w:tc>
      </w:tr>
      <w:tr w:rsidR="008F12EE" w:rsidRPr="00FD20B7" w:rsidTr="008121EC">
        <w:trPr>
          <w:cantSplit/>
        </w:trPr>
        <w:tc>
          <w:tcPr>
            <w:tcW w:w="7371" w:type="dxa"/>
            <w:tcBorders>
              <w:top w:val="single" w:sz="4" w:space="0" w:color="A6A6A6"/>
              <w:bottom w:val="single" w:sz="4" w:space="0" w:color="auto"/>
            </w:tcBorders>
            <w:shd w:val="clear" w:color="auto" w:fill="auto"/>
          </w:tcPr>
          <w:p w:rsidR="008F12EE" w:rsidRPr="00FD20B7" w:rsidRDefault="008F12EE" w:rsidP="00E924ED">
            <w:pPr>
              <w:pStyle w:val="ARtabletext"/>
              <w:spacing w:before="70" w:after="50"/>
            </w:pPr>
            <w:r w:rsidRPr="00FD20B7">
              <w:t>Cash and deposits at beginning of financial year</w:t>
            </w:r>
          </w:p>
        </w:tc>
        <w:tc>
          <w:tcPr>
            <w:tcW w:w="1134" w:type="dxa"/>
            <w:tcBorders>
              <w:top w:val="single" w:sz="4" w:space="0" w:color="A6A6A6"/>
              <w:bottom w:val="single" w:sz="4" w:space="0" w:color="auto"/>
            </w:tcBorders>
            <w:shd w:val="clear" w:color="auto" w:fill="E7E6E6"/>
          </w:tcPr>
          <w:p w:rsidR="008F12EE" w:rsidRPr="00FD20B7" w:rsidRDefault="008F12EE" w:rsidP="00E924ED">
            <w:pPr>
              <w:pStyle w:val="ARtabletextright"/>
              <w:spacing w:before="70" w:after="50"/>
            </w:pPr>
            <w:r>
              <w:t>81.5</w:t>
            </w:r>
          </w:p>
        </w:tc>
        <w:tc>
          <w:tcPr>
            <w:tcW w:w="1134" w:type="dxa"/>
            <w:tcBorders>
              <w:top w:val="single" w:sz="4" w:space="0" w:color="A6A6A6"/>
              <w:bottom w:val="single" w:sz="4" w:space="0" w:color="auto"/>
            </w:tcBorders>
            <w:shd w:val="clear" w:color="auto" w:fill="auto"/>
          </w:tcPr>
          <w:p w:rsidR="008F12EE" w:rsidRPr="00FD20B7" w:rsidRDefault="008F12EE" w:rsidP="00E924ED">
            <w:pPr>
              <w:pStyle w:val="ARtabletextright"/>
              <w:spacing w:before="70" w:after="50"/>
            </w:pPr>
            <w:r w:rsidRPr="00FD20B7">
              <w:t xml:space="preserve">200.1 </w:t>
            </w:r>
          </w:p>
        </w:tc>
      </w:tr>
      <w:tr w:rsidR="008F12EE" w:rsidRPr="0006234D" w:rsidTr="008121EC">
        <w:trPr>
          <w:cantSplit/>
        </w:trPr>
        <w:tc>
          <w:tcPr>
            <w:tcW w:w="7371" w:type="dxa"/>
            <w:tcBorders>
              <w:top w:val="single" w:sz="4" w:space="0" w:color="auto"/>
            </w:tcBorders>
            <w:shd w:val="clear" w:color="auto" w:fill="auto"/>
          </w:tcPr>
          <w:p w:rsidR="008F12EE" w:rsidRPr="0006234D" w:rsidRDefault="008F12EE" w:rsidP="00E924ED">
            <w:pPr>
              <w:pStyle w:val="ARtabletext"/>
              <w:spacing w:before="70" w:after="50"/>
              <w:rPr>
                <w:rStyle w:val="Strong"/>
              </w:rPr>
            </w:pPr>
            <w:r w:rsidRPr="0006234D">
              <w:rPr>
                <w:rStyle w:val="Strong"/>
              </w:rPr>
              <w:t>Cash and deposits at the end of the financial year</w:t>
            </w:r>
          </w:p>
        </w:tc>
        <w:tc>
          <w:tcPr>
            <w:tcW w:w="1134" w:type="dxa"/>
            <w:tcBorders>
              <w:top w:val="single" w:sz="4" w:space="0" w:color="auto"/>
            </w:tcBorders>
            <w:shd w:val="clear" w:color="auto" w:fill="E7E6E6"/>
          </w:tcPr>
          <w:p w:rsidR="008F12EE" w:rsidRPr="0006234D" w:rsidRDefault="008F12EE" w:rsidP="00E924ED">
            <w:pPr>
              <w:pStyle w:val="ARtabletextright"/>
              <w:spacing w:before="70" w:after="50"/>
              <w:rPr>
                <w:rStyle w:val="Strong"/>
              </w:rPr>
            </w:pPr>
            <w:r>
              <w:rPr>
                <w:rStyle w:val="Strong"/>
              </w:rPr>
              <w:t>62.9</w:t>
            </w:r>
          </w:p>
        </w:tc>
        <w:tc>
          <w:tcPr>
            <w:tcW w:w="1134" w:type="dxa"/>
            <w:tcBorders>
              <w:top w:val="single" w:sz="4" w:space="0" w:color="auto"/>
            </w:tcBorders>
            <w:shd w:val="clear" w:color="auto" w:fill="auto"/>
          </w:tcPr>
          <w:p w:rsidR="008F12EE" w:rsidRPr="0006234D" w:rsidRDefault="008F12EE" w:rsidP="00E924ED">
            <w:pPr>
              <w:pStyle w:val="ARtabletextright"/>
              <w:spacing w:before="70" w:after="50"/>
              <w:rPr>
                <w:rStyle w:val="Strong"/>
              </w:rPr>
            </w:pPr>
            <w:r w:rsidRPr="0006234D">
              <w:rPr>
                <w:rStyle w:val="Strong"/>
              </w:rPr>
              <w:t>81.5</w:t>
            </w:r>
          </w:p>
        </w:tc>
      </w:tr>
    </w:tbl>
    <w:p w:rsidR="008F12EE" w:rsidRPr="00FD20B7" w:rsidRDefault="008F12EE" w:rsidP="008F12EE">
      <w:pPr>
        <w:pStyle w:val="ARtablefootnote"/>
        <w:rPr>
          <w:sz w:val="18"/>
        </w:rPr>
      </w:pPr>
      <w:r w:rsidRPr="00FD20B7">
        <w:t>Note:</w:t>
      </w:r>
    </w:p>
    <w:p w:rsidR="008F12EE" w:rsidRDefault="008F12EE" w:rsidP="008F12EE">
      <w:pPr>
        <w:pStyle w:val="ARtablefootnotenumbered"/>
      </w:pPr>
      <w:r>
        <w:t>(</w:t>
      </w:r>
      <w:proofErr w:type="spellStart"/>
      <w:r>
        <w:t>i</w:t>
      </w:r>
      <w:proofErr w:type="spellEnd"/>
      <w:r>
        <w:t>)</w:t>
      </w:r>
      <w:r>
        <w:tab/>
      </w:r>
      <w:r w:rsidRPr="00FD20B7">
        <w:t>Goods and services tax (GST) recovered/paid from the Australian Taxation Office is presented on a net basis</w:t>
      </w:r>
    </w:p>
    <w:p w:rsidR="008F12EE" w:rsidRDefault="008F12EE" w:rsidP="008F12EE">
      <w:pPr>
        <w:pStyle w:val="Heading2"/>
        <w:sectPr w:rsidR="008F12EE" w:rsidSect="00E924ED">
          <w:headerReference w:type="even" r:id="rId180"/>
          <w:footerReference w:type="even" r:id="rId181"/>
          <w:footerReference w:type="default" r:id="rId182"/>
          <w:headerReference w:type="first" r:id="rId183"/>
          <w:footerReference w:type="first" r:id="rId184"/>
          <w:endnotePr>
            <w:numFmt w:val="decimal"/>
          </w:endnotePr>
          <w:type w:val="continuous"/>
          <w:pgSz w:w="11900" w:h="16840" w:code="9"/>
          <w:pgMar w:top="1531" w:right="851" w:bottom="680" w:left="1418" w:header="510" w:footer="340" w:gutter="0"/>
          <w:cols w:space="720"/>
        </w:sectPr>
      </w:pPr>
    </w:p>
    <w:p w:rsidR="008F12EE" w:rsidRPr="00ED5ADB" w:rsidRDefault="008F12EE" w:rsidP="00ED5ADB">
      <w:pPr>
        <w:pStyle w:val="Heading2"/>
        <w:spacing w:before="0"/>
      </w:pPr>
      <w:bookmarkStart w:id="131" w:name="_Toc493164812"/>
      <w:r w:rsidRPr="00E94B84">
        <w:lastRenderedPageBreak/>
        <w:t>Capital projects completed during the financial year ended 30 June 2017</w:t>
      </w:r>
      <w:bookmarkEnd w:id="131"/>
    </w:p>
    <w:tbl>
      <w:tblPr>
        <w:tblStyle w:val="TableGrid2"/>
        <w:tblW w:w="14600" w:type="dxa"/>
        <w:tblInd w:w="12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77"/>
        <w:gridCol w:w="1369"/>
        <w:gridCol w:w="1437"/>
        <w:gridCol w:w="1241"/>
        <w:gridCol w:w="1515"/>
        <w:gridCol w:w="1378"/>
        <w:gridCol w:w="1016"/>
        <w:gridCol w:w="2167"/>
      </w:tblGrid>
      <w:tr w:rsidR="008F12EE" w:rsidRPr="00E94B84" w:rsidTr="00234AA8">
        <w:tc>
          <w:tcPr>
            <w:tcW w:w="1533" w:type="pct"/>
            <w:vAlign w:val="bottom"/>
          </w:tcPr>
          <w:p w:rsidR="008F12EE" w:rsidRPr="002F2671" w:rsidRDefault="000136B6" w:rsidP="00E924ED">
            <w:pPr>
              <w:pStyle w:val="ARtablecolhead"/>
            </w:pPr>
            <w:r>
              <w:t>Project n</w:t>
            </w:r>
            <w:r w:rsidR="008F12EE" w:rsidRPr="002F2671">
              <w:t>ame</w:t>
            </w:r>
          </w:p>
        </w:tc>
        <w:tc>
          <w:tcPr>
            <w:tcW w:w="469" w:type="pct"/>
            <w:vAlign w:val="bottom"/>
          </w:tcPr>
          <w:p w:rsidR="008F12EE" w:rsidRPr="00E94B84" w:rsidRDefault="008F12EE" w:rsidP="00E924ED">
            <w:pPr>
              <w:pStyle w:val="ARtablecolheadright"/>
            </w:pPr>
            <w:r w:rsidRPr="00E94B84">
              <w:t xml:space="preserve">Original </w:t>
            </w:r>
            <w:r>
              <w:t>c</w:t>
            </w:r>
            <w:r w:rsidRPr="00E94B84">
              <w:t>ompletion date</w:t>
            </w:r>
          </w:p>
        </w:tc>
        <w:tc>
          <w:tcPr>
            <w:tcW w:w="492" w:type="pct"/>
            <w:vAlign w:val="bottom"/>
          </w:tcPr>
          <w:p w:rsidR="008F12EE" w:rsidRPr="00E94B84" w:rsidRDefault="008F12EE" w:rsidP="00E924ED">
            <w:pPr>
              <w:pStyle w:val="ARtablecolheadright"/>
            </w:pPr>
            <w:r w:rsidRPr="00E94B84">
              <w:t>Latest approved completion date</w:t>
            </w:r>
          </w:p>
        </w:tc>
        <w:tc>
          <w:tcPr>
            <w:tcW w:w="425" w:type="pct"/>
            <w:vAlign w:val="bottom"/>
          </w:tcPr>
          <w:p w:rsidR="008F12EE" w:rsidRPr="00E94B84" w:rsidRDefault="008F12EE" w:rsidP="00E924ED">
            <w:pPr>
              <w:pStyle w:val="ARtablecolheadright"/>
            </w:pPr>
            <w:r w:rsidRPr="00E94B84">
              <w:t>Practical completion date</w:t>
            </w:r>
          </w:p>
        </w:tc>
        <w:tc>
          <w:tcPr>
            <w:tcW w:w="519" w:type="pct"/>
            <w:vAlign w:val="bottom"/>
          </w:tcPr>
          <w:p w:rsidR="003F31BE" w:rsidRDefault="003F31BE" w:rsidP="00C66589">
            <w:pPr>
              <w:pStyle w:val="ARtablecolheadright"/>
            </w:pPr>
            <w:r>
              <w:t>Original approved TEI budget</w:t>
            </w:r>
          </w:p>
          <w:p w:rsidR="008F12EE" w:rsidRPr="00E94B84" w:rsidRDefault="008F12EE" w:rsidP="00C66589">
            <w:pPr>
              <w:pStyle w:val="ARtablecolheadright"/>
            </w:pPr>
            <w:r w:rsidRPr="00E94B84">
              <w:t>($</w:t>
            </w:r>
            <w:r w:rsidR="00C66589">
              <w:t>M</w:t>
            </w:r>
            <w:r w:rsidRPr="00E94B84">
              <w:t xml:space="preserve">) </w:t>
            </w:r>
          </w:p>
        </w:tc>
        <w:tc>
          <w:tcPr>
            <w:tcW w:w="472" w:type="pct"/>
            <w:vAlign w:val="bottom"/>
          </w:tcPr>
          <w:p w:rsidR="003F31BE" w:rsidRDefault="008F12EE" w:rsidP="00E924ED">
            <w:pPr>
              <w:pStyle w:val="ARtablecolheadright"/>
            </w:pPr>
            <w:r w:rsidRPr="00E94B84">
              <w:t>Latest approved TEI budget</w:t>
            </w:r>
          </w:p>
          <w:p w:rsidR="008F12EE" w:rsidRPr="00E94B84" w:rsidRDefault="008F12EE" w:rsidP="00E924ED">
            <w:pPr>
              <w:pStyle w:val="ARtablecolheadright"/>
            </w:pPr>
            <w:r w:rsidRPr="00E94B84">
              <w:t>($</w:t>
            </w:r>
            <w:r w:rsidR="00AE772F">
              <w:t>M</w:t>
            </w:r>
            <w:r w:rsidRPr="00E94B84">
              <w:t xml:space="preserve">) </w:t>
            </w:r>
          </w:p>
        </w:tc>
        <w:tc>
          <w:tcPr>
            <w:tcW w:w="348" w:type="pct"/>
            <w:vAlign w:val="bottom"/>
          </w:tcPr>
          <w:p w:rsidR="003F31BE" w:rsidRDefault="003F31BE" w:rsidP="00E924ED">
            <w:pPr>
              <w:pStyle w:val="ARtablecolheadright"/>
            </w:pPr>
            <w:r>
              <w:t>Actual TEI cost</w:t>
            </w:r>
          </w:p>
          <w:p w:rsidR="008F12EE" w:rsidRPr="00E94B84" w:rsidRDefault="008F12EE" w:rsidP="00E924ED">
            <w:pPr>
              <w:pStyle w:val="ARtablecolheadright"/>
            </w:pPr>
            <w:r w:rsidRPr="00E94B84">
              <w:t>($</w:t>
            </w:r>
            <w:r w:rsidR="003F31BE">
              <w:t>M</w:t>
            </w:r>
            <w:r w:rsidRPr="00E94B84">
              <w:t xml:space="preserve">) </w:t>
            </w:r>
          </w:p>
        </w:tc>
        <w:tc>
          <w:tcPr>
            <w:tcW w:w="742" w:type="pct"/>
            <w:vAlign w:val="bottom"/>
          </w:tcPr>
          <w:p w:rsidR="008F12EE" w:rsidRDefault="008F12EE" w:rsidP="00E924ED">
            <w:pPr>
              <w:pStyle w:val="ARtablecolheadright"/>
            </w:pPr>
            <w:r w:rsidRPr="00E94B84">
              <w:t>Variation between actual cost and latest approved TEI budget</w:t>
            </w:r>
          </w:p>
          <w:p w:rsidR="003F31BE" w:rsidRPr="00E94B84" w:rsidRDefault="003F31BE" w:rsidP="00E924ED">
            <w:pPr>
              <w:pStyle w:val="ARtablecolheadright"/>
            </w:pPr>
            <w:r>
              <w:t>($M)</w:t>
            </w:r>
          </w:p>
        </w:tc>
      </w:tr>
      <w:tr w:rsidR="008F12EE" w:rsidRPr="00E94B84" w:rsidTr="00234AA8">
        <w:trPr>
          <w:trHeight w:val="454"/>
        </w:trPr>
        <w:tc>
          <w:tcPr>
            <w:tcW w:w="1533" w:type="pct"/>
          </w:tcPr>
          <w:p w:rsidR="008F12EE" w:rsidRDefault="008F12EE" w:rsidP="00E924ED">
            <w:pPr>
              <w:pStyle w:val="ARtabletext"/>
            </w:pPr>
            <w:r w:rsidRPr="00E94B84">
              <w:t xml:space="preserve">Ballarat Hospital – </w:t>
            </w:r>
            <w:r>
              <w:t>a</w:t>
            </w:r>
            <w:r w:rsidRPr="00E94B84">
              <w:t>dditional beds, ambulatory care and helipad (Ballarat)</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Pr>
          <w:p w:rsidR="008F12EE" w:rsidRPr="00E94B84" w:rsidRDefault="008F12EE" w:rsidP="00E924ED">
            <w:pPr>
              <w:pStyle w:val="ARtabletextright"/>
            </w:pPr>
            <w:r w:rsidRPr="00E94B84">
              <w:t xml:space="preserve">Dec 2016 </w:t>
            </w:r>
          </w:p>
        </w:tc>
        <w:tc>
          <w:tcPr>
            <w:tcW w:w="492" w:type="pct"/>
          </w:tcPr>
          <w:p w:rsidR="008F12EE" w:rsidRPr="00E94B84" w:rsidRDefault="008F12EE" w:rsidP="00E924ED">
            <w:pPr>
              <w:pStyle w:val="ARtabletextright"/>
            </w:pPr>
            <w:r w:rsidRPr="00E94B84">
              <w:t>Dec 2016</w:t>
            </w:r>
          </w:p>
        </w:tc>
        <w:tc>
          <w:tcPr>
            <w:tcW w:w="425" w:type="pct"/>
          </w:tcPr>
          <w:p w:rsidR="008F12EE" w:rsidRPr="00E94B84" w:rsidRDefault="008F12EE" w:rsidP="00E924ED">
            <w:pPr>
              <w:pStyle w:val="ARtabletextright"/>
              <w:rPr>
                <w:highlight w:val="yellow"/>
              </w:rPr>
            </w:pPr>
            <w:r w:rsidRPr="00E94B84">
              <w:t>Dec 2016</w:t>
            </w:r>
          </w:p>
        </w:tc>
        <w:tc>
          <w:tcPr>
            <w:tcW w:w="519" w:type="pct"/>
          </w:tcPr>
          <w:p w:rsidR="008F12EE" w:rsidRPr="00E94B84" w:rsidRDefault="008F12EE" w:rsidP="00E924ED">
            <w:pPr>
              <w:pStyle w:val="ARtabletextright"/>
            </w:pPr>
            <w:r w:rsidRPr="00E94B84">
              <w:t>46.360</w:t>
            </w:r>
          </w:p>
        </w:tc>
        <w:tc>
          <w:tcPr>
            <w:tcW w:w="472" w:type="pct"/>
          </w:tcPr>
          <w:p w:rsidR="008F12EE" w:rsidRPr="00E94B84" w:rsidRDefault="008F12EE" w:rsidP="00E924ED">
            <w:pPr>
              <w:pStyle w:val="ARtabletextright"/>
            </w:pPr>
            <w:r w:rsidRPr="00E94B84">
              <w:t>47.060</w:t>
            </w:r>
          </w:p>
        </w:tc>
        <w:tc>
          <w:tcPr>
            <w:tcW w:w="348" w:type="pct"/>
          </w:tcPr>
          <w:p w:rsidR="008F12EE" w:rsidRPr="00E94B84" w:rsidRDefault="008F12EE" w:rsidP="00E924ED">
            <w:pPr>
              <w:pStyle w:val="ARtabletextright"/>
            </w:pPr>
            <w:r w:rsidRPr="00E94B84">
              <w:t>46.130</w:t>
            </w:r>
          </w:p>
        </w:tc>
        <w:tc>
          <w:tcPr>
            <w:tcW w:w="742" w:type="pct"/>
          </w:tcPr>
          <w:p w:rsidR="008F12EE" w:rsidRPr="00E94B84" w:rsidRDefault="00C66589" w:rsidP="00E924ED">
            <w:pPr>
              <w:pStyle w:val="ARtabletextright"/>
            </w:pPr>
            <w:r>
              <w:t>(</w:t>
            </w:r>
            <w:r w:rsidR="008F12EE" w:rsidRPr="00E94B84">
              <w:t>0.930</w:t>
            </w:r>
            <w:r>
              <w:t>)</w:t>
            </w:r>
          </w:p>
        </w:tc>
      </w:tr>
      <w:tr w:rsidR="008F12EE" w:rsidRPr="00E94B84" w:rsidTr="00234AA8">
        <w:trPr>
          <w:trHeight w:val="454"/>
        </w:trPr>
        <w:tc>
          <w:tcPr>
            <w:tcW w:w="1533" w:type="pct"/>
          </w:tcPr>
          <w:p w:rsidR="008F12EE" w:rsidRDefault="008F12EE" w:rsidP="00E924ED">
            <w:pPr>
              <w:pStyle w:val="ARtabletext"/>
            </w:pPr>
            <w:r w:rsidRPr="00E94B84">
              <w:t xml:space="preserve">Radiotherapy Services in South West </w:t>
            </w:r>
            <w:r>
              <w:t>Victoria – stage 2 (Warrnambool)</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Pr>
          <w:p w:rsidR="008F12EE" w:rsidRPr="00E94B84" w:rsidRDefault="008F12EE" w:rsidP="00E924ED">
            <w:pPr>
              <w:pStyle w:val="ARtabletextright"/>
            </w:pPr>
            <w:r w:rsidRPr="00E94B84">
              <w:t>June 2017</w:t>
            </w:r>
          </w:p>
        </w:tc>
        <w:tc>
          <w:tcPr>
            <w:tcW w:w="492" w:type="pct"/>
          </w:tcPr>
          <w:p w:rsidR="008F12EE" w:rsidRPr="00E94B84" w:rsidRDefault="008F12EE" w:rsidP="00E924ED">
            <w:pPr>
              <w:pStyle w:val="ARtabletextright"/>
            </w:pPr>
            <w:r w:rsidRPr="00E94B84">
              <w:t>June 2017</w:t>
            </w:r>
          </w:p>
        </w:tc>
        <w:tc>
          <w:tcPr>
            <w:tcW w:w="425" w:type="pct"/>
          </w:tcPr>
          <w:p w:rsidR="008F12EE" w:rsidRPr="00E94B84" w:rsidRDefault="008F12EE" w:rsidP="00E924ED">
            <w:pPr>
              <w:pStyle w:val="ARtabletextright"/>
            </w:pPr>
            <w:r w:rsidRPr="00E94B84">
              <w:t>July 2016</w:t>
            </w:r>
          </w:p>
        </w:tc>
        <w:tc>
          <w:tcPr>
            <w:tcW w:w="519" w:type="pct"/>
          </w:tcPr>
          <w:p w:rsidR="008F12EE" w:rsidRPr="00E94B84" w:rsidRDefault="008F12EE" w:rsidP="00E924ED">
            <w:pPr>
              <w:pStyle w:val="ARtabletextright"/>
            </w:pPr>
            <w:r w:rsidRPr="00E94B84">
              <w:t>15.000</w:t>
            </w:r>
          </w:p>
        </w:tc>
        <w:tc>
          <w:tcPr>
            <w:tcW w:w="472" w:type="pct"/>
          </w:tcPr>
          <w:p w:rsidR="008F12EE" w:rsidRPr="00E94B84" w:rsidRDefault="008F12EE" w:rsidP="00E924ED">
            <w:pPr>
              <w:pStyle w:val="ARtabletextright"/>
            </w:pPr>
            <w:r w:rsidRPr="00E94B84">
              <w:t>15.000</w:t>
            </w:r>
          </w:p>
        </w:tc>
        <w:tc>
          <w:tcPr>
            <w:tcW w:w="348" w:type="pct"/>
          </w:tcPr>
          <w:p w:rsidR="008F12EE" w:rsidRPr="00E94B84" w:rsidRDefault="008F12EE" w:rsidP="00E924ED">
            <w:pPr>
              <w:pStyle w:val="ARtabletextright"/>
            </w:pPr>
            <w:r w:rsidRPr="00E94B84">
              <w:t>14.865</w:t>
            </w:r>
          </w:p>
        </w:tc>
        <w:tc>
          <w:tcPr>
            <w:tcW w:w="742" w:type="pct"/>
          </w:tcPr>
          <w:p w:rsidR="008F12EE" w:rsidRPr="00E94B84" w:rsidRDefault="00C66589" w:rsidP="00E924ED">
            <w:pPr>
              <w:pStyle w:val="ARtabletextright"/>
            </w:pPr>
            <w:r>
              <w:t>(</w:t>
            </w:r>
            <w:r w:rsidR="008F12EE" w:rsidRPr="00E94B84">
              <w:t>0.135</w:t>
            </w:r>
            <w:r>
              <w:t>)</w:t>
            </w:r>
          </w:p>
        </w:tc>
      </w:tr>
      <w:tr w:rsidR="008F12EE" w:rsidRPr="00E94B84" w:rsidTr="00234AA8">
        <w:trPr>
          <w:trHeight w:val="454"/>
        </w:trPr>
        <w:tc>
          <w:tcPr>
            <w:tcW w:w="1533" w:type="pct"/>
          </w:tcPr>
          <w:p w:rsidR="008F12EE" w:rsidRDefault="008F12EE" w:rsidP="00E924ED">
            <w:pPr>
              <w:pStyle w:val="ARtabletext"/>
            </w:pPr>
            <w:r w:rsidRPr="00E94B84">
              <w:t>Victorian Comprehensive Cancer Centre (Parkville)</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Pr>
          <w:p w:rsidR="008F12EE" w:rsidRPr="00E94B84" w:rsidRDefault="008F12EE" w:rsidP="00E924ED">
            <w:pPr>
              <w:pStyle w:val="ARtabletextright"/>
            </w:pPr>
            <w:r w:rsidRPr="00E94B84">
              <w:t>Dec 2015</w:t>
            </w:r>
          </w:p>
        </w:tc>
        <w:tc>
          <w:tcPr>
            <w:tcW w:w="492" w:type="pct"/>
          </w:tcPr>
          <w:p w:rsidR="008F12EE" w:rsidRPr="00E94B84" w:rsidRDefault="008F12EE" w:rsidP="00E924ED">
            <w:pPr>
              <w:pStyle w:val="ARtabletextright"/>
            </w:pPr>
            <w:r w:rsidRPr="00E94B84">
              <w:t>June 2016</w:t>
            </w:r>
          </w:p>
        </w:tc>
        <w:tc>
          <w:tcPr>
            <w:tcW w:w="425" w:type="pct"/>
          </w:tcPr>
          <w:p w:rsidR="008F12EE" w:rsidRPr="00E94B84" w:rsidRDefault="008F12EE" w:rsidP="00E924ED">
            <w:pPr>
              <w:pStyle w:val="ARtabletextright"/>
            </w:pPr>
            <w:r w:rsidRPr="00E94B84">
              <w:t>June 2016</w:t>
            </w:r>
          </w:p>
        </w:tc>
        <w:tc>
          <w:tcPr>
            <w:tcW w:w="519" w:type="pct"/>
          </w:tcPr>
          <w:p w:rsidR="008F12EE" w:rsidRPr="00E94B84" w:rsidRDefault="008F12EE" w:rsidP="00E924ED">
            <w:pPr>
              <w:pStyle w:val="ARtabletextright"/>
            </w:pPr>
            <w:r w:rsidRPr="00E94B84">
              <w:t>1071.100</w:t>
            </w:r>
          </w:p>
        </w:tc>
        <w:tc>
          <w:tcPr>
            <w:tcW w:w="472" w:type="pct"/>
          </w:tcPr>
          <w:p w:rsidR="008F12EE" w:rsidRPr="00E94B84" w:rsidRDefault="008F12EE" w:rsidP="00E924ED">
            <w:pPr>
              <w:pStyle w:val="ARtabletextright"/>
            </w:pPr>
            <w:r w:rsidRPr="00E94B84">
              <w:t>501.490</w:t>
            </w:r>
          </w:p>
        </w:tc>
        <w:tc>
          <w:tcPr>
            <w:tcW w:w="348" w:type="pct"/>
          </w:tcPr>
          <w:p w:rsidR="008F12EE" w:rsidRPr="00E94B84" w:rsidRDefault="008F12EE" w:rsidP="00E924ED">
            <w:pPr>
              <w:pStyle w:val="ARtabletextright"/>
            </w:pPr>
            <w:r w:rsidRPr="00E94B84">
              <w:t>500.884</w:t>
            </w:r>
          </w:p>
        </w:tc>
        <w:tc>
          <w:tcPr>
            <w:tcW w:w="742" w:type="pct"/>
          </w:tcPr>
          <w:p w:rsidR="008F12EE" w:rsidRPr="00E94B84" w:rsidRDefault="00C66589" w:rsidP="00E924ED">
            <w:pPr>
              <w:pStyle w:val="ARtabletextright"/>
            </w:pPr>
            <w:r>
              <w:t>(</w:t>
            </w:r>
            <w:r w:rsidR="008F12EE" w:rsidRPr="00E94B84">
              <w:t>0.606</w:t>
            </w:r>
            <w:r>
              <w:t>)</w:t>
            </w:r>
          </w:p>
        </w:tc>
      </w:tr>
      <w:tr w:rsidR="008F12EE" w:rsidRPr="00E94B84" w:rsidTr="00234AA8">
        <w:trPr>
          <w:trHeight w:val="454"/>
        </w:trPr>
        <w:tc>
          <w:tcPr>
            <w:tcW w:w="1533" w:type="pct"/>
          </w:tcPr>
          <w:p w:rsidR="008F12EE" w:rsidRDefault="008F12EE" w:rsidP="00E924ED">
            <w:pPr>
              <w:pStyle w:val="ARtabletext"/>
            </w:pPr>
            <w:r w:rsidRPr="00E94B84">
              <w:t>Werribee Mercy Hospital Mental Health Expansion (Werribee)</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Pr>
          <w:p w:rsidR="008F12EE" w:rsidRPr="00E94B84" w:rsidRDefault="008F12EE" w:rsidP="00E924ED">
            <w:pPr>
              <w:pStyle w:val="ARtabletextright"/>
            </w:pPr>
            <w:r w:rsidRPr="00E94B84">
              <w:t>Dec 2016</w:t>
            </w:r>
          </w:p>
        </w:tc>
        <w:tc>
          <w:tcPr>
            <w:tcW w:w="492" w:type="pct"/>
          </w:tcPr>
          <w:p w:rsidR="008F12EE" w:rsidRPr="00E94B84" w:rsidRDefault="008F12EE" w:rsidP="00E924ED">
            <w:pPr>
              <w:pStyle w:val="ARtabletextright"/>
            </w:pPr>
            <w:r w:rsidRPr="00E94B84">
              <w:t>May 2017</w:t>
            </w:r>
          </w:p>
        </w:tc>
        <w:tc>
          <w:tcPr>
            <w:tcW w:w="425" w:type="pct"/>
          </w:tcPr>
          <w:p w:rsidR="008F12EE" w:rsidRPr="00E94B84" w:rsidRDefault="008F12EE" w:rsidP="00E924ED">
            <w:pPr>
              <w:pStyle w:val="ARtabletextright"/>
            </w:pPr>
            <w:r w:rsidRPr="00E94B84">
              <w:t>May 2017</w:t>
            </w:r>
          </w:p>
        </w:tc>
        <w:tc>
          <w:tcPr>
            <w:tcW w:w="519" w:type="pct"/>
          </w:tcPr>
          <w:p w:rsidR="008F12EE" w:rsidRPr="00E94B84" w:rsidRDefault="008F12EE" w:rsidP="00E924ED">
            <w:pPr>
              <w:pStyle w:val="ARtabletextright"/>
            </w:pPr>
            <w:r w:rsidRPr="00E94B84">
              <w:t>34.700</w:t>
            </w:r>
          </w:p>
        </w:tc>
        <w:tc>
          <w:tcPr>
            <w:tcW w:w="472" w:type="pct"/>
          </w:tcPr>
          <w:p w:rsidR="008F12EE" w:rsidRPr="00E94B84" w:rsidRDefault="008F12EE" w:rsidP="00E924ED">
            <w:pPr>
              <w:pStyle w:val="ARtabletextright"/>
            </w:pPr>
            <w:r w:rsidRPr="00E94B84">
              <w:t>34.700</w:t>
            </w:r>
          </w:p>
        </w:tc>
        <w:tc>
          <w:tcPr>
            <w:tcW w:w="348" w:type="pct"/>
          </w:tcPr>
          <w:p w:rsidR="008F12EE" w:rsidRPr="00E94B84" w:rsidRDefault="008F12EE" w:rsidP="00E924ED">
            <w:pPr>
              <w:pStyle w:val="ARtabletextright"/>
            </w:pPr>
            <w:r w:rsidRPr="00E94B84">
              <w:t>34.114</w:t>
            </w:r>
          </w:p>
        </w:tc>
        <w:tc>
          <w:tcPr>
            <w:tcW w:w="742" w:type="pct"/>
          </w:tcPr>
          <w:p w:rsidR="008F12EE" w:rsidRPr="00E94B84" w:rsidRDefault="00C66589" w:rsidP="00E924ED">
            <w:pPr>
              <w:pStyle w:val="ARtabletextright"/>
            </w:pPr>
            <w:r>
              <w:t>(</w:t>
            </w:r>
            <w:r w:rsidR="008F12EE" w:rsidRPr="00E94B84">
              <w:t>0.586</w:t>
            </w:r>
            <w:r>
              <w:t>)</w:t>
            </w:r>
          </w:p>
        </w:tc>
      </w:tr>
      <w:tr w:rsidR="008F12EE" w:rsidRPr="00E94B84" w:rsidTr="00234AA8">
        <w:trPr>
          <w:trHeight w:val="454"/>
        </w:trPr>
        <w:tc>
          <w:tcPr>
            <w:tcW w:w="1533" w:type="pct"/>
          </w:tcPr>
          <w:p w:rsidR="008F12EE" w:rsidRDefault="008F12EE" w:rsidP="00E924ED">
            <w:pPr>
              <w:pStyle w:val="ARtabletext"/>
            </w:pPr>
            <w:r w:rsidRPr="00E94B84">
              <w:t>Boort Hospital Redevelopment (Boort)</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Pr>
          <w:p w:rsidR="008F12EE" w:rsidRPr="00E94B84" w:rsidRDefault="008F12EE" w:rsidP="00E924ED">
            <w:pPr>
              <w:pStyle w:val="ARtabletextright"/>
            </w:pPr>
            <w:r w:rsidRPr="00E94B84">
              <w:t>June 2017</w:t>
            </w:r>
          </w:p>
        </w:tc>
        <w:tc>
          <w:tcPr>
            <w:tcW w:w="492" w:type="pct"/>
          </w:tcPr>
          <w:p w:rsidR="008F12EE" w:rsidRPr="00E94B84" w:rsidRDefault="008F12EE" w:rsidP="00E924ED">
            <w:pPr>
              <w:pStyle w:val="ARtabletextright"/>
            </w:pPr>
            <w:r w:rsidRPr="00E94B84">
              <w:t>June 2017</w:t>
            </w:r>
          </w:p>
        </w:tc>
        <w:tc>
          <w:tcPr>
            <w:tcW w:w="425" w:type="pct"/>
          </w:tcPr>
          <w:p w:rsidR="008F12EE" w:rsidRPr="00E94B84" w:rsidRDefault="008F12EE" w:rsidP="00E924ED">
            <w:pPr>
              <w:pStyle w:val="ARtabletextright"/>
            </w:pPr>
            <w:r w:rsidRPr="00E94B84">
              <w:t>Mar 2017</w:t>
            </w:r>
          </w:p>
        </w:tc>
        <w:tc>
          <w:tcPr>
            <w:tcW w:w="519" w:type="pct"/>
          </w:tcPr>
          <w:p w:rsidR="008F12EE" w:rsidRPr="00E94B84" w:rsidRDefault="008F12EE" w:rsidP="00E924ED">
            <w:pPr>
              <w:pStyle w:val="ARtabletextright"/>
            </w:pPr>
            <w:r w:rsidRPr="00E94B84">
              <w:t>14.000</w:t>
            </w:r>
          </w:p>
        </w:tc>
        <w:tc>
          <w:tcPr>
            <w:tcW w:w="472" w:type="pct"/>
          </w:tcPr>
          <w:p w:rsidR="008F12EE" w:rsidRPr="00E94B84" w:rsidRDefault="008F12EE" w:rsidP="00E924ED">
            <w:pPr>
              <w:pStyle w:val="ARtabletextright"/>
            </w:pPr>
            <w:r w:rsidRPr="00E94B84">
              <w:t>14.000</w:t>
            </w:r>
          </w:p>
        </w:tc>
        <w:tc>
          <w:tcPr>
            <w:tcW w:w="348" w:type="pct"/>
          </w:tcPr>
          <w:p w:rsidR="008F12EE" w:rsidRPr="00E94B84" w:rsidRDefault="008F12EE" w:rsidP="00E924ED">
            <w:pPr>
              <w:pStyle w:val="ARtabletextright"/>
            </w:pPr>
            <w:r w:rsidRPr="00E94B84">
              <w:t>12.156</w:t>
            </w:r>
          </w:p>
        </w:tc>
        <w:tc>
          <w:tcPr>
            <w:tcW w:w="742" w:type="pct"/>
          </w:tcPr>
          <w:p w:rsidR="008F12EE" w:rsidRPr="00E94B84" w:rsidRDefault="00C66589" w:rsidP="00E924ED">
            <w:pPr>
              <w:pStyle w:val="ARtabletextright"/>
            </w:pPr>
            <w:r>
              <w:t>(</w:t>
            </w:r>
            <w:r w:rsidR="008F12EE" w:rsidRPr="00E94B84">
              <w:t>1.844</w:t>
            </w:r>
            <w:r>
              <w:t>)</w:t>
            </w:r>
          </w:p>
        </w:tc>
      </w:tr>
      <w:tr w:rsidR="008F12EE" w:rsidRPr="00E94B84" w:rsidTr="00234AA8">
        <w:trPr>
          <w:trHeight w:val="454"/>
        </w:trPr>
        <w:tc>
          <w:tcPr>
            <w:tcW w:w="1533" w:type="pct"/>
          </w:tcPr>
          <w:p w:rsidR="008F12EE" w:rsidRDefault="008F12EE" w:rsidP="00E924ED">
            <w:pPr>
              <w:pStyle w:val="ARtabletext"/>
            </w:pPr>
            <w:r w:rsidRPr="00E94B84">
              <w:t xml:space="preserve">Box Hill Hospital – </w:t>
            </w:r>
            <w:r>
              <w:t>r</w:t>
            </w:r>
            <w:r w:rsidRPr="00E94B84">
              <w:t>edevelopment (Box Hill)</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Pr>
          <w:p w:rsidR="008F12EE" w:rsidRPr="00E94B84" w:rsidRDefault="008F12EE" w:rsidP="00E924ED">
            <w:pPr>
              <w:pStyle w:val="ARtabletextright"/>
            </w:pPr>
            <w:r w:rsidRPr="00E94B84">
              <w:t>Dec 2016</w:t>
            </w:r>
          </w:p>
        </w:tc>
        <w:tc>
          <w:tcPr>
            <w:tcW w:w="492" w:type="pct"/>
          </w:tcPr>
          <w:p w:rsidR="008F12EE" w:rsidRPr="00E94B84" w:rsidRDefault="008F12EE" w:rsidP="00E924ED">
            <w:pPr>
              <w:pStyle w:val="ARtabletextright"/>
            </w:pPr>
            <w:r w:rsidRPr="00E94B84">
              <w:t>Jun 2017</w:t>
            </w:r>
          </w:p>
        </w:tc>
        <w:tc>
          <w:tcPr>
            <w:tcW w:w="425" w:type="pct"/>
          </w:tcPr>
          <w:p w:rsidR="008F12EE" w:rsidRPr="00E94B84" w:rsidRDefault="008F12EE" w:rsidP="00E924ED">
            <w:pPr>
              <w:pStyle w:val="ARtabletextright"/>
            </w:pPr>
            <w:r w:rsidRPr="00E94B84">
              <w:t>June 2017</w:t>
            </w:r>
          </w:p>
        </w:tc>
        <w:tc>
          <w:tcPr>
            <w:tcW w:w="519" w:type="pct"/>
          </w:tcPr>
          <w:p w:rsidR="008F12EE" w:rsidRPr="00E94B84" w:rsidRDefault="008F12EE" w:rsidP="00E924ED">
            <w:pPr>
              <w:pStyle w:val="ARtabletextright"/>
            </w:pPr>
            <w:r w:rsidRPr="00E94B84">
              <w:t>447.500</w:t>
            </w:r>
          </w:p>
        </w:tc>
        <w:tc>
          <w:tcPr>
            <w:tcW w:w="472" w:type="pct"/>
          </w:tcPr>
          <w:p w:rsidR="008F12EE" w:rsidRPr="00E94B84" w:rsidRDefault="008F12EE" w:rsidP="00E924ED">
            <w:pPr>
              <w:pStyle w:val="ARtabletextright"/>
            </w:pPr>
            <w:r w:rsidRPr="00E94B84">
              <w:t>447.500</w:t>
            </w:r>
          </w:p>
        </w:tc>
        <w:tc>
          <w:tcPr>
            <w:tcW w:w="348" w:type="pct"/>
          </w:tcPr>
          <w:p w:rsidR="008F12EE" w:rsidRPr="00E94B84" w:rsidRDefault="008F12EE" w:rsidP="00E924ED">
            <w:pPr>
              <w:pStyle w:val="ARtabletextright"/>
            </w:pPr>
            <w:r w:rsidRPr="00E94B84">
              <w:t>446.714</w:t>
            </w:r>
          </w:p>
        </w:tc>
        <w:tc>
          <w:tcPr>
            <w:tcW w:w="742" w:type="pct"/>
          </w:tcPr>
          <w:p w:rsidR="008F12EE" w:rsidRPr="00E94B84" w:rsidRDefault="00C66589" w:rsidP="00E924ED">
            <w:pPr>
              <w:pStyle w:val="ARtabletextright"/>
            </w:pPr>
            <w:r>
              <w:t>(</w:t>
            </w:r>
            <w:r w:rsidR="008F12EE" w:rsidRPr="00E94B84">
              <w:t>0.786</w:t>
            </w:r>
            <w:r>
              <w:t>)</w:t>
            </w:r>
          </w:p>
        </w:tc>
      </w:tr>
      <w:tr w:rsidR="008F12EE" w:rsidRPr="00E94B84" w:rsidTr="00234AA8">
        <w:trPr>
          <w:trHeight w:val="454"/>
        </w:trPr>
        <w:tc>
          <w:tcPr>
            <w:tcW w:w="1533" w:type="pct"/>
          </w:tcPr>
          <w:p w:rsidR="008F12EE" w:rsidRDefault="008F12EE" w:rsidP="00E924ED">
            <w:pPr>
              <w:pStyle w:val="ARtabletext"/>
            </w:pPr>
            <w:r w:rsidRPr="00E94B84">
              <w:t>Expanding accommodation with support (</w:t>
            </w:r>
            <w:proofErr w:type="spellStart"/>
            <w:r w:rsidRPr="00E94B84">
              <w:t>statewide</w:t>
            </w:r>
            <w:proofErr w:type="spellEnd"/>
            <w:r w:rsidRPr="00E94B84">
              <w:t>)</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Pr>
          <w:p w:rsidR="008F12EE" w:rsidRPr="00E94B84" w:rsidRDefault="008F12EE" w:rsidP="00E924ED">
            <w:pPr>
              <w:pStyle w:val="ARtabletextright"/>
            </w:pPr>
            <w:r w:rsidRPr="00E94B84">
              <w:t>June 2016</w:t>
            </w:r>
          </w:p>
        </w:tc>
        <w:tc>
          <w:tcPr>
            <w:tcW w:w="492" w:type="pct"/>
          </w:tcPr>
          <w:p w:rsidR="008F12EE" w:rsidRPr="00E94B84" w:rsidRDefault="008F12EE" w:rsidP="00E924ED">
            <w:pPr>
              <w:pStyle w:val="ARtabletextright"/>
            </w:pPr>
            <w:r w:rsidRPr="00E94B84">
              <w:t>June 2017</w:t>
            </w:r>
          </w:p>
        </w:tc>
        <w:tc>
          <w:tcPr>
            <w:tcW w:w="425" w:type="pct"/>
          </w:tcPr>
          <w:p w:rsidR="008F12EE" w:rsidRPr="00E94B84" w:rsidRDefault="008F12EE" w:rsidP="00E924ED">
            <w:pPr>
              <w:pStyle w:val="ARtabletextright"/>
            </w:pPr>
            <w:r w:rsidRPr="00E94B84">
              <w:t>June 2017</w:t>
            </w:r>
          </w:p>
        </w:tc>
        <w:tc>
          <w:tcPr>
            <w:tcW w:w="519" w:type="pct"/>
          </w:tcPr>
          <w:p w:rsidR="008F12EE" w:rsidRPr="00E94B84" w:rsidRDefault="008F12EE" w:rsidP="00E924ED">
            <w:pPr>
              <w:pStyle w:val="ARtabletextright"/>
            </w:pPr>
            <w:r w:rsidRPr="00E94B84">
              <w:t>11.079</w:t>
            </w:r>
          </w:p>
        </w:tc>
        <w:tc>
          <w:tcPr>
            <w:tcW w:w="472" w:type="pct"/>
          </w:tcPr>
          <w:p w:rsidR="008F12EE" w:rsidRPr="00E94B84" w:rsidRDefault="008F12EE" w:rsidP="00E924ED">
            <w:pPr>
              <w:pStyle w:val="ARtabletextright"/>
            </w:pPr>
            <w:r w:rsidRPr="00E94B84">
              <w:t>11.079</w:t>
            </w:r>
          </w:p>
        </w:tc>
        <w:tc>
          <w:tcPr>
            <w:tcW w:w="348" w:type="pct"/>
          </w:tcPr>
          <w:p w:rsidR="008F12EE" w:rsidRPr="00E94B84" w:rsidRDefault="008F12EE" w:rsidP="00E924ED">
            <w:pPr>
              <w:pStyle w:val="ARtabletextright"/>
            </w:pPr>
            <w:r w:rsidRPr="00E94B84">
              <w:t>10.420</w:t>
            </w:r>
          </w:p>
        </w:tc>
        <w:tc>
          <w:tcPr>
            <w:tcW w:w="742" w:type="pct"/>
          </w:tcPr>
          <w:p w:rsidR="008F12EE" w:rsidRPr="00E94B84" w:rsidRDefault="00C66589" w:rsidP="00E924ED">
            <w:pPr>
              <w:pStyle w:val="ARtabletextright"/>
            </w:pPr>
            <w:r>
              <w:t>(</w:t>
            </w:r>
            <w:r w:rsidR="008F12EE" w:rsidRPr="00E94B84">
              <w:t>0.659</w:t>
            </w:r>
            <w:r>
              <w:t>)</w:t>
            </w:r>
          </w:p>
        </w:tc>
      </w:tr>
      <w:tr w:rsidR="008F12EE" w:rsidRPr="00E94B84" w:rsidTr="00234AA8">
        <w:trPr>
          <w:trHeight w:val="454"/>
        </w:trPr>
        <w:tc>
          <w:tcPr>
            <w:tcW w:w="1533" w:type="pct"/>
            <w:tcBorders>
              <w:bottom w:val="single" w:sz="4" w:space="0" w:color="auto"/>
            </w:tcBorders>
          </w:tcPr>
          <w:p w:rsidR="008F12EE" w:rsidRDefault="008F12EE" w:rsidP="00E924ED">
            <w:pPr>
              <w:pStyle w:val="ARtabletext"/>
            </w:pPr>
            <w:r w:rsidRPr="00E94B84">
              <w:t>Simonds Stadium Redevelop</w:t>
            </w:r>
            <w:r>
              <w:t>ment – stage 4 (South Geelong)</w:t>
            </w:r>
          </w:p>
          <w:p w:rsidR="008F12EE" w:rsidRPr="00E94B84" w:rsidRDefault="008F12EE" w:rsidP="00E924ED">
            <w:pPr>
              <w:pStyle w:val="ARtablefootnote"/>
            </w:pPr>
            <w:r w:rsidRPr="00E94B84">
              <w:rPr>
                <w:rFonts w:eastAsiaTheme="minorEastAsia" w:cs="Calibri"/>
                <w:lang w:eastAsia="en-AU"/>
              </w:rPr>
              <w:t>Final milestone payment paid in July 2017</w:t>
            </w:r>
          </w:p>
        </w:tc>
        <w:tc>
          <w:tcPr>
            <w:tcW w:w="469" w:type="pct"/>
            <w:tcBorders>
              <w:bottom w:val="single" w:sz="4" w:space="0" w:color="auto"/>
            </w:tcBorders>
          </w:tcPr>
          <w:p w:rsidR="008F12EE" w:rsidRPr="00E94B84" w:rsidRDefault="008F12EE" w:rsidP="00E924ED">
            <w:pPr>
              <w:pStyle w:val="ARtabletextright"/>
            </w:pPr>
            <w:r w:rsidRPr="00E94B84">
              <w:t>June 2017</w:t>
            </w:r>
          </w:p>
        </w:tc>
        <w:tc>
          <w:tcPr>
            <w:tcW w:w="492" w:type="pct"/>
            <w:tcBorders>
              <w:bottom w:val="single" w:sz="4" w:space="0" w:color="auto"/>
            </w:tcBorders>
          </w:tcPr>
          <w:p w:rsidR="008F12EE" w:rsidRPr="00E94B84" w:rsidRDefault="008F12EE" w:rsidP="00E924ED">
            <w:pPr>
              <w:pStyle w:val="ARtabletextright"/>
            </w:pPr>
            <w:r w:rsidRPr="00E94B84">
              <w:t>June 2017</w:t>
            </w:r>
          </w:p>
        </w:tc>
        <w:tc>
          <w:tcPr>
            <w:tcW w:w="425" w:type="pct"/>
            <w:tcBorders>
              <w:bottom w:val="single" w:sz="4" w:space="0" w:color="auto"/>
            </w:tcBorders>
          </w:tcPr>
          <w:p w:rsidR="008F12EE" w:rsidRPr="00E94B84" w:rsidRDefault="008F12EE" w:rsidP="00E924ED">
            <w:pPr>
              <w:pStyle w:val="ARtabletextright"/>
            </w:pPr>
            <w:r w:rsidRPr="00E94B84">
              <w:t>May 2017</w:t>
            </w:r>
          </w:p>
        </w:tc>
        <w:tc>
          <w:tcPr>
            <w:tcW w:w="519" w:type="pct"/>
            <w:tcBorders>
              <w:bottom w:val="single" w:sz="4" w:space="0" w:color="auto"/>
            </w:tcBorders>
          </w:tcPr>
          <w:p w:rsidR="008F12EE" w:rsidRPr="00E94B84" w:rsidRDefault="008F12EE" w:rsidP="00E924ED">
            <w:pPr>
              <w:pStyle w:val="ARtabletextright"/>
            </w:pPr>
            <w:r w:rsidRPr="00E94B84">
              <w:t>75.000</w:t>
            </w:r>
          </w:p>
        </w:tc>
        <w:tc>
          <w:tcPr>
            <w:tcW w:w="472" w:type="pct"/>
            <w:tcBorders>
              <w:bottom w:val="single" w:sz="4" w:space="0" w:color="auto"/>
            </w:tcBorders>
          </w:tcPr>
          <w:p w:rsidR="008F12EE" w:rsidRPr="00E94B84" w:rsidRDefault="008F12EE" w:rsidP="00E924ED">
            <w:pPr>
              <w:pStyle w:val="ARtabletextright"/>
            </w:pPr>
            <w:r w:rsidRPr="00E94B84">
              <w:t>75.000</w:t>
            </w:r>
          </w:p>
        </w:tc>
        <w:tc>
          <w:tcPr>
            <w:tcW w:w="348" w:type="pct"/>
            <w:tcBorders>
              <w:bottom w:val="single" w:sz="4" w:space="0" w:color="auto"/>
            </w:tcBorders>
          </w:tcPr>
          <w:p w:rsidR="008F12EE" w:rsidRPr="00E94B84" w:rsidRDefault="008F12EE" w:rsidP="00E924ED">
            <w:pPr>
              <w:pStyle w:val="ARtabletextright"/>
            </w:pPr>
            <w:r w:rsidRPr="00E94B84">
              <w:t>74.250</w:t>
            </w:r>
          </w:p>
        </w:tc>
        <w:tc>
          <w:tcPr>
            <w:tcW w:w="742" w:type="pct"/>
            <w:tcBorders>
              <w:bottom w:val="single" w:sz="4" w:space="0" w:color="auto"/>
            </w:tcBorders>
          </w:tcPr>
          <w:p w:rsidR="008F12EE" w:rsidRPr="00E94B84" w:rsidRDefault="00C66589" w:rsidP="00E924ED">
            <w:pPr>
              <w:pStyle w:val="ARtabletextright"/>
            </w:pPr>
            <w:r>
              <w:t>(</w:t>
            </w:r>
            <w:r w:rsidR="008F12EE" w:rsidRPr="00E94B84">
              <w:t>0.250</w:t>
            </w:r>
            <w:r>
              <w:t>)</w:t>
            </w:r>
          </w:p>
        </w:tc>
      </w:tr>
      <w:tr w:rsidR="008F12EE" w:rsidRPr="00E94B84" w:rsidTr="00234AA8">
        <w:tc>
          <w:tcPr>
            <w:tcW w:w="1533" w:type="pct"/>
            <w:tcBorders>
              <w:top w:val="single" w:sz="4" w:space="0" w:color="auto"/>
              <w:bottom w:val="single" w:sz="4" w:space="0" w:color="auto"/>
            </w:tcBorders>
          </w:tcPr>
          <w:p w:rsidR="008F12EE" w:rsidRDefault="008F12EE" w:rsidP="00E924ED">
            <w:pPr>
              <w:pStyle w:val="ARtabletext"/>
            </w:pPr>
            <w:r w:rsidRPr="00E94B84">
              <w:t>Transitional Mental Health Service (Secure Step-Down Care) (</w:t>
            </w:r>
            <w:proofErr w:type="spellStart"/>
            <w:r w:rsidRPr="00E94B84">
              <w:t>statewide</w:t>
            </w:r>
            <w:proofErr w:type="spellEnd"/>
            <w:r w:rsidRPr="00E94B84">
              <w:t>)</w:t>
            </w:r>
          </w:p>
          <w:p w:rsidR="008F12EE" w:rsidRPr="00E94B84" w:rsidRDefault="008F12EE" w:rsidP="00E924ED">
            <w:pPr>
              <w:pStyle w:val="ARtablefootnote"/>
            </w:pPr>
            <w:r w:rsidRPr="00E94B84">
              <w:t>Project is not yet at financial close (</w:t>
            </w:r>
            <w:r>
              <w:t xml:space="preserve">project is </w:t>
            </w:r>
            <w:r w:rsidRPr="00E94B84">
              <w:t>in defects and liabilities phase).</w:t>
            </w:r>
          </w:p>
        </w:tc>
        <w:tc>
          <w:tcPr>
            <w:tcW w:w="469" w:type="pct"/>
            <w:tcBorders>
              <w:top w:val="single" w:sz="4" w:space="0" w:color="auto"/>
              <w:bottom w:val="single" w:sz="4" w:space="0" w:color="auto"/>
            </w:tcBorders>
          </w:tcPr>
          <w:p w:rsidR="008F12EE" w:rsidRPr="00E94B84" w:rsidRDefault="008F12EE" w:rsidP="00E924ED">
            <w:pPr>
              <w:pStyle w:val="ARtabletextright"/>
            </w:pPr>
            <w:r w:rsidRPr="00E94B84">
              <w:t>June 2017</w:t>
            </w:r>
          </w:p>
        </w:tc>
        <w:tc>
          <w:tcPr>
            <w:tcW w:w="492" w:type="pct"/>
            <w:tcBorders>
              <w:top w:val="single" w:sz="4" w:space="0" w:color="auto"/>
              <w:bottom w:val="single" w:sz="4" w:space="0" w:color="auto"/>
            </w:tcBorders>
          </w:tcPr>
          <w:p w:rsidR="008F12EE" w:rsidRPr="00E94B84" w:rsidRDefault="008F12EE" w:rsidP="00E924ED">
            <w:pPr>
              <w:pStyle w:val="ARtabletextright"/>
            </w:pPr>
            <w:r w:rsidRPr="00E94B84">
              <w:t>June 2017</w:t>
            </w:r>
          </w:p>
        </w:tc>
        <w:tc>
          <w:tcPr>
            <w:tcW w:w="425" w:type="pct"/>
            <w:tcBorders>
              <w:top w:val="single" w:sz="4" w:space="0" w:color="auto"/>
              <w:bottom w:val="single" w:sz="4" w:space="0" w:color="auto"/>
            </w:tcBorders>
          </w:tcPr>
          <w:p w:rsidR="008F12EE" w:rsidRPr="00E94B84" w:rsidRDefault="008F12EE" w:rsidP="00E924ED">
            <w:pPr>
              <w:pStyle w:val="ARtabletextright"/>
            </w:pPr>
            <w:r w:rsidRPr="00E94B84">
              <w:t>June 2017</w:t>
            </w:r>
          </w:p>
        </w:tc>
        <w:tc>
          <w:tcPr>
            <w:tcW w:w="519" w:type="pct"/>
            <w:tcBorders>
              <w:top w:val="single" w:sz="4" w:space="0" w:color="auto"/>
              <w:bottom w:val="single" w:sz="4" w:space="0" w:color="auto"/>
            </w:tcBorders>
          </w:tcPr>
          <w:p w:rsidR="008F12EE" w:rsidRPr="00E94B84" w:rsidRDefault="008F12EE" w:rsidP="00E924ED">
            <w:pPr>
              <w:pStyle w:val="ARtabletextright"/>
            </w:pPr>
            <w:r w:rsidRPr="00E94B84">
              <w:t>14.900</w:t>
            </w:r>
          </w:p>
        </w:tc>
        <w:tc>
          <w:tcPr>
            <w:tcW w:w="472" w:type="pct"/>
            <w:tcBorders>
              <w:top w:val="single" w:sz="4" w:space="0" w:color="auto"/>
              <w:bottom w:val="single" w:sz="4" w:space="0" w:color="auto"/>
            </w:tcBorders>
          </w:tcPr>
          <w:p w:rsidR="008F12EE" w:rsidRPr="00E94B84" w:rsidRDefault="008F12EE" w:rsidP="00E924ED">
            <w:pPr>
              <w:pStyle w:val="ARtabletextright"/>
            </w:pPr>
            <w:r w:rsidRPr="00E94B84">
              <w:t>14.900</w:t>
            </w:r>
          </w:p>
        </w:tc>
        <w:tc>
          <w:tcPr>
            <w:tcW w:w="348" w:type="pct"/>
            <w:tcBorders>
              <w:top w:val="single" w:sz="4" w:space="0" w:color="auto"/>
              <w:bottom w:val="single" w:sz="4" w:space="0" w:color="auto"/>
            </w:tcBorders>
          </w:tcPr>
          <w:p w:rsidR="008F12EE" w:rsidRPr="00E94B84" w:rsidRDefault="008F12EE" w:rsidP="00E924ED">
            <w:pPr>
              <w:pStyle w:val="ARtabletextright"/>
            </w:pPr>
            <w:r w:rsidRPr="00E94B84">
              <w:t>13.050</w:t>
            </w:r>
          </w:p>
        </w:tc>
        <w:tc>
          <w:tcPr>
            <w:tcW w:w="742" w:type="pct"/>
            <w:tcBorders>
              <w:top w:val="single" w:sz="4" w:space="0" w:color="auto"/>
              <w:bottom w:val="single" w:sz="4" w:space="0" w:color="auto"/>
            </w:tcBorders>
          </w:tcPr>
          <w:p w:rsidR="008F12EE" w:rsidRPr="00E94B84" w:rsidRDefault="00C66589" w:rsidP="00E924ED">
            <w:pPr>
              <w:pStyle w:val="ARtabletextright"/>
            </w:pPr>
            <w:r>
              <w:t>(</w:t>
            </w:r>
            <w:r w:rsidR="008F12EE" w:rsidRPr="00E94B84">
              <w:t>1.850</w:t>
            </w:r>
            <w:r>
              <w:t>)</w:t>
            </w:r>
          </w:p>
        </w:tc>
      </w:tr>
    </w:tbl>
    <w:p w:rsidR="008F12EE" w:rsidRDefault="008F12EE" w:rsidP="008F12EE">
      <w:pPr>
        <w:pStyle w:val="Heading2"/>
        <w:sectPr w:rsidR="008F12EE" w:rsidSect="005A4F6A">
          <w:headerReference w:type="even" r:id="rId185"/>
          <w:headerReference w:type="default" r:id="rId186"/>
          <w:pgSz w:w="16838" w:h="11906" w:orient="landscape" w:code="9"/>
          <w:pgMar w:top="1418" w:right="1531" w:bottom="851" w:left="851" w:header="510" w:footer="340" w:gutter="0"/>
          <w:cols w:space="708"/>
          <w:docGrid w:linePitch="360"/>
        </w:sectPr>
      </w:pPr>
      <w:bookmarkStart w:id="132" w:name="_Ref492905795"/>
    </w:p>
    <w:p w:rsidR="008F12EE" w:rsidRDefault="008F12EE" w:rsidP="00E15DF2">
      <w:pPr>
        <w:pStyle w:val="Heading2"/>
        <w:spacing w:before="0"/>
      </w:pPr>
      <w:bookmarkStart w:id="133" w:name="_Toc462577209"/>
      <w:bookmarkStart w:id="134" w:name="_Toc463776640"/>
      <w:bookmarkStart w:id="135" w:name="_Ref492894547"/>
      <w:bookmarkStart w:id="136" w:name="_Toc493164813"/>
      <w:bookmarkEnd w:id="132"/>
      <w:r>
        <w:lastRenderedPageBreak/>
        <w:t>Disclosure index</w:t>
      </w:r>
      <w:bookmarkEnd w:id="133"/>
      <w:bookmarkEnd w:id="134"/>
      <w:bookmarkEnd w:id="135"/>
      <w:bookmarkEnd w:id="136"/>
    </w:p>
    <w:p w:rsidR="008F12EE" w:rsidRDefault="008F12EE" w:rsidP="008F12EE">
      <w:pPr>
        <w:pStyle w:val="ARbody"/>
      </w:pPr>
      <w:r w:rsidRPr="00497515">
        <w:t xml:space="preserve">The annual report of the Department of </w:t>
      </w:r>
      <w:r>
        <w:t xml:space="preserve">Health and </w:t>
      </w:r>
      <w:r w:rsidRPr="00497515">
        <w:t>Human Services is prepared in accordance with all relevant Victorian legislation. This index has been prepared to facilitate identification of the department</w:t>
      </w:r>
      <w:r>
        <w:t>’</w:t>
      </w:r>
      <w:r w:rsidRPr="00497515">
        <w:t>s compliance with statutory disclosure requirements.</w:t>
      </w:r>
    </w:p>
    <w:p w:rsidR="008F12EE" w:rsidRPr="0031572E" w:rsidRDefault="008F12EE" w:rsidP="008F12EE">
      <w:pPr>
        <w:pStyle w:val="Heading3"/>
        <w:spacing w:after="200"/>
      </w:pPr>
      <w:bookmarkStart w:id="137" w:name="_Toc462577210"/>
      <w:r w:rsidRPr="0031572E">
        <w:t>Report of operations</w:t>
      </w:r>
      <w:bookmarkEnd w:id="13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2014"/>
        <w:gridCol w:w="6618"/>
        <w:gridCol w:w="1007"/>
      </w:tblGrid>
      <w:tr w:rsidR="008F12EE" w:rsidRPr="00A57CC8" w:rsidTr="00234AA8">
        <w:trPr>
          <w:tblHeader/>
        </w:trPr>
        <w:tc>
          <w:tcPr>
            <w:tcW w:w="2014" w:type="dxa"/>
            <w:tcBorders>
              <w:top w:val="nil"/>
            </w:tcBorders>
            <w:shd w:val="clear" w:color="auto" w:fill="auto"/>
            <w:vAlign w:val="bottom"/>
          </w:tcPr>
          <w:p w:rsidR="008F12EE" w:rsidRPr="00A57CC8" w:rsidRDefault="008F12EE" w:rsidP="00E924ED">
            <w:pPr>
              <w:pStyle w:val="ARtablecolhead"/>
              <w:spacing w:before="70" w:after="50"/>
            </w:pPr>
            <w:r w:rsidRPr="00A57CC8">
              <w:t>Ministerial directions</w:t>
            </w:r>
          </w:p>
        </w:tc>
        <w:tc>
          <w:tcPr>
            <w:tcW w:w="6618" w:type="dxa"/>
            <w:tcBorders>
              <w:top w:val="nil"/>
            </w:tcBorders>
            <w:shd w:val="clear" w:color="auto" w:fill="auto"/>
            <w:vAlign w:val="bottom"/>
          </w:tcPr>
          <w:p w:rsidR="008F12EE" w:rsidRPr="00A57CC8" w:rsidRDefault="008F12EE" w:rsidP="00E924ED">
            <w:pPr>
              <w:pStyle w:val="ARtablecolhead"/>
              <w:spacing w:before="70" w:after="50"/>
            </w:pPr>
            <w:r w:rsidRPr="00A57CC8">
              <w:t>Requirement</w:t>
            </w:r>
          </w:p>
        </w:tc>
        <w:tc>
          <w:tcPr>
            <w:tcW w:w="1007" w:type="dxa"/>
            <w:tcBorders>
              <w:top w:val="nil"/>
            </w:tcBorders>
            <w:shd w:val="clear" w:color="auto" w:fill="auto"/>
            <w:vAlign w:val="bottom"/>
          </w:tcPr>
          <w:p w:rsidR="008F12EE" w:rsidRPr="00A57CC8" w:rsidRDefault="008F12EE" w:rsidP="00E924ED">
            <w:pPr>
              <w:pStyle w:val="ARtablecolhead"/>
              <w:spacing w:before="70" w:after="50"/>
              <w:jc w:val="right"/>
            </w:pPr>
            <w:r w:rsidRPr="00A57CC8">
              <w:t>Page</w:t>
            </w:r>
          </w:p>
        </w:tc>
      </w:tr>
      <w:tr w:rsidR="008F12EE" w:rsidRPr="00A57CC8" w:rsidTr="00234AA8">
        <w:tc>
          <w:tcPr>
            <w:tcW w:w="8632" w:type="dxa"/>
            <w:gridSpan w:val="2"/>
            <w:tcBorders>
              <w:bottom w:val="nil"/>
            </w:tcBorders>
            <w:shd w:val="clear" w:color="auto" w:fill="auto"/>
          </w:tcPr>
          <w:p w:rsidR="008F12EE" w:rsidRPr="00E30E7E" w:rsidRDefault="008F12EE" w:rsidP="00E924ED">
            <w:pPr>
              <w:pStyle w:val="ARtabletext"/>
              <w:spacing w:before="70" w:after="50"/>
              <w:rPr>
                <w:b/>
              </w:rPr>
            </w:pPr>
            <w:r w:rsidRPr="00E30E7E">
              <w:rPr>
                <w:b/>
              </w:rPr>
              <w:t>Chapter and purpose</w:t>
            </w:r>
          </w:p>
        </w:tc>
        <w:tc>
          <w:tcPr>
            <w:tcW w:w="1007" w:type="dxa"/>
            <w:tcBorders>
              <w:bottom w:val="nil"/>
            </w:tcBorders>
            <w:shd w:val="clear" w:color="auto" w:fill="auto"/>
          </w:tcPr>
          <w:p w:rsidR="008F12EE" w:rsidRPr="00A57CC8" w:rsidRDefault="008F12EE" w:rsidP="00E924ED">
            <w:pPr>
              <w:pStyle w:val="ARtabletextright"/>
            </w:pPr>
          </w:p>
        </w:tc>
      </w:tr>
      <w:tr w:rsidR="008F12EE" w:rsidRPr="00A57CC8" w:rsidTr="00234AA8">
        <w:tc>
          <w:tcPr>
            <w:tcW w:w="2014" w:type="dxa"/>
            <w:tcBorders>
              <w:top w:val="nil"/>
            </w:tcBorders>
            <w:shd w:val="clear" w:color="auto" w:fill="auto"/>
          </w:tcPr>
          <w:p w:rsidR="008F12EE" w:rsidRPr="00A57CC8" w:rsidRDefault="008F12EE" w:rsidP="00E924ED">
            <w:pPr>
              <w:pStyle w:val="ARtabletext"/>
              <w:spacing w:before="70" w:after="50"/>
            </w:pPr>
            <w:r>
              <w:t>FRD 22H</w:t>
            </w:r>
          </w:p>
        </w:tc>
        <w:tc>
          <w:tcPr>
            <w:tcW w:w="6618" w:type="dxa"/>
            <w:tcBorders>
              <w:top w:val="nil"/>
            </w:tcBorders>
            <w:shd w:val="clear" w:color="auto" w:fill="auto"/>
          </w:tcPr>
          <w:p w:rsidR="008F12EE" w:rsidRPr="00A57CC8" w:rsidRDefault="008F12EE" w:rsidP="00E924ED">
            <w:pPr>
              <w:pStyle w:val="ARtabletext"/>
              <w:spacing w:before="70" w:after="50"/>
            </w:pPr>
            <w:r w:rsidRPr="00A57CC8">
              <w:t>Manner of establishment and the relevant ministers</w:t>
            </w:r>
          </w:p>
        </w:tc>
        <w:tc>
          <w:tcPr>
            <w:tcW w:w="1007" w:type="dxa"/>
            <w:tcBorders>
              <w:top w:val="nil"/>
            </w:tcBorders>
            <w:shd w:val="clear" w:color="auto" w:fill="auto"/>
          </w:tcPr>
          <w:p w:rsidR="000019C1" w:rsidRPr="003F31BE" w:rsidRDefault="000019C1" w:rsidP="00E924ED">
            <w:pPr>
              <w:pStyle w:val="ARtabletextright"/>
            </w:pPr>
            <w:r w:rsidRPr="003F31BE">
              <w:fldChar w:fldCharType="begin"/>
            </w:r>
            <w:r w:rsidRPr="003F31BE">
              <w:instrText xml:space="preserve"> PAGEREF _Ref492893888 \h </w:instrText>
            </w:r>
            <w:r w:rsidRPr="003F31BE">
              <w:fldChar w:fldCharType="separate"/>
            </w:r>
            <w:r w:rsidR="00CA48ED">
              <w:rPr>
                <w:noProof/>
              </w:rPr>
              <w:t>10</w:t>
            </w:r>
            <w:r w:rsidRPr="003F31BE">
              <w:fldChar w:fldCharType="end"/>
            </w:r>
            <w:r w:rsidR="00BF7968">
              <w:t>–</w:t>
            </w:r>
            <w:r w:rsidR="0039571C">
              <w:t>11</w:t>
            </w:r>
          </w:p>
          <w:p w:rsidR="008F12EE" w:rsidRPr="00FF3B53" w:rsidRDefault="000019C1" w:rsidP="00E924ED">
            <w:pPr>
              <w:pStyle w:val="ARtabletextright"/>
            </w:pPr>
            <w:r w:rsidRPr="003F31BE">
              <w:fldChar w:fldCharType="begin"/>
            </w:r>
            <w:r w:rsidRPr="003F31BE">
              <w:instrText xml:space="preserve"> PAGEREF _Ref492894012 \h </w:instrText>
            </w:r>
            <w:r w:rsidRPr="003F31BE">
              <w:fldChar w:fldCharType="separate"/>
            </w:r>
            <w:r w:rsidR="00CA48ED">
              <w:rPr>
                <w:noProof/>
              </w:rPr>
              <w:t>64</w:t>
            </w:r>
            <w:r w:rsidRPr="003F31BE">
              <w:fldChar w:fldCharType="end"/>
            </w:r>
            <w:r w:rsidR="00BF7968">
              <w:t>–</w:t>
            </w:r>
            <w:r w:rsidR="007040D8">
              <w:t>67</w:t>
            </w:r>
          </w:p>
        </w:tc>
      </w:tr>
      <w:tr w:rsidR="008F12EE" w:rsidRPr="00A57CC8" w:rsidTr="00234AA8">
        <w:tc>
          <w:tcPr>
            <w:tcW w:w="2014" w:type="dxa"/>
            <w:shd w:val="clear" w:color="auto" w:fill="auto"/>
          </w:tcPr>
          <w:p w:rsidR="008F12EE" w:rsidRPr="00A57CC8" w:rsidRDefault="000019C1" w:rsidP="00E924ED">
            <w:pPr>
              <w:pStyle w:val="ARtabletext"/>
              <w:spacing w:before="70" w:after="50"/>
            </w:pPr>
            <w:r>
              <w:t xml:space="preserve">FRD 8D, </w:t>
            </w:r>
            <w:r w:rsidR="008F12EE">
              <w:t>FRD 22H</w:t>
            </w:r>
          </w:p>
        </w:tc>
        <w:tc>
          <w:tcPr>
            <w:tcW w:w="6618" w:type="dxa"/>
            <w:shd w:val="clear" w:color="auto" w:fill="auto"/>
          </w:tcPr>
          <w:p w:rsidR="008F12EE" w:rsidRPr="00A57CC8" w:rsidRDefault="008F12EE" w:rsidP="00E924ED">
            <w:pPr>
              <w:pStyle w:val="ARtabletext"/>
              <w:spacing w:before="70" w:after="50"/>
            </w:pPr>
            <w:r w:rsidRPr="00A57CC8">
              <w:t>Objectives, functions, powers and duties</w:t>
            </w:r>
          </w:p>
        </w:tc>
        <w:tc>
          <w:tcPr>
            <w:tcW w:w="1007" w:type="dxa"/>
            <w:shd w:val="clear" w:color="auto" w:fill="auto"/>
          </w:tcPr>
          <w:p w:rsidR="008F12EE" w:rsidRPr="00FF3B53" w:rsidRDefault="000019C1" w:rsidP="000019C1">
            <w:pPr>
              <w:pStyle w:val="ARtabletextright"/>
            </w:pPr>
            <w:r w:rsidRPr="00FF3B53">
              <w:fldChar w:fldCharType="begin"/>
            </w:r>
            <w:r w:rsidRPr="00FF3B53">
              <w:instrText xml:space="preserve"> PAGEREF _Ref492894141 \h </w:instrText>
            </w:r>
            <w:r w:rsidRPr="00FF3B53">
              <w:fldChar w:fldCharType="separate"/>
            </w:r>
            <w:r w:rsidR="00CA48ED">
              <w:rPr>
                <w:noProof/>
              </w:rPr>
              <w:t>7</w:t>
            </w:r>
            <w:r w:rsidRPr="00FF3B53">
              <w:fldChar w:fldCharType="end"/>
            </w:r>
            <w:r w:rsidR="009863B8" w:rsidRPr="00FF3B53">
              <w:t>–</w:t>
            </w:r>
            <w:r w:rsidR="0039571C">
              <w:t>9</w:t>
            </w:r>
          </w:p>
        </w:tc>
      </w:tr>
      <w:tr w:rsidR="008F12EE" w:rsidRPr="00A57CC8" w:rsidTr="00234AA8">
        <w:tc>
          <w:tcPr>
            <w:tcW w:w="2014" w:type="dxa"/>
            <w:tcBorders>
              <w:top w:val="nil"/>
            </w:tcBorders>
            <w:shd w:val="clear" w:color="auto" w:fill="auto"/>
          </w:tcPr>
          <w:p w:rsidR="008F12EE" w:rsidRPr="00A57CC8" w:rsidRDefault="008F12EE" w:rsidP="00E924ED">
            <w:pPr>
              <w:pStyle w:val="ARtabletext"/>
              <w:spacing w:before="70" w:after="50"/>
            </w:pPr>
            <w:r>
              <w:t>FRD 22H</w:t>
            </w:r>
          </w:p>
        </w:tc>
        <w:tc>
          <w:tcPr>
            <w:tcW w:w="6618" w:type="dxa"/>
            <w:tcBorders>
              <w:top w:val="nil"/>
            </w:tcBorders>
            <w:shd w:val="clear" w:color="auto" w:fill="auto"/>
          </w:tcPr>
          <w:p w:rsidR="008F12EE" w:rsidRPr="00A57CC8" w:rsidRDefault="008F12EE" w:rsidP="00E924ED">
            <w:pPr>
              <w:pStyle w:val="ARtabletext"/>
              <w:spacing w:before="70" w:after="50"/>
            </w:pPr>
            <w:r w:rsidRPr="00A57CC8">
              <w:t>Nature and range of services provided</w:t>
            </w:r>
          </w:p>
        </w:tc>
        <w:tc>
          <w:tcPr>
            <w:tcW w:w="1007" w:type="dxa"/>
            <w:tcBorders>
              <w:top w:val="nil"/>
            </w:tcBorders>
            <w:shd w:val="clear" w:color="auto" w:fill="auto"/>
          </w:tcPr>
          <w:p w:rsidR="008F12EE" w:rsidRPr="00FF3B53" w:rsidRDefault="000019C1" w:rsidP="00E924ED">
            <w:pPr>
              <w:pStyle w:val="ARtabletextright"/>
            </w:pPr>
            <w:r w:rsidRPr="00FF3B53">
              <w:fldChar w:fldCharType="begin"/>
            </w:r>
            <w:r w:rsidRPr="00FF3B53">
              <w:instrText xml:space="preserve"> PAGEREF _Ref492894141 \h </w:instrText>
            </w:r>
            <w:r w:rsidRPr="00FF3B53">
              <w:fldChar w:fldCharType="separate"/>
            </w:r>
            <w:r w:rsidR="00CA48ED">
              <w:rPr>
                <w:noProof/>
              </w:rPr>
              <w:t>7</w:t>
            </w:r>
            <w:r w:rsidRPr="00FF3B53">
              <w:fldChar w:fldCharType="end"/>
            </w:r>
            <w:r w:rsidRPr="00FF3B53">
              <w:t>–</w:t>
            </w:r>
            <w:r w:rsidR="0039571C">
              <w:t>9</w:t>
            </w:r>
          </w:p>
        </w:tc>
      </w:tr>
      <w:tr w:rsidR="008F12EE" w:rsidRPr="00A57CC8" w:rsidTr="00234AA8">
        <w:tc>
          <w:tcPr>
            <w:tcW w:w="2014" w:type="dxa"/>
            <w:tcBorders>
              <w:top w:val="nil"/>
            </w:tcBorders>
            <w:shd w:val="clear" w:color="auto" w:fill="auto"/>
          </w:tcPr>
          <w:p w:rsidR="008F12EE" w:rsidRDefault="008F12EE" w:rsidP="00E924ED">
            <w:pPr>
              <w:pStyle w:val="ARtabletext"/>
              <w:spacing w:before="70" w:after="50"/>
            </w:pPr>
            <w:r>
              <w:t>FRD 22H</w:t>
            </w:r>
          </w:p>
        </w:tc>
        <w:tc>
          <w:tcPr>
            <w:tcW w:w="6618" w:type="dxa"/>
            <w:tcBorders>
              <w:top w:val="nil"/>
            </w:tcBorders>
            <w:shd w:val="clear" w:color="auto" w:fill="auto"/>
          </w:tcPr>
          <w:p w:rsidR="008F12EE" w:rsidRPr="00A57CC8" w:rsidRDefault="008F12EE" w:rsidP="00E924ED">
            <w:pPr>
              <w:pStyle w:val="ARtabletext"/>
              <w:spacing w:before="70" w:after="50"/>
            </w:pPr>
            <w:r w:rsidRPr="00A9029D">
              <w:t>Key initiatives and projects</w:t>
            </w:r>
          </w:p>
        </w:tc>
        <w:tc>
          <w:tcPr>
            <w:tcW w:w="1007" w:type="dxa"/>
            <w:tcBorders>
              <w:top w:val="nil"/>
            </w:tcBorders>
            <w:shd w:val="clear" w:color="auto" w:fill="auto"/>
          </w:tcPr>
          <w:p w:rsidR="008F12EE" w:rsidRPr="00FF3B53" w:rsidRDefault="000019C1" w:rsidP="00E924ED">
            <w:pPr>
              <w:pStyle w:val="ARtabletextright"/>
            </w:pPr>
            <w:r w:rsidRPr="00FF3B53">
              <w:fldChar w:fldCharType="begin"/>
            </w:r>
            <w:r w:rsidRPr="00FF3B53">
              <w:instrText xml:space="preserve"> PAGEREF _Ref492894342 \h </w:instrText>
            </w:r>
            <w:r w:rsidRPr="00FF3B53">
              <w:fldChar w:fldCharType="separate"/>
            </w:r>
            <w:r w:rsidR="00CA48ED">
              <w:rPr>
                <w:noProof/>
              </w:rPr>
              <w:t>12</w:t>
            </w:r>
            <w:r w:rsidRPr="00FF3B53">
              <w:fldChar w:fldCharType="end"/>
            </w:r>
            <w:r w:rsidR="00BF7968">
              <w:t>–</w:t>
            </w:r>
            <w:r w:rsidR="0039571C">
              <w:t>40</w:t>
            </w:r>
          </w:p>
        </w:tc>
      </w:tr>
      <w:tr w:rsidR="008F12EE" w:rsidRPr="00A57CC8" w:rsidTr="00234AA8">
        <w:tc>
          <w:tcPr>
            <w:tcW w:w="9639" w:type="dxa"/>
            <w:gridSpan w:val="3"/>
            <w:tcBorders>
              <w:bottom w:val="nil"/>
            </w:tcBorders>
            <w:shd w:val="clear" w:color="auto" w:fill="auto"/>
          </w:tcPr>
          <w:p w:rsidR="008F12EE" w:rsidRPr="00E30E7E" w:rsidRDefault="008F12EE" w:rsidP="00E924ED">
            <w:pPr>
              <w:pStyle w:val="ARtabletext"/>
              <w:spacing w:before="70" w:after="50"/>
              <w:rPr>
                <w:b/>
              </w:rPr>
            </w:pPr>
            <w:r w:rsidRPr="00E30E7E">
              <w:rPr>
                <w:b/>
              </w:rPr>
              <w:t>Management and structure</w:t>
            </w:r>
          </w:p>
        </w:tc>
      </w:tr>
      <w:tr w:rsidR="008F12EE" w:rsidRPr="00A57CC8" w:rsidTr="00234AA8">
        <w:tc>
          <w:tcPr>
            <w:tcW w:w="2014" w:type="dxa"/>
            <w:tcBorders>
              <w:top w:val="nil"/>
            </w:tcBorders>
            <w:shd w:val="clear" w:color="auto" w:fill="auto"/>
          </w:tcPr>
          <w:p w:rsidR="008F12EE" w:rsidRPr="00A57CC8" w:rsidRDefault="008F12EE" w:rsidP="00E924ED">
            <w:pPr>
              <w:pStyle w:val="ARtabletext"/>
              <w:spacing w:before="70" w:after="50"/>
            </w:pPr>
            <w:r>
              <w:t>FRD 22H</w:t>
            </w:r>
          </w:p>
        </w:tc>
        <w:tc>
          <w:tcPr>
            <w:tcW w:w="6618" w:type="dxa"/>
            <w:tcBorders>
              <w:top w:val="nil"/>
            </w:tcBorders>
            <w:shd w:val="clear" w:color="auto" w:fill="auto"/>
          </w:tcPr>
          <w:p w:rsidR="008F12EE" w:rsidRPr="00A57CC8" w:rsidRDefault="008F12EE" w:rsidP="00E924ED">
            <w:pPr>
              <w:pStyle w:val="ARtabletext"/>
              <w:spacing w:before="70" w:after="50"/>
            </w:pPr>
            <w:r w:rsidRPr="00A57CC8">
              <w:t>Organisational structure</w:t>
            </w:r>
          </w:p>
        </w:tc>
        <w:tc>
          <w:tcPr>
            <w:tcW w:w="1007" w:type="dxa"/>
            <w:tcBorders>
              <w:top w:val="nil"/>
            </w:tcBorders>
            <w:shd w:val="clear" w:color="auto" w:fill="auto"/>
          </w:tcPr>
          <w:p w:rsidR="008F12EE" w:rsidRPr="001F0D01" w:rsidRDefault="000019C1" w:rsidP="00E924ED">
            <w:pPr>
              <w:pStyle w:val="ARtabletextright"/>
            </w:pPr>
            <w:r w:rsidRPr="00FF3B53">
              <w:fldChar w:fldCharType="begin"/>
            </w:r>
            <w:r w:rsidRPr="00FF3B53">
              <w:instrText xml:space="preserve"> PAGEREF _Ref492894420 \h </w:instrText>
            </w:r>
            <w:r w:rsidRPr="00FF3B53">
              <w:fldChar w:fldCharType="separate"/>
            </w:r>
            <w:r w:rsidR="00CA48ED">
              <w:rPr>
                <w:noProof/>
              </w:rPr>
              <w:t>68</w:t>
            </w:r>
            <w:r w:rsidRPr="00FF3B53">
              <w:fldChar w:fldCharType="end"/>
            </w:r>
          </w:p>
        </w:tc>
      </w:tr>
      <w:tr w:rsidR="008F12EE" w:rsidRPr="00A57CC8" w:rsidTr="00234AA8">
        <w:trPr>
          <w:trHeight w:val="70"/>
        </w:trPr>
        <w:tc>
          <w:tcPr>
            <w:tcW w:w="9639" w:type="dxa"/>
            <w:gridSpan w:val="3"/>
            <w:tcBorders>
              <w:bottom w:val="nil"/>
            </w:tcBorders>
            <w:shd w:val="clear" w:color="auto" w:fill="auto"/>
          </w:tcPr>
          <w:p w:rsidR="008F12EE" w:rsidRPr="00E30E7E" w:rsidRDefault="008F12EE" w:rsidP="00E924ED">
            <w:pPr>
              <w:pStyle w:val="ARtabletext"/>
              <w:spacing w:before="70" w:after="50"/>
              <w:rPr>
                <w:b/>
              </w:rPr>
            </w:pPr>
            <w:r w:rsidRPr="00E30E7E">
              <w:rPr>
                <w:b/>
              </w:rPr>
              <w:t>Financial and other information</w:t>
            </w:r>
          </w:p>
        </w:tc>
      </w:tr>
      <w:tr w:rsidR="008F12EE" w:rsidRPr="00A57CC8" w:rsidTr="00234AA8">
        <w:tc>
          <w:tcPr>
            <w:tcW w:w="2014" w:type="dxa"/>
            <w:tcBorders>
              <w:top w:val="nil"/>
            </w:tcBorders>
            <w:shd w:val="clear" w:color="auto" w:fill="auto"/>
          </w:tcPr>
          <w:p w:rsidR="008F12EE" w:rsidRDefault="008F12EE" w:rsidP="00E924ED">
            <w:pPr>
              <w:pStyle w:val="ARtabletext"/>
              <w:spacing w:before="70" w:after="50"/>
            </w:pPr>
            <w:r>
              <w:t>FRD 8D</w:t>
            </w:r>
          </w:p>
        </w:tc>
        <w:tc>
          <w:tcPr>
            <w:tcW w:w="6618" w:type="dxa"/>
            <w:tcBorders>
              <w:top w:val="nil"/>
            </w:tcBorders>
            <w:shd w:val="clear" w:color="auto" w:fill="auto"/>
          </w:tcPr>
          <w:p w:rsidR="008F12EE" w:rsidRPr="00A57CC8" w:rsidRDefault="008F12EE" w:rsidP="00E924ED">
            <w:pPr>
              <w:pStyle w:val="ARtabletext"/>
              <w:spacing w:before="70" w:after="50"/>
            </w:pPr>
            <w:r w:rsidRPr="002D1A2C">
              <w:t>Performance against output performance measures</w:t>
            </w:r>
          </w:p>
        </w:tc>
        <w:tc>
          <w:tcPr>
            <w:tcW w:w="1007" w:type="dxa"/>
            <w:tcBorders>
              <w:top w:val="nil"/>
            </w:tcBorders>
            <w:shd w:val="clear" w:color="auto" w:fill="auto"/>
          </w:tcPr>
          <w:p w:rsidR="008F12EE" w:rsidRPr="002047B6" w:rsidRDefault="000019C1" w:rsidP="00E924ED">
            <w:pPr>
              <w:pStyle w:val="ARtabletextright"/>
              <w:rPr>
                <w:highlight w:val="yellow"/>
              </w:rPr>
            </w:pPr>
            <w:r w:rsidRPr="00FF3B53">
              <w:fldChar w:fldCharType="begin"/>
            </w:r>
            <w:r w:rsidRPr="00FF3B53">
              <w:instrText xml:space="preserve"> PAGEREF _Ref492894463 \h </w:instrText>
            </w:r>
            <w:r w:rsidRPr="00FF3B53">
              <w:fldChar w:fldCharType="separate"/>
            </w:r>
            <w:r w:rsidR="00CA48ED">
              <w:rPr>
                <w:noProof/>
              </w:rPr>
              <w:t>41</w:t>
            </w:r>
            <w:r w:rsidRPr="00FF3B53">
              <w:fldChar w:fldCharType="end"/>
            </w:r>
            <w:r w:rsidR="00BF7968">
              <w:t>–</w:t>
            </w:r>
            <w:r w:rsidR="007040D8">
              <w:t>61</w:t>
            </w:r>
          </w:p>
        </w:tc>
      </w:tr>
      <w:tr w:rsidR="008F12EE" w:rsidRPr="00A57CC8" w:rsidTr="00234AA8">
        <w:tc>
          <w:tcPr>
            <w:tcW w:w="2014" w:type="dxa"/>
            <w:tcBorders>
              <w:top w:val="nil"/>
            </w:tcBorders>
            <w:shd w:val="clear" w:color="auto" w:fill="auto"/>
          </w:tcPr>
          <w:p w:rsidR="008F12EE" w:rsidRPr="00A57CC8" w:rsidRDefault="008F12EE" w:rsidP="00E924ED">
            <w:pPr>
              <w:pStyle w:val="ARtabletext"/>
              <w:spacing w:before="70" w:after="50"/>
            </w:pPr>
            <w:r>
              <w:t>FRD 8D</w:t>
            </w:r>
          </w:p>
        </w:tc>
        <w:tc>
          <w:tcPr>
            <w:tcW w:w="6618" w:type="dxa"/>
            <w:tcBorders>
              <w:top w:val="nil"/>
            </w:tcBorders>
            <w:shd w:val="clear" w:color="auto" w:fill="auto"/>
          </w:tcPr>
          <w:p w:rsidR="008F12EE" w:rsidRPr="00A57CC8" w:rsidRDefault="008F12EE" w:rsidP="00E924ED">
            <w:pPr>
              <w:pStyle w:val="ARtabletext"/>
              <w:spacing w:before="70" w:after="50"/>
            </w:pPr>
            <w:r w:rsidRPr="00A57CC8">
              <w:t>Budget portfolio outcomes</w:t>
            </w:r>
          </w:p>
        </w:tc>
        <w:tc>
          <w:tcPr>
            <w:tcW w:w="1007" w:type="dxa"/>
            <w:tcBorders>
              <w:top w:val="nil"/>
            </w:tcBorders>
            <w:shd w:val="clear" w:color="auto" w:fill="auto"/>
          </w:tcPr>
          <w:p w:rsidR="008F12EE" w:rsidRPr="007819CF" w:rsidRDefault="00534A1E" w:rsidP="00E924ED">
            <w:pPr>
              <w:pStyle w:val="ARtabletextright"/>
              <w:rPr>
                <w:highlight w:val="yellow"/>
              </w:rPr>
            </w:pPr>
            <w:r w:rsidRPr="00FF3B53">
              <w:fldChar w:fldCharType="begin"/>
            </w:r>
            <w:r w:rsidRPr="00FF3B53">
              <w:instrText xml:space="preserve"> PAGEREF _Ref492895066 \h </w:instrText>
            </w:r>
            <w:r w:rsidRPr="00FF3B53">
              <w:fldChar w:fldCharType="separate"/>
            </w:r>
            <w:r w:rsidR="00CA48ED">
              <w:rPr>
                <w:noProof/>
              </w:rPr>
              <w:t>208</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rsidRPr="00A57CC8">
              <w:t>FRD 10</w:t>
            </w:r>
            <w:r>
              <w:t>A</w:t>
            </w:r>
          </w:p>
        </w:tc>
        <w:tc>
          <w:tcPr>
            <w:tcW w:w="6618" w:type="dxa"/>
            <w:shd w:val="clear" w:color="auto" w:fill="auto"/>
          </w:tcPr>
          <w:p w:rsidR="008F12EE" w:rsidRPr="00A57CC8" w:rsidRDefault="008F12EE" w:rsidP="00E924ED">
            <w:pPr>
              <w:pStyle w:val="ARtabletext"/>
              <w:spacing w:before="70" w:after="50"/>
            </w:pPr>
            <w:r w:rsidRPr="00A57CC8">
              <w:t>Disclosure index</w:t>
            </w:r>
          </w:p>
        </w:tc>
        <w:tc>
          <w:tcPr>
            <w:tcW w:w="1007" w:type="dxa"/>
            <w:shd w:val="clear" w:color="auto" w:fill="auto"/>
          </w:tcPr>
          <w:p w:rsidR="008F12EE" w:rsidRPr="007819CF" w:rsidRDefault="000019C1" w:rsidP="00E924ED">
            <w:pPr>
              <w:pStyle w:val="ARtabletextright"/>
              <w:rPr>
                <w:highlight w:val="yellow"/>
              </w:rPr>
            </w:pPr>
            <w:r w:rsidRPr="00FF3B53">
              <w:fldChar w:fldCharType="begin"/>
            </w:r>
            <w:r w:rsidRPr="00FF3B53">
              <w:instrText xml:space="preserve"> PAGEREF _Ref492894547 \h </w:instrText>
            </w:r>
            <w:r w:rsidRPr="00FF3B53">
              <w:fldChar w:fldCharType="separate"/>
            </w:r>
            <w:r w:rsidR="00CA48ED">
              <w:rPr>
                <w:noProof/>
              </w:rPr>
              <w:t>223</w:t>
            </w:r>
            <w:r w:rsidRPr="00FF3B53">
              <w:fldChar w:fldCharType="end"/>
            </w:r>
            <w:r w:rsidR="00BF7968">
              <w:t>–</w:t>
            </w:r>
            <w:r w:rsidR="0039571C">
              <w:t>225</w:t>
            </w:r>
          </w:p>
        </w:tc>
      </w:tr>
      <w:tr w:rsidR="008F12EE" w:rsidRPr="001F0D01" w:rsidTr="00234AA8">
        <w:tc>
          <w:tcPr>
            <w:tcW w:w="2014" w:type="dxa"/>
            <w:shd w:val="clear" w:color="auto" w:fill="auto"/>
          </w:tcPr>
          <w:p w:rsidR="008F12EE" w:rsidRPr="00A57CC8" w:rsidRDefault="008F12EE" w:rsidP="00E924ED">
            <w:pPr>
              <w:pStyle w:val="ARtabletext"/>
              <w:spacing w:before="70" w:after="50"/>
            </w:pPr>
            <w:r>
              <w:t>FRD 12B</w:t>
            </w:r>
          </w:p>
        </w:tc>
        <w:tc>
          <w:tcPr>
            <w:tcW w:w="6618" w:type="dxa"/>
            <w:shd w:val="clear" w:color="auto" w:fill="auto"/>
          </w:tcPr>
          <w:p w:rsidR="008F12EE" w:rsidRPr="00A57CC8" w:rsidRDefault="008F12EE" w:rsidP="00E924ED">
            <w:pPr>
              <w:pStyle w:val="ARtabletext"/>
              <w:spacing w:before="70" w:after="50"/>
            </w:pPr>
            <w:r w:rsidRPr="00A57CC8">
              <w:t>Disclosure of major contracts</w:t>
            </w:r>
          </w:p>
        </w:tc>
        <w:tc>
          <w:tcPr>
            <w:tcW w:w="1007" w:type="dxa"/>
            <w:shd w:val="clear" w:color="auto" w:fill="auto"/>
          </w:tcPr>
          <w:p w:rsidR="008F12EE" w:rsidRPr="00FF3B53" w:rsidRDefault="00534A1E" w:rsidP="00E924ED">
            <w:pPr>
              <w:pStyle w:val="ARtabletextright"/>
            </w:pPr>
            <w:r w:rsidRPr="00FF3B53">
              <w:fldChar w:fldCharType="begin"/>
            </w:r>
            <w:r w:rsidRPr="00FF3B53">
              <w:instrText xml:space="preserve"> PAGEREF _Ref492894715 \h </w:instrText>
            </w:r>
            <w:r w:rsidRPr="00FF3B53">
              <w:fldChar w:fldCharType="separate"/>
            </w:r>
            <w:r w:rsidR="00CA48ED">
              <w:rPr>
                <w:noProof/>
              </w:rPr>
              <w:t>90</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rsidRPr="00A57CC8">
              <w:t>FRD 15</w:t>
            </w:r>
            <w:r>
              <w:t>D</w:t>
            </w:r>
          </w:p>
        </w:tc>
        <w:tc>
          <w:tcPr>
            <w:tcW w:w="6618" w:type="dxa"/>
            <w:shd w:val="clear" w:color="auto" w:fill="auto"/>
          </w:tcPr>
          <w:p w:rsidR="008F12EE" w:rsidRPr="00A57CC8" w:rsidRDefault="008F12EE" w:rsidP="00E924ED">
            <w:pPr>
              <w:pStyle w:val="ARtabletext"/>
              <w:spacing w:before="70" w:after="50"/>
            </w:pPr>
            <w:r w:rsidRPr="00A57CC8">
              <w:t xml:space="preserve">Executive officer </w:t>
            </w:r>
            <w:r>
              <w:t>disclosures</w:t>
            </w:r>
          </w:p>
        </w:tc>
        <w:tc>
          <w:tcPr>
            <w:tcW w:w="1007" w:type="dxa"/>
            <w:shd w:val="clear" w:color="auto" w:fill="auto"/>
          </w:tcPr>
          <w:p w:rsidR="008F12EE" w:rsidRPr="007819CF" w:rsidRDefault="00534A1E" w:rsidP="00E924ED">
            <w:pPr>
              <w:pStyle w:val="ARtabletextright"/>
              <w:rPr>
                <w:highlight w:val="yellow"/>
              </w:rPr>
            </w:pPr>
            <w:r w:rsidRPr="00FF3B53">
              <w:fldChar w:fldCharType="begin"/>
            </w:r>
            <w:r w:rsidRPr="00FF3B53">
              <w:instrText xml:space="preserve"> PAGEREF _Ref492894739 \h </w:instrText>
            </w:r>
            <w:r w:rsidRPr="00FF3B53">
              <w:fldChar w:fldCharType="separate"/>
            </w:r>
            <w:r w:rsidR="00CA48ED">
              <w:rPr>
                <w:noProof/>
              </w:rPr>
              <w:t>75</w:t>
            </w:r>
            <w:r w:rsidRPr="00FF3B53">
              <w:fldChar w:fldCharType="end"/>
            </w:r>
            <w:r w:rsidR="00BF7968">
              <w:t>–</w:t>
            </w:r>
            <w:r w:rsidR="0039571C">
              <w:t>79</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Employment and conduct principles</w:t>
            </w:r>
          </w:p>
        </w:tc>
        <w:tc>
          <w:tcPr>
            <w:tcW w:w="1007" w:type="dxa"/>
            <w:shd w:val="clear" w:color="auto" w:fill="auto"/>
          </w:tcPr>
          <w:p w:rsidR="008F12EE" w:rsidRPr="00FF3B53" w:rsidRDefault="00534A1E" w:rsidP="00E924ED">
            <w:pPr>
              <w:pStyle w:val="ARtabletextright"/>
            </w:pPr>
            <w:r w:rsidRPr="00FF3B53">
              <w:fldChar w:fldCharType="begin"/>
            </w:r>
            <w:r w:rsidRPr="00FF3B53">
              <w:instrText xml:space="preserve"> PAGEREF _Ref492894806 \h </w:instrText>
            </w:r>
            <w:r w:rsidRPr="00FF3B53">
              <w:fldChar w:fldCharType="separate"/>
            </w:r>
            <w:r w:rsidR="00CA48ED">
              <w:rPr>
                <w:noProof/>
              </w:rPr>
              <w:t>69</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 xml:space="preserve">Occupational health and safety </w:t>
            </w:r>
            <w:r>
              <w:t>management measures</w:t>
            </w:r>
          </w:p>
        </w:tc>
        <w:tc>
          <w:tcPr>
            <w:tcW w:w="1007" w:type="dxa"/>
            <w:shd w:val="clear" w:color="auto" w:fill="auto"/>
          </w:tcPr>
          <w:p w:rsidR="008F12EE" w:rsidRPr="007819CF" w:rsidRDefault="00534A1E" w:rsidP="00E924ED">
            <w:pPr>
              <w:pStyle w:val="ARtabletextright"/>
              <w:rPr>
                <w:highlight w:val="yellow"/>
              </w:rPr>
            </w:pPr>
            <w:r w:rsidRPr="00FF3B53">
              <w:fldChar w:fldCharType="begin"/>
            </w:r>
            <w:r w:rsidRPr="00FF3B53">
              <w:instrText xml:space="preserve"> PAGEREF _Ref492894929 \h </w:instrText>
            </w:r>
            <w:r w:rsidRPr="00FF3B53">
              <w:fldChar w:fldCharType="separate"/>
            </w:r>
            <w:r w:rsidR="00CA48ED">
              <w:rPr>
                <w:noProof/>
              </w:rPr>
              <w:t>80</w:t>
            </w:r>
            <w:r w:rsidRPr="00FF3B53">
              <w:fldChar w:fldCharType="end"/>
            </w:r>
            <w:r w:rsidR="00BF7968">
              <w:t>–</w:t>
            </w:r>
            <w:r w:rsidR="0039571C">
              <w:t>82</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Summary of the financial results for the year</w:t>
            </w:r>
          </w:p>
        </w:tc>
        <w:tc>
          <w:tcPr>
            <w:tcW w:w="1007" w:type="dxa"/>
            <w:shd w:val="clear" w:color="auto" w:fill="auto"/>
          </w:tcPr>
          <w:p w:rsidR="008F12EE" w:rsidRPr="007819CF" w:rsidRDefault="00534A1E" w:rsidP="00E924ED">
            <w:pPr>
              <w:pStyle w:val="ARtabletextright"/>
              <w:rPr>
                <w:highlight w:val="yellow"/>
              </w:rPr>
            </w:pPr>
            <w:r w:rsidRPr="00FF3B53">
              <w:fldChar w:fldCharType="begin"/>
            </w:r>
            <w:r w:rsidRPr="00FF3B53">
              <w:instrText xml:space="preserve"> PAGEREF _Ref492894493 \h </w:instrText>
            </w:r>
            <w:r w:rsidRPr="00FF3B53">
              <w:fldChar w:fldCharType="separate"/>
            </w:r>
            <w:r w:rsidR="00CA48ED">
              <w:rPr>
                <w:noProof/>
              </w:rPr>
              <w:t>62</w:t>
            </w:r>
            <w:r w:rsidRPr="00FF3B53">
              <w:fldChar w:fldCharType="end"/>
            </w:r>
            <w:r w:rsidR="00BF7968">
              <w:t>–</w:t>
            </w:r>
            <w:r w:rsidR="0039571C">
              <w:t>63</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Significant changes in financial position during the year</w:t>
            </w:r>
          </w:p>
        </w:tc>
        <w:tc>
          <w:tcPr>
            <w:tcW w:w="1007" w:type="dxa"/>
            <w:shd w:val="clear" w:color="auto" w:fill="auto"/>
          </w:tcPr>
          <w:p w:rsidR="008F12EE" w:rsidRPr="007819CF" w:rsidRDefault="00534A1E" w:rsidP="00E924ED">
            <w:pPr>
              <w:pStyle w:val="ARtabletextright"/>
              <w:rPr>
                <w:highlight w:val="yellow"/>
              </w:rPr>
            </w:pPr>
            <w:r w:rsidRPr="00FF3B53">
              <w:fldChar w:fldCharType="begin"/>
            </w:r>
            <w:r w:rsidRPr="00FF3B53">
              <w:instrText xml:space="preserve"> PAGEREF _Ref492894493 \h </w:instrText>
            </w:r>
            <w:r w:rsidRPr="00FF3B53">
              <w:fldChar w:fldCharType="separate"/>
            </w:r>
            <w:r w:rsidR="00CA48ED">
              <w:rPr>
                <w:noProof/>
              </w:rPr>
              <w:t>62</w:t>
            </w:r>
            <w:r w:rsidRPr="00FF3B53">
              <w:fldChar w:fldCharType="end"/>
            </w:r>
            <w:r w:rsidR="0039571C">
              <w:t>–63</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Major changes or factors affecting performance</w:t>
            </w:r>
          </w:p>
        </w:tc>
        <w:tc>
          <w:tcPr>
            <w:tcW w:w="1007" w:type="dxa"/>
            <w:shd w:val="clear" w:color="auto" w:fill="auto"/>
          </w:tcPr>
          <w:p w:rsidR="008F12EE" w:rsidRPr="007819CF" w:rsidRDefault="00534A1E" w:rsidP="00E924ED">
            <w:pPr>
              <w:pStyle w:val="ARtabletextright"/>
              <w:rPr>
                <w:highlight w:val="yellow"/>
              </w:rPr>
            </w:pPr>
            <w:r w:rsidRPr="00FF3B53">
              <w:fldChar w:fldCharType="begin"/>
            </w:r>
            <w:r w:rsidRPr="00FF3B53">
              <w:instrText xml:space="preserve"> PAGEREF _Ref492894493 \h </w:instrText>
            </w:r>
            <w:r w:rsidRPr="00FF3B53">
              <w:fldChar w:fldCharType="separate"/>
            </w:r>
            <w:r w:rsidR="00CA48ED">
              <w:rPr>
                <w:noProof/>
              </w:rPr>
              <w:t>62</w:t>
            </w:r>
            <w:r w:rsidRPr="00FF3B53">
              <w:fldChar w:fldCharType="end"/>
            </w:r>
            <w:r w:rsidR="00BF7968">
              <w:t>–</w:t>
            </w:r>
            <w:r w:rsidR="0039571C">
              <w:t>63</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Subsequent events</w:t>
            </w:r>
          </w:p>
        </w:tc>
        <w:tc>
          <w:tcPr>
            <w:tcW w:w="1007" w:type="dxa"/>
            <w:shd w:val="clear" w:color="auto" w:fill="auto"/>
          </w:tcPr>
          <w:p w:rsidR="008F12EE" w:rsidRPr="007819CF" w:rsidRDefault="00534A1E" w:rsidP="00E924ED">
            <w:pPr>
              <w:pStyle w:val="ARtabletextright"/>
              <w:rPr>
                <w:highlight w:val="yellow"/>
              </w:rPr>
            </w:pPr>
            <w:r w:rsidRPr="00FF3B53">
              <w:fldChar w:fldCharType="begin"/>
            </w:r>
            <w:r w:rsidRPr="00FF3B53">
              <w:instrText xml:space="preserve"> PAGEREF _Ref492894493 \h </w:instrText>
            </w:r>
            <w:r w:rsidRPr="00FF3B53">
              <w:fldChar w:fldCharType="separate"/>
            </w:r>
            <w:r w:rsidR="00CA48ED">
              <w:rPr>
                <w:noProof/>
              </w:rPr>
              <w:t>62</w:t>
            </w:r>
            <w:r w:rsidRPr="00FF3B53">
              <w:fldChar w:fldCharType="end"/>
            </w:r>
            <w:r w:rsidR="00BF7968">
              <w:t>–</w:t>
            </w:r>
            <w:r w:rsidR="0039571C">
              <w:t>63</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 xml:space="preserve">Application and operation of </w:t>
            </w:r>
            <w:r w:rsidRPr="00A57CC8">
              <w:rPr>
                <w:i/>
              </w:rPr>
              <w:t>Freedom of Information Act 1982</w:t>
            </w:r>
          </w:p>
        </w:tc>
        <w:tc>
          <w:tcPr>
            <w:tcW w:w="1007" w:type="dxa"/>
            <w:shd w:val="clear" w:color="auto" w:fill="auto"/>
          </w:tcPr>
          <w:p w:rsidR="008F12EE" w:rsidRPr="007819CF" w:rsidRDefault="002D3C11" w:rsidP="00E924ED">
            <w:pPr>
              <w:pStyle w:val="ARtabletextright"/>
              <w:rPr>
                <w:highlight w:val="yellow"/>
              </w:rPr>
            </w:pPr>
            <w:r w:rsidRPr="00FF3B53">
              <w:fldChar w:fldCharType="begin"/>
            </w:r>
            <w:r w:rsidRPr="00FF3B53">
              <w:instrText xml:space="preserve"> PAGEREF _Ref492895142 \h </w:instrText>
            </w:r>
            <w:r w:rsidRPr="00FF3B53">
              <w:fldChar w:fldCharType="separate"/>
            </w:r>
            <w:r w:rsidR="00CA48ED">
              <w:rPr>
                <w:noProof/>
              </w:rPr>
              <w:t>107</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 xml:space="preserve">Compliance with building and maintenance provisions of </w:t>
            </w:r>
            <w:r w:rsidRPr="00A57CC8">
              <w:rPr>
                <w:i/>
              </w:rPr>
              <w:t>Building Act 1993</w:t>
            </w:r>
          </w:p>
        </w:tc>
        <w:tc>
          <w:tcPr>
            <w:tcW w:w="1007" w:type="dxa"/>
            <w:shd w:val="clear" w:color="auto" w:fill="auto"/>
          </w:tcPr>
          <w:p w:rsidR="008F12EE" w:rsidRPr="007819CF" w:rsidRDefault="002D3C11" w:rsidP="00E924ED">
            <w:pPr>
              <w:pStyle w:val="ARtabletextright"/>
              <w:rPr>
                <w:highlight w:val="yellow"/>
              </w:rPr>
            </w:pPr>
            <w:r w:rsidRPr="00FF3B53">
              <w:fldChar w:fldCharType="begin"/>
            </w:r>
            <w:r w:rsidRPr="00FF3B53">
              <w:instrText xml:space="preserve"> PAGEREF _Ref492895162 \h </w:instrText>
            </w:r>
            <w:r w:rsidRPr="00FF3B53">
              <w:fldChar w:fldCharType="separate"/>
            </w:r>
            <w:r w:rsidR="00CA48ED">
              <w:rPr>
                <w:noProof/>
              </w:rPr>
              <w:t>88</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Statement on National Competition Policy</w:t>
            </w:r>
          </w:p>
        </w:tc>
        <w:tc>
          <w:tcPr>
            <w:tcW w:w="1007" w:type="dxa"/>
            <w:shd w:val="clear" w:color="auto" w:fill="auto"/>
          </w:tcPr>
          <w:p w:rsidR="008F12EE" w:rsidRPr="00FF3B53" w:rsidRDefault="002D3C11" w:rsidP="00E924ED">
            <w:pPr>
              <w:pStyle w:val="ARtabletextright"/>
            </w:pPr>
            <w:r w:rsidRPr="00FF3B53">
              <w:fldChar w:fldCharType="begin"/>
            </w:r>
            <w:r w:rsidRPr="00FF3B53">
              <w:instrText xml:space="preserve"> PAGEREF _Ref492895171 \h </w:instrText>
            </w:r>
            <w:r w:rsidRPr="00FF3B53">
              <w:fldChar w:fldCharType="separate"/>
            </w:r>
            <w:r w:rsidR="00CA48ED">
              <w:rPr>
                <w:noProof/>
              </w:rPr>
              <w:t>90</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 xml:space="preserve">Application and operation of the </w:t>
            </w:r>
            <w:r w:rsidRPr="00A57CC8">
              <w:rPr>
                <w:i/>
              </w:rPr>
              <w:t>Protected Disclosures Act 2012</w:t>
            </w:r>
          </w:p>
        </w:tc>
        <w:tc>
          <w:tcPr>
            <w:tcW w:w="1007" w:type="dxa"/>
            <w:shd w:val="clear" w:color="auto" w:fill="auto"/>
          </w:tcPr>
          <w:p w:rsidR="008F12EE" w:rsidRPr="007819CF" w:rsidRDefault="002D3C11" w:rsidP="00E924ED">
            <w:pPr>
              <w:pStyle w:val="ARtabletextright"/>
              <w:rPr>
                <w:highlight w:val="yellow"/>
              </w:rPr>
            </w:pPr>
            <w:r w:rsidRPr="00FF3B53">
              <w:fldChar w:fldCharType="begin"/>
            </w:r>
            <w:r w:rsidRPr="00FF3B53">
              <w:instrText xml:space="preserve"> PAGEREF _Ref492895200 \h </w:instrText>
            </w:r>
            <w:r w:rsidRPr="00FF3B53">
              <w:fldChar w:fldCharType="separate"/>
            </w:r>
            <w:r w:rsidR="00CA48ED">
              <w:rPr>
                <w:noProof/>
              </w:rPr>
              <w:t>87</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 xml:space="preserve">Application and operation of the </w:t>
            </w:r>
            <w:r w:rsidRPr="00A57CC8">
              <w:rPr>
                <w:i/>
              </w:rPr>
              <w:t>Carers Recognition Act 2012</w:t>
            </w:r>
          </w:p>
        </w:tc>
        <w:tc>
          <w:tcPr>
            <w:tcW w:w="1007" w:type="dxa"/>
            <w:shd w:val="clear" w:color="auto" w:fill="auto"/>
          </w:tcPr>
          <w:p w:rsidR="008F12EE" w:rsidRPr="00FF3B53" w:rsidRDefault="002D3C11" w:rsidP="00E924ED">
            <w:pPr>
              <w:pStyle w:val="ARtabletextright"/>
            </w:pPr>
            <w:r w:rsidRPr="00FF3B53">
              <w:fldChar w:fldCharType="begin"/>
            </w:r>
            <w:r w:rsidRPr="00FF3B53">
              <w:instrText xml:space="preserve"> PAGEREF _Ref492895235 \h </w:instrText>
            </w:r>
            <w:r w:rsidRPr="00FF3B53">
              <w:fldChar w:fldCharType="separate"/>
            </w:r>
            <w:r w:rsidR="00CA48ED">
              <w:rPr>
                <w:noProof/>
              </w:rPr>
              <w:t>88</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Details of consultancies over $10,000</w:t>
            </w:r>
          </w:p>
        </w:tc>
        <w:tc>
          <w:tcPr>
            <w:tcW w:w="1007" w:type="dxa"/>
            <w:shd w:val="clear" w:color="auto" w:fill="auto"/>
          </w:tcPr>
          <w:p w:rsidR="008F12EE" w:rsidRPr="007819CF" w:rsidRDefault="002D3C11" w:rsidP="00E924ED">
            <w:pPr>
              <w:pStyle w:val="ARtabletextright"/>
              <w:rPr>
                <w:highlight w:val="yellow"/>
              </w:rPr>
            </w:pPr>
            <w:r w:rsidRPr="00FF3B53">
              <w:fldChar w:fldCharType="begin"/>
            </w:r>
            <w:r w:rsidRPr="00FF3B53">
              <w:instrText xml:space="preserve"> PAGEREF _Ref492895249 \h </w:instrText>
            </w:r>
            <w:r w:rsidRPr="00FF3B53">
              <w:fldChar w:fldCharType="separate"/>
            </w:r>
            <w:r w:rsidR="00CA48ED">
              <w:rPr>
                <w:noProof/>
              </w:rPr>
              <w:t>91</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 xml:space="preserve">Details of consultancies </w:t>
            </w:r>
            <w:r>
              <w:t>under $10,000</w:t>
            </w:r>
          </w:p>
        </w:tc>
        <w:tc>
          <w:tcPr>
            <w:tcW w:w="1007" w:type="dxa"/>
            <w:shd w:val="clear" w:color="auto" w:fill="auto"/>
          </w:tcPr>
          <w:p w:rsidR="008F12EE" w:rsidRPr="00FF3B53" w:rsidRDefault="002D3C11">
            <w:pPr>
              <w:pStyle w:val="ARtabletextright"/>
            </w:pPr>
            <w:r w:rsidRPr="00FF3B53">
              <w:fldChar w:fldCharType="begin"/>
            </w:r>
            <w:r w:rsidRPr="00FF3B53">
              <w:instrText xml:space="preserve"> PAGEREF _Ref492895256 \h </w:instrText>
            </w:r>
            <w:r w:rsidRPr="00FF3B53">
              <w:fldChar w:fldCharType="separate"/>
            </w:r>
            <w:r w:rsidR="00CA48ED">
              <w:rPr>
                <w:noProof/>
              </w:rPr>
              <w:t>90</w:t>
            </w:r>
            <w:r w:rsidRPr="00FF3B53">
              <w:fldChar w:fldCharType="end"/>
            </w:r>
          </w:p>
        </w:tc>
      </w:tr>
      <w:tr w:rsidR="008F12EE" w:rsidRPr="00A57CC8" w:rsidTr="00234AA8">
        <w:tc>
          <w:tcPr>
            <w:tcW w:w="2014" w:type="dxa"/>
            <w:shd w:val="clear" w:color="auto" w:fill="auto"/>
          </w:tcPr>
          <w:p w:rsidR="008F12EE"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871F04">
              <w:t>Disclosure of government advertising expenditure</w:t>
            </w:r>
          </w:p>
        </w:tc>
        <w:tc>
          <w:tcPr>
            <w:tcW w:w="1007" w:type="dxa"/>
            <w:shd w:val="clear" w:color="auto" w:fill="auto"/>
          </w:tcPr>
          <w:p w:rsidR="008F12EE" w:rsidRPr="002047B6" w:rsidRDefault="006C619E" w:rsidP="00E924ED">
            <w:pPr>
              <w:pStyle w:val="ARtabletextright"/>
              <w:rPr>
                <w:highlight w:val="yellow"/>
              </w:rPr>
            </w:pPr>
            <w:r w:rsidRPr="00FF3B53">
              <w:fldChar w:fldCharType="begin"/>
            </w:r>
            <w:r w:rsidRPr="00FF3B53">
              <w:instrText xml:space="preserve"> PAGEREF _Ref492904920 \h </w:instrText>
            </w:r>
            <w:r w:rsidRPr="00FF3B53">
              <w:fldChar w:fldCharType="separate"/>
            </w:r>
            <w:r w:rsidR="00CA48ED">
              <w:rPr>
                <w:noProof/>
              </w:rPr>
              <w:t>105</w:t>
            </w:r>
            <w:r w:rsidRPr="00FF3B53">
              <w:fldChar w:fldCharType="end"/>
            </w:r>
          </w:p>
        </w:tc>
      </w:tr>
      <w:tr w:rsidR="008F12EE" w:rsidRPr="00A57CC8" w:rsidTr="00234AA8">
        <w:tc>
          <w:tcPr>
            <w:tcW w:w="2014" w:type="dxa"/>
            <w:shd w:val="clear" w:color="auto" w:fill="auto"/>
          </w:tcPr>
          <w:p w:rsidR="008F12EE"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871F04">
              <w:t>Disclosure of ICT expenditure</w:t>
            </w:r>
          </w:p>
        </w:tc>
        <w:tc>
          <w:tcPr>
            <w:tcW w:w="1007" w:type="dxa"/>
            <w:shd w:val="clear" w:color="auto" w:fill="auto"/>
          </w:tcPr>
          <w:p w:rsidR="008F12EE" w:rsidRPr="002047B6" w:rsidRDefault="007545A4" w:rsidP="00E924ED">
            <w:pPr>
              <w:pStyle w:val="ARtabletextright"/>
              <w:rPr>
                <w:highlight w:val="yellow"/>
              </w:rPr>
            </w:pPr>
            <w:r w:rsidRPr="00FF3B53">
              <w:fldChar w:fldCharType="begin"/>
            </w:r>
            <w:r w:rsidRPr="00FF3B53">
              <w:instrText xml:space="preserve"> PAGEREF _Ref492895394 \h </w:instrText>
            </w:r>
            <w:r w:rsidRPr="00FF3B53">
              <w:fldChar w:fldCharType="separate"/>
            </w:r>
            <w:r w:rsidR="00CA48ED">
              <w:rPr>
                <w:noProof/>
              </w:rPr>
              <w:t>105</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t>FRD 22H</w:t>
            </w:r>
          </w:p>
        </w:tc>
        <w:tc>
          <w:tcPr>
            <w:tcW w:w="6618" w:type="dxa"/>
            <w:shd w:val="clear" w:color="auto" w:fill="auto"/>
          </w:tcPr>
          <w:p w:rsidR="008F12EE" w:rsidRPr="00A57CC8" w:rsidRDefault="008F12EE" w:rsidP="00E924ED">
            <w:pPr>
              <w:pStyle w:val="ARtabletext"/>
              <w:spacing w:before="70" w:after="50"/>
            </w:pPr>
            <w:r w:rsidRPr="00A57CC8">
              <w:t>Statement of availability of other information</w:t>
            </w:r>
            <w:r>
              <w:t xml:space="preserve"> on request</w:t>
            </w:r>
          </w:p>
        </w:tc>
        <w:tc>
          <w:tcPr>
            <w:tcW w:w="1007" w:type="dxa"/>
            <w:shd w:val="clear" w:color="auto" w:fill="auto"/>
          </w:tcPr>
          <w:p w:rsidR="008F12EE" w:rsidRPr="007819CF" w:rsidRDefault="007545A4" w:rsidP="00E924ED">
            <w:pPr>
              <w:pStyle w:val="ARtabletextright"/>
              <w:rPr>
                <w:highlight w:val="yellow"/>
              </w:rPr>
            </w:pPr>
            <w:r w:rsidRPr="00FF3B53">
              <w:fldChar w:fldCharType="begin"/>
            </w:r>
            <w:r w:rsidRPr="00FF3B53">
              <w:instrText xml:space="preserve"> PAGEREF _Ref492895417 \h </w:instrText>
            </w:r>
            <w:r w:rsidRPr="00FF3B53">
              <w:fldChar w:fldCharType="separate"/>
            </w:r>
            <w:r w:rsidR="00CA48ED">
              <w:rPr>
                <w:noProof/>
              </w:rPr>
              <w:t>226</w:t>
            </w:r>
            <w:r w:rsidRPr="00FF3B53">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rsidRPr="00A57CC8">
              <w:t>FRD 24C</w:t>
            </w:r>
          </w:p>
        </w:tc>
        <w:tc>
          <w:tcPr>
            <w:tcW w:w="6618" w:type="dxa"/>
            <w:shd w:val="clear" w:color="auto" w:fill="auto"/>
          </w:tcPr>
          <w:p w:rsidR="008F12EE" w:rsidRPr="00A57CC8" w:rsidRDefault="008F12EE" w:rsidP="00E924ED">
            <w:pPr>
              <w:pStyle w:val="ARtabletext"/>
              <w:spacing w:before="70" w:after="50"/>
            </w:pPr>
            <w:r w:rsidRPr="00A57CC8">
              <w:t>Reporting of office-based environmental impacts</w:t>
            </w:r>
          </w:p>
        </w:tc>
        <w:tc>
          <w:tcPr>
            <w:tcW w:w="1007" w:type="dxa"/>
            <w:shd w:val="clear" w:color="auto" w:fill="auto"/>
          </w:tcPr>
          <w:p w:rsidR="008F12EE" w:rsidRPr="007819CF" w:rsidRDefault="007545A4" w:rsidP="00E924ED">
            <w:pPr>
              <w:pStyle w:val="ARtabletextright"/>
              <w:rPr>
                <w:highlight w:val="yellow"/>
              </w:rPr>
            </w:pPr>
            <w:r w:rsidRPr="00FF3B53">
              <w:fldChar w:fldCharType="begin"/>
            </w:r>
            <w:r w:rsidRPr="00FF3B53">
              <w:instrText xml:space="preserve"> PAGEREF _Ref492895460 \h </w:instrText>
            </w:r>
            <w:r w:rsidRPr="00FF3B53">
              <w:fldChar w:fldCharType="separate"/>
            </w:r>
            <w:r w:rsidR="00CA48ED">
              <w:rPr>
                <w:noProof/>
              </w:rPr>
              <w:t>113</w:t>
            </w:r>
            <w:r w:rsidRPr="00FF3B53">
              <w:fldChar w:fldCharType="end"/>
            </w:r>
            <w:r w:rsidR="00BF7968">
              <w:t>–</w:t>
            </w:r>
            <w:r w:rsidR="0039571C">
              <w:t>125</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rsidRPr="00A57CC8">
              <w:t>FRD 25</w:t>
            </w:r>
            <w:r>
              <w:t>C</w:t>
            </w:r>
            <w:r w:rsidRPr="00A57CC8">
              <w:t xml:space="preserve"> </w:t>
            </w:r>
          </w:p>
        </w:tc>
        <w:tc>
          <w:tcPr>
            <w:tcW w:w="6618" w:type="dxa"/>
            <w:shd w:val="clear" w:color="auto" w:fill="auto"/>
          </w:tcPr>
          <w:p w:rsidR="008F12EE" w:rsidRPr="00A57CC8" w:rsidRDefault="008F12EE" w:rsidP="00E924ED">
            <w:pPr>
              <w:pStyle w:val="ARtabletext"/>
              <w:spacing w:before="70" w:after="50"/>
            </w:pPr>
            <w:r w:rsidRPr="00A57CC8">
              <w:t>Victorian Industry Participation Policy disclosures</w:t>
            </w:r>
          </w:p>
        </w:tc>
        <w:tc>
          <w:tcPr>
            <w:tcW w:w="1007" w:type="dxa"/>
            <w:shd w:val="clear" w:color="auto" w:fill="auto"/>
          </w:tcPr>
          <w:p w:rsidR="008F12EE" w:rsidRPr="00FF3B53" w:rsidRDefault="00B867F3" w:rsidP="00E924ED">
            <w:pPr>
              <w:pStyle w:val="ARtabletextright"/>
            </w:pPr>
            <w:r>
              <w:fldChar w:fldCharType="begin"/>
            </w:r>
            <w:r>
              <w:instrText xml:space="preserve"> PAGEREF _Ref492905492 \h </w:instrText>
            </w:r>
            <w:r>
              <w:fldChar w:fldCharType="separate"/>
            </w:r>
            <w:r w:rsidR="00CA48ED">
              <w:rPr>
                <w:noProof/>
              </w:rPr>
              <w:t>85</w:t>
            </w:r>
            <w:r>
              <w:fldChar w:fldCharType="end"/>
            </w:r>
          </w:p>
        </w:tc>
      </w:tr>
      <w:tr w:rsidR="008F12EE" w:rsidRPr="00A57CC8" w:rsidTr="00234AA8">
        <w:tc>
          <w:tcPr>
            <w:tcW w:w="2014" w:type="dxa"/>
            <w:shd w:val="clear" w:color="auto" w:fill="auto"/>
          </w:tcPr>
          <w:p w:rsidR="008F12EE" w:rsidRPr="00A57CC8" w:rsidRDefault="008F12EE" w:rsidP="00E924ED">
            <w:pPr>
              <w:pStyle w:val="ARtabletext"/>
              <w:spacing w:before="70" w:after="50"/>
            </w:pPr>
            <w:r w:rsidRPr="00A57CC8">
              <w:t>FRD 29</w:t>
            </w:r>
            <w:r>
              <w:t>B</w:t>
            </w:r>
          </w:p>
        </w:tc>
        <w:tc>
          <w:tcPr>
            <w:tcW w:w="6618" w:type="dxa"/>
            <w:shd w:val="clear" w:color="auto" w:fill="auto"/>
          </w:tcPr>
          <w:p w:rsidR="008F12EE" w:rsidRPr="00A57CC8" w:rsidRDefault="008F12EE" w:rsidP="00E924ED">
            <w:pPr>
              <w:pStyle w:val="ARtabletext"/>
              <w:spacing w:before="70" w:after="50"/>
            </w:pPr>
            <w:r w:rsidRPr="00A57CC8">
              <w:t>Workforce data disclosures</w:t>
            </w:r>
          </w:p>
        </w:tc>
        <w:tc>
          <w:tcPr>
            <w:tcW w:w="1007" w:type="dxa"/>
            <w:shd w:val="clear" w:color="auto" w:fill="auto"/>
          </w:tcPr>
          <w:p w:rsidR="008F12EE" w:rsidRPr="00FF3B53" w:rsidRDefault="00B867F3">
            <w:pPr>
              <w:pStyle w:val="ARtabletextright"/>
            </w:pPr>
            <w:r>
              <w:fldChar w:fldCharType="begin"/>
            </w:r>
            <w:r>
              <w:instrText xml:space="preserve"> PAGEREF _Ref492905526 \h </w:instrText>
            </w:r>
            <w:r>
              <w:fldChar w:fldCharType="separate"/>
            </w:r>
            <w:r w:rsidR="00CA48ED">
              <w:rPr>
                <w:noProof/>
              </w:rPr>
              <w:t>74</w:t>
            </w:r>
            <w:r>
              <w:fldChar w:fldCharType="end"/>
            </w:r>
          </w:p>
        </w:tc>
      </w:tr>
      <w:tr w:rsidR="008F12EE" w:rsidRPr="00A57CC8" w:rsidTr="00234AA8">
        <w:tc>
          <w:tcPr>
            <w:tcW w:w="2014" w:type="dxa"/>
            <w:shd w:val="clear" w:color="auto" w:fill="auto"/>
          </w:tcPr>
          <w:p w:rsidR="008F12EE" w:rsidRPr="001D7A9A" w:rsidRDefault="008F12EE" w:rsidP="00E924ED">
            <w:pPr>
              <w:pStyle w:val="ARtabletext"/>
              <w:spacing w:before="70" w:after="50"/>
            </w:pPr>
            <w:r w:rsidRPr="001D7A9A">
              <w:lastRenderedPageBreak/>
              <w:t xml:space="preserve">SD </w:t>
            </w:r>
            <w:r>
              <w:t>3.2.</w:t>
            </w:r>
            <w:r w:rsidRPr="001D7A9A">
              <w:t>1</w:t>
            </w:r>
          </w:p>
        </w:tc>
        <w:tc>
          <w:tcPr>
            <w:tcW w:w="6618" w:type="dxa"/>
            <w:shd w:val="clear" w:color="auto" w:fill="auto"/>
          </w:tcPr>
          <w:p w:rsidR="008F12EE" w:rsidRPr="001D7A9A" w:rsidRDefault="008F12EE" w:rsidP="00E924ED">
            <w:pPr>
              <w:pStyle w:val="ARtabletext"/>
              <w:spacing w:before="70" w:after="50"/>
            </w:pPr>
            <w:r>
              <w:t>Specific requirements for the audit committee to review specific information in report of operations</w:t>
            </w:r>
          </w:p>
        </w:tc>
        <w:tc>
          <w:tcPr>
            <w:tcW w:w="1007" w:type="dxa"/>
            <w:shd w:val="clear" w:color="auto" w:fill="auto"/>
          </w:tcPr>
          <w:p w:rsidR="00B867F3" w:rsidRDefault="00B867F3" w:rsidP="00E924ED">
            <w:pPr>
              <w:pStyle w:val="ARtabletextright"/>
            </w:pPr>
            <w:r>
              <w:fldChar w:fldCharType="begin"/>
            </w:r>
            <w:r>
              <w:instrText xml:space="preserve"> PAGEREF _Ref492905644 \h </w:instrText>
            </w:r>
            <w:r>
              <w:fldChar w:fldCharType="separate"/>
            </w:r>
            <w:r w:rsidR="00CA48ED">
              <w:rPr>
                <w:noProof/>
              </w:rPr>
              <w:t>41</w:t>
            </w:r>
            <w:r>
              <w:fldChar w:fldCharType="end"/>
            </w:r>
            <w:r w:rsidR="00BF7968">
              <w:t>–</w:t>
            </w:r>
            <w:r w:rsidR="0039571C">
              <w:t>63</w:t>
            </w:r>
          </w:p>
          <w:p w:rsidR="00B867F3" w:rsidRDefault="00B867F3" w:rsidP="00E924ED">
            <w:pPr>
              <w:pStyle w:val="ARtabletextright"/>
            </w:pPr>
            <w:r>
              <w:fldChar w:fldCharType="begin"/>
            </w:r>
            <w:r>
              <w:instrText xml:space="preserve"> PAGEREF _Ref492905722 \h </w:instrText>
            </w:r>
            <w:r>
              <w:fldChar w:fldCharType="separate"/>
            </w:r>
            <w:r w:rsidR="00CA48ED">
              <w:rPr>
                <w:noProof/>
              </w:rPr>
              <w:t>113</w:t>
            </w:r>
            <w:r>
              <w:fldChar w:fldCharType="end"/>
            </w:r>
            <w:r w:rsidR="00BF7968">
              <w:t>–</w:t>
            </w:r>
            <w:r w:rsidR="0039571C">
              <w:t>125</w:t>
            </w:r>
          </w:p>
          <w:p w:rsidR="008F12EE" w:rsidRPr="004C060C" w:rsidRDefault="00B867F3" w:rsidP="00E924ED">
            <w:pPr>
              <w:pStyle w:val="ARtabletextright"/>
            </w:pPr>
            <w:r>
              <w:fldChar w:fldCharType="begin"/>
            </w:r>
            <w:r>
              <w:instrText xml:space="preserve"> PAGEREF _Ref492905784 \h </w:instrText>
            </w:r>
            <w:r>
              <w:fldChar w:fldCharType="separate"/>
            </w:r>
            <w:r w:rsidR="00CA48ED">
              <w:rPr>
                <w:noProof/>
              </w:rPr>
              <w:t>208</w:t>
            </w:r>
            <w:r>
              <w:fldChar w:fldCharType="end"/>
            </w:r>
            <w:r w:rsidR="00BF7968">
              <w:t>–</w:t>
            </w:r>
            <w:r w:rsidR="0039571C">
              <w:t>222</w:t>
            </w:r>
          </w:p>
        </w:tc>
      </w:tr>
      <w:tr w:rsidR="008F12EE" w:rsidRPr="00A57CC8" w:rsidTr="00234AA8">
        <w:tc>
          <w:tcPr>
            <w:tcW w:w="2014" w:type="dxa"/>
            <w:shd w:val="clear" w:color="auto" w:fill="auto"/>
          </w:tcPr>
          <w:p w:rsidR="008F12EE" w:rsidRPr="00A57CC8" w:rsidRDefault="008F12EE" w:rsidP="00E924ED">
            <w:pPr>
              <w:pStyle w:val="ARtabletext"/>
              <w:spacing w:before="70" w:after="50"/>
            </w:pPr>
            <w:r w:rsidRPr="00A57CC8">
              <w:t xml:space="preserve">SD </w:t>
            </w:r>
            <w:r>
              <w:t>5</w:t>
            </w:r>
            <w:r w:rsidRPr="00A57CC8">
              <w:t>.2</w:t>
            </w:r>
          </w:p>
        </w:tc>
        <w:tc>
          <w:tcPr>
            <w:tcW w:w="6618" w:type="dxa"/>
            <w:shd w:val="clear" w:color="auto" w:fill="auto"/>
          </w:tcPr>
          <w:p w:rsidR="008F12EE" w:rsidRPr="00A57CC8" w:rsidRDefault="008F12EE" w:rsidP="00E924ED">
            <w:pPr>
              <w:pStyle w:val="ARtabletext"/>
              <w:spacing w:before="70" w:after="50"/>
            </w:pPr>
            <w:r w:rsidRPr="00406E9B">
              <w:t>Specific requirements under Standing Direction 5.2</w:t>
            </w:r>
          </w:p>
        </w:tc>
        <w:tc>
          <w:tcPr>
            <w:tcW w:w="1007" w:type="dxa"/>
            <w:shd w:val="clear" w:color="auto" w:fill="auto"/>
          </w:tcPr>
          <w:p w:rsidR="008F12EE" w:rsidRPr="00FF3B53" w:rsidRDefault="00463102" w:rsidP="00E924ED">
            <w:pPr>
              <w:pStyle w:val="ARtabletextright"/>
            </w:pPr>
            <w:r>
              <w:fldChar w:fldCharType="begin"/>
            </w:r>
            <w:r>
              <w:instrText xml:space="preserve"> PAGEREF _Ref492905920 \h </w:instrText>
            </w:r>
            <w:r>
              <w:fldChar w:fldCharType="separate"/>
            </w:r>
            <w:r w:rsidR="00CA48ED">
              <w:rPr>
                <w:noProof/>
              </w:rPr>
              <w:t>3</w:t>
            </w:r>
            <w:r>
              <w:fldChar w:fldCharType="end"/>
            </w:r>
          </w:p>
        </w:tc>
      </w:tr>
      <w:tr w:rsidR="008F12EE" w:rsidRPr="00BE0817" w:rsidTr="00234AA8">
        <w:tc>
          <w:tcPr>
            <w:tcW w:w="8632" w:type="dxa"/>
            <w:gridSpan w:val="2"/>
            <w:tcBorders>
              <w:bottom w:val="nil"/>
            </w:tcBorders>
            <w:shd w:val="clear" w:color="auto" w:fill="auto"/>
          </w:tcPr>
          <w:p w:rsidR="008F12EE" w:rsidRPr="00BE0817" w:rsidRDefault="008F12EE" w:rsidP="00E924ED">
            <w:pPr>
              <w:pStyle w:val="ARtabletext"/>
              <w:rPr>
                <w:b/>
              </w:rPr>
            </w:pPr>
            <w:r w:rsidRPr="00BE0817">
              <w:rPr>
                <w:b/>
              </w:rPr>
              <w:t>Compliance attestation and declaration</w:t>
            </w:r>
          </w:p>
        </w:tc>
        <w:tc>
          <w:tcPr>
            <w:tcW w:w="1007" w:type="dxa"/>
            <w:tcBorders>
              <w:bottom w:val="nil"/>
            </w:tcBorders>
            <w:shd w:val="clear" w:color="auto" w:fill="auto"/>
          </w:tcPr>
          <w:p w:rsidR="008F12EE" w:rsidRPr="004C060C" w:rsidRDefault="008F12EE" w:rsidP="00E924ED">
            <w:pPr>
              <w:pStyle w:val="ARtablecolhead"/>
            </w:pPr>
          </w:p>
        </w:tc>
      </w:tr>
      <w:tr w:rsidR="008F12EE" w:rsidRPr="007819CF" w:rsidTr="00234AA8">
        <w:tc>
          <w:tcPr>
            <w:tcW w:w="2014" w:type="dxa"/>
            <w:tcBorders>
              <w:top w:val="nil"/>
            </w:tcBorders>
            <w:shd w:val="clear" w:color="auto" w:fill="auto"/>
          </w:tcPr>
          <w:p w:rsidR="008F12EE" w:rsidRPr="00A57CC8" w:rsidRDefault="008F12EE" w:rsidP="00E924ED">
            <w:pPr>
              <w:pStyle w:val="ARtabletext"/>
              <w:spacing w:before="70" w:after="50"/>
            </w:pPr>
            <w:r w:rsidRPr="008B67A5">
              <w:t>SD 5.1.4</w:t>
            </w:r>
          </w:p>
        </w:tc>
        <w:tc>
          <w:tcPr>
            <w:tcW w:w="6618" w:type="dxa"/>
            <w:tcBorders>
              <w:top w:val="nil"/>
            </w:tcBorders>
            <w:shd w:val="clear" w:color="auto" w:fill="auto"/>
          </w:tcPr>
          <w:p w:rsidR="008F12EE" w:rsidRPr="00A57CC8" w:rsidRDefault="008F12EE" w:rsidP="00E924ED">
            <w:pPr>
              <w:pStyle w:val="ARtabletext"/>
              <w:spacing w:before="70" w:after="50"/>
            </w:pPr>
            <w:r w:rsidRPr="008B67A5">
              <w:t>Attestation for compliance with Ministerial Standing Direction</w:t>
            </w:r>
          </w:p>
        </w:tc>
        <w:tc>
          <w:tcPr>
            <w:tcW w:w="1007" w:type="dxa"/>
            <w:tcBorders>
              <w:top w:val="nil"/>
            </w:tcBorders>
            <w:shd w:val="clear" w:color="auto" w:fill="auto"/>
          </w:tcPr>
          <w:p w:rsidR="008F12EE" w:rsidRPr="00FF3B53" w:rsidRDefault="00463102" w:rsidP="00E924ED">
            <w:pPr>
              <w:pStyle w:val="ARtabletextright"/>
            </w:pPr>
            <w:r>
              <w:fldChar w:fldCharType="begin"/>
            </w:r>
            <w:r>
              <w:instrText xml:space="preserve"> PAGEREF _Ref492906050 \h </w:instrText>
            </w:r>
            <w:r>
              <w:fldChar w:fldCharType="separate"/>
            </w:r>
            <w:r w:rsidR="00CA48ED">
              <w:rPr>
                <w:noProof/>
              </w:rPr>
              <w:t>84</w:t>
            </w:r>
            <w:r>
              <w:fldChar w:fldCharType="end"/>
            </w:r>
          </w:p>
        </w:tc>
      </w:tr>
      <w:tr w:rsidR="008F12EE" w:rsidRPr="007819CF" w:rsidTr="00234AA8">
        <w:tc>
          <w:tcPr>
            <w:tcW w:w="2014" w:type="dxa"/>
            <w:shd w:val="clear" w:color="auto" w:fill="auto"/>
          </w:tcPr>
          <w:p w:rsidR="008F12EE" w:rsidRPr="00A57CC8" w:rsidRDefault="008F12EE" w:rsidP="00E924ED">
            <w:pPr>
              <w:pStyle w:val="ARtabletext"/>
              <w:spacing w:before="70" w:after="50"/>
            </w:pPr>
            <w:r w:rsidRPr="008B67A5">
              <w:t>SD 5.2.3</w:t>
            </w:r>
          </w:p>
        </w:tc>
        <w:tc>
          <w:tcPr>
            <w:tcW w:w="6618" w:type="dxa"/>
            <w:shd w:val="clear" w:color="auto" w:fill="auto"/>
          </w:tcPr>
          <w:p w:rsidR="008F12EE" w:rsidRPr="00A57CC8" w:rsidRDefault="008F12EE" w:rsidP="00E924ED">
            <w:pPr>
              <w:pStyle w:val="ARtabletext"/>
              <w:spacing w:before="70" w:after="50"/>
            </w:pPr>
            <w:r w:rsidRPr="008B67A5">
              <w:t>Declaration in report of operations</w:t>
            </w:r>
          </w:p>
        </w:tc>
        <w:tc>
          <w:tcPr>
            <w:tcW w:w="1007" w:type="dxa"/>
            <w:shd w:val="clear" w:color="auto" w:fill="auto"/>
          </w:tcPr>
          <w:p w:rsidR="008F12EE" w:rsidRPr="00FF3B53" w:rsidRDefault="00706B1D" w:rsidP="00E924ED">
            <w:pPr>
              <w:pStyle w:val="ARtabletextright"/>
            </w:pPr>
            <w:r>
              <w:fldChar w:fldCharType="begin"/>
            </w:r>
            <w:r>
              <w:instrText xml:space="preserve"> PAGEREF _Ref492905920 \h </w:instrText>
            </w:r>
            <w:r>
              <w:fldChar w:fldCharType="separate"/>
            </w:r>
            <w:r w:rsidR="00CA48ED">
              <w:rPr>
                <w:noProof/>
              </w:rPr>
              <w:t>3</w:t>
            </w:r>
            <w:r>
              <w:fldChar w:fldCharType="end"/>
            </w:r>
          </w:p>
        </w:tc>
      </w:tr>
    </w:tbl>
    <w:p w:rsidR="008F12EE" w:rsidRPr="0031572E" w:rsidRDefault="008F12EE" w:rsidP="008F12EE">
      <w:pPr>
        <w:pStyle w:val="Heading3"/>
        <w:spacing w:after="200"/>
      </w:pPr>
      <w:bookmarkStart w:id="138" w:name="_Toc462577211"/>
      <w:r w:rsidRPr="0031572E">
        <w:t>Financial report</w:t>
      </w:r>
      <w:bookmarkEnd w:id="138"/>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059"/>
        <w:gridCol w:w="6588"/>
        <w:gridCol w:w="992"/>
      </w:tblGrid>
      <w:tr w:rsidR="008F12EE" w:rsidRPr="00A57CC8" w:rsidTr="00E924ED">
        <w:trPr>
          <w:tblHeader/>
        </w:trPr>
        <w:tc>
          <w:tcPr>
            <w:tcW w:w="2059" w:type="dxa"/>
            <w:tcBorders>
              <w:top w:val="nil"/>
            </w:tcBorders>
            <w:shd w:val="clear" w:color="auto" w:fill="auto"/>
            <w:vAlign w:val="bottom"/>
          </w:tcPr>
          <w:p w:rsidR="008F12EE" w:rsidRPr="00A57CC8" w:rsidRDefault="008F12EE" w:rsidP="00E924ED">
            <w:pPr>
              <w:pStyle w:val="ARtablecolhead"/>
            </w:pPr>
            <w:r w:rsidRPr="00A57CC8">
              <w:t>Ministerial directions</w:t>
            </w:r>
          </w:p>
        </w:tc>
        <w:tc>
          <w:tcPr>
            <w:tcW w:w="6588" w:type="dxa"/>
            <w:tcBorders>
              <w:top w:val="nil"/>
            </w:tcBorders>
            <w:shd w:val="clear" w:color="auto" w:fill="auto"/>
            <w:vAlign w:val="bottom"/>
          </w:tcPr>
          <w:p w:rsidR="008F12EE" w:rsidRPr="00A57CC8" w:rsidRDefault="008F12EE" w:rsidP="00E924ED">
            <w:pPr>
              <w:pStyle w:val="ARtablecolhead"/>
            </w:pPr>
            <w:r w:rsidRPr="00A57CC8">
              <w:t>Requirement</w:t>
            </w:r>
          </w:p>
        </w:tc>
        <w:tc>
          <w:tcPr>
            <w:tcW w:w="992" w:type="dxa"/>
            <w:tcBorders>
              <w:top w:val="nil"/>
            </w:tcBorders>
            <w:shd w:val="clear" w:color="auto" w:fill="auto"/>
            <w:vAlign w:val="bottom"/>
          </w:tcPr>
          <w:p w:rsidR="008F12EE" w:rsidRPr="00A57CC8" w:rsidRDefault="008F12EE" w:rsidP="00E924ED">
            <w:pPr>
              <w:pStyle w:val="ARtablecolhead"/>
              <w:jc w:val="right"/>
            </w:pPr>
            <w:r w:rsidRPr="00A57CC8">
              <w:t>Page</w:t>
            </w:r>
          </w:p>
        </w:tc>
      </w:tr>
      <w:tr w:rsidR="008F12EE" w:rsidRPr="00A57CC8" w:rsidTr="00E924ED">
        <w:tc>
          <w:tcPr>
            <w:tcW w:w="9639" w:type="dxa"/>
            <w:gridSpan w:val="3"/>
            <w:tcBorders>
              <w:bottom w:val="nil"/>
            </w:tcBorders>
            <w:shd w:val="clear" w:color="auto" w:fill="auto"/>
          </w:tcPr>
          <w:p w:rsidR="008F12EE" w:rsidRPr="00E30E7E" w:rsidRDefault="008F12EE" w:rsidP="00E924ED">
            <w:pPr>
              <w:pStyle w:val="ARtabletext"/>
              <w:rPr>
                <w:b/>
              </w:rPr>
            </w:pPr>
            <w:r w:rsidRPr="00E30E7E">
              <w:rPr>
                <w:b/>
              </w:rPr>
              <w:t xml:space="preserve">Financial statements required under Part 7 of the </w:t>
            </w:r>
            <w:r w:rsidRPr="00E30E7E">
              <w:rPr>
                <w:b/>
                <w:i/>
              </w:rPr>
              <w:t>Financial Management Act 1994</w:t>
            </w:r>
          </w:p>
        </w:tc>
      </w:tr>
      <w:tr w:rsidR="008F12EE" w:rsidRPr="00A57CC8" w:rsidTr="00E924ED">
        <w:tc>
          <w:tcPr>
            <w:tcW w:w="2059" w:type="dxa"/>
            <w:tcBorders>
              <w:top w:val="nil"/>
            </w:tcBorders>
            <w:shd w:val="clear" w:color="auto" w:fill="auto"/>
          </w:tcPr>
          <w:p w:rsidR="008F12EE" w:rsidRPr="00A57CC8" w:rsidRDefault="008F12EE" w:rsidP="00E924ED">
            <w:pPr>
              <w:pStyle w:val="ARtabletext"/>
            </w:pPr>
            <w:r w:rsidRPr="00A57CC8">
              <w:t xml:space="preserve">SD </w:t>
            </w:r>
            <w:r>
              <w:t>5.2.1(a)</w:t>
            </w:r>
          </w:p>
        </w:tc>
        <w:tc>
          <w:tcPr>
            <w:tcW w:w="6588" w:type="dxa"/>
            <w:tcBorders>
              <w:top w:val="nil"/>
            </w:tcBorders>
            <w:shd w:val="clear" w:color="auto" w:fill="auto"/>
          </w:tcPr>
          <w:p w:rsidR="008F12EE" w:rsidRPr="00A57CC8" w:rsidRDefault="008F12EE" w:rsidP="00E924ED">
            <w:pPr>
              <w:pStyle w:val="ARtabletext"/>
            </w:pPr>
            <w:r w:rsidRPr="00A57CC8">
              <w:t>Compliance with Australian accounting standards and other authoritative pronouncements</w:t>
            </w:r>
          </w:p>
        </w:tc>
        <w:tc>
          <w:tcPr>
            <w:tcW w:w="992" w:type="dxa"/>
            <w:tcBorders>
              <w:top w:val="nil"/>
            </w:tcBorders>
            <w:shd w:val="clear" w:color="auto" w:fill="auto"/>
          </w:tcPr>
          <w:p w:rsidR="008F12EE" w:rsidRPr="00DA2639" w:rsidRDefault="00231C4C">
            <w:pPr>
              <w:pStyle w:val="ARtabletextright"/>
            </w:pPr>
            <w:r>
              <w:fldChar w:fldCharType="begin"/>
            </w:r>
            <w:r>
              <w:instrText xml:space="preserve"> PAGEREF _Ref492906932 \h </w:instrText>
            </w:r>
            <w:r>
              <w:fldChar w:fldCharType="separate"/>
            </w:r>
            <w:r w:rsidR="00CA48ED">
              <w:rPr>
                <w:noProof/>
              </w:rPr>
              <w:t>128</w:t>
            </w:r>
            <w:r>
              <w:fldChar w:fldCharType="end"/>
            </w:r>
            <w:r w:rsidR="00BF7968">
              <w:t>–</w:t>
            </w:r>
            <w:r w:rsidR="00024F45">
              <w:t>129</w:t>
            </w:r>
          </w:p>
        </w:tc>
      </w:tr>
      <w:tr w:rsidR="008F12EE" w:rsidRPr="00A57CC8" w:rsidTr="00E924ED">
        <w:tc>
          <w:tcPr>
            <w:tcW w:w="2059" w:type="dxa"/>
            <w:shd w:val="clear" w:color="auto" w:fill="auto"/>
          </w:tcPr>
          <w:p w:rsidR="008F12EE" w:rsidRPr="00A57CC8" w:rsidRDefault="008F12EE" w:rsidP="00E924ED">
            <w:pPr>
              <w:pStyle w:val="ARtabletext"/>
            </w:pPr>
            <w:r w:rsidRPr="00A57CC8">
              <w:t xml:space="preserve">SD </w:t>
            </w:r>
            <w:r>
              <w:t>5.2.1(a)</w:t>
            </w:r>
          </w:p>
        </w:tc>
        <w:tc>
          <w:tcPr>
            <w:tcW w:w="6588" w:type="dxa"/>
            <w:shd w:val="clear" w:color="auto" w:fill="auto"/>
          </w:tcPr>
          <w:p w:rsidR="008F12EE" w:rsidRPr="00A57CC8" w:rsidRDefault="008F12EE" w:rsidP="00E924ED">
            <w:pPr>
              <w:pStyle w:val="ARtabletext"/>
            </w:pPr>
            <w:r w:rsidRPr="00A57CC8">
              <w:t>Compliance with ministerial directions</w:t>
            </w:r>
          </w:p>
        </w:tc>
        <w:tc>
          <w:tcPr>
            <w:tcW w:w="992" w:type="dxa"/>
            <w:shd w:val="clear" w:color="auto" w:fill="auto"/>
          </w:tcPr>
          <w:p w:rsidR="008F12EE" w:rsidRPr="00DA2639" w:rsidRDefault="00231C4C">
            <w:pPr>
              <w:pStyle w:val="ARtabletextright"/>
            </w:pPr>
            <w:r>
              <w:fldChar w:fldCharType="begin"/>
            </w:r>
            <w:r>
              <w:instrText xml:space="preserve"> PAGEREF _Ref492906932 \h </w:instrText>
            </w:r>
            <w:r>
              <w:fldChar w:fldCharType="separate"/>
            </w:r>
            <w:r w:rsidR="00CA48ED">
              <w:rPr>
                <w:noProof/>
              </w:rPr>
              <w:t>128</w:t>
            </w:r>
            <w:r>
              <w:fldChar w:fldCharType="end"/>
            </w:r>
            <w:r w:rsidR="00BF7968">
              <w:t>–</w:t>
            </w:r>
            <w:r w:rsidR="00024F45">
              <w:t>129</w:t>
            </w:r>
          </w:p>
        </w:tc>
      </w:tr>
      <w:tr w:rsidR="008F12EE" w:rsidRPr="00A57CC8" w:rsidTr="00E924ED">
        <w:tc>
          <w:tcPr>
            <w:tcW w:w="2059" w:type="dxa"/>
            <w:shd w:val="clear" w:color="auto" w:fill="auto"/>
          </w:tcPr>
          <w:p w:rsidR="008F12EE" w:rsidRPr="00A57CC8" w:rsidRDefault="008F12EE" w:rsidP="00E924ED">
            <w:pPr>
              <w:pStyle w:val="ARtabletext"/>
            </w:pPr>
            <w:r w:rsidRPr="00A57CC8">
              <w:t xml:space="preserve">SD </w:t>
            </w:r>
            <w:r>
              <w:t>5.2.1(b)</w:t>
            </w:r>
          </w:p>
        </w:tc>
        <w:tc>
          <w:tcPr>
            <w:tcW w:w="6588" w:type="dxa"/>
            <w:shd w:val="clear" w:color="auto" w:fill="auto"/>
          </w:tcPr>
          <w:p w:rsidR="008F12EE" w:rsidRPr="00A57CC8" w:rsidRDefault="008F12EE" w:rsidP="00E924ED">
            <w:pPr>
              <w:pStyle w:val="ARtabletext"/>
            </w:pPr>
            <w:r w:rsidRPr="00A57CC8">
              <w:t>Compliance with model financial report</w:t>
            </w:r>
          </w:p>
        </w:tc>
        <w:tc>
          <w:tcPr>
            <w:tcW w:w="992" w:type="dxa"/>
            <w:shd w:val="clear" w:color="auto" w:fill="auto"/>
          </w:tcPr>
          <w:p w:rsidR="008F12EE" w:rsidRPr="00DA2639" w:rsidRDefault="00231C4C" w:rsidP="00E924ED">
            <w:pPr>
              <w:pStyle w:val="ARtabletextright"/>
            </w:pPr>
            <w:r>
              <w:fldChar w:fldCharType="begin"/>
            </w:r>
            <w:r>
              <w:instrText xml:space="preserve"> PAGEREF _Ref492907060 \h </w:instrText>
            </w:r>
            <w:r>
              <w:fldChar w:fldCharType="separate"/>
            </w:r>
            <w:r w:rsidR="00CA48ED">
              <w:rPr>
                <w:noProof/>
              </w:rPr>
              <w:t>134</w:t>
            </w:r>
            <w:r>
              <w:fldChar w:fldCharType="end"/>
            </w:r>
          </w:p>
        </w:tc>
      </w:tr>
      <w:tr w:rsidR="008F12EE" w:rsidRPr="00A57CC8" w:rsidTr="00E924ED">
        <w:tc>
          <w:tcPr>
            <w:tcW w:w="2059" w:type="dxa"/>
            <w:tcBorders>
              <w:bottom w:val="single" w:sz="4" w:space="0" w:color="auto"/>
            </w:tcBorders>
            <w:shd w:val="clear" w:color="auto" w:fill="auto"/>
          </w:tcPr>
          <w:p w:rsidR="008F12EE" w:rsidRPr="00A57CC8" w:rsidRDefault="008F12EE" w:rsidP="00E924ED">
            <w:pPr>
              <w:pStyle w:val="ARtabletext"/>
            </w:pPr>
            <w:r w:rsidRPr="00A57CC8">
              <w:t xml:space="preserve">SD </w:t>
            </w:r>
            <w:r>
              <w:t>5.2.2</w:t>
            </w:r>
          </w:p>
        </w:tc>
        <w:tc>
          <w:tcPr>
            <w:tcW w:w="6588" w:type="dxa"/>
            <w:tcBorders>
              <w:bottom w:val="single" w:sz="4" w:space="0" w:color="auto"/>
            </w:tcBorders>
            <w:shd w:val="clear" w:color="auto" w:fill="auto"/>
          </w:tcPr>
          <w:p w:rsidR="008F12EE" w:rsidRPr="00A57CC8" w:rsidRDefault="008F12EE" w:rsidP="00E924ED">
            <w:pPr>
              <w:pStyle w:val="ARtabletext"/>
            </w:pPr>
            <w:r w:rsidRPr="0010146A">
              <w:t>Responsible body’s</w:t>
            </w:r>
            <w:r w:rsidRPr="00A57CC8">
              <w:t xml:space="preserve"> declaration</w:t>
            </w:r>
          </w:p>
        </w:tc>
        <w:tc>
          <w:tcPr>
            <w:tcW w:w="992" w:type="dxa"/>
            <w:tcBorders>
              <w:bottom w:val="single" w:sz="4" w:space="0" w:color="auto"/>
            </w:tcBorders>
            <w:shd w:val="clear" w:color="auto" w:fill="auto"/>
          </w:tcPr>
          <w:p w:rsidR="008F12EE" w:rsidRPr="00DA2639" w:rsidRDefault="00231C4C" w:rsidP="00E924ED">
            <w:pPr>
              <w:pStyle w:val="ARtabletextright"/>
            </w:pPr>
            <w:r>
              <w:fldChar w:fldCharType="begin"/>
            </w:r>
            <w:r>
              <w:instrText xml:space="preserve"> PAGEREF _Ref492907016 \h </w:instrText>
            </w:r>
            <w:r>
              <w:fldChar w:fldCharType="separate"/>
            </w:r>
            <w:r w:rsidR="00CA48ED">
              <w:rPr>
                <w:noProof/>
              </w:rPr>
              <w:t>127</w:t>
            </w:r>
            <w:r>
              <w:fldChar w:fldCharType="end"/>
            </w:r>
          </w:p>
        </w:tc>
      </w:tr>
      <w:tr w:rsidR="008F12EE" w:rsidRPr="00A57CC8" w:rsidTr="00E924ED">
        <w:tc>
          <w:tcPr>
            <w:tcW w:w="9639" w:type="dxa"/>
            <w:gridSpan w:val="3"/>
            <w:tcBorders>
              <w:top w:val="single" w:sz="4" w:space="0" w:color="auto"/>
              <w:bottom w:val="nil"/>
            </w:tcBorders>
            <w:shd w:val="clear" w:color="auto" w:fill="auto"/>
          </w:tcPr>
          <w:p w:rsidR="008F12EE" w:rsidRPr="00E30E7E" w:rsidRDefault="008F12EE" w:rsidP="00E924ED">
            <w:pPr>
              <w:pStyle w:val="ARtabletext"/>
              <w:rPr>
                <w:b/>
              </w:rPr>
            </w:pPr>
            <w:r w:rsidRPr="00E30E7E">
              <w:rPr>
                <w:b/>
              </w:rPr>
              <w:t>Other disclosures in notes to the financial statements</w:t>
            </w:r>
          </w:p>
        </w:tc>
      </w:tr>
      <w:tr w:rsidR="008F12EE" w:rsidRPr="00A57CC8" w:rsidTr="00E924ED">
        <w:tc>
          <w:tcPr>
            <w:tcW w:w="2059" w:type="dxa"/>
            <w:tcBorders>
              <w:top w:val="nil"/>
            </w:tcBorders>
            <w:shd w:val="clear" w:color="auto" w:fill="auto"/>
          </w:tcPr>
          <w:p w:rsidR="008F12EE" w:rsidRPr="00A57CC8" w:rsidRDefault="008F12EE" w:rsidP="00E924ED">
            <w:pPr>
              <w:pStyle w:val="ARtabletext"/>
            </w:pPr>
            <w:r w:rsidRPr="00A57CC8">
              <w:t>FRD 9A</w:t>
            </w:r>
          </w:p>
        </w:tc>
        <w:tc>
          <w:tcPr>
            <w:tcW w:w="6588" w:type="dxa"/>
            <w:tcBorders>
              <w:top w:val="nil"/>
            </w:tcBorders>
            <w:shd w:val="clear" w:color="auto" w:fill="auto"/>
          </w:tcPr>
          <w:p w:rsidR="008F12EE" w:rsidRPr="00A57CC8" w:rsidRDefault="008F12EE" w:rsidP="00E924ED">
            <w:pPr>
              <w:pStyle w:val="ARtabletext"/>
            </w:pPr>
            <w:r w:rsidRPr="00A57CC8">
              <w:t>Departmental disclosure of administered assets and liabilities by activity</w:t>
            </w:r>
          </w:p>
        </w:tc>
        <w:tc>
          <w:tcPr>
            <w:tcW w:w="992" w:type="dxa"/>
            <w:tcBorders>
              <w:top w:val="nil"/>
            </w:tcBorders>
            <w:shd w:val="clear" w:color="auto" w:fill="auto"/>
          </w:tcPr>
          <w:p w:rsidR="008F12EE" w:rsidRPr="00FF3B53" w:rsidRDefault="00231C4C" w:rsidP="00E924ED">
            <w:pPr>
              <w:pStyle w:val="ARtabletextright"/>
            </w:pPr>
            <w:r>
              <w:fldChar w:fldCharType="begin"/>
            </w:r>
            <w:r>
              <w:instrText xml:space="preserve"> PAGEREF _Ref492907358 \h </w:instrText>
            </w:r>
            <w:r>
              <w:fldChar w:fldCharType="separate"/>
            </w:r>
            <w:r w:rsidR="00CA48ED">
              <w:rPr>
                <w:noProof/>
              </w:rPr>
              <w:t>157</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rsidRPr="00A57CC8">
              <w:t>FRD 11A</w:t>
            </w:r>
          </w:p>
        </w:tc>
        <w:tc>
          <w:tcPr>
            <w:tcW w:w="6588" w:type="dxa"/>
            <w:shd w:val="clear" w:color="auto" w:fill="auto"/>
          </w:tcPr>
          <w:p w:rsidR="008F12EE" w:rsidRPr="00A57CC8" w:rsidRDefault="008F12EE" w:rsidP="00E924ED">
            <w:pPr>
              <w:pStyle w:val="ARtabletext"/>
            </w:pPr>
            <w:r w:rsidRPr="00A57CC8">
              <w:t>Disclosure of ex-gratia payments</w:t>
            </w:r>
          </w:p>
        </w:tc>
        <w:tc>
          <w:tcPr>
            <w:tcW w:w="992" w:type="dxa"/>
            <w:shd w:val="clear" w:color="auto" w:fill="auto"/>
          </w:tcPr>
          <w:p w:rsidR="008F12EE" w:rsidRPr="00FF3B53" w:rsidRDefault="00231C4C" w:rsidP="00E924ED">
            <w:pPr>
              <w:pStyle w:val="ARtabletextright"/>
            </w:pPr>
            <w:r>
              <w:fldChar w:fldCharType="begin"/>
            </w:r>
            <w:r>
              <w:instrText xml:space="preserve"> PAGEREF _Ref492907410 \h </w:instrText>
            </w:r>
            <w:r>
              <w:fldChar w:fldCharType="separate"/>
            </w:r>
            <w:r w:rsidR="00CA48ED">
              <w:rPr>
                <w:noProof/>
              </w:rPr>
              <w:t>192</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rsidRPr="00A57CC8">
              <w:t>FRD 13</w:t>
            </w:r>
          </w:p>
        </w:tc>
        <w:tc>
          <w:tcPr>
            <w:tcW w:w="6588" w:type="dxa"/>
            <w:shd w:val="clear" w:color="auto" w:fill="auto"/>
          </w:tcPr>
          <w:p w:rsidR="008F12EE" w:rsidRPr="00A57CC8" w:rsidRDefault="008F12EE" w:rsidP="00E924ED">
            <w:pPr>
              <w:pStyle w:val="ARtabletext"/>
            </w:pPr>
            <w:r w:rsidRPr="00A57CC8">
              <w:t>Disclosure of parliamentary appropriations</w:t>
            </w:r>
          </w:p>
        </w:tc>
        <w:tc>
          <w:tcPr>
            <w:tcW w:w="992" w:type="dxa"/>
            <w:shd w:val="clear" w:color="auto" w:fill="auto"/>
          </w:tcPr>
          <w:p w:rsidR="008F12EE" w:rsidRPr="00FF3B53" w:rsidRDefault="00231C4C" w:rsidP="00E924ED">
            <w:pPr>
              <w:pStyle w:val="ARtabletextright"/>
            </w:pPr>
            <w:r>
              <w:fldChar w:fldCharType="begin"/>
            </w:r>
            <w:r>
              <w:instrText xml:space="preserve"> PAGEREF _Ref492907518 \h </w:instrText>
            </w:r>
            <w:r>
              <w:fldChar w:fldCharType="separate"/>
            </w:r>
            <w:r w:rsidR="00CA48ED">
              <w:rPr>
                <w:noProof/>
              </w:rPr>
              <w:t>137</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rsidRPr="00A57CC8">
              <w:t>FRD 21</w:t>
            </w:r>
            <w:r>
              <w:t>C</w:t>
            </w:r>
          </w:p>
        </w:tc>
        <w:tc>
          <w:tcPr>
            <w:tcW w:w="6588" w:type="dxa"/>
            <w:shd w:val="clear" w:color="auto" w:fill="auto"/>
          </w:tcPr>
          <w:p w:rsidR="008F12EE" w:rsidRPr="00A57CC8" w:rsidRDefault="008F12EE" w:rsidP="00E924ED">
            <w:pPr>
              <w:pStyle w:val="ARtabletext"/>
            </w:pPr>
            <w:r w:rsidRPr="00A57CC8">
              <w:t>Disclosures of responsible persons, executive officers and other personnel (contactors with significant management responsibilities) in the financial report</w:t>
            </w:r>
          </w:p>
        </w:tc>
        <w:tc>
          <w:tcPr>
            <w:tcW w:w="992" w:type="dxa"/>
            <w:shd w:val="clear" w:color="auto" w:fill="auto"/>
          </w:tcPr>
          <w:p w:rsidR="008F12EE" w:rsidRPr="00FF3B53" w:rsidRDefault="00231C4C">
            <w:pPr>
              <w:pStyle w:val="ARtabletextright"/>
            </w:pPr>
            <w:r>
              <w:fldChar w:fldCharType="begin"/>
            </w:r>
            <w:r>
              <w:instrText xml:space="preserve"> PAGEREF _Ref492907576 \h </w:instrText>
            </w:r>
            <w:r>
              <w:fldChar w:fldCharType="separate"/>
            </w:r>
            <w:r w:rsidR="00CA48ED">
              <w:rPr>
                <w:noProof/>
              </w:rPr>
              <w:t>195</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t>FRD 103F</w:t>
            </w:r>
          </w:p>
        </w:tc>
        <w:tc>
          <w:tcPr>
            <w:tcW w:w="6588" w:type="dxa"/>
            <w:shd w:val="clear" w:color="auto" w:fill="auto"/>
          </w:tcPr>
          <w:p w:rsidR="008F12EE" w:rsidRPr="00A57CC8" w:rsidRDefault="008F12EE" w:rsidP="00E924ED">
            <w:pPr>
              <w:pStyle w:val="ARtabletext"/>
            </w:pPr>
            <w:r w:rsidRPr="00A57CC8">
              <w:t>Non-</w:t>
            </w:r>
            <w:r>
              <w:t>financial</w:t>
            </w:r>
            <w:r w:rsidRPr="00A57CC8">
              <w:t xml:space="preserve"> physical assets</w:t>
            </w:r>
          </w:p>
        </w:tc>
        <w:tc>
          <w:tcPr>
            <w:tcW w:w="992" w:type="dxa"/>
            <w:shd w:val="clear" w:color="auto" w:fill="auto"/>
          </w:tcPr>
          <w:p w:rsidR="008F12EE" w:rsidRPr="00FF3B53" w:rsidRDefault="00231C4C" w:rsidP="00E924ED">
            <w:pPr>
              <w:pStyle w:val="ARtabletextright"/>
            </w:pPr>
            <w:r>
              <w:fldChar w:fldCharType="begin"/>
            </w:r>
            <w:r>
              <w:instrText xml:space="preserve"> PAGEREF _Ref492907631 \h </w:instrText>
            </w:r>
            <w:r>
              <w:fldChar w:fldCharType="separate"/>
            </w:r>
            <w:r w:rsidR="00CA48ED">
              <w:rPr>
                <w:noProof/>
              </w:rPr>
              <w:t>193</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rsidRPr="00A57CC8">
              <w:t>FRD 109</w:t>
            </w:r>
            <w:r>
              <w:t>A</w:t>
            </w:r>
          </w:p>
        </w:tc>
        <w:tc>
          <w:tcPr>
            <w:tcW w:w="6588" w:type="dxa"/>
            <w:shd w:val="clear" w:color="auto" w:fill="auto"/>
          </w:tcPr>
          <w:p w:rsidR="008F12EE" w:rsidRPr="00A57CC8" w:rsidRDefault="008F12EE" w:rsidP="00E924ED">
            <w:pPr>
              <w:pStyle w:val="ARtabletext"/>
            </w:pPr>
            <w:r w:rsidRPr="00A57CC8">
              <w:t>Intangible assets</w:t>
            </w:r>
          </w:p>
        </w:tc>
        <w:tc>
          <w:tcPr>
            <w:tcW w:w="992" w:type="dxa"/>
            <w:shd w:val="clear" w:color="auto" w:fill="auto"/>
          </w:tcPr>
          <w:p w:rsidR="008F12EE" w:rsidRPr="00FF3B53" w:rsidRDefault="00231C4C" w:rsidP="00E924ED">
            <w:pPr>
              <w:pStyle w:val="ARtabletextright"/>
            </w:pPr>
            <w:r>
              <w:fldChar w:fldCharType="begin"/>
            </w:r>
            <w:r>
              <w:instrText xml:space="preserve"> PAGEREF _Ref492907644 \h </w:instrText>
            </w:r>
            <w:r>
              <w:fldChar w:fldCharType="separate"/>
            </w:r>
            <w:r w:rsidR="00CA48ED">
              <w:rPr>
                <w:noProof/>
              </w:rPr>
              <w:t>193</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rsidRPr="00A57CC8">
              <w:t>FRD 110</w:t>
            </w:r>
            <w:r>
              <w:t>A</w:t>
            </w:r>
          </w:p>
        </w:tc>
        <w:tc>
          <w:tcPr>
            <w:tcW w:w="6588" w:type="dxa"/>
            <w:shd w:val="clear" w:color="auto" w:fill="auto"/>
          </w:tcPr>
          <w:p w:rsidR="008F12EE" w:rsidRPr="00A57CC8" w:rsidRDefault="008F12EE" w:rsidP="00E924ED">
            <w:pPr>
              <w:pStyle w:val="ARtabletext"/>
            </w:pPr>
            <w:r w:rsidRPr="00A57CC8">
              <w:t>Cash flow statements</w:t>
            </w:r>
          </w:p>
        </w:tc>
        <w:tc>
          <w:tcPr>
            <w:tcW w:w="992" w:type="dxa"/>
            <w:shd w:val="clear" w:color="auto" w:fill="auto"/>
          </w:tcPr>
          <w:p w:rsidR="008F12EE" w:rsidRPr="00FF3B53" w:rsidRDefault="00973F88" w:rsidP="00E924ED">
            <w:pPr>
              <w:pStyle w:val="ARtabletextright"/>
            </w:pPr>
            <w:r>
              <w:fldChar w:fldCharType="begin"/>
            </w:r>
            <w:r>
              <w:instrText xml:space="preserve"> PAGEREF _Ref493159161 \h </w:instrText>
            </w:r>
            <w:r>
              <w:fldChar w:fldCharType="separate"/>
            </w:r>
            <w:r w:rsidR="00CA48ED">
              <w:rPr>
                <w:noProof/>
              </w:rPr>
              <w:t>133</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rsidRPr="00A57CC8">
              <w:t>FRD 112D</w:t>
            </w:r>
          </w:p>
        </w:tc>
        <w:tc>
          <w:tcPr>
            <w:tcW w:w="6588" w:type="dxa"/>
            <w:shd w:val="clear" w:color="auto" w:fill="auto"/>
          </w:tcPr>
          <w:p w:rsidR="008F12EE" w:rsidRPr="00A57CC8" w:rsidRDefault="008F12EE" w:rsidP="00E924ED">
            <w:pPr>
              <w:pStyle w:val="ARtabletext"/>
            </w:pPr>
            <w:r w:rsidRPr="00A57CC8">
              <w:t>Defined benefit superannuation obligations</w:t>
            </w:r>
          </w:p>
        </w:tc>
        <w:tc>
          <w:tcPr>
            <w:tcW w:w="992" w:type="dxa"/>
            <w:shd w:val="clear" w:color="auto" w:fill="auto"/>
          </w:tcPr>
          <w:p w:rsidR="008F12EE" w:rsidRPr="00FF3B53" w:rsidRDefault="00184D14" w:rsidP="00E924ED">
            <w:pPr>
              <w:pStyle w:val="ARtabletextright"/>
            </w:pPr>
            <w:r w:rsidRPr="00FF3B53">
              <w:fldChar w:fldCharType="begin"/>
            </w:r>
            <w:r w:rsidRPr="00FF3B53">
              <w:instrText xml:space="preserve"> PAGEREF _Ref492912308 \h </w:instrText>
            </w:r>
            <w:r w:rsidRPr="00FF3B53">
              <w:fldChar w:fldCharType="separate"/>
            </w:r>
            <w:r w:rsidR="00CA48ED">
              <w:rPr>
                <w:noProof/>
              </w:rPr>
              <w:t>144</w:t>
            </w:r>
            <w:r w:rsidRPr="00FF3B53">
              <w:fldChar w:fldCharType="end"/>
            </w:r>
          </w:p>
        </w:tc>
      </w:tr>
      <w:tr w:rsidR="008F12EE" w:rsidRPr="00A57CC8" w:rsidTr="00E924ED">
        <w:tc>
          <w:tcPr>
            <w:tcW w:w="2059" w:type="dxa"/>
            <w:shd w:val="clear" w:color="auto" w:fill="auto"/>
          </w:tcPr>
          <w:p w:rsidR="008F12EE" w:rsidRPr="00A57CC8" w:rsidRDefault="008F12EE" w:rsidP="00E924ED">
            <w:pPr>
              <w:pStyle w:val="ARtabletext"/>
            </w:pPr>
            <w:r>
              <w:t>FRD 114B</w:t>
            </w:r>
          </w:p>
        </w:tc>
        <w:tc>
          <w:tcPr>
            <w:tcW w:w="6588" w:type="dxa"/>
            <w:shd w:val="clear" w:color="auto" w:fill="auto"/>
          </w:tcPr>
          <w:p w:rsidR="008F12EE" w:rsidRPr="00A57CC8" w:rsidRDefault="008F12EE" w:rsidP="00E924ED">
            <w:pPr>
              <w:pStyle w:val="ARtabletext"/>
            </w:pPr>
            <w:r w:rsidRPr="00A57CC8">
              <w:t xml:space="preserve">Financial instruments – general government entities and public non-financial corporations </w:t>
            </w:r>
          </w:p>
        </w:tc>
        <w:tc>
          <w:tcPr>
            <w:tcW w:w="992" w:type="dxa"/>
            <w:shd w:val="clear" w:color="auto" w:fill="auto"/>
          </w:tcPr>
          <w:p w:rsidR="008F12EE" w:rsidRPr="00FF3B53" w:rsidRDefault="00637802" w:rsidP="00E924ED">
            <w:pPr>
              <w:pStyle w:val="ARtabletextright"/>
            </w:pPr>
            <w:r>
              <w:fldChar w:fldCharType="begin"/>
            </w:r>
            <w:r>
              <w:instrText xml:space="preserve"> PAGEREF _Ref492909439 \h </w:instrText>
            </w:r>
            <w:r>
              <w:fldChar w:fldCharType="separate"/>
            </w:r>
            <w:r w:rsidR="00CA48ED">
              <w:rPr>
                <w:noProof/>
              </w:rPr>
              <w:t>181</w:t>
            </w:r>
            <w:r>
              <w:fldChar w:fldCharType="end"/>
            </w:r>
          </w:p>
        </w:tc>
      </w:tr>
      <w:tr w:rsidR="008F12EE" w:rsidRPr="00A57CC8" w:rsidTr="00E924ED">
        <w:tc>
          <w:tcPr>
            <w:tcW w:w="2059" w:type="dxa"/>
            <w:shd w:val="clear" w:color="auto" w:fill="auto"/>
          </w:tcPr>
          <w:p w:rsidR="008F12EE" w:rsidRPr="00A57CC8" w:rsidRDefault="008F12EE" w:rsidP="00E924ED">
            <w:pPr>
              <w:pStyle w:val="ARtabletext"/>
            </w:pPr>
            <w:r w:rsidRPr="00A57CC8">
              <w:t>FRD 119A</w:t>
            </w:r>
          </w:p>
        </w:tc>
        <w:tc>
          <w:tcPr>
            <w:tcW w:w="6588" w:type="dxa"/>
            <w:shd w:val="clear" w:color="auto" w:fill="auto"/>
          </w:tcPr>
          <w:p w:rsidR="008F12EE" w:rsidRPr="00A57CC8" w:rsidRDefault="008F12EE" w:rsidP="00E924ED">
            <w:pPr>
              <w:pStyle w:val="ARtabletext"/>
            </w:pPr>
            <w:r>
              <w:t>Transfers through contributed capital</w:t>
            </w:r>
          </w:p>
        </w:tc>
        <w:tc>
          <w:tcPr>
            <w:tcW w:w="992" w:type="dxa"/>
            <w:shd w:val="clear" w:color="auto" w:fill="auto"/>
          </w:tcPr>
          <w:p w:rsidR="008F12EE" w:rsidRPr="00FF3B53" w:rsidRDefault="00637802" w:rsidP="00E924ED">
            <w:pPr>
              <w:pStyle w:val="ARtabletextright"/>
            </w:pPr>
            <w:r>
              <w:fldChar w:fldCharType="begin"/>
            </w:r>
            <w:r>
              <w:instrText xml:space="preserve"> PAGEREF _Ref492909675 \h </w:instrText>
            </w:r>
            <w:r>
              <w:fldChar w:fldCharType="separate"/>
            </w:r>
            <w:r w:rsidR="00CA48ED">
              <w:rPr>
                <w:noProof/>
              </w:rPr>
              <w:t>134</w:t>
            </w:r>
            <w:r>
              <w:fldChar w:fldCharType="end"/>
            </w:r>
          </w:p>
        </w:tc>
      </w:tr>
    </w:tbl>
    <w:p w:rsidR="00FA3141" w:rsidRDefault="008F12EE" w:rsidP="00FA3141">
      <w:pPr>
        <w:pStyle w:val="ARtablefootnote"/>
      </w:pPr>
      <w:r w:rsidRPr="00A57CC8">
        <w:t xml:space="preserve">Note: FRD = Financial </w:t>
      </w:r>
      <w:r>
        <w:t>R</w:t>
      </w:r>
      <w:r w:rsidRPr="00A57CC8">
        <w:t xml:space="preserve">eporting </w:t>
      </w:r>
      <w:r>
        <w:t>D</w:t>
      </w:r>
      <w:r w:rsidRPr="00A57CC8">
        <w:t>irection</w:t>
      </w:r>
      <w:r>
        <w:t>; SD = Standing Direction</w:t>
      </w:r>
    </w:p>
    <w:p w:rsidR="008F12EE" w:rsidRPr="00331F04" w:rsidRDefault="008F12EE" w:rsidP="008F12EE">
      <w:pPr>
        <w:pStyle w:val="Heading3"/>
        <w:spacing w:after="200"/>
      </w:pPr>
      <w:r w:rsidRPr="00FA3141">
        <w:br w:type="page"/>
      </w:r>
      <w:bookmarkStart w:id="139" w:name="_Toc462577212"/>
      <w:bookmarkStart w:id="140" w:name="_Ref492894563"/>
      <w:r w:rsidRPr="00331F04">
        <w:lastRenderedPageBreak/>
        <w:t>Full report</w:t>
      </w:r>
      <w:bookmarkEnd w:id="139"/>
      <w:bookmarkEnd w:id="14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8647"/>
        <w:gridCol w:w="136"/>
        <w:gridCol w:w="856"/>
      </w:tblGrid>
      <w:tr w:rsidR="008F12EE" w:rsidRPr="00A57CC8" w:rsidTr="00E924ED">
        <w:trPr>
          <w:cantSplit/>
        </w:trPr>
        <w:tc>
          <w:tcPr>
            <w:tcW w:w="8783" w:type="dxa"/>
            <w:gridSpan w:val="2"/>
            <w:tcBorders>
              <w:top w:val="nil"/>
            </w:tcBorders>
            <w:shd w:val="clear" w:color="auto" w:fill="auto"/>
          </w:tcPr>
          <w:p w:rsidR="008F12EE" w:rsidRPr="00A57CC8" w:rsidRDefault="008F12EE" w:rsidP="00E924ED">
            <w:pPr>
              <w:pStyle w:val="ARtablecolhead"/>
            </w:pPr>
            <w:r w:rsidRPr="00A57CC8">
              <w:t>Legislation</w:t>
            </w:r>
          </w:p>
        </w:tc>
        <w:tc>
          <w:tcPr>
            <w:tcW w:w="856" w:type="dxa"/>
            <w:tcBorders>
              <w:top w:val="nil"/>
            </w:tcBorders>
            <w:shd w:val="clear" w:color="auto" w:fill="auto"/>
          </w:tcPr>
          <w:p w:rsidR="008F12EE" w:rsidRPr="00A57CC8" w:rsidRDefault="008F12EE" w:rsidP="00E924ED">
            <w:pPr>
              <w:pStyle w:val="ARtablecolhead"/>
              <w:jc w:val="right"/>
            </w:pPr>
            <w:r w:rsidRPr="00A57CC8">
              <w:t>Page</w:t>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Building Act 1993</w:t>
            </w:r>
          </w:p>
        </w:tc>
        <w:tc>
          <w:tcPr>
            <w:tcW w:w="992" w:type="dxa"/>
            <w:gridSpan w:val="2"/>
            <w:shd w:val="clear" w:color="auto" w:fill="auto"/>
          </w:tcPr>
          <w:p w:rsidR="008F12EE" w:rsidRPr="00FF3B53" w:rsidRDefault="00637802" w:rsidP="00E924ED">
            <w:pPr>
              <w:pStyle w:val="ARtabletextright"/>
            </w:pPr>
            <w:r>
              <w:fldChar w:fldCharType="begin"/>
            </w:r>
            <w:r>
              <w:instrText xml:space="preserve"> PAGEREF _Ref492895162 \h </w:instrText>
            </w:r>
            <w:r>
              <w:fldChar w:fldCharType="separate"/>
            </w:r>
            <w:r w:rsidR="00CA48ED">
              <w:rPr>
                <w:noProof/>
              </w:rPr>
              <w:t>88</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Carers Recognition Act 2012</w:t>
            </w:r>
          </w:p>
        </w:tc>
        <w:tc>
          <w:tcPr>
            <w:tcW w:w="992" w:type="dxa"/>
            <w:gridSpan w:val="2"/>
            <w:shd w:val="clear" w:color="auto" w:fill="auto"/>
          </w:tcPr>
          <w:p w:rsidR="008F12EE" w:rsidRPr="00FF3B53" w:rsidRDefault="00637802" w:rsidP="00E924ED">
            <w:pPr>
              <w:pStyle w:val="ARtabletextright"/>
            </w:pPr>
            <w:r w:rsidRPr="00C1465E">
              <w:fldChar w:fldCharType="begin"/>
            </w:r>
            <w:r w:rsidRPr="00C1465E">
              <w:instrText xml:space="preserve"> PAGEREF _Ref492895235 \h </w:instrText>
            </w:r>
            <w:r w:rsidRPr="00C1465E">
              <w:fldChar w:fldCharType="separate"/>
            </w:r>
            <w:r w:rsidR="00CA48ED">
              <w:rPr>
                <w:noProof/>
              </w:rPr>
              <w:t>88</w:t>
            </w:r>
            <w:r w:rsidRPr="00C1465E">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Children, Youth and Families Act 2005</w:t>
            </w:r>
          </w:p>
        </w:tc>
        <w:tc>
          <w:tcPr>
            <w:tcW w:w="992" w:type="dxa"/>
            <w:gridSpan w:val="2"/>
            <w:shd w:val="clear" w:color="auto" w:fill="auto"/>
          </w:tcPr>
          <w:p w:rsidR="008F12EE" w:rsidRPr="00FF3B53" w:rsidRDefault="00432253" w:rsidP="00E924ED">
            <w:pPr>
              <w:pStyle w:val="ARtabletextright"/>
            </w:pPr>
            <w:r>
              <w:fldChar w:fldCharType="begin"/>
            </w:r>
            <w:r>
              <w:instrText xml:space="preserve"> PAGEREF _Ref493159507 \h </w:instrText>
            </w:r>
            <w:r>
              <w:fldChar w:fldCharType="separate"/>
            </w:r>
            <w:r w:rsidR="00CA48ED">
              <w:rPr>
                <w:noProof/>
              </w:rPr>
              <w:t>88</w:t>
            </w:r>
            <w:r>
              <w:fldChar w:fldCharType="end"/>
            </w:r>
            <w:r w:rsidR="00685CC9">
              <w:t>–89</w:t>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Cemeteries and Crematoria Amendment Act 2003</w:t>
            </w:r>
          </w:p>
        </w:tc>
        <w:tc>
          <w:tcPr>
            <w:tcW w:w="992" w:type="dxa"/>
            <w:gridSpan w:val="2"/>
            <w:shd w:val="clear" w:color="auto" w:fill="auto"/>
          </w:tcPr>
          <w:p w:rsidR="008F12EE" w:rsidRPr="00FF3B53" w:rsidRDefault="004F6E3C" w:rsidP="00E924ED">
            <w:pPr>
              <w:pStyle w:val="ARtabletextright"/>
            </w:pPr>
            <w:r>
              <w:fldChar w:fldCharType="begin"/>
            </w:r>
            <w:r>
              <w:instrText xml:space="preserve"> PAGEREF _Ref492912653 \h </w:instrText>
            </w:r>
            <w:r>
              <w:fldChar w:fldCharType="separate"/>
            </w:r>
            <w:r w:rsidR="00CA48ED">
              <w:rPr>
                <w:noProof/>
              </w:rPr>
              <w:t>108</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Disability Act 2006</w:t>
            </w:r>
          </w:p>
        </w:tc>
        <w:tc>
          <w:tcPr>
            <w:tcW w:w="992" w:type="dxa"/>
            <w:gridSpan w:val="2"/>
            <w:shd w:val="clear" w:color="auto" w:fill="auto"/>
          </w:tcPr>
          <w:p w:rsidR="008F12EE" w:rsidRPr="00FF3B53" w:rsidRDefault="004F6E3C" w:rsidP="00E924ED">
            <w:pPr>
              <w:pStyle w:val="ARtabletextright"/>
            </w:pPr>
            <w:r>
              <w:fldChar w:fldCharType="begin"/>
            </w:r>
            <w:r>
              <w:instrText xml:space="preserve"> PAGEREF _Ref492912671 \h </w:instrText>
            </w:r>
            <w:r>
              <w:fldChar w:fldCharType="separate"/>
            </w:r>
            <w:r w:rsidR="00CA48ED">
              <w:rPr>
                <w:noProof/>
              </w:rPr>
              <w:t>109</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Drugs, Poisons and Controlled Substances (Volatile Substances) Act 1981</w:t>
            </w:r>
          </w:p>
        </w:tc>
        <w:tc>
          <w:tcPr>
            <w:tcW w:w="992" w:type="dxa"/>
            <w:gridSpan w:val="2"/>
            <w:shd w:val="clear" w:color="auto" w:fill="auto"/>
          </w:tcPr>
          <w:p w:rsidR="008F12EE" w:rsidRPr="00FF3B53" w:rsidRDefault="004F6E3C" w:rsidP="00E924ED">
            <w:pPr>
              <w:pStyle w:val="ARtabletextright"/>
            </w:pPr>
            <w:r>
              <w:fldChar w:fldCharType="begin"/>
            </w:r>
            <w:r>
              <w:instrText xml:space="preserve"> PAGEREF _Ref492912699 \h </w:instrText>
            </w:r>
            <w:r>
              <w:fldChar w:fldCharType="separate"/>
            </w:r>
            <w:r w:rsidR="00CA48ED">
              <w:rPr>
                <w:noProof/>
              </w:rPr>
              <w:t>107</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E97E87">
              <w:rPr>
                <w:i/>
              </w:rPr>
              <w:t>Financial Management Act 1994</w:t>
            </w:r>
          </w:p>
        </w:tc>
        <w:tc>
          <w:tcPr>
            <w:tcW w:w="992" w:type="dxa"/>
            <w:gridSpan w:val="2"/>
            <w:shd w:val="clear" w:color="auto" w:fill="auto"/>
          </w:tcPr>
          <w:p w:rsidR="008F12EE" w:rsidRPr="00FF3B53" w:rsidRDefault="00AC1E56" w:rsidP="00E924ED">
            <w:pPr>
              <w:pStyle w:val="ARtabletextright"/>
            </w:pPr>
            <w:r>
              <w:fldChar w:fldCharType="begin"/>
            </w:r>
            <w:r>
              <w:instrText xml:space="preserve"> PAGEREF _Ref492914850 \h </w:instrText>
            </w:r>
            <w:r>
              <w:fldChar w:fldCharType="separate"/>
            </w:r>
            <w:r w:rsidR="00CA48ED">
              <w:rPr>
                <w:noProof/>
              </w:rPr>
              <w:t>62</w:t>
            </w:r>
            <w:r>
              <w:fldChar w:fldCharType="end"/>
            </w:r>
          </w:p>
        </w:tc>
      </w:tr>
      <w:tr w:rsidR="008F12EE" w:rsidRPr="00A57CC8" w:rsidTr="00E924ED">
        <w:trPr>
          <w:cantSplit/>
        </w:trPr>
        <w:tc>
          <w:tcPr>
            <w:tcW w:w="8647" w:type="dxa"/>
            <w:shd w:val="clear" w:color="auto" w:fill="auto"/>
          </w:tcPr>
          <w:p w:rsidR="008F12EE" w:rsidRPr="00CC1521" w:rsidRDefault="008F12EE" w:rsidP="00E924ED">
            <w:pPr>
              <w:pStyle w:val="ARtabletext"/>
              <w:rPr>
                <w:i/>
              </w:rPr>
            </w:pPr>
            <w:r w:rsidRPr="000830B6">
              <w:rPr>
                <w:i/>
              </w:rPr>
              <w:t>Food Amendment (Kilojoule Labelling Scheme and Other Matters) Act 2017</w:t>
            </w:r>
          </w:p>
        </w:tc>
        <w:tc>
          <w:tcPr>
            <w:tcW w:w="992" w:type="dxa"/>
            <w:gridSpan w:val="2"/>
            <w:shd w:val="clear" w:color="auto" w:fill="auto"/>
          </w:tcPr>
          <w:p w:rsidR="008F12EE" w:rsidRPr="00FF3B53" w:rsidRDefault="00AC1E56" w:rsidP="00E924ED">
            <w:pPr>
              <w:pStyle w:val="ARtabletextright"/>
            </w:pPr>
            <w:r>
              <w:fldChar w:fldCharType="begin"/>
            </w:r>
            <w:r>
              <w:instrText xml:space="preserve"> PAGEREF _Ref492914993 \h </w:instrText>
            </w:r>
            <w:r>
              <w:fldChar w:fldCharType="separate"/>
            </w:r>
            <w:r w:rsidR="00CA48ED">
              <w:rPr>
                <w:noProof/>
              </w:rPr>
              <w:t>15</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Freedom of Information Act 1982</w:t>
            </w:r>
          </w:p>
        </w:tc>
        <w:tc>
          <w:tcPr>
            <w:tcW w:w="992" w:type="dxa"/>
            <w:gridSpan w:val="2"/>
            <w:shd w:val="clear" w:color="auto" w:fill="auto"/>
          </w:tcPr>
          <w:p w:rsidR="008F12EE" w:rsidRPr="00FF3B53" w:rsidRDefault="00B74AD9" w:rsidP="00E924ED">
            <w:pPr>
              <w:pStyle w:val="ARtabletextright"/>
            </w:pPr>
            <w:r>
              <w:fldChar w:fldCharType="begin"/>
            </w:r>
            <w:r>
              <w:instrText xml:space="preserve"> PAGEREF _Ref492895142 \h </w:instrText>
            </w:r>
            <w:r>
              <w:fldChar w:fldCharType="separate"/>
            </w:r>
            <w:r w:rsidR="00CA48ED">
              <w:rPr>
                <w:noProof/>
              </w:rPr>
              <w:t>107</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Health Services Act 1988 (Vic)</w:t>
            </w:r>
          </w:p>
        </w:tc>
        <w:tc>
          <w:tcPr>
            <w:tcW w:w="992" w:type="dxa"/>
            <w:gridSpan w:val="2"/>
            <w:shd w:val="clear" w:color="auto" w:fill="auto"/>
          </w:tcPr>
          <w:p w:rsidR="008F12EE" w:rsidRPr="00FF3B53" w:rsidRDefault="0039571C" w:rsidP="00E924ED">
            <w:pPr>
              <w:pStyle w:val="ARtabletextright"/>
            </w:pPr>
            <w:r>
              <w:fldChar w:fldCharType="begin"/>
            </w:r>
            <w:r>
              <w:instrText xml:space="preserve"> PAGEREF _Ref493159581 \h </w:instrText>
            </w:r>
            <w:r>
              <w:fldChar w:fldCharType="separate"/>
            </w:r>
            <w:r w:rsidR="00CA48ED">
              <w:rPr>
                <w:noProof/>
              </w:rPr>
              <w:t>84</w:t>
            </w:r>
            <w:r>
              <w:fldChar w:fldCharType="end"/>
            </w:r>
          </w:p>
        </w:tc>
      </w:tr>
      <w:tr w:rsidR="008F12EE" w:rsidRPr="00A57CC8" w:rsidTr="00E924ED">
        <w:trPr>
          <w:cantSplit/>
        </w:trPr>
        <w:tc>
          <w:tcPr>
            <w:tcW w:w="8647" w:type="dxa"/>
            <w:shd w:val="clear" w:color="auto" w:fill="auto"/>
          </w:tcPr>
          <w:p w:rsidR="008F12EE" w:rsidRPr="000830B6" w:rsidRDefault="008F12EE" w:rsidP="00E924ED">
            <w:pPr>
              <w:pStyle w:val="ARtabletext"/>
              <w:rPr>
                <w:i/>
              </w:rPr>
            </w:pPr>
            <w:r w:rsidRPr="000830B6">
              <w:rPr>
                <w:i/>
              </w:rPr>
              <w:t>Medical Treatment Planning and Decisions Act 2016</w:t>
            </w:r>
          </w:p>
        </w:tc>
        <w:tc>
          <w:tcPr>
            <w:tcW w:w="992" w:type="dxa"/>
            <w:gridSpan w:val="2"/>
            <w:shd w:val="clear" w:color="auto" w:fill="auto"/>
          </w:tcPr>
          <w:p w:rsidR="008F12EE" w:rsidRPr="00FF3B53" w:rsidRDefault="00B74AD9" w:rsidP="00E924ED">
            <w:pPr>
              <w:pStyle w:val="ARtabletextright"/>
            </w:pPr>
            <w:r>
              <w:fldChar w:fldCharType="begin"/>
            </w:r>
            <w:r>
              <w:instrText xml:space="preserve"> PAGEREF _Ref492915398 \h </w:instrText>
            </w:r>
            <w:r>
              <w:fldChar w:fldCharType="separate"/>
            </w:r>
            <w:r w:rsidR="00CA48ED">
              <w:rPr>
                <w:noProof/>
              </w:rPr>
              <w:t>23</w:t>
            </w:r>
            <w:r>
              <w:fldChar w:fldCharType="end"/>
            </w:r>
          </w:p>
        </w:tc>
      </w:tr>
      <w:tr w:rsidR="008F12EE" w:rsidRPr="00A57CC8" w:rsidTr="00E924ED">
        <w:trPr>
          <w:cantSplit/>
        </w:trPr>
        <w:tc>
          <w:tcPr>
            <w:tcW w:w="8647" w:type="dxa"/>
            <w:shd w:val="clear" w:color="auto" w:fill="auto"/>
          </w:tcPr>
          <w:p w:rsidR="008F12EE" w:rsidRPr="00CC1521" w:rsidRDefault="008F12EE" w:rsidP="00E924ED">
            <w:pPr>
              <w:pStyle w:val="ARtabletext"/>
              <w:rPr>
                <w:i/>
              </w:rPr>
            </w:pPr>
            <w:r w:rsidRPr="000830B6">
              <w:rPr>
                <w:i/>
              </w:rPr>
              <w:t>Medicinal Cannabis Act 2016</w:t>
            </w:r>
          </w:p>
        </w:tc>
        <w:tc>
          <w:tcPr>
            <w:tcW w:w="992" w:type="dxa"/>
            <w:gridSpan w:val="2"/>
            <w:shd w:val="clear" w:color="auto" w:fill="auto"/>
          </w:tcPr>
          <w:p w:rsidR="008F12EE" w:rsidRPr="00FF3B53" w:rsidRDefault="00B74AD9" w:rsidP="00E924ED">
            <w:pPr>
              <w:pStyle w:val="ARtabletextright"/>
            </w:pPr>
            <w:r>
              <w:fldChar w:fldCharType="begin"/>
            </w:r>
            <w:r>
              <w:instrText xml:space="preserve"> PAGEREF _Ref492915406 \h </w:instrText>
            </w:r>
            <w:r>
              <w:fldChar w:fldCharType="separate"/>
            </w:r>
            <w:r w:rsidR="00CA48ED">
              <w:rPr>
                <w:noProof/>
              </w:rPr>
              <w:t>23</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Protected Disclosure Act 2012</w:t>
            </w:r>
          </w:p>
        </w:tc>
        <w:tc>
          <w:tcPr>
            <w:tcW w:w="992" w:type="dxa"/>
            <w:gridSpan w:val="2"/>
            <w:shd w:val="clear" w:color="auto" w:fill="auto"/>
          </w:tcPr>
          <w:p w:rsidR="008F12EE" w:rsidRPr="00FF3B53" w:rsidRDefault="00B74AD9" w:rsidP="00E924ED">
            <w:pPr>
              <w:pStyle w:val="ARtabletextright"/>
            </w:pPr>
            <w:r>
              <w:fldChar w:fldCharType="begin"/>
            </w:r>
            <w:r>
              <w:instrText xml:space="preserve"> PAGEREF _Ref492895200 \h </w:instrText>
            </w:r>
            <w:r>
              <w:fldChar w:fldCharType="separate"/>
            </w:r>
            <w:r w:rsidR="00CA48ED">
              <w:rPr>
                <w:noProof/>
              </w:rPr>
              <w:t>87</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E97E87">
              <w:rPr>
                <w:i/>
              </w:rPr>
              <w:t>Public Administration Act 2004</w:t>
            </w:r>
          </w:p>
        </w:tc>
        <w:tc>
          <w:tcPr>
            <w:tcW w:w="992" w:type="dxa"/>
            <w:gridSpan w:val="2"/>
            <w:shd w:val="clear" w:color="auto" w:fill="auto"/>
          </w:tcPr>
          <w:p w:rsidR="008F12EE" w:rsidRPr="00FF3B53" w:rsidRDefault="00B74AD9">
            <w:pPr>
              <w:pStyle w:val="ARtabletextright"/>
            </w:pPr>
            <w:r>
              <w:fldChar w:fldCharType="begin"/>
            </w:r>
            <w:r>
              <w:instrText xml:space="preserve"> PAGEREF _Ref492915457 \h </w:instrText>
            </w:r>
            <w:r>
              <w:fldChar w:fldCharType="separate"/>
            </w:r>
            <w:r w:rsidR="00CA48ED">
              <w:rPr>
                <w:noProof/>
              </w:rPr>
              <w:t>69</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Public Health and Wellbeing Act 2008</w:t>
            </w:r>
          </w:p>
        </w:tc>
        <w:tc>
          <w:tcPr>
            <w:tcW w:w="992" w:type="dxa"/>
            <w:gridSpan w:val="2"/>
            <w:shd w:val="clear" w:color="auto" w:fill="auto"/>
          </w:tcPr>
          <w:p w:rsidR="008F12EE" w:rsidRPr="00FF3B53" w:rsidRDefault="00B74AD9" w:rsidP="00E924ED">
            <w:pPr>
              <w:pStyle w:val="ARtabletextright"/>
            </w:pPr>
            <w:r>
              <w:fldChar w:fldCharType="begin"/>
            </w:r>
            <w:r>
              <w:instrText xml:space="preserve"> PAGEREF _Ref492915509 \h </w:instrText>
            </w:r>
            <w:r>
              <w:fldChar w:fldCharType="separate"/>
            </w:r>
            <w:r w:rsidR="00CA48ED">
              <w:rPr>
                <w:noProof/>
              </w:rPr>
              <w:t>85</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CC1521">
              <w:rPr>
                <w:i/>
              </w:rPr>
              <w:t>Public Health and Wellbeing Regulations 2009</w:t>
            </w:r>
          </w:p>
        </w:tc>
        <w:tc>
          <w:tcPr>
            <w:tcW w:w="992" w:type="dxa"/>
            <w:gridSpan w:val="2"/>
            <w:shd w:val="clear" w:color="auto" w:fill="auto"/>
          </w:tcPr>
          <w:p w:rsidR="008F12EE" w:rsidRPr="00FF3B53" w:rsidRDefault="00B74AD9" w:rsidP="00E924ED">
            <w:pPr>
              <w:pStyle w:val="ARtabletextright"/>
            </w:pPr>
            <w:r>
              <w:fldChar w:fldCharType="begin"/>
            </w:r>
            <w:r>
              <w:instrText xml:space="preserve"> PAGEREF _Ref492915509 \h </w:instrText>
            </w:r>
            <w:r>
              <w:fldChar w:fldCharType="separate"/>
            </w:r>
            <w:r w:rsidR="00CA48ED">
              <w:rPr>
                <w:noProof/>
              </w:rPr>
              <w:t>85</w:t>
            </w:r>
            <w:r>
              <w:fldChar w:fldCharType="end"/>
            </w:r>
          </w:p>
        </w:tc>
      </w:tr>
      <w:tr w:rsidR="008F12EE" w:rsidRPr="00A57CC8" w:rsidTr="00E924ED">
        <w:trPr>
          <w:cantSplit/>
        </w:trPr>
        <w:tc>
          <w:tcPr>
            <w:tcW w:w="8647" w:type="dxa"/>
            <w:shd w:val="clear" w:color="auto" w:fill="auto"/>
          </w:tcPr>
          <w:p w:rsidR="008F12EE" w:rsidRPr="00E97E87" w:rsidRDefault="008F12EE" w:rsidP="00E924ED">
            <w:pPr>
              <w:pStyle w:val="ARtabletext"/>
              <w:rPr>
                <w:i/>
                <w:highlight w:val="yellow"/>
              </w:rPr>
            </w:pPr>
            <w:r w:rsidRPr="00A25E88">
              <w:rPr>
                <w:i/>
              </w:rPr>
              <w:t>Victorian Industry Participation Policy Act 2003</w:t>
            </w:r>
          </w:p>
        </w:tc>
        <w:tc>
          <w:tcPr>
            <w:tcW w:w="992" w:type="dxa"/>
            <w:gridSpan w:val="2"/>
            <w:shd w:val="clear" w:color="auto" w:fill="auto"/>
          </w:tcPr>
          <w:p w:rsidR="008F12EE" w:rsidRPr="00FF3B53" w:rsidRDefault="00B74AD9" w:rsidP="00E924ED">
            <w:pPr>
              <w:pStyle w:val="ARtabletextright"/>
            </w:pPr>
            <w:r>
              <w:fldChar w:fldCharType="begin"/>
            </w:r>
            <w:r>
              <w:instrText xml:space="preserve"> PAGEREF _Ref492905492 \h </w:instrText>
            </w:r>
            <w:r>
              <w:fldChar w:fldCharType="separate"/>
            </w:r>
            <w:r w:rsidR="00CA48ED">
              <w:rPr>
                <w:noProof/>
              </w:rPr>
              <w:t>85</w:t>
            </w:r>
            <w:r>
              <w:fldChar w:fldCharType="end"/>
            </w:r>
          </w:p>
        </w:tc>
      </w:tr>
    </w:tbl>
    <w:p w:rsidR="008F12EE" w:rsidRPr="0032155C" w:rsidRDefault="008F12EE" w:rsidP="008F12EE">
      <w:pPr>
        <w:pStyle w:val="Heading2"/>
      </w:pPr>
      <w:r>
        <w:br w:type="page"/>
      </w:r>
      <w:bookmarkStart w:id="141" w:name="_Toc431639278"/>
      <w:bookmarkStart w:id="142" w:name="_Toc462577213"/>
      <w:bookmarkStart w:id="143" w:name="_Toc463776641"/>
      <w:bookmarkStart w:id="144" w:name="_Ref492895417"/>
      <w:bookmarkStart w:id="145" w:name="_Toc493164814"/>
      <w:r w:rsidRPr="0032155C">
        <w:lastRenderedPageBreak/>
        <w:t>Additional dep</w:t>
      </w:r>
      <w:r>
        <w:t>artmental information available </w:t>
      </w:r>
      <w:r w:rsidRPr="0032155C">
        <w:t>on request</w:t>
      </w:r>
      <w:bookmarkEnd w:id="141"/>
      <w:bookmarkEnd w:id="142"/>
      <w:bookmarkEnd w:id="143"/>
      <w:bookmarkEnd w:id="144"/>
      <w:bookmarkEnd w:id="145"/>
    </w:p>
    <w:p w:rsidR="00AA035A" w:rsidRDefault="008F12EE" w:rsidP="00E15DF2">
      <w:pPr>
        <w:pStyle w:val="ARbody"/>
      </w:pPr>
      <w:r>
        <w:t>Subject to the provisions of the FOI Act, information that shall be retained by the responsible body shall include:</w:t>
      </w:r>
    </w:p>
    <w:p w:rsidR="008F12EE" w:rsidRPr="00CE1155" w:rsidRDefault="008F12EE" w:rsidP="00CE1155">
      <w:pPr>
        <w:pStyle w:val="ARbullet1"/>
      </w:pPr>
      <w:r w:rsidRPr="00BE0817">
        <w:t>a s</w:t>
      </w:r>
      <w:r w:rsidRPr="00CE1155">
        <w:t>tatement that declarations of pecuniary interests have been duly completed by all relevant officers</w:t>
      </w:r>
    </w:p>
    <w:p w:rsidR="008F12EE" w:rsidRPr="00CE1155" w:rsidRDefault="008F12EE" w:rsidP="00CE1155">
      <w:pPr>
        <w:pStyle w:val="ARbullet1"/>
      </w:pPr>
      <w:r w:rsidRPr="00CE1155">
        <w:t>details of shares held by a senior officer as nominee or held beneficially in a statutory authority or subsidiary</w:t>
      </w:r>
    </w:p>
    <w:p w:rsidR="008F12EE" w:rsidRPr="00CE1155" w:rsidRDefault="008F12EE" w:rsidP="00CE1155">
      <w:pPr>
        <w:pStyle w:val="ARbullet1"/>
      </w:pPr>
      <w:r w:rsidRPr="00CE1155">
        <w:t>details of publications produced by the entity about itself, and how these can be obtained</w:t>
      </w:r>
    </w:p>
    <w:p w:rsidR="008F12EE" w:rsidRPr="00CE1155" w:rsidRDefault="008F12EE" w:rsidP="00CE1155">
      <w:pPr>
        <w:pStyle w:val="ARbullet1"/>
      </w:pPr>
      <w:r w:rsidRPr="00CE1155">
        <w:t>details of changes in prices, fees, charges, rates and levies charged by the entity</w:t>
      </w:r>
    </w:p>
    <w:p w:rsidR="008F12EE" w:rsidRPr="00CE1155" w:rsidRDefault="008F12EE" w:rsidP="00CE1155">
      <w:pPr>
        <w:pStyle w:val="ARbullet1"/>
      </w:pPr>
      <w:r w:rsidRPr="00CE1155">
        <w:t>details of any major external reviews carried out on the entity</w:t>
      </w:r>
    </w:p>
    <w:p w:rsidR="008F12EE" w:rsidRPr="00CE1155" w:rsidRDefault="008F12EE" w:rsidP="00CE1155">
      <w:pPr>
        <w:pStyle w:val="ARbullet1"/>
      </w:pPr>
      <w:r w:rsidRPr="00CE1155">
        <w:t>details of major research and development activities undertaken by the entity</w:t>
      </w:r>
    </w:p>
    <w:p w:rsidR="008F12EE" w:rsidRPr="00CE1155" w:rsidRDefault="008F12EE" w:rsidP="00CE1155">
      <w:pPr>
        <w:pStyle w:val="ARbullet1"/>
      </w:pPr>
      <w:r w:rsidRPr="00CE1155">
        <w:t>details of overseas visits undertaken including a summary of the objectives and outcomes of each visit</w:t>
      </w:r>
    </w:p>
    <w:p w:rsidR="008F12EE" w:rsidRPr="00CE1155" w:rsidRDefault="008F12EE" w:rsidP="00CE1155">
      <w:pPr>
        <w:pStyle w:val="ARbullet1"/>
      </w:pPr>
      <w:r w:rsidRPr="00CE1155">
        <w:t>details of major promotional, public relations and marketing activities undertaken by the entity to develop community awareness of the entity and its services</w:t>
      </w:r>
    </w:p>
    <w:p w:rsidR="008F12EE" w:rsidRPr="00CE1155" w:rsidRDefault="008F12EE" w:rsidP="00CE1155">
      <w:pPr>
        <w:pStyle w:val="ARbullet1"/>
      </w:pPr>
      <w:r w:rsidRPr="00CE1155">
        <w:t>details of assessments and measures undertaken to improve the occupational health and safety of employees</w:t>
      </w:r>
    </w:p>
    <w:p w:rsidR="008F12EE" w:rsidRPr="00CE1155" w:rsidRDefault="008F12EE" w:rsidP="00CE1155">
      <w:pPr>
        <w:pStyle w:val="ARbullet1"/>
      </w:pPr>
      <w:r w:rsidRPr="00CE1155">
        <w:t>a general statement on industrial relations within the entity and details of time lost through industrial accidents and disputes</w:t>
      </w:r>
    </w:p>
    <w:p w:rsidR="008F12EE" w:rsidRPr="00CE1155" w:rsidRDefault="008F12EE" w:rsidP="00CE1155">
      <w:pPr>
        <w:pStyle w:val="ARbullet1"/>
      </w:pPr>
      <w:r w:rsidRPr="00CE1155">
        <w:t>a list of major committees sponsored by the entity, the purposes of each committee and the extent to which the purposes have been achieved</w:t>
      </w:r>
    </w:p>
    <w:p w:rsidR="008F12EE" w:rsidRPr="00BE0817" w:rsidRDefault="008F12EE" w:rsidP="00CE1155">
      <w:pPr>
        <w:pStyle w:val="ARbullet1"/>
      </w:pPr>
      <w:r w:rsidRPr="00CE1155">
        <w:t>details of all consultancies and contractors including: consultants/contractors engaged; services provided; and, expenditur</w:t>
      </w:r>
      <w:r w:rsidRPr="00BE0817">
        <w:t>e committed to for each engagement</w:t>
      </w:r>
      <w:r>
        <w:t>.</w:t>
      </w:r>
    </w:p>
    <w:p w:rsidR="008F12EE" w:rsidRDefault="008F12EE" w:rsidP="008F12EE">
      <w:pPr>
        <w:pStyle w:val="ARbodyafterbullets"/>
      </w:pPr>
      <w:r>
        <w:t>Requests for additional information may be made in writing to the following:</w:t>
      </w:r>
    </w:p>
    <w:p w:rsidR="007C7C2E" w:rsidRDefault="008F12EE" w:rsidP="007C7C2E">
      <w:pPr>
        <w:pStyle w:val="ARbodynospace"/>
      </w:pPr>
      <w:r>
        <w:t>Chief</w:t>
      </w:r>
      <w:r w:rsidRPr="006C2935">
        <w:t xml:space="preserve"> Communications Officer</w:t>
      </w:r>
    </w:p>
    <w:p w:rsidR="008F12EE" w:rsidRPr="006C2935" w:rsidRDefault="008F12EE" w:rsidP="007C7C2E">
      <w:pPr>
        <w:pStyle w:val="ARbodynospace"/>
      </w:pPr>
      <w:r w:rsidRPr="006C2935">
        <w:t>GPO Box 4057</w:t>
      </w:r>
    </w:p>
    <w:p w:rsidR="008F12EE" w:rsidRPr="006C2935" w:rsidRDefault="008F12EE" w:rsidP="007C7C2E">
      <w:pPr>
        <w:pStyle w:val="ARbodynospace"/>
      </w:pPr>
      <w:r w:rsidRPr="006C2935">
        <w:t xml:space="preserve">Melbourne </w:t>
      </w:r>
      <w:r w:rsidR="00FF3B53" w:rsidRPr="006C2935">
        <w:t xml:space="preserve">VIC </w:t>
      </w:r>
      <w:r w:rsidRPr="006C2935">
        <w:t>3001</w:t>
      </w:r>
    </w:p>
    <w:p w:rsidR="005A5C82" w:rsidRDefault="00EF589D" w:rsidP="006C2935">
      <w:pPr>
        <w:pStyle w:val="ARbody"/>
      </w:pPr>
      <w:hyperlink r:id="rId187" w:history="1">
        <w:r w:rsidR="006B4B66" w:rsidRPr="006B4B66">
          <w:rPr>
            <w:rStyle w:val="Hyperlink"/>
          </w:rPr>
          <w:t>Email Chief Communications Officer</w:t>
        </w:r>
      </w:hyperlink>
      <w:r w:rsidR="006B4B66">
        <w:t xml:space="preserve"> &lt;</w:t>
      </w:r>
      <w:r w:rsidR="008F12EE" w:rsidRPr="006C2935">
        <w:t>DHHSCommu</w:t>
      </w:r>
      <w:r w:rsidR="008F12EE">
        <w:t>nications@dhhs.vic.gov.a</w:t>
      </w:r>
      <w:r w:rsidR="006B4B66">
        <w:t>u&gt;</w:t>
      </w:r>
      <w:bookmarkEnd w:id="115"/>
      <w:r w:rsidR="005A5C82">
        <w:br w:type="page"/>
      </w:r>
    </w:p>
    <w:p w:rsidR="005B523D" w:rsidRPr="00D764B6" w:rsidRDefault="005A5C82" w:rsidP="006C2935">
      <w:pPr>
        <w:pStyle w:val="ARbody"/>
      </w:pPr>
      <w:r>
        <w:rPr>
          <w:noProof/>
          <w:lang w:eastAsia="en-AU"/>
        </w:rPr>
        <w:lastRenderedPageBreak/>
        <w:drawing>
          <wp:anchor distT="0" distB="0" distL="114300" distR="114300" simplePos="0" relativeHeight="251660288" behindDoc="0" locked="1" layoutInCell="0" allowOverlap="1">
            <wp:simplePos x="0" y="0"/>
            <wp:positionH relativeFrom="page">
              <wp:posOffset>0</wp:posOffset>
            </wp:positionH>
            <wp:positionV relativeFrom="page">
              <wp:posOffset>0</wp:posOffset>
            </wp:positionV>
            <wp:extent cx="7563600" cy="10698480"/>
            <wp:effectExtent l="0" t="0" r="0" b="7620"/>
            <wp:wrapNone/>
            <wp:docPr id="13" name="Picture 13" descr="Published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HHS Annual Report 2016-17 Back Cover for Word.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7563600" cy="10698480"/>
                    </a:xfrm>
                    <a:prstGeom prst="rect">
                      <a:avLst/>
                    </a:prstGeom>
                  </pic:spPr>
                </pic:pic>
              </a:graphicData>
            </a:graphic>
            <wp14:sizeRelH relativeFrom="margin">
              <wp14:pctWidth>0</wp14:pctWidth>
            </wp14:sizeRelH>
            <wp14:sizeRelV relativeFrom="margin">
              <wp14:pctHeight>0</wp14:pctHeight>
            </wp14:sizeRelV>
          </wp:anchor>
        </w:drawing>
      </w:r>
    </w:p>
    <w:sectPr w:rsidR="005B523D" w:rsidRPr="00D764B6" w:rsidSect="003204E1">
      <w:headerReference w:type="even" r:id="rId189"/>
      <w:headerReference w:type="default" r:id="rId190"/>
      <w:footerReference w:type="even" r:id="rId191"/>
      <w:footerReference w:type="default" r:id="rId192"/>
      <w:footerReference w:type="first" r:id="rId193"/>
      <w:pgSz w:w="11906" w:h="16838"/>
      <w:pgMar w:top="1701" w:right="851" w:bottom="1134" w:left="1418"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C82" w:rsidRDefault="005A5C82">
      <w:r>
        <w:separator/>
      </w:r>
    </w:p>
    <w:p w:rsidR="005A5C82" w:rsidRDefault="005A5C82"/>
  </w:endnote>
  <w:endnote w:type="continuationSeparator" w:id="0">
    <w:p w:rsidR="005A5C82" w:rsidRDefault="005A5C82">
      <w:r>
        <w:continuationSeparator/>
      </w:r>
    </w:p>
    <w:p w:rsidR="005A5C82" w:rsidRDefault="005A5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font583">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AvantGarde Bk BT">
    <w:altName w:val="Calibri"/>
    <w:panose1 w:val="00000000000000000000"/>
    <w:charset w:val="00"/>
    <w:family w:val="auto"/>
    <w:notTrueType/>
    <w:pitch w:val="variable"/>
    <w:sig w:usb0="00000003" w:usb1="00000000" w:usb2="00000000" w:usb3="00000000" w:csb0="00000001" w:csb1="00000000"/>
  </w:font>
  <w:font w:name="Arial-BoldMT">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ItalicMT">
    <w:altName w:val="Calibri"/>
    <w:panose1 w:val="00000000000000000000"/>
    <w:charset w:val="4D"/>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13E69" w:rsidRDefault="005A5C82" w:rsidP="00213E6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397F7F" w:rsidRDefault="005A5C82" w:rsidP="0093192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31753A" w:rsidRDefault="005A5C82" w:rsidP="0093192F"/>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A7E04" w:rsidRDefault="005A5C82" w:rsidP="0093192F">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397F7F" w:rsidRDefault="005A5C82" w:rsidP="00E924ED">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31753A" w:rsidRDefault="005A5C82" w:rsidP="00E924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A7E04" w:rsidRDefault="005A5C82" w:rsidP="00E924E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C82" w:rsidRDefault="005A5C82" w:rsidP="00D02B82">
      <w:pPr>
        <w:spacing w:before="120" w:after="120"/>
      </w:pPr>
      <w:r>
        <w:separator/>
      </w:r>
    </w:p>
  </w:footnote>
  <w:footnote w:type="continuationSeparator" w:id="0">
    <w:p w:rsidR="005A5C82" w:rsidRDefault="005A5C82">
      <w:r>
        <w:continuationSeparator/>
      </w:r>
    </w:p>
    <w:p w:rsidR="005A5C82" w:rsidRDefault="005A5C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F13A9C" w:rsidRDefault="005A5C82" w:rsidP="00C17FF9">
    <w:pPr>
      <w:pStyle w:val="ARheaderleft"/>
      <w:jc w:val="left"/>
      <w:rPr>
        <w:rStyle w:val="PageNumber"/>
        <w:color w:val="auto"/>
        <w:sz w:val="18"/>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2</w:t>
    </w:r>
    <w:r w:rsidRPr="00822530">
      <w:rPr>
        <w:rStyle w:val="ARpagenumber"/>
      </w:rPr>
      <w:fldChar w:fldCharType="end"/>
    </w:r>
    <w:r>
      <w:tab/>
    </w:r>
    <w:r w:rsidRPr="002C5D8A">
      <w:t xml:space="preserve">Department of Health </w:t>
    </w:r>
    <w:r>
      <w:t>and</w:t>
    </w:r>
    <w:r w:rsidRPr="002C5D8A">
      <w:t xml:space="preserve"> Huma</w:t>
    </w:r>
    <w:r>
      <w:t>n Services annual report 2016–17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93192F">
    <w:pPr>
      <w:pStyle w:val="ARheaderleft"/>
      <w:jc w:val="left"/>
      <w:rPr>
        <w:rStyle w:val="PageNumber"/>
        <w:rFonts w:ascii="Calibri" w:hAnsi="Calibri"/>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38</w:t>
    </w:r>
    <w:r w:rsidRPr="00822530">
      <w:rPr>
        <w:rStyle w:val="ARpagenumber"/>
      </w:rPr>
      <w:fldChar w:fldCharType="end"/>
    </w:r>
    <w:r>
      <w:tab/>
      <w:t>Department of Health and Human Services annual report 2016–17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6C0D08" w:rsidRDefault="005A5C82" w:rsidP="00BE2EF4">
    <w:pPr>
      <w:pStyle w:val="ARheaderleft"/>
      <w:jc w:val="left"/>
      <w:rPr>
        <w:rStyle w:val="PageNumber"/>
        <w:rFonts w:cs="Arial"/>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40</w:t>
    </w:r>
    <w:r w:rsidRPr="00822530">
      <w:rPr>
        <w:rStyle w:val="ARpagenumber"/>
      </w:rPr>
      <w:fldChar w:fldCharType="end"/>
    </w:r>
    <w:r>
      <w:tab/>
      <w:t>Department of Health and</w:t>
    </w:r>
    <w:r w:rsidRPr="002C5D8A">
      <w:t xml:space="preserve"> H</w:t>
    </w:r>
    <w:r>
      <w:t>uman Services annual report 2016</w:t>
    </w:r>
    <w:r w:rsidRPr="002C5D8A">
      <w:t>–1</w:t>
    </w:r>
    <w:r>
      <w:t>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6C0D08" w:rsidRDefault="005A5C82" w:rsidP="00BD612B">
    <w:pPr>
      <w:pStyle w:val="ARheaderleft"/>
      <w:jc w:val="left"/>
      <w:rPr>
        <w:rStyle w:val="PageNumber"/>
        <w:rFonts w:cs="Arial"/>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60</w:t>
    </w:r>
    <w:r w:rsidRPr="00822530">
      <w:rPr>
        <w:rStyle w:val="ARpagenumber"/>
      </w:rPr>
      <w:fldChar w:fldCharType="end"/>
    </w:r>
    <w:r>
      <w:tab/>
      <w:t>Department of Health and</w:t>
    </w:r>
    <w:r w:rsidRPr="002C5D8A">
      <w:t xml:space="preserve"> H</w:t>
    </w:r>
    <w:r>
      <w:t>uman Services annual report 2016</w:t>
    </w:r>
    <w:r w:rsidRPr="002C5D8A">
      <w:t>–1</w:t>
    </w:r>
    <w:r>
      <w:t>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8C0BA5">
    <w:pPr>
      <w:pStyle w:val="ARheaderleft"/>
      <w:jc w:val="left"/>
      <w:rPr>
        <w:rStyle w:val="PageNumber"/>
        <w:rFonts w:ascii="Calibri" w:hAnsi="Calibri"/>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62</w:t>
    </w:r>
    <w:r w:rsidRPr="00822530">
      <w:rPr>
        <w:rStyle w:val="ARpagenumber"/>
      </w:rPr>
      <w:fldChar w:fldCharType="end"/>
    </w:r>
    <w:r>
      <w:tab/>
      <w:t>Department of Health and Human Services annual report 2016–17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BD612B">
    <w:pPr>
      <w:pStyle w:val="ARheaderleft"/>
      <w:jc w:val="left"/>
      <w:rPr>
        <w:rStyle w:val="PageNumber"/>
        <w:rFonts w:ascii="Calibri" w:hAnsi="Calibri"/>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Pr>
        <w:rStyle w:val="ARpagenumber"/>
        <w:noProof/>
      </w:rPr>
      <w:t>226</w:t>
    </w:r>
    <w:r w:rsidRPr="00822530">
      <w:rPr>
        <w:rStyle w:val="ARpagenumber"/>
      </w:rPr>
      <w:fldChar w:fldCharType="end"/>
    </w:r>
    <w:r>
      <w:tab/>
      <w:t>Department of Health and Human Services annual report 2016–17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8C0BA5">
    <w:pPr>
      <w:pStyle w:val="ARheaderleft"/>
      <w:jc w:val="left"/>
      <w:rPr>
        <w:rStyle w:val="PageNumber"/>
        <w:rFonts w:ascii="Calibri" w:hAnsi="Calibri"/>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64</w:t>
    </w:r>
    <w:r w:rsidRPr="00822530">
      <w:rPr>
        <w:rStyle w:val="ARpagenumber"/>
      </w:rPr>
      <w:fldChar w:fldCharType="end"/>
    </w:r>
    <w:r>
      <w:tab/>
      <w:t>Department of Health and Human Services annual report 2016–17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0D17AE" w:rsidRDefault="005A5C82" w:rsidP="000D17AE">
    <w:pPr>
      <w:pStyle w:val="ARheaderright"/>
      <w:rPr>
        <w:rFonts w:cs="Arial"/>
        <w:b/>
      </w:rPr>
    </w:pPr>
    <w:r>
      <w:tab/>
      <w:t>Department of Health and Human Services annual report 2016–17</w:t>
    </w:r>
    <w:r w:rsidRPr="002C5D8A">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67</w:t>
    </w:r>
    <w:r w:rsidRPr="00822530">
      <w:rPr>
        <w:rStyle w:val="ARpagenumbe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AD4DC4">
    <w:pPr>
      <w:pStyle w:val="ARheaderleft"/>
      <w:jc w:val="left"/>
      <w:rPr>
        <w:rStyle w:val="PageNumber"/>
        <w:rFonts w:ascii="Calibri" w:hAnsi="Calibri"/>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66</w:t>
    </w:r>
    <w:r w:rsidRPr="00822530">
      <w:rPr>
        <w:rStyle w:val="ARpagenumber"/>
      </w:rPr>
      <w:fldChar w:fldCharType="end"/>
    </w:r>
    <w:r>
      <w:tab/>
      <w:t>Department of Health and Human Services annual report 2016–17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694032">
    <w:pPr>
      <w:pStyle w:val="ARheaderright"/>
    </w:pPr>
    <w:r>
      <w:tab/>
    </w:r>
    <w:r w:rsidRPr="002C5D8A">
      <w:t xml:space="preserve">Department of Health </w:t>
    </w:r>
    <w:r>
      <w:t>and</w:t>
    </w:r>
    <w:r w:rsidRPr="002C5D8A">
      <w:t xml:space="preserve"> Huma</w:t>
    </w:r>
    <w:r>
      <w:t xml:space="preserve">n </w:t>
    </w:r>
    <w:r w:rsidRPr="00074D0A">
      <w:t>Services</w:t>
    </w:r>
    <w:r>
      <w:t xml:space="preserve"> annual report 2016–17</w:t>
    </w:r>
    <w:r>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D91622" w:rsidRDefault="005A5C82" w:rsidP="00D91622">
    <w:pPr>
      <w:pStyle w:val="ARheaderrightlandscape"/>
      <w:rPr>
        <w:rStyle w:val="PageNumber"/>
        <w:rFonts w:cs="Arial"/>
        <w:b/>
        <w:color w:val="auto"/>
        <w:sz w:val="20"/>
      </w:rPr>
    </w:pPr>
    <w:r>
      <w:tab/>
      <w:t>Department of Health and Human Services annual report 2016–17</w:t>
    </w:r>
    <w:r w:rsidRPr="002C5D8A">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68</w:t>
    </w:r>
    <w:r w:rsidRPr="00822530">
      <w:rPr>
        <w:rStyle w:val="ARpagenumbe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0D17AE" w:rsidRDefault="005A5C82" w:rsidP="00D91622">
    <w:pPr>
      <w:pStyle w:val="ARheaderrightlandscape"/>
      <w:rPr>
        <w:rFonts w:cs="Arial"/>
        <w:b/>
        <w:sz w:val="20"/>
      </w:rPr>
    </w:pPr>
    <w:r>
      <w:tab/>
      <w:t>Department of Health and Human Services annual report 2016–17</w:t>
    </w:r>
    <w:r w:rsidRPr="002C5D8A">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Pr>
        <w:rStyle w:val="ARpagenumber"/>
        <w:noProof/>
      </w:rPr>
      <w:t>226</w:t>
    </w:r>
    <w:r w:rsidRPr="00822530">
      <w:rPr>
        <w:rStyle w:val="AR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70446D" w:rsidRDefault="005A5C82" w:rsidP="00AD4DC4">
    <w:pPr>
      <w:pStyle w:val="ARheaderleft"/>
      <w:jc w:val="left"/>
      <w:rPr>
        <w:rFonts w:cs="Arial"/>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90</w:t>
    </w:r>
    <w:r w:rsidRPr="00822530">
      <w:rPr>
        <w:rStyle w:val="ARpagenumber"/>
      </w:rPr>
      <w:fldChar w:fldCharType="end"/>
    </w:r>
    <w:r>
      <w:tab/>
      <w:t>Department of Health and Human Services annual report 2016–17</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3E22C3">
    <w:pPr>
      <w:pStyle w:val="ARheaderright"/>
    </w:pPr>
    <w:r>
      <w:tab/>
      <w:t>Department of Health and Human Services annual report 2016–17</w:t>
    </w:r>
    <w:r w:rsidRPr="002C5D8A">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89</w:t>
    </w:r>
    <w:r w:rsidRPr="00822530">
      <w:rPr>
        <w:rStyle w:val="ARpagenumbe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3E22C3">
    <w:pPr>
      <w:pStyle w:val="ARheaderright"/>
    </w:pPr>
    <w:r>
      <w:tab/>
      <w:t>Department of Health and Human Services annual report 2016–17</w:t>
    </w:r>
    <w:r w:rsidRPr="002C5D8A">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Pr>
        <w:rStyle w:val="ARpagenumber"/>
        <w:noProof/>
      </w:rPr>
      <w:t>226</w:t>
    </w:r>
    <w:r w:rsidRPr="00822530">
      <w:rPr>
        <w:rStyle w:val="ARpagenumbe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796E21" w:rsidRDefault="005A5C82" w:rsidP="00464211">
    <w:pPr>
      <w:pStyle w:val="ARheaderleft"/>
      <w:jc w:val="left"/>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104</w:t>
    </w:r>
    <w:r w:rsidRPr="00822530">
      <w:rPr>
        <w:rStyle w:val="ARpagenumber"/>
      </w:rPr>
      <w:fldChar w:fldCharType="end"/>
    </w:r>
    <w:r>
      <w:tab/>
      <w:t>Department of Health and Human Services annual report 2016–17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103</w:t>
    </w:r>
    <w:r w:rsidRPr="009A4448">
      <w:rPr>
        <w:rStyle w:val="AR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105</w:t>
    </w:r>
    <w:r w:rsidRPr="009A4448">
      <w:rPr>
        <w:rStyle w:val="AR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694032">
    <w:pPr>
      <w:pStyle w:val="ARheaderright"/>
    </w:pPr>
    <w:r>
      <w:tab/>
    </w:r>
    <w:r w:rsidRPr="002C5D8A">
      <w:t xml:space="preserve">Department of Health </w:t>
    </w:r>
    <w:r>
      <w:t>and</w:t>
    </w:r>
    <w:r w:rsidRPr="002C5D8A">
      <w:t xml:space="preserve"> Huma</w:t>
    </w:r>
    <w:r>
      <w:t xml:space="preserve">n </w:t>
    </w:r>
    <w:r w:rsidRPr="00074D0A">
      <w:t>Services</w:t>
    </w:r>
    <w:r>
      <w:t xml:space="preserve"> annual report 2016–17</w:t>
    </w:r>
    <w:r>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3</w:t>
    </w:r>
    <w:r w:rsidRPr="009A4448">
      <w:rPr>
        <w:rStyle w:val="ARpagenumber"/>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70446D" w:rsidRDefault="005A5C82" w:rsidP="00AD4DC4">
    <w:pPr>
      <w:pStyle w:val="ARheaderleft"/>
      <w:jc w:val="left"/>
      <w:rPr>
        <w:rFonts w:cs="Arial"/>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106</w:t>
    </w:r>
    <w:r w:rsidRPr="00822530">
      <w:rPr>
        <w:rStyle w:val="ARpagenumber"/>
      </w:rPr>
      <w:fldChar w:fldCharType="end"/>
    </w:r>
    <w:r>
      <w:tab/>
      <w:t>Department of Health and Human Services annual report 2016–17</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3E22C3">
    <w:pPr>
      <w:pStyle w:val="ARheaderright"/>
    </w:pPr>
    <w:r>
      <w:tab/>
      <w:t>Department of Health and Human Services annual report 2016–17</w:t>
    </w:r>
    <w:r w:rsidRPr="002C5D8A">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Pr>
        <w:rStyle w:val="ARpagenumber"/>
        <w:noProof/>
      </w:rPr>
      <w:t>226</w:t>
    </w:r>
    <w:r w:rsidRPr="00822530">
      <w:rPr>
        <w:rStyle w:val="ARpagenumbe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6C0D08" w:rsidRDefault="005A5C82" w:rsidP="00AD4DC4">
    <w:pPr>
      <w:pStyle w:val="ARheaderleft"/>
      <w:jc w:val="left"/>
      <w:rPr>
        <w:rStyle w:val="PageNumber"/>
        <w:rFonts w:cs="Arial"/>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112</w:t>
    </w:r>
    <w:r w:rsidRPr="00822530">
      <w:rPr>
        <w:rStyle w:val="ARpagenumber"/>
      </w:rPr>
      <w:fldChar w:fldCharType="end"/>
    </w:r>
    <w:r>
      <w:tab/>
    </w:r>
    <w:r w:rsidRPr="002C5D8A">
      <w:t xml:space="preserve">Department of Health </w:t>
    </w:r>
    <w:r>
      <w:t>and</w:t>
    </w:r>
    <w:r w:rsidRPr="002C5D8A">
      <w:t xml:space="preserve"> H</w:t>
    </w:r>
    <w:r>
      <w:t>uman Services annual report 2016–17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C058D0">
    <w:pPr>
      <w:pStyle w:val="ARheaderright"/>
    </w:pPr>
    <w:r>
      <w:tab/>
      <w:t>Department of Health and Human Services annual report 2016–17</w:t>
    </w:r>
    <w:r w:rsidRPr="002C5D8A">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115</w:t>
    </w:r>
    <w:r w:rsidRPr="00822530">
      <w:rPr>
        <w:rStyle w:val="ARpagenumbe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6C0D08" w:rsidRDefault="005A5C82" w:rsidP="00C058D0">
    <w:pPr>
      <w:pStyle w:val="ARheaderleft"/>
      <w:jc w:val="left"/>
      <w:rPr>
        <w:rStyle w:val="PageNumber"/>
        <w:rFonts w:cs="Arial"/>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116</w:t>
    </w:r>
    <w:r w:rsidRPr="00822530">
      <w:rPr>
        <w:rStyle w:val="ARpagenumber"/>
      </w:rPr>
      <w:fldChar w:fldCharType="end"/>
    </w:r>
    <w:r>
      <w:tab/>
    </w:r>
    <w:r w:rsidRPr="002C5D8A">
      <w:t xml:space="preserve">Department of Health </w:t>
    </w:r>
    <w:r>
      <w:t>and</w:t>
    </w:r>
    <w:r w:rsidRPr="002C5D8A">
      <w:t xml:space="preserve"> H</w:t>
    </w:r>
    <w:r>
      <w:t>uman Services annual report 2016–17</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AD4DC4">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124</w:t>
    </w:r>
    <w:r w:rsidRPr="00822530">
      <w:rPr>
        <w:rStyle w:val="ARpagenumber"/>
      </w:rPr>
      <w:fldChar w:fldCharType="end"/>
    </w:r>
    <w:r>
      <w:tab/>
      <w:t>Department of Health and Human Services annual report 2016–17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125</w:t>
    </w:r>
    <w:r w:rsidRPr="009A4448">
      <w:rPr>
        <w:rStyle w:val="ARpagenumbe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46421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136</w:t>
    </w:r>
    <w:r w:rsidRPr="00822530">
      <w:rPr>
        <w:rStyle w:val="ARpagenumber"/>
      </w:rPr>
      <w:fldChar w:fldCharType="end"/>
    </w:r>
    <w:r>
      <w:tab/>
      <w:t>Department of Health and Human Services annual report 2016–17</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135</w:t>
    </w:r>
    <w:r w:rsidRPr="009A4448">
      <w:rPr>
        <w:rStyle w:val="ARpagenumbe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C0BA5" w:rsidRDefault="005A5C82" w:rsidP="00D91622">
    <w:pPr>
      <w:pStyle w:val="ARheaderrightlandscape"/>
    </w:pPr>
    <w:r>
      <w:tab/>
      <w:t>Department of Health and Human Services annual report 2016–17</w:t>
    </w:r>
    <w:r w:rsidRPr="002C5D8A">
      <w:tab/>
    </w:r>
    <w:r w:rsidRPr="008C0BA5">
      <w:rPr>
        <w:b/>
      </w:rPr>
      <w:fldChar w:fldCharType="begin"/>
    </w:r>
    <w:r w:rsidRPr="008C0BA5">
      <w:rPr>
        <w:b/>
      </w:rPr>
      <w:instrText xml:space="preserve"> PAGE </w:instrText>
    </w:r>
    <w:r w:rsidRPr="008C0BA5">
      <w:rPr>
        <w:b/>
      </w:rPr>
      <w:fldChar w:fldCharType="separate"/>
    </w:r>
    <w:r>
      <w:rPr>
        <w:b/>
        <w:noProof/>
      </w:rPr>
      <w:t>226</w:t>
    </w:r>
    <w:r w:rsidRPr="008C0BA5">
      <w:rPr>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137</w:t>
    </w:r>
    <w:r w:rsidRPr="009A4448">
      <w:rPr>
        <w:rStyle w:val="ARpagenumbe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46421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150</w:t>
    </w:r>
    <w:r w:rsidRPr="00822530">
      <w:rPr>
        <w:rStyle w:val="ARpagenumber"/>
      </w:rPr>
      <w:fldChar w:fldCharType="end"/>
    </w:r>
    <w:r>
      <w:tab/>
      <w:t>Department of Health and Human Services annual report 2016–17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149</w:t>
    </w:r>
    <w:r w:rsidRPr="009A4448">
      <w:rPr>
        <w:rStyle w:val="ARpagenumbe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154</w:t>
    </w:r>
    <w:r w:rsidRPr="009A4448">
      <w:rPr>
        <w:rStyle w:val="ARpagenumbe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155</w:t>
    </w:r>
    <w:r w:rsidRPr="009A4448">
      <w:rPr>
        <w:rStyle w:val="ARpagenumber"/>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46421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158</w:t>
    </w:r>
    <w:r w:rsidRPr="00822530">
      <w:rPr>
        <w:rStyle w:val="ARpagenumber"/>
      </w:rPr>
      <w:fldChar w:fldCharType="end"/>
    </w:r>
    <w:r>
      <w:tab/>
      <w:t>Department of Health and Human Services annual report 2016–17</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159</w:t>
    </w:r>
    <w:r w:rsidRPr="009A4448">
      <w:rPr>
        <w:rStyle w:val="ARpagenumber"/>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160</w:t>
    </w:r>
    <w:r w:rsidRPr="009A4448">
      <w:rPr>
        <w:rStyle w:val="AR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BD612B">
    <w:pPr>
      <w:pStyle w:val="ARheaderleft"/>
      <w:jc w:val="left"/>
      <w:rPr>
        <w:rStyle w:val="PageNumber"/>
        <w:rFonts w:ascii="Calibri" w:hAnsi="Calibri"/>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8</w:t>
    </w:r>
    <w:r w:rsidRPr="00822530">
      <w:rPr>
        <w:rStyle w:val="ARpagenumber"/>
      </w:rPr>
      <w:fldChar w:fldCharType="end"/>
    </w:r>
    <w:r>
      <w:tab/>
    </w:r>
    <w:r w:rsidRPr="002C5D8A">
      <w:t xml:space="preserve">Department of Health </w:t>
    </w:r>
    <w:r>
      <w:t>and</w:t>
    </w:r>
    <w:r w:rsidRPr="002C5D8A">
      <w:t xml:space="preserve"> Huma</w:t>
    </w:r>
    <w:r>
      <w:t>n Services annual report 2016–17</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46421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164</w:t>
    </w:r>
    <w:r w:rsidRPr="00822530">
      <w:rPr>
        <w:rStyle w:val="ARpagenumber"/>
      </w:rPr>
      <w:fldChar w:fldCharType="end"/>
    </w:r>
    <w:r>
      <w:tab/>
      <w:t>Department of Health and Human Services annual report 2016–17</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163</w:t>
    </w:r>
    <w:r w:rsidRPr="009A4448">
      <w:rPr>
        <w:rStyle w:val="ARpagenumber"/>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165</w:t>
    </w:r>
    <w:r w:rsidRPr="009A4448">
      <w:rPr>
        <w:rStyle w:val="ARpagenumber"/>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5C0C3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166</w:t>
    </w:r>
    <w:r w:rsidRPr="00822530">
      <w:rPr>
        <w:rStyle w:val="ARpagenumber"/>
      </w:rPr>
      <w:fldChar w:fldCharType="end"/>
    </w:r>
    <w:r>
      <w:tab/>
      <w:t>Department of Health and Human Services annual report 2016–17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BD612B">
    <w:pPr>
      <w:pStyle w:val="ARheaderleft"/>
      <w:jc w:val="left"/>
      <w:rPr>
        <w:rStyle w:val="PageNumber"/>
        <w:rFonts w:ascii="Calibri" w:hAnsi="Calibri"/>
        <w:color w:val="auto"/>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10</w:t>
    </w:r>
    <w:r w:rsidRPr="00822530">
      <w:rPr>
        <w:rStyle w:val="ARpagenumber"/>
      </w:rPr>
      <w:fldChar w:fldCharType="end"/>
    </w:r>
    <w:r>
      <w:tab/>
    </w:r>
    <w:r w:rsidRPr="002C5D8A">
      <w:t xml:space="preserve">Department of Health </w:t>
    </w:r>
    <w:r>
      <w:t>and</w:t>
    </w:r>
    <w:r w:rsidRPr="002C5D8A">
      <w:t xml:space="preserve"> Huma</w:t>
    </w:r>
    <w:r>
      <w:t>n Services annual report 2016–17</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167</w:t>
    </w:r>
    <w:r w:rsidRPr="009A4448">
      <w:rPr>
        <w:rStyle w:val="ARpagenumber"/>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5C0C3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168</w:t>
    </w:r>
    <w:r w:rsidRPr="00822530">
      <w:rPr>
        <w:rStyle w:val="ARpagenumber"/>
      </w:rPr>
      <w:fldChar w:fldCharType="end"/>
    </w:r>
    <w:r>
      <w:tab/>
      <w:t>Department of Health and Human Services annual report 2016–17</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169</w:t>
    </w:r>
    <w:r w:rsidRPr="009A4448">
      <w:rPr>
        <w:rStyle w:val="ARpagenumber"/>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46421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170</w:t>
    </w:r>
    <w:r w:rsidRPr="00822530">
      <w:rPr>
        <w:rStyle w:val="ARpagenumber"/>
      </w:rPr>
      <w:fldChar w:fldCharType="end"/>
    </w:r>
    <w:r>
      <w:tab/>
      <w:t>Department of Health and Human Services annual report 2016–17</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171</w:t>
    </w:r>
    <w:r w:rsidRPr="009A4448">
      <w:rPr>
        <w:rStyle w:val="ARpagenumber"/>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172</w:t>
    </w:r>
    <w:r w:rsidRPr="009A4448">
      <w:rPr>
        <w:rStyle w:val="AR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7F588B">
    <w:pPr>
      <w:pStyle w:val="ARheaderright"/>
    </w:pPr>
    <w:r>
      <w:tab/>
    </w:r>
    <w:r w:rsidRPr="002C5D8A">
      <w:t xml:space="preserve">Department of Health </w:t>
    </w:r>
    <w:r>
      <w:t>and</w:t>
    </w:r>
    <w:r w:rsidRPr="002C5D8A">
      <w:t xml:space="preserve"> Huma</w:t>
    </w:r>
    <w:r>
      <w:t>n Services annual report 2016–17</w:t>
    </w:r>
    <w:r>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11</w:t>
    </w:r>
    <w:r w:rsidRPr="009A4448">
      <w:rPr>
        <w:rStyle w:val="ARpagenumber"/>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46421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174</w:t>
    </w:r>
    <w:r w:rsidRPr="00822530">
      <w:rPr>
        <w:rStyle w:val="ARpagenumber"/>
      </w:rPr>
      <w:fldChar w:fldCharType="end"/>
    </w:r>
    <w:r>
      <w:tab/>
      <w:t>Department of Health and Human Services annual report 2016–17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173</w:t>
    </w:r>
    <w:r w:rsidRPr="009A4448">
      <w:rPr>
        <w:rStyle w:val="ARpagenumber"/>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178</w:t>
    </w:r>
    <w:r w:rsidRPr="009A4448">
      <w:rPr>
        <w:rStyle w:val="ARpagenumber"/>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177</w:t>
    </w:r>
    <w:r w:rsidRPr="009A4448">
      <w:rPr>
        <w:rStyle w:val="ARpagenumber"/>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EB3F5F">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188</w:t>
    </w:r>
    <w:r w:rsidRPr="00822530">
      <w:rPr>
        <w:rStyle w:val="ARpagenumber"/>
      </w:rPr>
      <w:fldChar w:fldCharType="end"/>
    </w:r>
    <w:r>
      <w:tab/>
      <w:t>Department of Health and Human Services annual report 2016–17</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EB3F5F">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189</w:t>
    </w:r>
    <w:r w:rsidRPr="009A4448">
      <w:rPr>
        <w:rStyle w:val="ARpagenumber"/>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190</w:t>
    </w:r>
    <w:r w:rsidRPr="009A4448">
      <w:rPr>
        <w:rStyle w:val="AR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B96C43" w:rsidRDefault="005A5C82" w:rsidP="00B96C43">
    <w:pPr>
      <w:pStyle w:val="ARheaderleft"/>
      <w:jc w:val="left"/>
      <w:rP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18</w:t>
    </w:r>
    <w:r w:rsidRPr="00822530">
      <w:rPr>
        <w:rStyle w:val="ARpagenumber"/>
      </w:rPr>
      <w:fldChar w:fldCharType="end"/>
    </w:r>
    <w:r>
      <w:tab/>
      <w:t>Department of Health and Human Services annual report 2016–17</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22530" w:rsidRDefault="005A5C82" w:rsidP="00464211">
    <w:pPr>
      <w:pStyle w:val="ARheaderleft"/>
      <w:jc w:val="left"/>
      <w:rPr>
        <w:rStyle w:val="PageNumber"/>
        <w:rFonts w:ascii="Calibri" w:hAnsi="Calibri"/>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192</w:t>
    </w:r>
    <w:r w:rsidRPr="00822530">
      <w:rPr>
        <w:rStyle w:val="ARpagenumber"/>
      </w:rPr>
      <w:fldChar w:fldCharType="end"/>
    </w:r>
    <w:r>
      <w:tab/>
      <w:t>Department of Health and Human Services annual report 2016–17</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6500FA">
    <w:pPr>
      <w:pStyle w:val="ARheaderright"/>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193</w:t>
    </w:r>
    <w:r w:rsidRPr="009A4448">
      <w:rPr>
        <w:rStyle w:val="ARpagenumber"/>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1F3139" w:rsidRDefault="005A5C82" w:rsidP="00D91622">
    <w:pPr>
      <w:pStyle w:val="ARheaderrightlandscape"/>
      <w:rPr>
        <w:rStyle w:val="PageNumber"/>
      </w:rPr>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194</w:t>
    </w:r>
    <w:r w:rsidRPr="009A4448">
      <w:rPr>
        <w:rStyle w:val="ARpagenumber"/>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rsidRPr="002C5D8A">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Pr>
        <w:rStyle w:val="ARpagenumber"/>
        <w:noProof/>
      </w:rPr>
      <w:t>226</w:t>
    </w:r>
    <w:r w:rsidRPr="009A4448">
      <w:rPr>
        <w:rStyle w:val="ARpagenumber"/>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5376E5" w:rsidRDefault="005A5C82" w:rsidP="003B4220">
    <w:pPr>
      <w:pStyle w:val="ARheaderleft"/>
      <w:jc w:val="left"/>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206</w:t>
    </w:r>
    <w:r w:rsidRPr="00822530">
      <w:rPr>
        <w:rStyle w:val="ARpagenumber"/>
      </w:rPr>
      <w:fldChar w:fldCharType="end"/>
    </w:r>
    <w:r>
      <w:tab/>
      <w:t>Department of Health and Human Services annual report 2016–17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5376E5">
    <w:pPr>
      <w:pStyle w:val="ARheaderright"/>
    </w:pPr>
    <w:r>
      <w:tab/>
    </w:r>
    <w:r w:rsidRPr="002C5D8A">
      <w:t xml:space="preserve">Department of Health </w:t>
    </w:r>
    <w:r>
      <w:t>and</w:t>
    </w:r>
    <w:r w:rsidRPr="002C5D8A">
      <w:t xml:space="preserve"> Huma</w:t>
    </w:r>
    <w:r>
      <w:t>n Services annual report 2016–17</w:t>
    </w:r>
    <w:r>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205</w:t>
    </w:r>
    <w:r w:rsidRPr="009A4448">
      <w:rPr>
        <w:rStyle w:val="ARpagenumber"/>
      </w:rPr>
      <w:fldChar w:fldCharType="end"/>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6C0D08" w:rsidRDefault="005A5C82" w:rsidP="00FC2E33">
    <w:pPr>
      <w:pStyle w:val="ARheaderleft"/>
      <w:jc w:val="left"/>
      <w:rPr>
        <w:rStyle w:val="PageNumber"/>
        <w:rFonts w:cs="Arial"/>
        <w:sz w:val="20"/>
      </w:rPr>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208</w:t>
    </w:r>
    <w:r w:rsidRPr="00822530">
      <w:rPr>
        <w:rStyle w:val="ARpagenumber"/>
      </w:rPr>
      <w:fldChar w:fldCharType="end"/>
    </w:r>
    <w:r>
      <w:tab/>
      <w:t>Department of Health and Human Services annual report 2016–17</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FA3141">
    <w:pPr>
      <w:pStyle w:val="ARheaderright"/>
      <w:pBdr>
        <w:bottom w:val="single" w:sz="4" w:space="4" w:color="004EA8"/>
      </w:pBdr>
    </w:pPr>
    <w:r>
      <w:tab/>
    </w:r>
    <w:r w:rsidRPr="002C5D8A">
      <w:t xml:space="preserve">Department of Health </w:t>
    </w:r>
    <w:r>
      <w:t>and</w:t>
    </w:r>
    <w:r w:rsidRPr="002C5D8A">
      <w:t xml:space="preserve"> Huma</w:t>
    </w:r>
    <w:r>
      <w:t>n Services annual report 2016–17</w:t>
    </w:r>
    <w:r>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221</w:t>
    </w:r>
    <w:r w:rsidRPr="009A4448">
      <w:rPr>
        <w:rStyle w:val="AR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836605" w:rsidRDefault="005A5C82" w:rsidP="00C55F6F">
    <w:pPr>
      <w:pStyle w:val="ARheaderright"/>
      <w:rPr>
        <w:rFonts w:ascii="Calibri" w:hAnsi="Calibri"/>
        <w:sz w:val="20"/>
      </w:rPr>
    </w:pPr>
    <w:r>
      <w:tab/>
      <w:t>Department of Health and Human Services annual report 2016–17</w:t>
    </w:r>
    <w:r>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63</w:t>
    </w:r>
    <w:r w:rsidRPr="00822530">
      <w:rPr>
        <w:rStyle w:val="ARpagenumber"/>
      </w:rP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5376E5" w:rsidRDefault="005A5C82" w:rsidP="003D6404">
    <w:pPr>
      <w:pStyle w:val="ARheaderleft"/>
      <w:jc w:val="left"/>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220</w:t>
    </w:r>
    <w:r w:rsidRPr="00822530">
      <w:rPr>
        <w:rStyle w:val="ARpagenumber"/>
      </w:rPr>
      <w:fldChar w:fldCharType="end"/>
    </w:r>
    <w:r>
      <w:tab/>
      <w:t>Department of Health and Human Services annual report 2016–17</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5376E5" w:rsidRDefault="005A5C82" w:rsidP="00D91622">
    <w:pPr>
      <w:pStyle w:val="ARheaderrightlandscape"/>
    </w:pPr>
    <w:r>
      <w:tab/>
    </w:r>
    <w:r w:rsidRPr="002C5D8A">
      <w:t xml:space="preserve">Department of Health </w:t>
    </w:r>
    <w:r>
      <w:t>and</w:t>
    </w:r>
    <w:r w:rsidRPr="002C5D8A">
      <w:t xml:space="preserve"> Human Services annual report 201</w:t>
    </w:r>
    <w:r>
      <w:t>6</w:t>
    </w:r>
    <w:r w:rsidRPr="002C5D8A">
      <w:t>–1</w:t>
    </w:r>
    <w:r>
      <w:t>7</w:t>
    </w:r>
    <w:r>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222</w:t>
    </w:r>
    <w:r w:rsidRPr="00822530">
      <w:rPr>
        <w:rStyle w:val="ARpagenumber"/>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2C5D8A" w:rsidRDefault="005A5C82" w:rsidP="00D91622">
    <w:pPr>
      <w:pStyle w:val="ARheaderrightlandscape"/>
    </w:pPr>
    <w:r>
      <w:tab/>
      <w:t>Department of Health and Human Services annual report 2016–17</w:t>
    </w:r>
    <w:r>
      <w:tab/>
    </w: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Pr>
        <w:rStyle w:val="ARpagenumber"/>
        <w:noProof/>
      </w:rPr>
      <w:t>226</w:t>
    </w:r>
    <w:r w:rsidRPr="00822530">
      <w:rPr>
        <w:rStyle w:val="ARpagenumber"/>
      </w:rPr>
      <w:fldChar w:fldCharType="end"/>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Pr="00D94A7D" w:rsidRDefault="005A5C82" w:rsidP="003D6404">
    <w:pPr>
      <w:pStyle w:val="ARheaderleft"/>
      <w:jc w:val="left"/>
    </w:pPr>
    <w:r w:rsidRPr="00822530">
      <w:rPr>
        <w:rStyle w:val="ARpagenumber"/>
      </w:rPr>
      <w:fldChar w:fldCharType="begin"/>
    </w:r>
    <w:r w:rsidRPr="00822530">
      <w:rPr>
        <w:rStyle w:val="ARpagenumber"/>
      </w:rPr>
      <w:instrText xml:space="preserve"> PAGE </w:instrText>
    </w:r>
    <w:r w:rsidRPr="00822530">
      <w:rPr>
        <w:rStyle w:val="ARpagenumber"/>
      </w:rPr>
      <w:fldChar w:fldCharType="separate"/>
    </w:r>
    <w:r w:rsidR="00EF589D">
      <w:rPr>
        <w:rStyle w:val="ARpagenumber"/>
        <w:noProof/>
      </w:rPr>
      <w:t>226</w:t>
    </w:r>
    <w:r w:rsidRPr="00822530">
      <w:rPr>
        <w:rStyle w:val="ARpagenumber"/>
      </w:rPr>
      <w:fldChar w:fldCharType="end"/>
    </w:r>
    <w:r>
      <w:tab/>
      <w:t>Department of Health and Human Services annual report 2016–17</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C82" w:rsidRDefault="005A5C82" w:rsidP="00FC2E33">
    <w:pPr>
      <w:pStyle w:val="ARheaderright"/>
      <w:pBdr>
        <w:bottom w:val="single" w:sz="4" w:space="4" w:color="004EA8"/>
      </w:pBdr>
    </w:pPr>
    <w:r>
      <w:tab/>
    </w:r>
    <w:r w:rsidRPr="002C5D8A">
      <w:t xml:space="preserve">Department of Health </w:t>
    </w:r>
    <w:r>
      <w:t>and</w:t>
    </w:r>
    <w:r w:rsidRPr="002C5D8A">
      <w:t xml:space="preserve"> Huma</w:t>
    </w:r>
    <w:r>
      <w:t>n Services annual report 2016–17</w:t>
    </w:r>
    <w:r>
      <w:tab/>
    </w:r>
    <w:r w:rsidRPr="009A4448">
      <w:rPr>
        <w:rStyle w:val="ARpagenumber"/>
      </w:rPr>
      <w:fldChar w:fldCharType="begin"/>
    </w:r>
    <w:r w:rsidRPr="009A4448">
      <w:rPr>
        <w:rStyle w:val="ARpagenumber"/>
      </w:rPr>
      <w:instrText xml:space="preserve"> PAGE </w:instrText>
    </w:r>
    <w:r w:rsidRPr="009A4448">
      <w:rPr>
        <w:rStyle w:val="ARpagenumber"/>
      </w:rPr>
      <w:fldChar w:fldCharType="separate"/>
    </w:r>
    <w:r w:rsidR="00EF589D">
      <w:rPr>
        <w:rStyle w:val="ARpagenumber"/>
        <w:noProof/>
      </w:rPr>
      <w:t>227</w:t>
    </w:r>
    <w:r w:rsidRPr="009A4448">
      <w:rPr>
        <w:rStyle w:val="AR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BC891A"/>
    <w:lvl w:ilvl="0">
      <w:start w:val="1"/>
      <w:numFmt w:val="bullet"/>
      <w:lvlText w:val=""/>
      <w:lvlJc w:val="left"/>
      <w:pPr>
        <w:tabs>
          <w:tab w:val="num" w:pos="643"/>
        </w:tabs>
        <w:ind w:left="643" w:hanging="360"/>
      </w:pPr>
      <w:rPr>
        <w:rFonts w:ascii="Symbol" w:hAnsi="Symbol" w:hint="default"/>
      </w:rPr>
    </w:lvl>
  </w:abstractNum>
  <w:abstractNum w:abstractNumId="1">
    <w:nsid w:val="03783FD5"/>
    <w:multiLevelType w:val="hybridMultilevel"/>
    <w:tmpl w:val="09E293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4DA3D8E"/>
    <w:multiLevelType w:val="multilevel"/>
    <w:tmpl w:val="7E3E88CC"/>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08C063A2"/>
    <w:multiLevelType w:val="multilevel"/>
    <w:tmpl w:val="FBFA30B0"/>
    <w:lvl w:ilvl="0">
      <w:start w:val="1"/>
      <w:numFmt w:val="decimal"/>
      <w:lvlText w:val="%1."/>
      <w:lvlJc w:val="left"/>
      <w:pPr>
        <w:ind w:left="357" w:hanging="357"/>
      </w:pPr>
      <w:rPr>
        <w:rFonts w:cs="Times New Roman" w:hint="default"/>
      </w:rPr>
    </w:lvl>
    <w:lvl w:ilvl="1">
      <w:start w:val="1"/>
      <w:numFmt w:val="lowerLetter"/>
      <w:lvlText w:val="%2."/>
      <w:lvlJc w:val="left"/>
      <w:pPr>
        <w:ind w:left="868" w:hanging="358"/>
      </w:pPr>
      <w:rPr>
        <w:rFonts w:cs="Times New Roman" w:hint="default"/>
      </w:rPr>
    </w:lvl>
    <w:lvl w:ilvl="2">
      <w:start w:val="1"/>
      <w:numFmt w:val="lowerRoman"/>
      <w:lvlText w:val="%3."/>
      <w:lvlJc w:val="left"/>
      <w:pPr>
        <w:ind w:left="1378" w:hanging="357"/>
      </w:pPr>
      <w:rPr>
        <w:rFonts w:cs="Times New Roman" w:hint="default"/>
      </w:rPr>
    </w:lvl>
    <w:lvl w:ilvl="3">
      <w:start w:val="1"/>
      <w:numFmt w:val="decimal"/>
      <w:lvlText w:val="%4."/>
      <w:lvlJc w:val="left"/>
      <w:pPr>
        <w:ind w:left="1428" w:hanging="357"/>
      </w:pPr>
      <w:rPr>
        <w:rFonts w:cs="Times New Roman" w:hint="default"/>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4">
    <w:nsid w:val="10193262"/>
    <w:multiLevelType w:val="multilevel"/>
    <w:tmpl w:val="A36C113A"/>
    <w:styleLink w:val="ZZFinbullets"/>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nsid w:val="102B7CCB"/>
    <w:multiLevelType w:val="multilevel"/>
    <w:tmpl w:val="9398933E"/>
    <w:lvl w:ilvl="0">
      <w:start w:val="1"/>
      <w:numFmt w:val="lowerLetter"/>
      <w:lvlText w:val="(%1)"/>
      <w:lvlJc w:val="left"/>
      <w:pPr>
        <w:ind w:left="340" w:hanging="340"/>
      </w:pPr>
      <w:rPr>
        <w:rFonts w:cs="Times New Roman" w:hint="default"/>
      </w:rPr>
    </w:lvl>
    <w:lvl w:ilvl="1">
      <w:start w:val="1"/>
      <w:numFmt w:val="bullet"/>
      <w:lvlRestart w:val="0"/>
      <w:lvlText w:val="–"/>
      <w:lvlJc w:val="left"/>
      <w:pPr>
        <w:ind w:left="567" w:hanging="227"/>
      </w:pPr>
      <w:rPr>
        <w:rFonts w:ascii="Calibri" w:hAnsi="Calibri" w:hint="default"/>
        <w:color w:val="412F5A"/>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12045100"/>
    <w:multiLevelType w:val="multilevel"/>
    <w:tmpl w:val="5CAE13F4"/>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38A5469"/>
    <w:multiLevelType w:val="multilevel"/>
    <w:tmpl w:val="D0EA15BE"/>
    <w:lvl w:ilvl="0">
      <w:start w:val="1"/>
      <w:numFmt w:val="lowerRoman"/>
      <w:lvlText w:val="(%1)"/>
      <w:lvlJc w:val="left"/>
      <w:pPr>
        <w:ind w:left="397" w:hanging="397"/>
      </w:pPr>
      <w:rPr>
        <w:rFonts w:cs="Times New Roman" w:hint="default"/>
      </w:rPr>
    </w:lvl>
    <w:lvl w:ilvl="1">
      <w:start w:val="1"/>
      <w:numFmt w:val="lowerLetter"/>
      <w:lvlText w:val="%2)"/>
      <w:lvlJc w:val="left"/>
      <w:pPr>
        <w:ind w:left="323" w:hanging="360"/>
      </w:pPr>
      <w:rPr>
        <w:rFonts w:cs="Times New Roman" w:hint="default"/>
      </w:rPr>
    </w:lvl>
    <w:lvl w:ilvl="2">
      <w:start w:val="1"/>
      <w:numFmt w:val="lowerRoman"/>
      <w:lvlText w:val="%3)"/>
      <w:lvlJc w:val="left"/>
      <w:pPr>
        <w:ind w:left="683" w:hanging="360"/>
      </w:pPr>
      <w:rPr>
        <w:rFonts w:cs="Times New Roman" w:hint="default"/>
      </w:rPr>
    </w:lvl>
    <w:lvl w:ilvl="3">
      <w:numFmt w:val="none"/>
      <w:lvlText w:val=""/>
      <w:lvlJc w:val="left"/>
      <w:pPr>
        <w:tabs>
          <w:tab w:val="num" w:pos="360"/>
        </w:tabs>
      </w:p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8">
    <w:nsid w:val="147B66B0"/>
    <w:multiLevelType w:val="hybridMultilevel"/>
    <w:tmpl w:val="9008220A"/>
    <w:lvl w:ilvl="0" w:tplc="A2D2BEC0">
      <w:start w:val="1"/>
      <w:numFmt w:val="bullet"/>
      <w:lvlText w:val=""/>
      <w:lvlJc w:val="left"/>
      <w:pPr>
        <w:ind w:left="720" w:hanging="360"/>
      </w:pPr>
      <w:rPr>
        <w:rFonts w:ascii="Symbol" w:hAnsi="Symbol" w:hint="default"/>
      </w:rPr>
    </w:lvl>
    <w:lvl w:ilvl="1" w:tplc="5DFA97AC" w:tentative="1">
      <w:start w:val="1"/>
      <w:numFmt w:val="bullet"/>
      <w:lvlText w:val="o"/>
      <w:lvlJc w:val="left"/>
      <w:pPr>
        <w:ind w:left="1440" w:hanging="360"/>
      </w:pPr>
      <w:rPr>
        <w:rFonts w:ascii="Courier New" w:hAnsi="Courier New" w:cs="Courier New" w:hint="default"/>
      </w:rPr>
    </w:lvl>
    <w:lvl w:ilvl="2" w:tplc="4446B3B6" w:tentative="1">
      <w:start w:val="1"/>
      <w:numFmt w:val="bullet"/>
      <w:lvlText w:val=""/>
      <w:lvlJc w:val="left"/>
      <w:pPr>
        <w:ind w:left="2160" w:hanging="360"/>
      </w:pPr>
      <w:rPr>
        <w:rFonts w:ascii="Wingdings" w:hAnsi="Wingdings" w:hint="default"/>
      </w:rPr>
    </w:lvl>
    <w:lvl w:ilvl="3" w:tplc="D7C668D8" w:tentative="1">
      <w:start w:val="1"/>
      <w:numFmt w:val="bullet"/>
      <w:lvlText w:val=""/>
      <w:lvlJc w:val="left"/>
      <w:pPr>
        <w:ind w:left="2880" w:hanging="360"/>
      </w:pPr>
      <w:rPr>
        <w:rFonts w:ascii="Symbol" w:hAnsi="Symbol" w:hint="default"/>
      </w:rPr>
    </w:lvl>
    <w:lvl w:ilvl="4" w:tplc="955A31D4" w:tentative="1">
      <w:start w:val="1"/>
      <w:numFmt w:val="bullet"/>
      <w:lvlText w:val="o"/>
      <w:lvlJc w:val="left"/>
      <w:pPr>
        <w:ind w:left="3600" w:hanging="360"/>
      </w:pPr>
      <w:rPr>
        <w:rFonts w:ascii="Courier New" w:hAnsi="Courier New" w:cs="Courier New" w:hint="default"/>
      </w:rPr>
    </w:lvl>
    <w:lvl w:ilvl="5" w:tplc="EBACEA24" w:tentative="1">
      <w:start w:val="1"/>
      <w:numFmt w:val="bullet"/>
      <w:lvlText w:val=""/>
      <w:lvlJc w:val="left"/>
      <w:pPr>
        <w:ind w:left="4320" w:hanging="360"/>
      </w:pPr>
      <w:rPr>
        <w:rFonts w:ascii="Wingdings" w:hAnsi="Wingdings" w:hint="default"/>
      </w:rPr>
    </w:lvl>
    <w:lvl w:ilvl="6" w:tplc="1BDC1BD4" w:tentative="1">
      <w:start w:val="1"/>
      <w:numFmt w:val="bullet"/>
      <w:lvlText w:val=""/>
      <w:lvlJc w:val="left"/>
      <w:pPr>
        <w:ind w:left="5040" w:hanging="360"/>
      </w:pPr>
      <w:rPr>
        <w:rFonts w:ascii="Symbol" w:hAnsi="Symbol" w:hint="default"/>
      </w:rPr>
    </w:lvl>
    <w:lvl w:ilvl="7" w:tplc="0FA0EC12" w:tentative="1">
      <w:start w:val="1"/>
      <w:numFmt w:val="bullet"/>
      <w:lvlText w:val="o"/>
      <w:lvlJc w:val="left"/>
      <w:pPr>
        <w:ind w:left="5760" w:hanging="360"/>
      </w:pPr>
      <w:rPr>
        <w:rFonts w:ascii="Courier New" w:hAnsi="Courier New" w:cs="Courier New" w:hint="default"/>
      </w:rPr>
    </w:lvl>
    <w:lvl w:ilvl="8" w:tplc="37D8AC08" w:tentative="1">
      <w:start w:val="1"/>
      <w:numFmt w:val="bullet"/>
      <w:lvlText w:val=""/>
      <w:lvlJc w:val="left"/>
      <w:pPr>
        <w:ind w:left="6480" w:hanging="360"/>
      </w:pPr>
      <w:rPr>
        <w:rFonts w:ascii="Wingdings" w:hAnsi="Wingdings" w:hint="default"/>
      </w:rPr>
    </w:lvl>
  </w:abstractNum>
  <w:abstractNum w:abstractNumId="9">
    <w:nsid w:val="16C66490"/>
    <w:multiLevelType w:val="multilevel"/>
    <w:tmpl w:val="F3DCD362"/>
    <w:lvl w:ilvl="0">
      <w:start w:val="1"/>
      <w:numFmt w:val="bullet"/>
      <w:lvlText w:val="&gt;"/>
      <w:lvlJc w:val="left"/>
      <w:pPr>
        <w:ind w:left="284" w:hanging="284"/>
      </w:pPr>
      <w:rPr>
        <w:rFonts w:ascii="Calibri" w:hAnsi="Calibri" w:hint="default"/>
        <w:b/>
        <w:i w:val="0"/>
        <w:color w:val="00866F"/>
      </w:rPr>
    </w:lvl>
    <w:lvl w:ilvl="1">
      <w:start w:val="1"/>
      <w:numFmt w:val="bullet"/>
      <w:lvlText w:val="&gt;"/>
      <w:lvlJc w:val="left"/>
      <w:pPr>
        <w:ind w:left="284" w:hanging="284"/>
      </w:pPr>
      <w:rPr>
        <w:rFonts w:ascii="Calibri" w:hAnsi="Calibri" w:hint="default"/>
        <w:b/>
        <w:i w:val="0"/>
        <w:color w:val="00866F"/>
      </w:rPr>
    </w:lvl>
    <w:lvl w:ilvl="2">
      <w:start w:val="1"/>
      <w:numFmt w:val="bullet"/>
      <w:lvlText w:val="–"/>
      <w:lvlJc w:val="left"/>
      <w:pPr>
        <w:ind w:left="567" w:hanging="283"/>
      </w:pPr>
      <w:rPr>
        <w:rFonts w:ascii="Calibri" w:hAnsi="Calibri" w:hint="default"/>
      </w:rPr>
    </w:lvl>
    <w:lvl w:ilvl="3">
      <w:start w:val="1"/>
      <w:numFmt w:val="bullet"/>
      <w:lvlText w:val="–"/>
      <w:lvlJc w:val="left"/>
      <w:pPr>
        <w:ind w:left="567" w:hanging="283"/>
      </w:pPr>
      <w:rPr>
        <w:rFonts w:ascii="Calibri" w:hAnsi="Calibri" w:hint="default"/>
      </w:rPr>
    </w:lvl>
    <w:lvl w:ilvl="4">
      <w:start w:val="1"/>
      <w:numFmt w:val="bullet"/>
      <w:lvlText w:val="•"/>
      <w:lvlJc w:val="left"/>
      <w:pPr>
        <w:ind w:left="227" w:hanging="227"/>
      </w:pPr>
      <w:rPr>
        <w:rFonts w:ascii="Calibri" w:hAnsi="Calibri" w:hint="default"/>
      </w:rPr>
    </w:lvl>
    <w:lvl w:ilvl="5">
      <w:start w:val="1"/>
      <w:numFmt w:val="bullet"/>
      <w:lvlText w:val="–"/>
      <w:lvlJc w:val="left"/>
      <w:pPr>
        <w:ind w:left="454" w:hanging="227"/>
      </w:pPr>
      <w:rPr>
        <w:rFonts w:ascii="Calibri" w:hAnsi="Calibri" w:hint="default"/>
        <w:color w:val="auto"/>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17C63C5E"/>
    <w:multiLevelType w:val="multilevel"/>
    <w:tmpl w:val="88C8029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nsid w:val="17DD278A"/>
    <w:multiLevelType w:val="multilevel"/>
    <w:tmpl w:val="B4AA5D76"/>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nsid w:val="18DF66A4"/>
    <w:multiLevelType w:val="multilevel"/>
    <w:tmpl w:val="CE80BC02"/>
    <w:lvl w:ilvl="0">
      <w:start w:val="1"/>
      <w:numFmt w:val="bullet"/>
      <w:lvlText w:val=""/>
      <w:lvlJc w:val="left"/>
      <w:pPr>
        <w:tabs>
          <w:tab w:val="num" w:pos="786"/>
        </w:tabs>
        <w:ind w:left="786" w:hanging="360"/>
      </w:pPr>
      <w:rPr>
        <w:rFonts w:ascii="Symbol" w:hAnsi="Symbol" w:hint="default"/>
        <w:color w:val="auto"/>
        <w:sz w:val="20"/>
        <w:szCs w:val="20"/>
      </w:rPr>
    </w:lvl>
    <w:lvl w:ilvl="1">
      <w:start w:val="1"/>
      <w:numFmt w:val="bullet"/>
      <w:lvlText w:val=""/>
      <w:lvlJc w:val="left"/>
      <w:pPr>
        <w:tabs>
          <w:tab w:val="num" w:pos="1440"/>
        </w:tabs>
        <w:ind w:left="1440" w:hanging="360"/>
      </w:pPr>
      <w:rPr>
        <w:rFonts w:ascii="Symbol" w:hAnsi="Symbol" w:cs="Symbol" w:hint="default"/>
        <w:sz w:val="16"/>
        <w:szCs w:val="16"/>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1DBB34C5"/>
    <w:multiLevelType w:val="multilevel"/>
    <w:tmpl w:val="5FC2039E"/>
    <w:lvl w:ilvl="0">
      <w:start w:val="1"/>
      <w:numFmt w:val="lowerLetter"/>
      <w:lvlText w:val="%1)"/>
      <w:lvlJc w:val="left"/>
      <w:pPr>
        <w:ind w:left="567" w:hanging="283"/>
      </w:pPr>
      <w:rPr>
        <w:rFonts w:cs="Times New Roman" w:hint="default"/>
      </w:rPr>
    </w:lvl>
    <w:lvl w:ilvl="1">
      <w:start w:val="1"/>
      <w:numFmt w:val="decimal"/>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4">
    <w:nsid w:val="21C07876"/>
    <w:multiLevelType w:val="hybridMultilevel"/>
    <w:tmpl w:val="3C805574"/>
    <w:lvl w:ilvl="0" w:tplc="5A3E5B5A">
      <w:start w:val="1"/>
      <w:numFmt w:val="lowerRoman"/>
      <w:lvlText w:val="(%1)"/>
      <w:lvlJc w:val="left"/>
      <w:pPr>
        <w:ind w:left="337" w:hanging="202"/>
      </w:pPr>
      <w:rPr>
        <w:rFonts w:ascii="Verdana" w:eastAsia="Verdana" w:hAnsi="Verdana" w:cs="Verdana" w:hint="default"/>
        <w:spacing w:val="-1"/>
        <w:w w:val="101"/>
        <w:sz w:val="13"/>
        <w:szCs w:val="13"/>
      </w:rPr>
    </w:lvl>
    <w:lvl w:ilvl="1" w:tplc="114ABA1E">
      <w:start w:val="1"/>
      <w:numFmt w:val="bullet"/>
      <w:lvlText w:val="•"/>
      <w:lvlJc w:val="left"/>
      <w:pPr>
        <w:ind w:left="1320" w:hanging="202"/>
      </w:pPr>
    </w:lvl>
    <w:lvl w:ilvl="2" w:tplc="8D683B3A">
      <w:start w:val="1"/>
      <w:numFmt w:val="bullet"/>
      <w:lvlText w:val="•"/>
      <w:lvlJc w:val="left"/>
      <w:pPr>
        <w:ind w:left="2300" w:hanging="202"/>
      </w:pPr>
    </w:lvl>
    <w:lvl w:ilvl="3" w:tplc="B3CC4A96">
      <w:start w:val="1"/>
      <w:numFmt w:val="bullet"/>
      <w:lvlText w:val="•"/>
      <w:lvlJc w:val="left"/>
      <w:pPr>
        <w:ind w:left="3280" w:hanging="202"/>
      </w:pPr>
    </w:lvl>
    <w:lvl w:ilvl="4" w:tplc="CCDCAA9C">
      <w:start w:val="1"/>
      <w:numFmt w:val="bullet"/>
      <w:lvlText w:val="•"/>
      <w:lvlJc w:val="left"/>
      <w:pPr>
        <w:ind w:left="4260" w:hanging="202"/>
      </w:pPr>
    </w:lvl>
    <w:lvl w:ilvl="5" w:tplc="A2F4F448">
      <w:start w:val="1"/>
      <w:numFmt w:val="bullet"/>
      <w:lvlText w:val="•"/>
      <w:lvlJc w:val="left"/>
      <w:pPr>
        <w:ind w:left="5240" w:hanging="202"/>
      </w:pPr>
    </w:lvl>
    <w:lvl w:ilvl="6" w:tplc="FD16FE82">
      <w:start w:val="1"/>
      <w:numFmt w:val="bullet"/>
      <w:lvlText w:val="•"/>
      <w:lvlJc w:val="left"/>
      <w:pPr>
        <w:ind w:left="6220" w:hanging="202"/>
      </w:pPr>
    </w:lvl>
    <w:lvl w:ilvl="7" w:tplc="55B44500">
      <w:start w:val="1"/>
      <w:numFmt w:val="bullet"/>
      <w:lvlText w:val="•"/>
      <w:lvlJc w:val="left"/>
      <w:pPr>
        <w:ind w:left="7200" w:hanging="202"/>
      </w:pPr>
    </w:lvl>
    <w:lvl w:ilvl="8" w:tplc="8CCCD492">
      <w:start w:val="1"/>
      <w:numFmt w:val="bullet"/>
      <w:lvlText w:val="•"/>
      <w:lvlJc w:val="left"/>
      <w:pPr>
        <w:ind w:left="8180" w:hanging="202"/>
      </w:pPr>
    </w:lvl>
  </w:abstractNum>
  <w:abstractNum w:abstractNumId="15">
    <w:nsid w:val="22EF6576"/>
    <w:multiLevelType w:val="multilevel"/>
    <w:tmpl w:val="63A08C9A"/>
    <w:lvl w:ilvl="0">
      <w:start w:val="1"/>
      <w:numFmt w:val="lowerLetter"/>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nsid w:val="233B3624"/>
    <w:multiLevelType w:val="multilevel"/>
    <w:tmpl w:val="5D1207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263C75AD"/>
    <w:multiLevelType w:val="multilevel"/>
    <w:tmpl w:val="7B9A2172"/>
    <w:styleLink w:val="ZZFinnumbersalpha"/>
    <w:lvl w:ilvl="0">
      <w:start w:val="1"/>
      <w:numFmt w:val="lowerLetter"/>
      <w:pStyle w:val="ARfinnumberalpha1"/>
      <w:lvlText w:val="(%1)"/>
      <w:lvlJc w:val="left"/>
      <w:pPr>
        <w:tabs>
          <w:tab w:val="num" w:pos="284"/>
        </w:tabs>
        <w:ind w:left="284" w:hanging="284"/>
      </w:pPr>
      <w:rPr>
        <w:rFonts w:hint="default"/>
      </w:rPr>
    </w:lvl>
    <w:lvl w:ilvl="1">
      <w:start w:val="1"/>
      <w:numFmt w:val="lowerLetter"/>
      <w:pStyle w:val="ARfinnumberalpha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nsid w:val="2748420F"/>
    <w:multiLevelType w:val="multilevel"/>
    <w:tmpl w:val="C100BA5C"/>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FBC0393"/>
    <w:multiLevelType w:val="multilevel"/>
    <w:tmpl w:val="62C0FD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30C66AD5"/>
    <w:multiLevelType w:val="hybridMultilevel"/>
    <w:tmpl w:val="9FA4F610"/>
    <w:lvl w:ilvl="0" w:tplc="E1948256">
      <w:start w:val="1"/>
      <w:numFmt w:val="decimal"/>
      <w:lvlText w:val="%1."/>
      <w:lvlJc w:val="left"/>
      <w:pPr>
        <w:ind w:left="720" w:hanging="360"/>
      </w:pPr>
      <w:rPr>
        <w:rFonts w:hint="default"/>
      </w:rPr>
    </w:lvl>
    <w:lvl w:ilvl="1" w:tplc="C6EA94AC" w:tentative="1">
      <w:start w:val="1"/>
      <w:numFmt w:val="lowerLetter"/>
      <w:lvlText w:val="%2."/>
      <w:lvlJc w:val="left"/>
      <w:pPr>
        <w:ind w:left="1440" w:hanging="360"/>
      </w:pPr>
    </w:lvl>
    <w:lvl w:ilvl="2" w:tplc="123E1FD0" w:tentative="1">
      <w:start w:val="1"/>
      <w:numFmt w:val="lowerRoman"/>
      <w:lvlText w:val="%3."/>
      <w:lvlJc w:val="right"/>
      <w:pPr>
        <w:ind w:left="2160" w:hanging="180"/>
      </w:pPr>
    </w:lvl>
    <w:lvl w:ilvl="3" w:tplc="F3EA0576" w:tentative="1">
      <w:start w:val="1"/>
      <w:numFmt w:val="decimal"/>
      <w:lvlText w:val="%4."/>
      <w:lvlJc w:val="left"/>
      <w:pPr>
        <w:ind w:left="2880" w:hanging="360"/>
      </w:pPr>
    </w:lvl>
    <w:lvl w:ilvl="4" w:tplc="C3E26958" w:tentative="1">
      <w:start w:val="1"/>
      <w:numFmt w:val="lowerLetter"/>
      <w:lvlText w:val="%5."/>
      <w:lvlJc w:val="left"/>
      <w:pPr>
        <w:ind w:left="3600" w:hanging="360"/>
      </w:pPr>
    </w:lvl>
    <w:lvl w:ilvl="5" w:tplc="ED128444" w:tentative="1">
      <w:start w:val="1"/>
      <w:numFmt w:val="lowerRoman"/>
      <w:lvlText w:val="%6."/>
      <w:lvlJc w:val="right"/>
      <w:pPr>
        <w:ind w:left="4320" w:hanging="180"/>
      </w:pPr>
    </w:lvl>
    <w:lvl w:ilvl="6" w:tplc="8DC0742C" w:tentative="1">
      <w:start w:val="1"/>
      <w:numFmt w:val="decimal"/>
      <w:lvlText w:val="%7."/>
      <w:lvlJc w:val="left"/>
      <w:pPr>
        <w:ind w:left="5040" w:hanging="360"/>
      </w:pPr>
    </w:lvl>
    <w:lvl w:ilvl="7" w:tplc="165E8238" w:tentative="1">
      <w:start w:val="1"/>
      <w:numFmt w:val="lowerLetter"/>
      <w:lvlText w:val="%8."/>
      <w:lvlJc w:val="left"/>
      <w:pPr>
        <w:ind w:left="5760" w:hanging="360"/>
      </w:pPr>
    </w:lvl>
    <w:lvl w:ilvl="8" w:tplc="276A70F2" w:tentative="1">
      <w:start w:val="1"/>
      <w:numFmt w:val="lowerRoman"/>
      <w:lvlText w:val="%9."/>
      <w:lvlJc w:val="right"/>
      <w:pPr>
        <w:ind w:left="6480" w:hanging="180"/>
      </w:pPr>
    </w:lvl>
  </w:abstractNum>
  <w:abstractNum w:abstractNumId="21">
    <w:nsid w:val="316B03D5"/>
    <w:multiLevelType w:val="hybridMultilevel"/>
    <w:tmpl w:val="76DA2ACC"/>
    <w:lvl w:ilvl="0" w:tplc="569E67DE">
      <w:start w:val="1"/>
      <w:numFmt w:val="decimal"/>
      <w:lvlText w:val="%1."/>
      <w:lvlJc w:val="left"/>
      <w:pPr>
        <w:ind w:left="720" w:hanging="360"/>
      </w:pPr>
      <w:rPr>
        <w:rFonts w:eastAsia="Time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320523C1"/>
    <w:multiLevelType w:val="multilevel"/>
    <w:tmpl w:val="8F148D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24414A7"/>
    <w:multiLevelType w:val="multilevel"/>
    <w:tmpl w:val="B3683314"/>
    <w:lvl w:ilvl="0">
      <w:start w:val="1"/>
      <w:numFmt w:val="bullet"/>
      <w:lvlText w:val="–"/>
      <w:lvlJc w:val="left"/>
      <w:pPr>
        <w:tabs>
          <w:tab w:val="num" w:pos="567"/>
        </w:tabs>
        <w:ind w:left="567" w:hanging="283"/>
      </w:pPr>
      <w:rPr>
        <w:rFonts w:ascii="font583" w:hAnsi="font583" w:hint="default"/>
      </w:rPr>
    </w:lvl>
    <w:lvl w:ilvl="1">
      <w:start w:val="1"/>
      <w:numFmt w:val="bullet"/>
      <w:lvlRestart w:val="0"/>
      <w:lvlText w:val="–"/>
      <w:lvlJc w:val="left"/>
      <w:pPr>
        <w:ind w:left="567" w:hanging="283"/>
      </w:pPr>
      <w:rPr>
        <w:rFonts w:hint="default"/>
      </w:rPr>
    </w:lvl>
    <w:lvl w:ilvl="2">
      <w:start w:val="1"/>
      <w:numFmt w:val="bullet"/>
      <w:lvlRestart w:val="0"/>
      <w:lvlText w:val="&gt;"/>
      <w:lvlJc w:val="left"/>
      <w:pPr>
        <w:tabs>
          <w:tab w:val="num" w:pos="851"/>
        </w:tabs>
        <w:ind w:left="851" w:hanging="284"/>
      </w:pPr>
      <w:rPr>
        <w:rFonts w:ascii="Times New Roman" w:hAnsi="Times New Roman" w:hint="default"/>
      </w:rPr>
    </w:lvl>
    <w:lvl w:ilvl="3">
      <w:start w:val="1"/>
      <w:numFmt w:val="bullet"/>
      <w:lvlRestart w:val="0"/>
      <w:lvlText w:val="&gt;"/>
      <w:lvlJc w:val="left"/>
      <w:pPr>
        <w:tabs>
          <w:tab w:val="num" w:pos="851"/>
        </w:tabs>
        <w:ind w:left="851" w:hanging="284"/>
      </w:pPr>
      <w:rPr>
        <w:rFonts w:ascii="Times New Roman" w:hAnsi="Times New Roman" w:hint="default"/>
      </w:rPr>
    </w:lvl>
    <w:lvl w:ilvl="4">
      <w:start w:val="1"/>
      <w:numFmt w:val="none"/>
      <w:lvlRestart w:val="0"/>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4">
    <w:nsid w:val="32940CD5"/>
    <w:multiLevelType w:val="multilevel"/>
    <w:tmpl w:val="A61C06F4"/>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nsid w:val="34BB32F9"/>
    <w:multiLevelType w:val="multilevel"/>
    <w:tmpl w:val="824C39A8"/>
    <w:lvl w:ilvl="0">
      <w:start w:val="1"/>
      <w:numFmt w:val="bullet"/>
      <w:lvlText w:val="&gt;"/>
      <w:lvlJc w:val="left"/>
      <w:pPr>
        <w:ind w:left="284" w:hanging="284"/>
      </w:pPr>
      <w:rPr>
        <w:rFonts w:ascii="Arial" w:hAnsi="Arial" w:hint="default"/>
        <w:b/>
        <w:color w:val="004C97"/>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nsid w:val="37574018"/>
    <w:multiLevelType w:val="hybridMultilevel"/>
    <w:tmpl w:val="4D8A2C1C"/>
    <w:lvl w:ilvl="0" w:tplc="AFFCDAE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7B96CDA"/>
    <w:multiLevelType w:val="multilevel"/>
    <w:tmpl w:val="667E47D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nsid w:val="3CE84DF4"/>
    <w:multiLevelType w:val="multilevel"/>
    <w:tmpl w:val="088668C0"/>
    <w:styleLink w:val="ARnumberedparas"/>
    <w:lvl w:ilvl="0">
      <w:start w:val="1"/>
      <w:numFmt w:val="lowerLetter"/>
      <w:pStyle w:val="ARnumberalpha1"/>
      <w:lvlText w:val="(%1)"/>
      <w:lvlJc w:val="left"/>
      <w:pPr>
        <w:tabs>
          <w:tab w:val="num" w:pos="397"/>
        </w:tabs>
        <w:ind w:left="397" w:hanging="397"/>
      </w:pPr>
      <w:rPr>
        <w:rFonts w:cs="Times New Roman" w:hint="default"/>
      </w:rPr>
    </w:lvl>
    <w:lvl w:ilvl="1">
      <w:start w:val="1"/>
      <w:numFmt w:val="lowerLetter"/>
      <w:lvlRestart w:val="0"/>
      <w:pStyle w:val="ARnumberalpha2"/>
      <w:lvlText w:val="(%2)"/>
      <w:lvlJc w:val="left"/>
      <w:pPr>
        <w:tabs>
          <w:tab w:val="num" w:pos="680"/>
        </w:tabs>
        <w:ind w:left="680" w:hanging="396"/>
      </w:pPr>
      <w:rPr>
        <w:rFonts w:cs="Times New Roman" w:hint="default"/>
      </w:rPr>
    </w:lvl>
    <w:lvl w:ilvl="2">
      <w:start w:val="1"/>
      <w:numFmt w:val="lowerRoman"/>
      <w:lvlRestart w:val="0"/>
      <w:pStyle w:val="ARnumberroman2"/>
      <w:lvlText w:val="(%3)"/>
      <w:lvlJc w:val="left"/>
      <w:pPr>
        <w:tabs>
          <w:tab w:val="num" w:pos="794"/>
        </w:tabs>
        <w:ind w:left="794" w:hanging="397"/>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3E602C9A"/>
    <w:multiLevelType w:val="multilevel"/>
    <w:tmpl w:val="52F6430A"/>
    <w:lvl w:ilvl="0">
      <w:start w:val="1"/>
      <w:numFmt w:val="lowerRoman"/>
      <w:lvlText w:val="(%1)"/>
      <w:lvlJc w:val="left"/>
      <w:pPr>
        <w:ind w:left="794" w:hanging="397"/>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nsid w:val="3E6C68D4"/>
    <w:multiLevelType w:val="multilevel"/>
    <w:tmpl w:val="DDFC981A"/>
    <w:styleLink w:val="ZZNumbersdigit"/>
    <w:lvl w:ilvl="0">
      <w:start w:val="1"/>
      <w:numFmt w:val="decimal"/>
      <w:pStyle w:val="ARnumberdigit"/>
      <w:lvlText w:val="%1."/>
      <w:lvlJc w:val="left"/>
      <w:pPr>
        <w:tabs>
          <w:tab w:val="num" w:pos="397"/>
        </w:tabs>
        <w:ind w:left="397" w:hanging="397"/>
      </w:pPr>
      <w:rPr>
        <w:rFonts w:hint="default"/>
      </w:rPr>
    </w:lvl>
    <w:lvl w:ilvl="1">
      <w:start w:val="1"/>
      <w:numFmt w:val="decimal"/>
      <w:pStyle w:val="ARnumberdigitindent"/>
      <w:lvlText w:val="%2."/>
      <w:lvlJc w:val="left"/>
      <w:pPr>
        <w:tabs>
          <w:tab w:val="num" w:pos="794"/>
        </w:tabs>
        <w:ind w:left="794" w:hanging="397"/>
      </w:pPr>
      <w:rPr>
        <w:rFonts w:hint="default"/>
      </w:rPr>
    </w:lvl>
    <w:lvl w:ilvl="2">
      <w:start w:val="1"/>
      <w:numFmt w:val="bullet"/>
      <w:lvlRestart w:val="0"/>
      <w:pStyle w:val="ARbulletafternumbers1"/>
      <w:lvlText w:val="–"/>
      <w:lvlJc w:val="left"/>
      <w:pPr>
        <w:ind w:left="794" w:hanging="397"/>
      </w:pPr>
      <w:rPr>
        <w:rFonts w:ascii="Calibri" w:hAnsi="Calibri" w:hint="default"/>
        <w:color w:val="auto"/>
      </w:rPr>
    </w:lvl>
    <w:lvl w:ilvl="3">
      <w:start w:val="1"/>
      <w:numFmt w:val="bullet"/>
      <w:lvlRestart w:val="0"/>
      <w:pStyle w:val="AR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1">
    <w:nsid w:val="42D243E2"/>
    <w:multiLevelType w:val="multilevel"/>
    <w:tmpl w:val="A46A1B0C"/>
    <w:lvl w:ilvl="0">
      <w:start w:val="1"/>
      <w:numFmt w:val="low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81D53BC"/>
    <w:multiLevelType w:val="multilevel"/>
    <w:tmpl w:val="9106105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4B4F5336"/>
    <w:multiLevelType w:val="multilevel"/>
    <w:tmpl w:val="245C5FCA"/>
    <w:styleLink w:val="ZZBullets"/>
    <w:lvl w:ilvl="0">
      <w:start w:val="1"/>
      <w:numFmt w:val="bullet"/>
      <w:pStyle w:val="ARbullet1"/>
      <w:lvlText w:val="&gt;"/>
      <w:lvlJc w:val="left"/>
      <w:pPr>
        <w:ind w:left="284" w:hanging="284"/>
      </w:pPr>
      <w:rPr>
        <w:rFonts w:ascii="Arial" w:hAnsi="Arial" w:hint="default"/>
        <w:b/>
        <w:i w:val="0"/>
        <w:color w:val="004C97"/>
      </w:rPr>
    </w:lvl>
    <w:lvl w:ilvl="1">
      <w:start w:val="1"/>
      <w:numFmt w:val="bullet"/>
      <w:lvlRestart w:val="0"/>
      <w:pStyle w:val="ARbullet2"/>
      <w:lvlText w:val="–"/>
      <w:lvlJc w:val="left"/>
      <w:pPr>
        <w:ind w:left="567" w:hanging="283"/>
      </w:pPr>
      <w:rPr>
        <w:rFonts w:ascii="Calibri" w:hAnsi="Calibri" w:hint="default"/>
        <w:b/>
        <w:i w:val="0"/>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nsid w:val="4B695180"/>
    <w:multiLevelType w:val="multilevel"/>
    <w:tmpl w:val="A61C06F4"/>
    <w:numStyleLink w:val="Bullet"/>
  </w:abstractNum>
  <w:abstractNum w:abstractNumId="35">
    <w:nsid w:val="4DB71B72"/>
    <w:multiLevelType w:val="hybridMultilevel"/>
    <w:tmpl w:val="47E6CED0"/>
    <w:lvl w:ilvl="0" w:tplc="78AE4428">
      <w:start w:val="1"/>
      <w:numFmt w:val="bullet"/>
      <w:lvlText w:val=""/>
      <w:lvlJc w:val="left"/>
      <w:pPr>
        <w:ind w:left="720" w:hanging="360"/>
      </w:pPr>
      <w:rPr>
        <w:rFonts w:ascii="Symbol" w:hAnsi="Symbol" w:hint="default"/>
        <w:color w:val="004EA8"/>
      </w:rPr>
    </w:lvl>
    <w:lvl w:ilvl="1" w:tplc="20862922" w:tentative="1">
      <w:start w:val="1"/>
      <w:numFmt w:val="bullet"/>
      <w:lvlText w:val="o"/>
      <w:lvlJc w:val="left"/>
      <w:pPr>
        <w:ind w:left="1440" w:hanging="360"/>
      </w:pPr>
      <w:rPr>
        <w:rFonts w:ascii="Courier New" w:hAnsi="Courier New" w:cs="Courier New" w:hint="default"/>
      </w:rPr>
    </w:lvl>
    <w:lvl w:ilvl="2" w:tplc="71F4FD06" w:tentative="1">
      <w:start w:val="1"/>
      <w:numFmt w:val="bullet"/>
      <w:lvlText w:val=""/>
      <w:lvlJc w:val="left"/>
      <w:pPr>
        <w:ind w:left="2160" w:hanging="360"/>
      </w:pPr>
      <w:rPr>
        <w:rFonts w:ascii="Wingdings" w:hAnsi="Wingdings" w:hint="default"/>
      </w:rPr>
    </w:lvl>
    <w:lvl w:ilvl="3" w:tplc="92F0ABA8" w:tentative="1">
      <w:start w:val="1"/>
      <w:numFmt w:val="bullet"/>
      <w:lvlText w:val=""/>
      <w:lvlJc w:val="left"/>
      <w:pPr>
        <w:ind w:left="2880" w:hanging="360"/>
      </w:pPr>
      <w:rPr>
        <w:rFonts w:ascii="Symbol" w:hAnsi="Symbol" w:hint="default"/>
      </w:rPr>
    </w:lvl>
    <w:lvl w:ilvl="4" w:tplc="D848C306" w:tentative="1">
      <w:start w:val="1"/>
      <w:numFmt w:val="bullet"/>
      <w:lvlText w:val="o"/>
      <w:lvlJc w:val="left"/>
      <w:pPr>
        <w:ind w:left="3600" w:hanging="360"/>
      </w:pPr>
      <w:rPr>
        <w:rFonts w:ascii="Courier New" w:hAnsi="Courier New" w:cs="Courier New" w:hint="default"/>
      </w:rPr>
    </w:lvl>
    <w:lvl w:ilvl="5" w:tplc="406CE6BE" w:tentative="1">
      <w:start w:val="1"/>
      <w:numFmt w:val="bullet"/>
      <w:lvlText w:val=""/>
      <w:lvlJc w:val="left"/>
      <w:pPr>
        <w:ind w:left="4320" w:hanging="360"/>
      </w:pPr>
      <w:rPr>
        <w:rFonts w:ascii="Wingdings" w:hAnsi="Wingdings" w:hint="default"/>
      </w:rPr>
    </w:lvl>
    <w:lvl w:ilvl="6" w:tplc="833874D2" w:tentative="1">
      <w:start w:val="1"/>
      <w:numFmt w:val="bullet"/>
      <w:lvlText w:val=""/>
      <w:lvlJc w:val="left"/>
      <w:pPr>
        <w:ind w:left="5040" w:hanging="360"/>
      </w:pPr>
      <w:rPr>
        <w:rFonts w:ascii="Symbol" w:hAnsi="Symbol" w:hint="default"/>
      </w:rPr>
    </w:lvl>
    <w:lvl w:ilvl="7" w:tplc="F64090CE" w:tentative="1">
      <w:start w:val="1"/>
      <w:numFmt w:val="bullet"/>
      <w:lvlText w:val="o"/>
      <w:lvlJc w:val="left"/>
      <w:pPr>
        <w:ind w:left="5760" w:hanging="360"/>
      </w:pPr>
      <w:rPr>
        <w:rFonts w:ascii="Courier New" w:hAnsi="Courier New" w:cs="Courier New" w:hint="default"/>
      </w:rPr>
    </w:lvl>
    <w:lvl w:ilvl="8" w:tplc="BC2A23B8" w:tentative="1">
      <w:start w:val="1"/>
      <w:numFmt w:val="bullet"/>
      <w:lvlText w:val=""/>
      <w:lvlJc w:val="left"/>
      <w:pPr>
        <w:ind w:left="6480" w:hanging="360"/>
      </w:pPr>
      <w:rPr>
        <w:rFonts w:ascii="Wingdings" w:hAnsi="Wingdings" w:hint="default"/>
      </w:rPr>
    </w:lvl>
  </w:abstractNum>
  <w:abstractNum w:abstractNumId="36">
    <w:nsid w:val="4EA8468E"/>
    <w:multiLevelType w:val="multilevel"/>
    <w:tmpl w:val="FD487D16"/>
    <w:lvl w:ilvl="0">
      <w:start w:val="1"/>
      <w:numFmt w:val="bullet"/>
      <w:lvlText w:val="&gt;"/>
      <w:lvlJc w:val="left"/>
      <w:pPr>
        <w:ind w:left="284" w:hanging="284"/>
      </w:pPr>
      <w:rPr>
        <w:rFonts w:ascii="Arial" w:hAnsi="Arial" w:hint="default"/>
        <w:b/>
        <w:color w:val="004C97"/>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nsid w:val="505E625F"/>
    <w:multiLevelType w:val="singleLevel"/>
    <w:tmpl w:val="C5A4B814"/>
    <w:lvl w:ilvl="0">
      <w:start w:val="1"/>
      <w:numFmt w:val="bullet"/>
      <w:lvlText w:val=""/>
      <w:lvlJc w:val="left"/>
      <w:pPr>
        <w:tabs>
          <w:tab w:val="num" w:pos="360"/>
        </w:tabs>
        <w:ind w:left="360" w:hanging="360"/>
      </w:pPr>
      <w:rPr>
        <w:rFonts w:ascii="Symbol" w:hAnsi="Symbol" w:hint="default"/>
      </w:rPr>
    </w:lvl>
  </w:abstractNum>
  <w:abstractNum w:abstractNumId="38">
    <w:nsid w:val="57CC003D"/>
    <w:multiLevelType w:val="multilevel"/>
    <w:tmpl w:val="972A8B88"/>
    <w:styleLink w:val="ZZFintablebullets"/>
    <w:lvl w:ilvl="0">
      <w:start w:val="1"/>
      <w:numFmt w:val="bullet"/>
      <w:pStyle w:val="ARfintablebullet"/>
      <w:lvlText w:val="•"/>
      <w:lvlJc w:val="left"/>
      <w:pPr>
        <w:ind w:left="170" w:hanging="170"/>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nsid w:val="59154BE6"/>
    <w:multiLevelType w:val="multilevel"/>
    <w:tmpl w:val="DFA09F1E"/>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nsid w:val="5B88329E"/>
    <w:multiLevelType w:val="multilevel"/>
    <w:tmpl w:val="0AF48AC4"/>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1">
    <w:nsid w:val="5E4418E6"/>
    <w:multiLevelType w:val="multilevel"/>
    <w:tmpl w:val="C77C82F8"/>
    <w:lvl w:ilvl="0">
      <w:start w:val="1"/>
      <w:numFmt w:val="lowerRoman"/>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nsid w:val="5FAB7E8B"/>
    <w:multiLevelType w:val="multilevel"/>
    <w:tmpl w:val="9306ECFA"/>
    <w:lvl w:ilvl="0">
      <w:start w:val="1"/>
      <w:numFmt w:val="none"/>
      <w:suff w:val="nothing"/>
      <w:lvlText w:val=""/>
      <w:lvlJc w:val="left"/>
      <w:pPr>
        <w:ind w:left="0" w:firstLine="0"/>
      </w:pPr>
      <w:rPr>
        <w:rFonts w:hint="default"/>
      </w:rPr>
    </w:lvl>
    <w:lvl w:ilvl="1">
      <w:start w:val="1"/>
      <w:numFmt w:val="lowerRoman"/>
      <w:lvlText w:val="(%2)"/>
      <w:lvlJc w:val="left"/>
      <w:pPr>
        <w:tabs>
          <w:tab w:val="num" w:pos="284"/>
        </w:tabs>
        <w:ind w:left="284" w:hanging="284"/>
      </w:pPr>
      <w:rPr>
        <w:rFonts w:hint="default"/>
      </w:rPr>
    </w:lvl>
    <w:lvl w:ilvl="2">
      <w:start w:val="1"/>
      <w:numFmt w:val="bullet"/>
      <w:lvlRestart w:val="0"/>
      <w:lvlText w:val="•"/>
      <w:lvlJc w:val="left"/>
      <w:pPr>
        <w:ind w:left="510" w:hanging="226"/>
      </w:pPr>
      <w:rPr>
        <w:rFonts w:ascii="Calibri" w:hAnsi="Calibr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5FCA189C"/>
    <w:multiLevelType w:val="multilevel"/>
    <w:tmpl w:val="61FED8A0"/>
    <w:lvl w:ilvl="0">
      <w:start w:val="1"/>
      <w:numFmt w:val="lowerLetter"/>
      <w:lvlText w:val="(%1)"/>
      <w:lvlJc w:val="left"/>
      <w:pPr>
        <w:ind w:left="1189" w:hanging="340"/>
      </w:pPr>
      <w:rPr>
        <w:rFonts w:hint="default"/>
      </w:rPr>
    </w:lvl>
    <w:lvl w:ilvl="1">
      <w:start w:val="1"/>
      <w:numFmt w:val="none"/>
      <w:lvlRestart w:val="0"/>
      <w:lvlText w:val=""/>
      <w:lvlJc w:val="left"/>
      <w:pPr>
        <w:tabs>
          <w:tab w:val="num" w:pos="849"/>
        </w:tabs>
        <w:ind w:left="849" w:firstLine="0"/>
      </w:pPr>
      <w:rPr>
        <w:rFonts w:hint="default"/>
        <w:color w:val="412F5A"/>
      </w:rPr>
    </w:lvl>
    <w:lvl w:ilvl="2">
      <w:start w:val="1"/>
      <w:numFmt w:val="none"/>
      <w:lvlRestart w:val="0"/>
      <w:lvlText w:val=""/>
      <w:lvlJc w:val="left"/>
      <w:pPr>
        <w:ind w:left="849" w:firstLine="0"/>
      </w:pPr>
      <w:rPr>
        <w:rFonts w:hint="default"/>
      </w:rPr>
    </w:lvl>
    <w:lvl w:ilvl="3">
      <w:start w:val="1"/>
      <w:numFmt w:val="none"/>
      <w:lvlRestart w:val="0"/>
      <w:lvlText w:val=""/>
      <w:lvlJc w:val="left"/>
      <w:pPr>
        <w:ind w:left="849" w:firstLine="0"/>
      </w:pPr>
      <w:rPr>
        <w:rFonts w:hint="default"/>
      </w:rPr>
    </w:lvl>
    <w:lvl w:ilvl="4">
      <w:start w:val="1"/>
      <w:numFmt w:val="none"/>
      <w:lvlRestart w:val="0"/>
      <w:lvlText w:val=""/>
      <w:lvlJc w:val="left"/>
      <w:pPr>
        <w:ind w:left="849" w:firstLine="0"/>
      </w:pPr>
      <w:rPr>
        <w:rFonts w:hint="default"/>
      </w:rPr>
    </w:lvl>
    <w:lvl w:ilvl="5">
      <w:start w:val="1"/>
      <w:numFmt w:val="none"/>
      <w:lvlRestart w:val="0"/>
      <w:lvlText w:val=""/>
      <w:lvlJc w:val="left"/>
      <w:pPr>
        <w:ind w:left="849" w:firstLine="0"/>
      </w:pPr>
      <w:rPr>
        <w:rFonts w:hint="default"/>
      </w:rPr>
    </w:lvl>
    <w:lvl w:ilvl="6">
      <w:start w:val="1"/>
      <w:numFmt w:val="none"/>
      <w:lvlRestart w:val="0"/>
      <w:lvlText w:val=""/>
      <w:lvlJc w:val="left"/>
      <w:pPr>
        <w:ind w:left="849" w:firstLine="0"/>
      </w:pPr>
      <w:rPr>
        <w:rFonts w:hint="default"/>
      </w:rPr>
    </w:lvl>
    <w:lvl w:ilvl="7">
      <w:start w:val="1"/>
      <w:numFmt w:val="none"/>
      <w:lvlRestart w:val="0"/>
      <w:lvlText w:val=""/>
      <w:lvlJc w:val="left"/>
      <w:pPr>
        <w:ind w:left="849" w:firstLine="0"/>
      </w:pPr>
      <w:rPr>
        <w:rFonts w:hint="default"/>
      </w:rPr>
    </w:lvl>
    <w:lvl w:ilvl="8">
      <w:start w:val="1"/>
      <w:numFmt w:val="none"/>
      <w:lvlRestart w:val="0"/>
      <w:lvlText w:val=""/>
      <w:lvlJc w:val="left"/>
      <w:pPr>
        <w:ind w:left="849" w:firstLine="0"/>
      </w:pPr>
      <w:rPr>
        <w:rFonts w:hint="default"/>
      </w:rPr>
    </w:lvl>
  </w:abstractNum>
  <w:abstractNum w:abstractNumId="44">
    <w:nsid w:val="600C01DD"/>
    <w:multiLevelType w:val="multilevel"/>
    <w:tmpl w:val="9306ECFA"/>
    <w:lvl w:ilvl="0">
      <w:start w:val="1"/>
      <w:numFmt w:val="none"/>
      <w:suff w:val="nothing"/>
      <w:lvlText w:val=""/>
      <w:lvlJc w:val="left"/>
      <w:pPr>
        <w:ind w:left="0" w:firstLine="0"/>
      </w:pPr>
      <w:rPr>
        <w:rFonts w:hint="default"/>
      </w:rPr>
    </w:lvl>
    <w:lvl w:ilvl="1">
      <w:start w:val="1"/>
      <w:numFmt w:val="lowerRoman"/>
      <w:lvlText w:val="(%2)"/>
      <w:lvlJc w:val="left"/>
      <w:pPr>
        <w:tabs>
          <w:tab w:val="num" w:pos="284"/>
        </w:tabs>
        <w:ind w:left="284" w:hanging="284"/>
      </w:pPr>
      <w:rPr>
        <w:rFonts w:hint="default"/>
      </w:rPr>
    </w:lvl>
    <w:lvl w:ilvl="2">
      <w:start w:val="1"/>
      <w:numFmt w:val="bullet"/>
      <w:lvlRestart w:val="0"/>
      <w:lvlText w:val="•"/>
      <w:lvlJc w:val="left"/>
      <w:pPr>
        <w:ind w:left="510" w:hanging="226"/>
      </w:pPr>
      <w:rPr>
        <w:rFonts w:ascii="Calibri" w:hAnsi="Calibr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6398127E"/>
    <w:multiLevelType w:val="multilevel"/>
    <w:tmpl w:val="5BB248DE"/>
    <w:styleLink w:val="ZZLoweralphainfintables"/>
    <w:lvl w:ilvl="0">
      <w:start w:val="1"/>
      <w:numFmt w:val="lowerLetter"/>
      <w:pStyle w:val="ARfintablealpha"/>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nsid w:val="67AF678A"/>
    <w:multiLevelType w:val="multilevel"/>
    <w:tmpl w:val="5BE25F4E"/>
    <w:lvl w:ilvl="0">
      <w:start w:val="1"/>
      <w:numFmt w:val="bullet"/>
      <w:lvlText w:val="•"/>
      <w:lvlJc w:val="left"/>
      <w:pPr>
        <w:ind w:left="284" w:hanging="284"/>
      </w:pPr>
      <w:rPr>
        <w:rFonts w:ascii="Times New Roman" w:hAnsi="Times New Roman" w:cs="Times New Roman" w:hint="default"/>
        <w:b w:val="0"/>
        <w:i w:val="0"/>
        <w:color w:val="00000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nsid w:val="6838040C"/>
    <w:multiLevelType w:val="hybridMultilevel"/>
    <w:tmpl w:val="18363DBA"/>
    <w:lvl w:ilvl="0" w:tplc="E5B01AE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F3466F8"/>
    <w:multiLevelType w:val="multilevel"/>
    <w:tmpl w:val="F8BCEAD2"/>
    <w:lvl w:ilvl="0">
      <w:start w:val="1"/>
      <w:numFmt w:val="bullet"/>
      <w:lvlText w:val="•"/>
      <w:lvlJc w:val="left"/>
      <w:pPr>
        <w:ind w:left="453" w:hanging="170"/>
      </w:pPr>
      <w:rPr>
        <w:rFonts w:ascii="Calibri" w:hAnsi="Calibri" w:hint="default"/>
      </w:rPr>
    </w:lvl>
    <w:lvl w:ilvl="1">
      <w:start w:val="1"/>
      <w:numFmt w:val="none"/>
      <w:lvlRestart w:val="0"/>
      <w:lvlText w:val=""/>
      <w:lvlJc w:val="left"/>
      <w:pPr>
        <w:ind w:left="283" w:firstLine="0"/>
      </w:pPr>
      <w:rPr>
        <w:rFonts w:hint="default"/>
      </w:rPr>
    </w:lvl>
    <w:lvl w:ilvl="2">
      <w:start w:val="1"/>
      <w:numFmt w:val="none"/>
      <w:lvlRestart w:val="0"/>
      <w:lvlText w:val=""/>
      <w:lvlJc w:val="left"/>
      <w:pPr>
        <w:ind w:left="283" w:firstLine="0"/>
      </w:pPr>
      <w:rPr>
        <w:rFonts w:hint="default"/>
      </w:rPr>
    </w:lvl>
    <w:lvl w:ilvl="3">
      <w:start w:val="1"/>
      <w:numFmt w:val="none"/>
      <w:lvlRestart w:val="0"/>
      <w:lvlText w:val=""/>
      <w:lvlJc w:val="left"/>
      <w:pPr>
        <w:ind w:left="283" w:firstLine="0"/>
      </w:pPr>
      <w:rPr>
        <w:rFonts w:hint="default"/>
      </w:rPr>
    </w:lvl>
    <w:lvl w:ilvl="4">
      <w:start w:val="1"/>
      <w:numFmt w:val="none"/>
      <w:lvlRestart w:val="0"/>
      <w:lvlText w:val=""/>
      <w:lvlJc w:val="left"/>
      <w:pPr>
        <w:ind w:left="283" w:firstLine="0"/>
      </w:pPr>
      <w:rPr>
        <w:rFonts w:hint="default"/>
      </w:rPr>
    </w:lvl>
    <w:lvl w:ilvl="5">
      <w:start w:val="1"/>
      <w:numFmt w:val="none"/>
      <w:lvlRestart w:val="0"/>
      <w:lvlText w:val=""/>
      <w:lvlJc w:val="left"/>
      <w:pPr>
        <w:ind w:left="283" w:firstLine="0"/>
      </w:pPr>
      <w:rPr>
        <w:rFonts w:hint="default"/>
      </w:rPr>
    </w:lvl>
    <w:lvl w:ilvl="6">
      <w:start w:val="1"/>
      <w:numFmt w:val="none"/>
      <w:lvlRestart w:val="0"/>
      <w:lvlText w:val=""/>
      <w:lvlJc w:val="left"/>
      <w:pPr>
        <w:ind w:left="283" w:firstLine="0"/>
      </w:pPr>
      <w:rPr>
        <w:rFonts w:hint="default"/>
      </w:rPr>
    </w:lvl>
    <w:lvl w:ilvl="7">
      <w:start w:val="1"/>
      <w:numFmt w:val="none"/>
      <w:lvlRestart w:val="0"/>
      <w:lvlText w:val=""/>
      <w:lvlJc w:val="left"/>
      <w:pPr>
        <w:ind w:left="283" w:firstLine="0"/>
      </w:pPr>
      <w:rPr>
        <w:rFonts w:hint="default"/>
      </w:rPr>
    </w:lvl>
    <w:lvl w:ilvl="8">
      <w:start w:val="1"/>
      <w:numFmt w:val="none"/>
      <w:lvlText w:val=""/>
      <w:lvlJc w:val="left"/>
      <w:pPr>
        <w:ind w:left="283" w:firstLine="0"/>
      </w:pPr>
      <w:rPr>
        <w:rFonts w:hint="default"/>
      </w:rPr>
    </w:lvl>
  </w:abstractNum>
  <w:abstractNum w:abstractNumId="49">
    <w:nsid w:val="73CD4498"/>
    <w:multiLevelType w:val="hybridMultilevel"/>
    <w:tmpl w:val="8F4CC476"/>
    <w:lvl w:ilvl="0" w:tplc="3AD433C2">
      <w:start w:val="1"/>
      <w:numFmt w:val="lowerLetter"/>
      <w:lvlText w:val="%1."/>
      <w:lvlJc w:val="left"/>
      <w:pPr>
        <w:ind w:left="720" w:hanging="360"/>
      </w:pPr>
      <w:rPr>
        <w:rFonts w:hint="default"/>
      </w:rPr>
    </w:lvl>
    <w:lvl w:ilvl="1" w:tplc="11508F0E" w:tentative="1">
      <w:start w:val="1"/>
      <w:numFmt w:val="lowerLetter"/>
      <w:lvlText w:val="%2."/>
      <w:lvlJc w:val="left"/>
      <w:pPr>
        <w:ind w:left="1440" w:hanging="360"/>
      </w:pPr>
    </w:lvl>
    <w:lvl w:ilvl="2" w:tplc="87E00224" w:tentative="1">
      <w:start w:val="1"/>
      <w:numFmt w:val="lowerRoman"/>
      <w:lvlText w:val="%3."/>
      <w:lvlJc w:val="right"/>
      <w:pPr>
        <w:ind w:left="2160" w:hanging="180"/>
      </w:pPr>
    </w:lvl>
    <w:lvl w:ilvl="3" w:tplc="6B3AF1DA" w:tentative="1">
      <w:start w:val="1"/>
      <w:numFmt w:val="decimal"/>
      <w:lvlText w:val="%4."/>
      <w:lvlJc w:val="left"/>
      <w:pPr>
        <w:ind w:left="2880" w:hanging="360"/>
      </w:pPr>
    </w:lvl>
    <w:lvl w:ilvl="4" w:tplc="CDEA0A48" w:tentative="1">
      <w:start w:val="1"/>
      <w:numFmt w:val="lowerLetter"/>
      <w:lvlText w:val="%5."/>
      <w:lvlJc w:val="left"/>
      <w:pPr>
        <w:ind w:left="3600" w:hanging="360"/>
      </w:pPr>
    </w:lvl>
    <w:lvl w:ilvl="5" w:tplc="C7AE148A" w:tentative="1">
      <w:start w:val="1"/>
      <w:numFmt w:val="lowerRoman"/>
      <w:lvlText w:val="%6."/>
      <w:lvlJc w:val="right"/>
      <w:pPr>
        <w:ind w:left="4320" w:hanging="180"/>
      </w:pPr>
    </w:lvl>
    <w:lvl w:ilvl="6" w:tplc="41FE0B70" w:tentative="1">
      <w:start w:val="1"/>
      <w:numFmt w:val="decimal"/>
      <w:lvlText w:val="%7."/>
      <w:lvlJc w:val="left"/>
      <w:pPr>
        <w:ind w:left="5040" w:hanging="360"/>
      </w:pPr>
    </w:lvl>
    <w:lvl w:ilvl="7" w:tplc="48F8D642" w:tentative="1">
      <w:start w:val="1"/>
      <w:numFmt w:val="lowerLetter"/>
      <w:lvlText w:val="%8."/>
      <w:lvlJc w:val="left"/>
      <w:pPr>
        <w:ind w:left="5760" w:hanging="360"/>
      </w:pPr>
    </w:lvl>
    <w:lvl w:ilvl="8" w:tplc="3658583A" w:tentative="1">
      <w:start w:val="1"/>
      <w:numFmt w:val="lowerRoman"/>
      <w:lvlText w:val="%9."/>
      <w:lvlJc w:val="right"/>
      <w:pPr>
        <w:ind w:left="6480" w:hanging="180"/>
      </w:pPr>
    </w:lvl>
  </w:abstractNum>
  <w:abstractNum w:abstractNumId="50">
    <w:nsid w:val="76480CA1"/>
    <w:multiLevelType w:val="multilevel"/>
    <w:tmpl w:val="533ECE90"/>
    <w:lvl w:ilvl="0">
      <w:start w:val="1"/>
      <w:numFmt w:val="lowerLetter"/>
      <w:lvlText w:val="(%1)"/>
      <w:lvlJc w:val="left"/>
      <w:pPr>
        <w:tabs>
          <w:tab w:val="num" w:pos="397"/>
        </w:tabs>
        <w:ind w:left="397" w:hanging="397"/>
      </w:pPr>
      <w:rPr>
        <w:rFonts w:hint="default"/>
      </w:rPr>
    </w:lvl>
    <w:lvl w:ilvl="1">
      <w:start w:val="1"/>
      <w:numFmt w:val="lowerLetter"/>
      <w:lvlRestart w:val="0"/>
      <w:lvlText w:val="(%2)"/>
      <w:lvlJc w:val="left"/>
      <w:pPr>
        <w:tabs>
          <w:tab w:val="num" w:pos="680"/>
        </w:tabs>
        <w:ind w:left="680" w:hanging="396"/>
      </w:pPr>
      <w:rPr>
        <w:rFonts w:cs="Times New Roman" w:hint="default"/>
      </w:rPr>
    </w:lvl>
    <w:lvl w:ilvl="2">
      <w:start w:val="1"/>
      <w:numFmt w:val="lowerRoman"/>
      <w:lvlRestart w:val="1"/>
      <w:lvlText w:val="(%3)"/>
      <w:lvlJc w:val="left"/>
      <w:pPr>
        <w:tabs>
          <w:tab w:val="num" w:pos="794"/>
        </w:tabs>
        <w:ind w:left="794" w:hanging="397"/>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777A57D6"/>
    <w:multiLevelType w:val="hybridMultilevel"/>
    <w:tmpl w:val="CBBC9F6E"/>
    <w:lvl w:ilvl="0" w:tplc="0C090017">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B57136C"/>
    <w:multiLevelType w:val="multilevel"/>
    <w:tmpl w:val="EFE848A6"/>
    <w:lvl w:ilvl="0">
      <w:start w:val="1"/>
      <w:numFmt w:val="lowerLetter"/>
      <w:lvlText w:val="(%1)"/>
      <w:lvlJc w:val="left"/>
      <w:pPr>
        <w:ind w:left="397" w:hanging="397"/>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3">
    <w:nsid w:val="7FE423C5"/>
    <w:multiLevelType w:val="hybridMultilevel"/>
    <w:tmpl w:val="DAF2F8C6"/>
    <w:lvl w:ilvl="0" w:tplc="5526261A">
      <w:start w:val="1"/>
      <w:numFmt w:val="decimal"/>
      <w:lvlText w:val="%1."/>
      <w:lvlJc w:val="left"/>
      <w:pPr>
        <w:ind w:left="720" w:hanging="360"/>
      </w:pPr>
      <w:rPr>
        <w:rFonts w:eastAsia="Times" w:hint="default"/>
      </w:rPr>
    </w:lvl>
    <w:lvl w:ilvl="1" w:tplc="018EE814" w:tentative="1">
      <w:start w:val="1"/>
      <w:numFmt w:val="lowerLetter"/>
      <w:lvlText w:val="%2."/>
      <w:lvlJc w:val="left"/>
      <w:pPr>
        <w:ind w:left="1440" w:hanging="360"/>
      </w:pPr>
    </w:lvl>
    <w:lvl w:ilvl="2" w:tplc="ECD403CC" w:tentative="1">
      <w:start w:val="1"/>
      <w:numFmt w:val="lowerRoman"/>
      <w:lvlText w:val="%3."/>
      <w:lvlJc w:val="right"/>
      <w:pPr>
        <w:ind w:left="2160" w:hanging="180"/>
      </w:pPr>
    </w:lvl>
    <w:lvl w:ilvl="3" w:tplc="E1B8057E" w:tentative="1">
      <w:start w:val="1"/>
      <w:numFmt w:val="decimal"/>
      <w:lvlText w:val="%4."/>
      <w:lvlJc w:val="left"/>
      <w:pPr>
        <w:ind w:left="2880" w:hanging="360"/>
      </w:pPr>
    </w:lvl>
    <w:lvl w:ilvl="4" w:tplc="31B07D28" w:tentative="1">
      <w:start w:val="1"/>
      <w:numFmt w:val="lowerLetter"/>
      <w:lvlText w:val="%5."/>
      <w:lvlJc w:val="left"/>
      <w:pPr>
        <w:ind w:left="3600" w:hanging="360"/>
      </w:pPr>
    </w:lvl>
    <w:lvl w:ilvl="5" w:tplc="FD7067EA" w:tentative="1">
      <w:start w:val="1"/>
      <w:numFmt w:val="lowerRoman"/>
      <w:lvlText w:val="%6."/>
      <w:lvlJc w:val="right"/>
      <w:pPr>
        <w:ind w:left="4320" w:hanging="180"/>
      </w:pPr>
    </w:lvl>
    <w:lvl w:ilvl="6" w:tplc="E9BA0A5C" w:tentative="1">
      <w:start w:val="1"/>
      <w:numFmt w:val="decimal"/>
      <w:lvlText w:val="%7."/>
      <w:lvlJc w:val="left"/>
      <w:pPr>
        <w:ind w:left="5040" w:hanging="360"/>
      </w:pPr>
    </w:lvl>
    <w:lvl w:ilvl="7" w:tplc="EB22F4D0" w:tentative="1">
      <w:start w:val="1"/>
      <w:numFmt w:val="lowerLetter"/>
      <w:lvlText w:val="%8."/>
      <w:lvlJc w:val="left"/>
      <w:pPr>
        <w:ind w:left="5760" w:hanging="360"/>
      </w:pPr>
    </w:lvl>
    <w:lvl w:ilvl="8" w:tplc="86840056" w:tentative="1">
      <w:start w:val="1"/>
      <w:numFmt w:val="lowerRoman"/>
      <w:lvlText w:val="%9."/>
      <w:lvlJc w:val="right"/>
      <w:pPr>
        <w:ind w:left="6480" w:hanging="180"/>
      </w:pPr>
    </w:lvl>
  </w:abstractNum>
  <w:num w:numId="1">
    <w:abstractNumId w:val="33"/>
  </w:num>
  <w:num w:numId="2">
    <w:abstractNumId w:val="15"/>
  </w:num>
  <w:num w:numId="3">
    <w:abstractNumId w:val="32"/>
  </w:num>
  <w:num w:numId="4">
    <w:abstractNumId w:val="40"/>
  </w:num>
  <w:num w:numId="5">
    <w:abstractNumId w:val="46"/>
  </w:num>
  <w:num w:numId="6">
    <w:abstractNumId w:val="10"/>
  </w:num>
  <w:num w:numId="7">
    <w:abstractNumId w:val="39"/>
  </w:num>
  <w:num w:numId="8">
    <w:abstractNumId w:val="18"/>
  </w:num>
  <w:num w:numId="9">
    <w:abstractNumId w:val="31"/>
  </w:num>
  <w:num w:numId="10">
    <w:abstractNumId w:val="12"/>
  </w:num>
  <w:num w:numId="11">
    <w:abstractNumId w:val="6"/>
  </w:num>
  <w:num w:numId="12">
    <w:abstractNumId w:val="19"/>
  </w:num>
  <w:num w:numId="13">
    <w:abstractNumId w:val="16"/>
  </w:num>
  <w:num w:numId="14">
    <w:abstractNumId w:val="7"/>
  </w:num>
  <w:num w:numId="15">
    <w:abstractNumId w:val="22"/>
  </w:num>
  <w:num w:numId="16">
    <w:abstractNumId w:val="37"/>
  </w:num>
  <w:num w:numId="17">
    <w:abstractNumId w:val="48"/>
  </w:num>
  <w:num w:numId="18">
    <w:abstractNumId w:val="43"/>
  </w:num>
  <w:num w:numId="19">
    <w:abstractNumId w:val="33"/>
    <w:lvlOverride w:ilvl="1">
      <w:lvl w:ilvl="1">
        <w:start w:val="1"/>
        <w:numFmt w:val="bullet"/>
        <w:lvlRestart w:val="0"/>
        <w:pStyle w:val="ARbullet2"/>
        <w:lvlText w:val="&gt;"/>
        <w:lvlJc w:val="left"/>
        <w:pPr>
          <w:ind w:left="284" w:hanging="284"/>
        </w:pPr>
        <w:rPr>
          <w:rFonts w:ascii="Arial" w:hAnsi="Arial" w:hint="default"/>
          <w:b/>
          <w:i w:val="0"/>
          <w:color w:val="004C97"/>
        </w:rPr>
      </w:lvl>
    </w:lvlOverride>
  </w:num>
  <w:num w:numId="20">
    <w:abstractNumId w:val="9"/>
  </w:num>
  <w:num w:numId="21">
    <w:abstractNumId w:val="33"/>
    <w:lvlOverride w:ilvl="1">
      <w:lvl w:ilvl="1">
        <w:start w:val="1"/>
        <w:numFmt w:val="bullet"/>
        <w:lvlRestart w:val="0"/>
        <w:pStyle w:val="ARbullet2"/>
        <w:lvlText w:val="&gt;"/>
        <w:lvlJc w:val="left"/>
        <w:pPr>
          <w:ind w:left="284" w:hanging="284"/>
        </w:pPr>
        <w:rPr>
          <w:rFonts w:ascii="Arial" w:hAnsi="Arial" w:hint="default"/>
          <w:b/>
          <w:i w:val="0"/>
          <w:color w:val="004C97"/>
        </w:rPr>
      </w:lvl>
    </w:lvlOverride>
  </w:num>
  <w:num w:numId="22">
    <w:abstractNumId w:val="33"/>
    <w:lvlOverride w:ilvl="1">
      <w:lvl w:ilvl="1">
        <w:start w:val="1"/>
        <w:numFmt w:val="bullet"/>
        <w:lvlRestart w:val="0"/>
        <w:pStyle w:val="ARbullet2"/>
        <w:lvlText w:val="&gt;"/>
        <w:lvlJc w:val="left"/>
        <w:pPr>
          <w:ind w:left="284" w:hanging="284"/>
        </w:pPr>
        <w:rPr>
          <w:rFonts w:ascii="Arial" w:hAnsi="Arial" w:hint="default"/>
          <w:b/>
          <w:i w:val="0"/>
          <w:color w:val="004C97"/>
        </w:rPr>
      </w:lvl>
    </w:lvlOverride>
  </w:num>
  <w:num w:numId="23">
    <w:abstractNumId w:val="24"/>
  </w:num>
  <w:num w:numId="24">
    <w:abstractNumId w:val="34"/>
  </w:num>
  <w:num w:numId="25">
    <w:abstractNumId w:val="45"/>
  </w:num>
  <w:num w:numId="26">
    <w:abstractNumId w:val="44"/>
  </w:num>
  <w:num w:numId="27">
    <w:abstractNumId w:val="42"/>
  </w:num>
  <w:num w:numId="28">
    <w:abstractNumId w:val="11"/>
  </w:num>
  <w:num w:numId="29">
    <w:abstractNumId w:val="4"/>
  </w:num>
  <w:num w:numId="30">
    <w:abstractNumId w:val="30"/>
  </w:num>
  <w:num w:numId="31">
    <w:abstractNumId w:val="2"/>
  </w:num>
  <w:num w:numId="32">
    <w:abstractNumId w:val="41"/>
  </w:num>
  <w:num w:numId="33">
    <w:abstractNumId w:val="23"/>
  </w:num>
  <w:num w:numId="34">
    <w:abstractNumId w:val="52"/>
  </w:num>
  <w:num w:numId="35">
    <w:abstractNumId w:val="13"/>
  </w:num>
  <w:num w:numId="36">
    <w:abstractNumId w:val="29"/>
  </w:num>
  <w:num w:numId="37">
    <w:abstractNumId w:val="5"/>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8"/>
  </w:num>
  <w:num w:numId="42">
    <w:abstractNumId w:val="3"/>
  </w:num>
  <w:num w:numId="43">
    <w:abstractNumId w:val="36"/>
  </w:num>
  <w:num w:numId="44">
    <w:abstractNumId w:val="33"/>
    <w:lvlOverride w:ilvl="0">
      <w:lvl w:ilvl="0">
        <w:start w:val="1"/>
        <w:numFmt w:val="bullet"/>
        <w:pStyle w:val="ARbullet1"/>
        <w:lvlText w:val="&gt;"/>
        <w:lvlJc w:val="left"/>
        <w:pPr>
          <w:ind w:left="4112" w:hanging="284"/>
        </w:pPr>
        <w:rPr>
          <w:rFonts w:ascii="Arial" w:hAnsi="Arial" w:hint="default"/>
          <w:b/>
          <w:i w:val="0"/>
          <w:color w:val="004EA8"/>
        </w:rPr>
      </w:lvl>
    </w:lvlOverride>
    <w:lvlOverride w:ilvl="1">
      <w:lvl w:ilvl="1">
        <w:start w:val="1"/>
        <w:numFmt w:val="bullet"/>
        <w:lvlRestart w:val="0"/>
        <w:pStyle w:val="ARbullet2"/>
        <w:lvlText w:val="&gt;"/>
        <w:lvlJc w:val="left"/>
        <w:pPr>
          <w:ind w:left="284" w:hanging="284"/>
        </w:pPr>
        <w:rPr>
          <w:rFonts w:ascii="Arial" w:hAnsi="Arial" w:hint="default"/>
          <w:b/>
          <w:i w:val="0"/>
          <w:color w:val="004EA8"/>
        </w:rPr>
      </w:lvl>
    </w:lvlOverride>
  </w:num>
  <w:num w:numId="45">
    <w:abstractNumId w:val="21"/>
  </w:num>
  <w:num w:numId="46">
    <w:abstractNumId w:val="53"/>
  </w:num>
  <w:num w:numId="47">
    <w:abstractNumId w:val="33"/>
    <w:lvlOverride w:ilvl="0">
      <w:lvl w:ilvl="0">
        <w:start w:val="1"/>
        <w:numFmt w:val="bullet"/>
        <w:pStyle w:val="ARbullet1"/>
        <w:lvlText w:val="&gt;"/>
        <w:lvlJc w:val="left"/>
        <w:pPr>
          <w:ind w:left="4112" w:hanging="284"/>
        </w:pPr>
        <w:rPr>
          <w:rFonts w:ascii="Arial" w:hAnsi="Arial" w:hint="default"/>
          <w:b/>
          <w:i w:val="0"/>
          <w:color w:val="004EA8"/>
        </w:rPr>
      </w:lvl>
    </w:lvlOverride>
  </w:num>
  <w:num w:numId="48">
    <w:abstractNumId w:val="20"/>
  </w:num>
  <w:num w:numId="49">
    <w:abstractNumId w:val="49"/>
  </w:num>
  <w:num w:numId="50">
    <w:abstractNumId w:val="35"/>
  </w:num>
  <w:num w:numId="51">
    <w:abstractNumId w:val="26"/>
  </w:num>
  <w:num w:numId="52">
    <w:abstractNumId w:val="51"/>
  </w:num>
  <w:num w:numId="53">
    <w:abstractNumId w:val="0"/>
  </w:num>
  <w:num w:numId="54">
    <w:abstractNumId w:val="50"/>
  </w:num>
  <w:num w:numId="55">
    <w:abstractNumId w:val="14"/>
    <w:lvlOverride w:ilvl="0">
      <w:startOverride w:val="1"/>
    </w:lvlOverride>
    <w:lvlOverride w:ilvl="1"/>
    <w:lvlOverride w:ilvl="2"/>
    <w:lvlOverride w:ilvl="3"/>
    <w:lvlOverride w:ilvl="4"/>
    <w:lvlOverride w:ilvl="5"/>
    <w:lvlOverride w:ilvl="6"/>
    <w:lvlOverride w:ilvl="7"/>
    <w:lvlOverride w:ilvl="8"/>
  </w:num>
  <w:num w:numId="56">
    <w:abstractNumId w:val="27"/>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8"/>
  </w:num>
  <w:num w:numId="60">
    <w:abstractNumId w:val="33"/>
  </w:num>
  <w:num w:numId="61">
    <w:abstractNumId w:val="25"/>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num>
  <w:num w:numId="67">
    <w:abstractNumId w:val="33"/>
  </w:num>
  <w:num w:numId="68">
    <w:abstractNumId w:val="33"/>
  </w:num>
  <w:num w:numId="69">
    <w:abstractNumId w:val="33"/>
  </w:num>
  <w:num w:numId="70">
    <w:abstractNumId w:val="33"/>
  </w:num>
  <w:num w:numId="71">
    <w:abstractNumId w:val="33"/>
  </w:num>
  <w:num w:numId="72">
    <w:abstractNumId w:val="33"/>
  </w:num>
  <w:num w:numId="73">
    <w:abstractNumId w:val="33"/>
  </w:num>
  <w:num w:numId="74">
    <w:abstractNumId w:val="33"/>
    <w:lvlOverride w:ilvl="0">
      <w:lvl w:ilvl="0">
        <w:start w:val="1"/>
        <w:numFmt w:val="bullet"/>
        <w:lvlRestart w:val="0"/>
        <w:pStyle w:val="ARbullet1"/>
        <w:lvlText w:val="&gt;"/>
        <w:lvlJc w:val="left"/>
        <w:pPr>
          <w:ind w:left="284" w:hanging="284"/>
        </w:pPr>
        <w:rPr>
          <w:rFonts w:ascii="Arial" w:hAnsi="Arial" w:hint="default"/>
          <w:b/>
          <w:i w:val="0"/>
          <w:color w:val="004C97"/>
        </w:rPr>
      </w:lvl>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mirrorMargin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0"/>
  <w:activeWritingStyle w:appName="MSWord" w:lang="en-AU"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0" w:nlCheck="1" w:checkStyle="0"/>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567"/>
  <w:doNotHyphenateCaps/>
  <w:evenAndOddHeaders/>
  <w:drawingGridHorizontalSpacing w:val="120"/>
  <w:drawingGridVerticalSpacing w:val="163"/>
  <w:displayHorizontalDrawingGridEvery w:val="2"/>
  <w:displayVerticalDrawingGridEvery w:val="0"/>
  <w:noPunctuationKerning/>
  <w:characterSpacingControl w:val="doNotCompress"/>
  <w:hdrShapeDefaults>
    <o:shapedefaults v:ext="edit" spidmax="34817">
      <o:colormru v:ext="edit" colors="#bfbfbf"/>
    </o:shapedefaults>
  </w:hdrShapeDefaults>
  <w:footnotePr>
    <w:footnote w:id="-1"/>
    <w:footnote w:id="0"/>
  </w:footnotePr>
  <w:endnotePr>
    <w:numFmt w:val="decimal"/>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xN7Q0MzCxMAWyLJV0lIJTi4sz8/NACoxqARg/jFcsAAAA"/>
  </w:docVars>
  <w:rsids>
    <w:rsidRoot w:val="00AD7C2F"/>
    <w:rsid w:val="0000011D"/>
    <w:rsid w:val="00001770"/>
    <w:rsid w:val="000019C1"/>
    <w:rsid w:val="00001CB9"/>
    <w:rsid w:val="00001E63"/>
    <w:rsid w:val="000021D0"/>
    <w:rsid w:val="00002519"/>
    <w:rsid w:val="0000292B"/>
    <w:rsid w:val="000034ED"/>
    <w:rsid w:val="000036B9"/>
    <w:rsid w:val="00004668"/>
    <w:rsid w:val="00004E7C"/>
    <w:rsid w:val="00004F0A"/>
    <w:rsid w:val="000056FA"/>
    <w:rsid w:val="00005B6E"/>
    <w:rsid w:val="00006BE2"/>
    <w:rsid w:val="00007202"/>
    <w:rsid w:val="00007586"/>
    <w:rsid w:val="00007B2C"/>
    <w:rsid w:val="00011168"/>
    <w:rsid w:val="0001161A"/>
    <w:rsid w:val="00011864"/>
    <w:rsid w:val="00011A7A"/>
    <w:rsid w:val="00012452"/>
    <w:rsid w:val="000136B6"/>
    <w:rsid w:val="00013A2F"/>
    <w:rsid w:val="00013CE9"/>
    <w:rsid w:val="00015352"/>
    <w:rsid w:val="00015D72"/>
    <w:rsid w:val="00016ABA"/>
    <w:rsid w:val="00016E97"/>
    <w:rsid w:val="00017A76"/>
    <w:rsid w:val="00020299"/>
    <w:rsid w:val="00020D58"/>
    <w:rsid w:val="00021FE1"/>
    <w:rsid w:val="00022014"/>
    <w:rsid w:val="000227CC"/>
    <w:rsid w:val="00022ECD"/>
    <w:rsid w:val="00024F45"/>
    <w:rsid w:val="00026D5D"/>
    <w:rsid w:val="000304AE"/>
    <w:rsid w:val="00030563"/>
    <w:rsid w:val="0003087C"/>
    <w:rsid w:val="00031496"/>
    <w:rsid w:val="00032340"/>
    <w:rsid w:val="00032863"/>
    <w:rsid w:val="00032B62"/>
    <w:rsid w:val="00032EEF"/>
    <w:rsid w:val="000333F6"/>
    <w:rsid w:val="000334F0"/>
    <w:rsid w:val="000336EF"/>
    <w:rsid w:val="000343D9"/>
    <w:rsid w:val="00034B95"/>
    <w:rsid w:val="000357D8"/>
    <w:rsid w:val="0003586D"/>
    <w:rsid w:val="0003644D"/>
    <w:rsid w:val="00036DBB"/>
    <w:rsid w:val="000405D5"/>
    <w:rsid w:val="0004163B"/>
    <w:rsid w:val="000419BC"/>
    <w:rsid w:val="00041CE7"/>
    <w:rsid w:val="000431AA"/>
    <w:rsid w:val="00043979"/>
    <w:rsid w:val="00043996"/>
    <w:rsid w:val="00043EC0"/>
    <w:rsid w:val="00043FC4"/>
    <w:rsid w:val="0004411C"/>
    <w:rsid w:val="000442D0"/>
    <w:rsid w:val="000445D4"/>
    <w:rsid w:val="0004480E"/>
    <w:rsid w:val="0004532A"/>
    <w:rsid w:val="00045DF8"/>
    <w:rsid w:val="00046678"/>
    <w:rsid w:val="00046E54"/>
    <w:rsid w:val="00047319"/>
    <w:rsid w:val="00047B27"/>
    <w:rsid w:val="00047F05"/>
    <w:rsid w:val="00050808"/>
    <w:rsid w:val="00050893"/>
    <w:rsid w:val="00050E1E"/>
    <w:rsid w:val="000510DC"/>
    <w:rsid w:val="00051FE1"/>
    <w:rsid w:val="000521D8"/>
    <w:rsid w:val="00052845"/>
    <w:rsid w:val="00052C96"/>
    <w:rsid w:val="000537F4"/>
    <w:rsid w:val="000540EA"/>
    <w:rsid w:val="00054430"/>
    <w:rsid w:val="00055097"/>
    <w:rsid w:val="00055742"/>
    <w:rsid w:val="00055F49"/>
    <w:rsid w:val="00056D3E"/>
    <w:rsid w:val="00056FCA"/>
    <w:rsid w:val="000576DE"/>
    <w:rsid w:val="0005780A"/>
    <w:rsid w:val="000600C1"/>
    <w:rsid w:val="000606AD"/>
    <w:rsid w:val="00060B58"/>
    <w:rsid w:val="00060B67"/>
    <w:rsid w:val="000614A5"/>
    <w:rsid w:val="00061730"/>
    <w:rsid w:val="00061862"/>
    <w:rsid w:val="00062256"/>
    <w:rsid w:val="000622E2"/>
    <w:rsid w:val="0006234D"/>
    <w:rsid w:val="0006266D"/>
    <w:rsid w:val="0006354B"/>
    <w:rsid w:val="00064B9B"/>
    <w:rsid w:val="0006612E"/>
    <w:rsid w:val="00066926"/>
    <w:rsid w:val="00066F3D"/>
    <w:rsid w:val="00067FDC"/>
    <w:rsid w:val="00070482"/>
    <w:rsid w:val="0007050F"/>
    <w:rsid w:val="00071FEC"/>
    <w:rsid w:val="000723A1"/>
    <w:rsid w:val="000724DE"/>
    <w:rsid w:val="00073805"/>
    <w:rsid w:val="00073AC1"/>
    <w:rsid w:val="00074242"/>
    <w:rsid w:val="00074D0A"/>
    <w:rsid w:val="000759BF"/>
    <w:rsid w:val="000760A3"/>
    <w:rsid w:val="00076B98"/>
    <w:rsid w:val="00076CCF"/>
    <w:rsid w:val="00076E2D"/>
    <w:rsid w:val="000775DC"/>
    <w:rsid w:val="000779FA"/>
    <w:rsid w:val="000803FA"/>
    <w:rsid w:val="0008331D"/>
    <w:rsid w:val="000834CE"/>
    <w:rsid w:val="00083889"/>
    <w:rsid w:val="00084BA5"/>
    <w:rsid w:val="00084D83"/>
    <w:rsid w:val="000861CF"/>
    <w:rsid w:val="00086B0D"/>
    <w:rsid w:val="00086BBD"/>
    <w:rsid w:val="00086D11"/>
    <w:rsid w:val="00086EE5"/>
    <w:rsid w:val="000871BD"/>
    <w:rsid w:val="0008732C"/>
    <w:rsid w:val="0008759D"/>
    <w:rsid w:val="000879F1"/>
    <w:rsid w:val="00087CC6"/>
    <w:rsid w:val="00090386"/>
    <w:rsid w:val="00090E47"/>
    <w:rsid w:val="00091471"/>
    <w:rsid w:val="0009236A"/>
    <w:rsid w:val="00092AFD"/>
    <w:rsid w:val="000936C7"/>
    <w:rsid w:val="0009447B"/>
    <w:rsid w:val="00095450"/>
    <w:rsid w:val="0009565F"/>
    <w:rsid w:val="00095E9B"/>
    <w:rsid w:val="000961B8"/>
    <w:rsid w:val="0009632D"/>
    <w:rsid w:val="00096486"/>
    <w:rsid w:val="00096BE7"/>
    <w:rsid w:val="00096CBC"/>
    <w:rsid w:val="00096F00"/>
    <w:rsid w:val="000979BC"/>
    <w:rsid w:val="00097CED"/>
    <w:rsid w:val="00097D5B"/>
    <w:rsid w:val="000A1EF8"/>
    <w:rsid w:val="000A23FF"/>
    <w:rsid w:val="000A2AA2"/>
    <w:rsid w:val="000A2F66"/>
    <w:rsid w:val="000A3086"/>
    <w:rsid w:val="000A30CF"/>
    <w:rsid w:val="000A3645"/>
    <w:rsid w:val="000A3F0C"/>
    <w:rsid w:val="000A48B5"/>
    <w:rsid w:val="000A50C8"/>
    <w:rsid w:val="000A5A07"/>
    <w:rsid w:val="000A66B5"/>
    <w:rsid w:val="000A6961"/>
    <w:rsid w:val="000A6B6D"/>
    <w:rsid w:val="000A7852"/>
    <w:rsid w:val="000A7A51"/>
    <w:rsid w:val="000B03EB"/>
    <w:rsid w:val="000B0531"/>
    <w:rsid w:val="000B104A"/>
    <w:rsid w:val="000B1428"/>
    <w:rsid w:val="000B2035"/>
    <w:rsid w:val="000B20EF"/>
    <w:rsid w:val="000B307C"/>
    <w:rsid w:val="000B30DF"/>
    <w:rsid w:val="000B3154"/>
    <w:rsid w:val="000B3DE5"/>
    <w:rsid w:val="000B3F86"/>
    <w:rsid w:val="000B40C3"/>
    <w:rsid w:val="000B4214"/>
    <w:rsid w:val="000B423D"/>
    <w:rsid w:val="000B430F"/>
    <w:rsid w:val="000B5145"/>
    <w:rsid w:val="000B58B7"/>
    <w:rsid w:val="000B5BD4"/>
    <w:rsid w:val="000B6086"/>
    <w:rsid w:val="000B6280"/>
    <w:rsid w:val="000B6B03"/>
    <w:rsid w:val="000B79FF"/>
    <w:rsid w:val="000B7B41"/>
    <w:rsid w:val="000C0590"/>
    <w:rsid w:val="000C0E2C"/>
    <w:rsid w:val="000C13DE"/>
    <w:rsid w:val="000C23A9"/>
    <w:rsid w:val="000C2617"/>
    <w:rsid w:val="000C2968"/>
    <w:rsid w:val="000C2FB8"/>
    <w:rsid w:val="000C36EA"/>
    <w:rsid w:val="000C42AA"/>
    <w:rsid w:val="000C4A34"/>
    <w:rsid w:val="000C5697"/>
    <w:rsid w:val="000C6434"/>
    <w:rsid w:val="000C6435"/>
    <w:rsid w:val="000C7164"/>
    <w:rsid w:val="000C725D"/>
    <w:rsid w:val="000C73B2"/>
    <w:rsid w:val="000C7910"/>
    <w:rsid w:val="000C7C20"/>
    <w:rsid w:val="000D0487"/>
    <w:rsid w:val="000D0518"/>
    <w:rsid w:val="000D085E"/>
    <w:rsid w:val="000D08B3"/>
    <w:rsid w:val="000D0AD7"/>
    <w:rsid w:val="000D1078"/>
    <w:rsid w:val="000D109E"/>
    <w:rsid w:val="000D17AE"/>
    <w:rsid w:val="000D238A"/>
    <w:rsid w:val="000D24CC"/>
    <w:rsid w:val="000D280F"/>
    <w:rsid w:val="000D28B9"/>
    <w:rsid w:val="000D372F"/>
    <w:rsid w:val="000D3803"/>
    <w:rsid w:val="000D7047"/>
    <w:rsid w:val="000D7C49"/>
    <w:rsid w:val="000D7E2C"/>
    <w:rsid w:val="000E008B"/>
    <w:rsid w:val="000E035D"/>
    <w:rsid w:val="000E06EC"/>
    <w:rsid w:val="000E0784"/>
    <w:rsid w:val="000E08DE"/>
    <w:rsid w:val="000E12FF"/>
    <w:rsid w:val="000E1B1A"/>
    <w:rsid w:val="000E25B0"/>
    <w:rsid w:val="000E2657"/>
    <w:rsid w:val="000E2E24"/>
    <w:rsid w:val="000E349A"/>
    <w:rsid w:val="000E3651"/>
    <w:rsid w:val="000E372D"/>
    <w:rsid w:val="000E3B25"/>
    <w:rsid w:val="000E4D58"/>
    <w:rsid w:val="000E5341"/>
    <w:rsid w:val="000E54B8"/>
    <w:rsid w:val="000E5FEF"/>
    <w:rsid w:val="000E6182"/>
    <w:rsid w:val="000E62B8"/>
    <w:rsid w:val="000E6713"/>
    <w:rsid w:val="000E6A23"/>
    <w:rsid w:val="000E796D"/>
    <w:rsid w:val="000F0995"/>
    <w:rsid w:val="000F0BC0"/>
    <w:rsid w:val="000F12A7"/>
    <w:rsid w:val="000F1BFC"/>
    <w:rsid w:val="000F4171"/>
    <w:rsid w:val="000F529F"/>
    <w:rsid w:val="000F5F00"/>
    <w:rsid w:val="000F793E"/>
    <w:rsid w:val="000F7961"/>
    <w:rsid w:val="000F7F69"/>
    <w:rsid w:val="0010061B"/>
    <w:rsid w:val="001006EB"/>
    <w:rsid w:val="0010091F"/>
    <w:rsid w:val="00100A46"/>
    <w:rsid w:val="001017E1"/>
    <w:rsid w:val="00101826"/>
    <w:rsid w:val="001018B3"/>
    <w:rsid w:val="00102369"/>
    <w:rsid w:val="00102AA4"/>
    <w:rsid w:val="00102E49"/>
    <w:rsid w:val="00103142"/>
    <w:rsid w:val="0010342D"/>
    <w:rsid w:val="00103469"/>
    <w:rsid w:val="00103495"/>
    <w:rsid w:val="00103C81"/>
    <w:rsid w:val="00104477"/>
    <w:rsid w:val="00104A1B"/>
    <w:rsid w:val="00104F70"/>
    <w:rsid w:val="00105405"/>
    <w:rsid w:val="0010565B"/>
    <w:rsid w:val="00105676"/>
    <w:rsid w:val="00105D35"/>
    <w:rsid w:val="00106A9E"/>
    <w:rsid w:val="0010720F"/>
    <w:rsid w:val="00107219"/>
    <w:rsid w:val="001073D0"/>
    <w:rsid w:val="00107C05"/>
    <w:rsid w:val="00110DAF"/>
    <w:rsid w:val="00110FB0"/>
    <w:rsid w:val="00110FF7"/>
    <w:rsid w:val="00111018"/>
    <w:rsid w:val="00111725"/>
    <w:rsid w:val="00112487"/>
    <w:rsid w:val="001127FF"/>
    <w:rsid w:val="00112882"/>
    <w:rsid w:val="00112BB9"/>
    <w:rsid w:val="00112CCA"/>
    <w:rsid w:val="00113B45"/>
    <w:rsid w:val="00113BC5"/>
    <w:rsid w:val="00114FC1"/>
    <w:rsid w:val="00115037"/>
    <w:rsid w:val="001155E7"/>
    <w:rsid w:val="0011594D"/>
    <w:rsid w:val="00115A04"/>
    <w:rsid w:val="00115C9E"/>
    <w:rsid w:val="001161B2"/>
    <w:rsid w:val="00116C56"/>
    <w:rsid w:val="001170CF"/>
    <w:rsid w:val="00117244"/>
    <w:rsid w:val="001173A5"/>
    <w:rsid w:val="00117B25"/>
    <w:rsid w:val="0012051E"/>
    <w:rsid w:val="00120697"/>
    <w:rsid w:val="00120B18"/>
    <w:rsid w:val="001236F4"/>
    <w:rsid w:val="00123CB2"/>
    <w:rsid w:val="00124AF6"/>
    <w:rsid w:val="0012502A"/>
    <w:rsid w:val="00125192"/>
    <w:rsid w:val="00126870"/>
    <w:rsid w:val="001268E1"/>
    <w:rsid w:val="00126F7C"/>
    <w:rsid w:val="00127401"/>
    <w:rsid w:val="00130196"/>
    <w:rsid w:val="00130557"/>
    <w:rsid w:val="00130574"/>
    <w:rsid w:val="00130D54"/>
    <w:rsid w:val="0013167E"/>
    <w:rsid w:val="00133A5C"/>
    <w:rsid w:val="00133B6C"/>
    <w:rsid w:val="001347FD"/>
    <w:rsid w:val="00135248"/>
    <w:rsid w:val="00135B9E"/>
    <w:rsid w:val="00135F02"/>
    <w:rsid w:val="001417FB"/>
    <w:rsid w:val="00142660"/>
    <w:rsid w:val="00142C1B"/>
    <w:rsid w:val="00142C4A"/>
    <w:rsid w:val="001436B9"/>
    <w:rsid w:val="001436DD"/>
    <w:rsid w:val="00143A66"/>
    <w:rsid w:val="00143E5D"/>
    <w:rsid w:val="00144293"/>
    <w:rsid w:val="00144316"/>
    <w:rsid w:val="00145791"/>
    <w:rsid w:val="00145875"/>
    <w:rsid w:val="00145D8E"/>
    <w:rsid w:val="001464B7"/>
    <w:rsid w:val="00147636"/>
    <w:rsid w:val="001502DF"/>
    <w:rsid w:val="00150F92"/>
    <w:rsid w:val="00151024"/>
    <w:rsid w:val="001517D4"/>
    <w:rsid w:val="00152349"/>
    <w:rsid w:val="00152A4D"/>
    <w:rsid w:val="00153387"/>
    <w:rsid w:val="001537D3"/>
    <w:rsid w:val="00154B5F"/>
    <w:rsid w:val="00155606"/>
    <w:rsid w:val="0015564A"/>
    <w:rsid w:val="00155863"/>
    <w:rsid w:val="001560DF"/>
    <w:rsid w:val="00156574"/>
    <w:rsid w:val="00156918"/>
    <w:rsid w:val="001569BB"/>
    <w:rsid w:val="001601B3"/>
    <w:rsid w:val="00160A72"/>
    <w:rsid w:val="00160C5E"/>
    <w:rsid w:val="001615ED"/>
    <w:rsid w:val="00161F8A"/>
    <w:rsid w:val="00162038"/>
    <w:rsid w:val="0016255A"/>
    <w:rsid w:val="00162786"/>
    <w:rsid w:val="00162798"/>
    <w:rsid w:val="00162A00"/>
    <w:rsid w:val="00162A46"/>
    <w:rsid w:val="001632A3"/>
    <w:rsid w:val="001632B0"/>
    <w:rsid w:val="00163586"/>
    <w:rsid w:val="00164088"/>
    <w:rsid w:val="001658B4"/>
    <w:rsid w:val="001659B9"/>
    <w:rsid w:val="001661E8"/>
    <w:rsid w:val="001700BC"/>
    <w:rsid w:val="001704D2"/>
    <w:rsid w:val="0017059E"/>
    <w:rsid w:val="00171B97"/>
    <w:rsid w:val="00172A9B"/>
    <w:rsid w:val="00173431"/>
    <w:rsid w:val="0017346B"/>
    <w:rsid w:val="001735D5"/>
    <w:rsid w:val="00173656"/>
    <w:rsid w:val="00173B7B"/>
    <w:rsid w:val="0017481C"/>
    <w:rsid w:val="00174F51"/>
    <w:rsid w:val="0017586B"/>
    <w:rsid w:val="0017729E"/>
    <w:rsid w:val="00177367"/>
    <w:rsid w:val="001778F3"/>
    <w:rsid w:val="00177C03"/>
    <w:rsid w:val="00177E0F"/>
    <w:rsid w:val="00180F2E"/>
    <w:rsid w:val="00181B8D"/>
    <w:rsid w:val="0018253C"/>
    <w:rsid w:val="00182BD9"/>
    <w:rsid w:val="001841BB"/>
    <w:rsid w:val="001848EA"/>
    <w:rsid w:val="00184D14"/>
    <w:rsid w:val="00184DA9"/>
    <w:rsid w:val="00185838"/>
    <w:rsid w:val="001858CB"/>
    <w:rsid w:val="00185B0B"/>
    <w:rsid w:val="00186A55"/>
    <w:rsid w:val="0018712E"/>
    <w:rsid w:val="00187B31"/>
    <w:rsid w:val="001903E0"/>
    <w:rsid w:val="00191420"/>
    <w:rsid w:val="00191DEF"/>
    <w:rsid w:val="001923EF"/>
    <w:rsid w:val="00192ECD"/>
    <w:rsid w:val="00192F09"/>
    <w:rsid w:val="0019341C"/>
    <w:rsid w:val="00193DCC"/>
    <w:rsid w:val="0019434F"/>
    <w:rsid w:val="001945D5"/>
    <w:rsid w:val="00194CCB"/>
    <w:rsid w:val="00195821"/>
    <w:rsid w:val="001958B8"/>
    <w:rsid w:val="001963F4"/>
    <w:rsid w:val="00196FFC"/>
    <w:rsid w:val="001970DF"/>
    <w:rsid w:val="00197E31"/>
    <w:rsid w:val="001A0132"/>
    <w:rsid w:val="001A080C"/>
    <w:rsid w:val="001A0A3A"/>
    <w:rsid w:val="001A3664"/>
    <w:rsid w:val="001A39E4"/>
    <w:rsid w:val="001A448A"/>
    <w:rsid w:val="001A4749"/>
    <w:rsid w:val="001A4FB2"/>
    <w:rsid w:val="001A51EF"/>
    <w:rsid w:val="001A5243"/>
    <w:rsid w:val="001A52FB"/>
    <w:rsid w:val="001A7006"/>
    <w:rsid w:val="001A7736"/>
    <w:rsid w:val="001A7937"/>
    <w:rsid w:val="001A7B8A"/>
    <w:rsid w:val="001B036B"/>
    <w:rsid w:val="001B06CC"/>
    <w:rsid w:val="001B1467"/>
    <w:rsid w:val="001B1823"/>
    <w:rsid w:val="001B1CFB"/>
    <w:rsid w:val="001B2396"/>
    <w:rsid w:val="001B26A5"/>
    <w:rsid w:val="001B3646"/>
    <w:rsid w:val="001B44FE"/>
    <w:rsid w:val="001B4843"/>
    <w:rsid w:val="001B50B0"/>
    <w:rsid w:val="001B5E5E"/>
    <w:rsid w:val="001B639E"/>
    <w:rsid w:val="001B6645"/>
    <w:rsid w:val="001B7546"/>
    <w:rsid w:val="001B79C7"/>
    <w:rsid w:val="001B7CF8"/>
    <w:rsid w:val="001B7E33"/>
    <w:rsid w:val="001C02D5"/>
    <w:rsid w:val="001C02FD"/>
    <w:rsid w:val="001C06DF"/>
    <w:rsid w:val="001C14F6"/>
    <w:rsid w:val="001C1ADE"/>
    <w:rsid w:val="001C28D7"/>
    <w:rsid w:val="001C2D10"/>
    <w:rsid w:val="001C31E7"/>
    <w:rsid w:val="001C326E"/>
    <w:rsid w:val="001C3483"/>
    <w:rsid w:val="001C38A5"/>
    <w:rsid w:val="001C3A5A"/>
    <w:rsid w:val="001C3DAF"/>
    <w:rsid w:val="001C426E"/>
    <w:rsid w:val="001C44B0"/>
    <w:rsid w:val="001C49A4"/>
    <w:rsid w:val="001C5146"/>
    <w:rsid w:val="001C53E0"/>
    <w:rsid w:val="001C57F7"/>
    <w:rsid w:val="001C599E"/>
    <w:rsid w:val="001C5B73"/>
    <w:rsid w:val="001C64FF"/>
    <w:rsid w:val="001C7203"/>
    <w:rsid w:val="001C754E"/>
    <w:rsid w:val="001C78ED"/>
    <w:rsid w:val="001D09DB"/>
    <w:rsid w:val="001D0A73"/>
    <w:rsid w:val="001D138A"/>
    <w:rsid w:val="001D17B5"/>
    <w:rsid w:val="001D1B9A"/>
    <w:rsid w:val="001D20DB"/>
    <w:rsid w:val="001D292A"/>
    <w:rsid w:val="001D3028"/>
    <w:rsid w:val="001D361F"/>
    <w:rsid w:val="001D3FEC"/>
    <w:rsid w:val="001D45D9"/>
    <w:rsid w:val="001D588D"/>
    <w:rsid w:val="001D5BA0"/>
    <w:rsid w:val="001D5C99"/>
    <w:rsid w:val="001D6BBA"/>
    <w:rsid w:val="001D71F7"/>
    <w:rsid w:val="001E0026"/>
    <w:rsid w:val="001E03D6"/>
    <w:rsid w:val="001E1C81"/>
    <w:rsid w:val="001E265A"/>
    <w:rsid w:val="001E2A7E"/>
    <w:rsid w:val="001E2AF8"/>
    <w:rsid w:val="001E32B7"/>
    <w:rsid w:val="001E339F"/>
    <w:rsid w:val="001E3F1B"/>
    <w:rsid w:val="001E44D1"/>
    <w:rsid w:val="001E48D2"/>
    <w:rsid w:val="001E4B29"/>
    <w:rsid w:val="001E4E76"/>
    <w:rsid w:val="001E5084"/>
    <w:rsid w:val="001E5D22"/>
    <w:rsid w:val="001E60BE"/>
    <w:rsid w:val="001E6534"/>
    <w:rsid w:val="001E7C90"/>
    <w:rsid w:val="001E7F85"/>
    <w:rsid w:val="001F0BC6"/>
    <w:rsid w:val="001F0D01"/>
    <w:rsid w:val="001F140C"/>
    <w:rsid w:val="001F1976"/>
    <w:rsid w:val="001F25FF"/>
    <w:rsid w:val="001F27CE"/>
    <w:rsid w:val="001F2906"/>
    <w:rsid w:val="001F2C09"/>
    <w:rsid w:val="001F2DAB"/>
    <w:rsid w:val="001F2E2D"/>
    <w:rsid w:val="001F2FFB"/>
    <w:rsid w:val="001F31DF"/>
    <w:rsid w:val="001F325D"/>
    <w:rsid w:val="001F33FC"/>
    <w:rsid w:val="001F43E1"/>
    <w:rsid w:val="001F4770"/>
    <w:rsid w:val="001F5EDA"/>
    <w:rsid w:val="001F60A0"/>
    <w:rsid w:val="001F7111"/>
    <w:rsid w:val="001F7924"/>
    <w:rsid w:val="001F798C"/>
    <w:rsid w:val="001F7D66"/>
    <w:rsid w:val="0020046F"/>
    <w:rsid w:val="002004E4"/>
    <w:rsid w:val="00201555"/>
    <w:rsid w:val="00201BFE"/>
    <w:rsid w:val="0020212F"/>
    <w:rsid w:val="002029DF"/>
    <w:rsid w:val="00203089"/>
    <w:rsid w:val="00203320"/>
    <w:rsid w:val="00203633"/>
    <w:rsid w:val="002045AC"/>
    <w:rsid w:val="00204F67"/>
    <w:rsid w:val="002070E8"/>
    <w:rsid w:val="00207A97"/>
    <w:rsid w:val="00207B0B"/>
    <w:rsid w:val="00207B8C"/>
    <w:rsid w:val="00210094"/>
    <w:rsid w:val="00210920"/>
    <w:rsid w:val="002114AF"/>
    <w:rsid w:val="0021180A"/>
    <w:rsid w:val="00211A9E"/>
    <w:rsid w:val="00212282"/>
    <w:rsid w:val="00212758"/>
    <w:rsid w:val="0021333C"/>
    <w:rsid w:val="00213AB3"/>
    <w:rsid w:val="00213E69"/>
    <w:rsid w:val="00214AF5"/>
    <w:rsid w:val="002152FB"/>
    <w:rsid w:val="0021630A"/>
    <w:rsid w:val="0021710D"/>
    <w:rsid w:val="00217261"/>
    <w:rsid w:val="00220108"/>
    <w:rsid w:val="00220110"/>
    <w:rsid w:val="00220182"/>
    <w:rsid w:val="00220382"/>
    <w:rsid w:val="002205ED"/>
    <w:rsid w:val="002212F2"/>
    <w:rsid w:val="00221649"/>
    <w:rsid w:val="00221F18"/>
    <w:rsid w:val="002235C1"/>
    <w:rsid w:val="002235DB"/>
    <w:rsid w:val="00223BFB"/>
    <w:rsid w:val="00224014"/>
    <w:rsid w:val="00224FE0"/>
    <w:rsid w:val="00225A91"/>
    <w:rsid w:val="00225ED6"/>
    <w:rsid w:val="00226878"/>
    <w:rsid w:val="00226BD9"/>
    <w:rsid w:val="002271E1"/>
    <w:rsid w:val="002274F0"/>
    <w:rsid w:val="00227FBA"/>
    <w:rsid w:val="00230DED"/>
    <w:rsid w:val="00230FB1"/>
    <w:rsid w:val="00231870"/>
    <w:rsid w:val="00231C4C"/>
    <w:rsid w:val="00231D53"/>
    <w:rsid w:val="002320EB"/>
    <w:rsid w:val="00232206"/>
    <w:rsid w:val="0023230A"/>
    <w:rsid w:val="00232ECF"/>
    <w:rsid w:val="00233384"/>
    <w:rsid w:val="00234456"/>
    <w:rsid w:val="00234AA8"/>
    <w:rsid w:val="00235126"/>
    <w:rsid w:val="002357CD"/>
    <w:rsid w:val="00235C89"/>
    <w:rsid w:val="00236172"/>
    <w:rsid w:val="00236873"/>
    <w:rsid w:val="002368CE"/>
    <w:rsid w:val="002372DC"/>
    <w:rsid w:val="0023764F"/>
    <w:rsid w:val="0024049D"/>
    <w:rsid w:val="002408AB"/>
    <w:rsid w:val="00240D5D"/>
    <w:rsid w:val="002410E1"/>
    <w:rsid w:val="002415D9"/>
    <w:rsid w:val="00241AB9"/>
    <w:rsid w:val="00242BBA"/>
    <w:rsid w:val="00242FAE"/>
    <w:rsid w:val="00244333"/>
    <w:rsid w:val="00244978"/>
    <w:rsid w:val="00244C95"/>
    <w:rsid w:val="00246127"/>
    <w:rsid w:val="0025122F"/>
    <w:rsid w:val="00252027"/>
    <w:rsid w:val="002525F1"/>
    <w:rsid w:val="00252E9E"/>
    <w:rsid w:val="002530FF"/>
    <w:rsid w:val="002538D3"/>
    <w:rsid w:val="0025391B"/>
    <w:rsid w:val="00253A10"/>
    <w:rsid w:val="00255058"/>
    <w:rsid w:val="00257148"/>
    <w:rsid w:val="00257620"/>
    <w:rsid w:val="00257A75"/>
    <w:rsid w:val="00257F3D"/>
    <w:rsid w:val="00260396"/>
    <w:rsid w:val="002606BB"/>
    <w:rsid w:val="00260BE6"/>
    <w:rsid w:val="00260FA9"/>
    <w:rsid w:val="00262767"/>
    <w:rsid w:val="00263397"/>
    <w:rsid w:val="0026346A"/>
    <w:rsid w:val="002638E8"/>
    <w:rsid w:val="00264CC7"/>
    <w:rsid w:val="00264EF8"/>
    <w:rsid w:val="00265943"/>
    <w:rsid w:val="002669DF"/>
    <w:rsid w:val="00266B87"/>
    <w:rsid w:val="002670E9"/>
    <w:rsid w:val="00267395"/>
    <w:rsid w:val="00267755"/>
    <w:rsid w:val="00270193"/>
    <w:rsid w:val="002701BD"/>
    <w:rsid w:val="002705E5"/>
    <w:rsid w:val="00270EC1"/>
    <w:rsid w:val="00271058"/>
    <w:rsid w:val="002711AB"/>
    <w:rsid w:val="00272D00"/>
    <w:rsid w:val="002734D8"/>
    <w:rsid w:val="00273554"/>
    <w:rsid w:val="00273600"/>
    <w:rsid w:val="00273BB8"/>
    <w:rsid w:val="00273CCC"/>
    <w:rsid w:val="00273D47"/>
    <w:rsid w:val="002742A1"/>
    <w:rsid w:val="00274389"/>
    <w:rsid w:val="00274AED"/>
    <w:rsid w:val="00275D93"/>
    <w:rsid w:val="00275EAB"/>
    <w:rsid w:val="002767CF"/>
    <w:rsid w:val="00276BF4"/>
    <w:rsid w:val="002806F0"/>
    <w:rsid w:val="002809FB"/>
    <w:rsid w:val="00281261"/>
    <w:rsid w:val="0028150B"/>
    <w:rsid w:val="0028232A"/>
    <w:rsid w:val="002823A6"/>
    <w:rsid w:val="00282B61"/>
    <w:rsid w:val="00283EC8"/>
    <w:rsid w:val="00284429"/>
    <w:rsid w:val="00285CD7"/>
    <w:rsid w:val="00286571"/>
    <w:rsid w:val="00286BB3"/>
    <w:rsid w:val="00287144"/>
    <w:rsid w:val="0028750E"/>
    <w:rsid w:val="00287703"/>
    <w:rsid w:val="002906F4"/>
    <w:rsid w:val="002907FB"/>
    <w:rsid w:val="00290A4D"/>
    <w:rsid w:val="002929FD"/>
    <w:rsid w:val="00292A73"/>
    <w:rsid w:val="00292C62"/>
    <w:rsid w:val="0029322E"/>
    <w:rsid w:val="002934AE"/>
    <w:rsid w:val="00293AE2"/>
    <w:rsid w:val="00293B30"/>
    <w:rsid w:val="00294337"/>
    <w:rsid w:val="002943AE"/>
    <w:rsid w:val="00294C65"/>
    <w:rsid w:val="00294EC0"/>
    <w:rsid w:val="00295D89"/>
    <w:rsid w:val="00296166"/>
    <w:rsid w:val="002972A1"/>
    <w:rsid w:val="00297FA7"/>
    <w:rsid w:val="002A0355"/>
    <w:rsid w:val="002A0B03"/>
    <w:rsid w:val="002A1631"/>
    <w:rsid w:val="002A1693"/>
    <w:rsid w:val="002A1D56"/>
    <w:rsid w:val="002A33A4"/>
    <w:rsid w:val="002A3CA0"/>
    <w:rsid w:val="002A3FCD"/>
    <w:rsid w:val="002A49D8"/>
    <w:rsid w:val="002A515F"/>
    <w:rsid w:val="002A5A19"/>
    <w:rsid w:val="002A6868"/>
    <w:rsid w:val="002A6F98"/>
    <w:rsid w:val="002A7867"/>
    <w:rsid w:val="002B0666"/>
    <w:rsid w:val="002B087E"/>
    <w:rsid w:val="002B0E53"/>
    <w:rsid w:val="002B1770"/>
    <w:rsid w:val="002B275E"/>
    <w:rsid w:val="002B2C9E"/>
    <w:rsid w:val="002B317D"/>
    <w:rsid w:val="002B3371"/>
    <w:rsid w:val="002B3E34"/>
    <w:rsid w:val="002B4042"/>
    <w:rsid w:val="002B48D2"/>
    <w:rsid w:val="002B4A17"/>
    <w:rsid w:val="002B4ABD"/>
    <w:rsid w:val="002B4E4F"/>
    <w:rsid w:val="002B5367"/>
    <w:rsid w:val="002B5B6E"/>
    <w:rsid w:val="002B6A6F"/>
    <w:rsid w:val="002B71A0"/>
    <w:rsid w:val="002B77C2"/>
    <w:rsid w:val="002B7CEB"/>
    <w:rsid w:val="002B7EB5"/>
    <w:rsid w:val="002B7F0E"/>
    <w:rsid w:val="002C07B6"/>
    <w:rsid w:val="002C1455"/>
    <w:rsid w:val="002C1AAA"/>
    <w:rsid w:val="002C1F29"/>
    <w:rsid w:val="002C232F"/>
    <w:rsid w:val="002C36EC"/>
    <w:rsid w:val="002C3A26"/>
    <w:rsid w:val="002C3B96"/>
    <w:rsid w:val="002C3E4C"/>
    <w:rsid w:val="002C5161"/>
    <w:rsid w:val="002C53D5"/>
    <w:rsid w:val="002C54DD"/>
    <w:rsid w:val="002C5D8A"/>
    <w:rsid w:val="002C5FB5"/>
    <w:rsid w:val="002C6104"/>
    <w:rsid w:val="002C6D14"/>
    <w:rsid w:val="002C6FB9"/>
    <w:rsid w:val="002C72E5"/>
    <w:rsid w:val="002C7310"/>
    <w:rsid w:val="002C7C8C"/>
    <w:rsid w:val="002D0860"/>
    <w:rsid w:val="002D0BB3"/>
    <w:rsid w:val="002D0D21"/>
    <w:rsid w:val="002D1C69"/>
    <w:rsid w:val="002D2348"/>
    <w:rsid w:val="002D23A4"/>
    <w:rsid w:val="002D2A29"/>
    <w:rsid w:val="002D365D"/>
    <w:rsid w:val="002D3C11"/>
    <w:rsid w:val="002D43D6"/>
    <w:rsid w:val="002D4925"/>
    <w:rsid w:val="002D4F12"/>
    <w:rsid w:val="002D5791"/>
    <w:rsid w:val="002D5857"/>
    <w:rsid w:val="002D5FA6"/>
    <w:rsid w:val="002D62F9"/>
    <w:rsid w:val="002D6538"/>
    <w:rsid w:val="002D6634"/>
    <w:rsid w:val="002D6662"/>
    <w:rsid w:val="002D72AC"/>
    <w:rsid w:val="002D757E"/>
    <w:rsid w:val="002D7AE2"/>
    <w:rsid w:val="002E0158"/>
    <w:rsid w:val="002E0812"/>
    <w:rsid w:val="002E08CB"/>
    <w:rsid w:val="002E0ABE"/>
    <w:rsid w:val="002E1850"/>
    <w:rsid w:val="002E1E2B"/>
    <w:rsid w:val="002E2754"/>
    <w:rsid w:val="002E2DB3"/>
    <w:rsid w:val="002E2DF3"/>
    <w:rsid w:val="002E2E82"/>
    <w:rsid w:val="002E2F3E"/>
    <w:rsid w:val="002E3080"/>
    <w:rsid w:val="002E30BC"/>
    <w:rsid w:val="002E3503"/>
    <w:rsid w:val="002E440D"/>
    <w:rsid w:val="002E4CE0"/>
    <w:rsid w:val="002E53D4"/>
    <w:rsid w:val="002E6295"/>
    <w:rsid w:val="002E69B9"/>
    <w:rsid w:val="002E6B33"/>
    <w:rsid w:val="002E72C2"/>
    <w:rsid w:val="002E7571"/>
    <w:rsid w:val="002F0625"/>
    <w:rsid w:val="002F1620"/>
    <w:rsid w:val="002F1B49"/>
    <w:rsid w:val="002F2509"/>
    <w:rsid w:val="002F2526"/>
    <w:rsid w:val="002F25DC"/>
    <w:rsid w:val="002F2613"/>
    <w:rsid w:val="002F32A7"/>
    <w:rsid w:val="002F35E4"/>
    <w:rsid w:val="002F45D6"/>
    <w:rsid w:val="002F4A9F"/>
    <w:rsid w:val="002F516E"/>
    <w:rsid w:val="002F51CA"/>
    <w:rsid w:val="002F56D4"/>
    <w:rsid w:val="002F5C7E"/>
    <w:rsid w:val="002F5FE1"/>
    <w:rsid w:val="002F6470"/>
    <w:rsid w:val="002F6587"/>
    <w:rsid w:val="002F6588"/>
    <w:rsid w:val="002F6936"/>
    <w:rsid w:val="002F6C9F"/>
    <w:rsid w:val="00300790"/>
    <w:rsid w:val="00300B13"/>
    <w:rsid w:val="00300DB9"/>
    <w:rsid w:val="00300E48"/>
    <w:rsid w:val="00301E1D"/>
    <w:rsid w:val="0030340B"/>
    <w:rsid w:val="00303445"/>
    <w:rsid w:val="00303724"/>
    <w:rsid w:val="00303D56"/>
    <w:rsid w:val="00304546"/>
    <w:rsid w:val="00305109"/>
    <w:rsid w:val="003054ED"/>
    <w:rsid w:val="00305D33"/>
    <w:rsid w:val="0030734A"/>
    <w:rsid w:val="003076DC"/>
    <w:rsid w:val="00307B54"/>
    <w:rsid w:val="00310081"/>
    <w:rsid w:val="0031072E"/>
    <w:rsid w:val="003132AB"/>
    <w:rsid w:val="0031365F"/>
    <w:rsid w:val="00313C5A"/>
    <w:rsid w:val="00314765"/>
    <w:rsid w:val="0031572E"/>
    <w:rsid w:val="00315F1B"/>
    <w:rsid w:val="00315F74"/>
    <w:rsid w:val="003164A6"/>
    <w:rsid w:val="003166E8"/>
    <w:rsid w:val="00316A2E"/>
    <w:rsid w:val="00316C1C"/>
    <w:rsid w:val="00317020"/>
    <w:rsid w:val="00317269"/>
    <w:rsid w:val="0031742B"/>
    <w:rsid w:val="00317C5A"/>
    <w:rsid w:val="003203F8"/>
    <w:rsid w:val="003204E1"/>
    <w:rsid w:val="003207D1"/>
    <w:rsid w:val="0032112B"/>
    <w:rsid w:val="003218DE"/>
    <w:rsid w:val="003221B1"/>
    <w:rsid w:val="0032267C"/>
    <w:rsid w:val="00322E89"/>
    <w:rsid w:val="00323D67"/>
    <w:rsid w:val="003243FE"/>
    <w:rsid w:val="00324575"/>
    <w:rsid w:val="00324F3D"/>
    <w:rsid w:val="00324F3E"/>
    <w:rsid w:val="00325496"/>
    <w:rsid w:val="003259E1"/>
    <w:rsid w:val="003267F5"/>
    <w:rsid w:val="0032700C"/>
    <w:rsid w:val="00327036"/>
    <w:rsid w:val="003271CF"/>
    <w:rsid w:val="00327A25"/>
    <w:rsid w:val="003304AF"/>
    <w:rsid w:val="00330DDA"/>
    <w:rsid w:val="003310B3"/>
    <w:rsid w:val="0033188D"/>
    <w:rsid w:val="0033194A"/>
    <w:rsid w:val="003319AD"/>
    <w:rsid w:val="00331EB4"/>
    <w:rsid w:val="00331F04"/>
    <w:rsid w:val="00331FFD"/>
    <w:rsid w:val="0033432B"/>
    <w:rsid w:val="00334521"/>
    <w:rsid w:val="00334799"/>
    <w:rsid w:val="00334FFA"/>
    <w:rsid w:val="00336763"/>
    <w:rsid w:val="003367A4"/>
    <w:rsid w:val="0033743F"/>
    <w:rsid w:val="003375D3"/>
    <w:rsid w:val="003402F0"/>
    <w:rsid w:val="00340CA9"/>
    <w:rsid w:val="00341BC2"/>
    <w:rsid w:val="00342E28"/>
    <w:rsid w:val="00343130"/>
    <w:rsid w:val="0034359B"/>
    <w:rsid w:val="00343604"/>
    <w:rsid w:val="00343C52"/>
    <w:rsid w:val="003448DD"/>
    <w:rsid w:val="003449FD"/>
    <w:rsid w:val="00344A12"/>
    <w:rsid w:val="00344E86"/>
    <w:rsid w:val="00346102"/>
    <w:rsid w:val="003462B8"/>
    <w:rsid w:val="00347B3F"/>
    <w:rsid w:val="00347D79"/>
    <w:rsid w:val="00350F0C"/>
    <w:rsid w:val="00351217"/>
    <w:rsid w:val="0035234B"/>
    <w:rsid w:val="003534B4"/>
    <w:rsid w:val="003537D4"/>
    <w:rsid w:val="003554C2"/>
    <w:rsid w:val="003558FA"/>
    <w:rsid w:val="00355F08"/>
    <w:rsid w:val="003560E9"/>
    <w:rsid w:val="0035656E"/>
    <w:rsid w:val="00356DA7"/>
    <w:rsid w:val="00357C77"/>
    <w:rsid w:val="00357F2C"/>
    <w:rsid w:val="00360098"/>
    <w:rsid w:val="0036147F"/>
    <w:rsid w:val="00362718"/>
    <w:rsid w:val="0036284F"/>
    <w:rsid w:val="003628C1"/>
    <w:rsid w:val="0036338E"/>
    <w:rsid w:val="0036343F"/>
    <w:rsid w:val="0036344E"/>
    <w:rsid w:val="003639C2"/>
    <w:rsid w:val="00363E51"/>
    <w:rsid w:val="0036504B"/>
    <w:rsid w:val="0036514C"/>
    <w:rsid w:val="00365324"/>
    <w:rsid w:val="00365A2E"/>
    <w:rsid w:val="00366873"/>
    <w:rsid w:val="003673B3"/>
    <w:rsid w:val="00367636"/>
    <w:rsid w:val="00370BA3"/>
    <w:rsid w:val="00370D9D"/>
    <w:rsid w:val="00371141"/>
    <w:rsid w:val="00371819"/>
    <w:rsid w:val="00372E1B"/>
    <w:rsid w:val="003736A6"/>
    <w:rsid w:val="003741D6"/>
    <w:rsid w:val="00374576"/>
    <w:rsid w:val="00374DC1"/>
    <w:rsid w:val="00374E45"/>
    <w:rsid w:val="00375359"/>
    <w:rsid w:val="003759EB"/>
    <w:rsid w:val="00376120"/>
    <w:rsid w:val="00376DA0"/>
    <w:rsid w:val="0037715D"/>
    <w:rsid w:val="0037719F"/>
    <w:rsid w:val="003772AB"/>
    <w:rsid w:val="00377494"/>
    <w:rsid w:val="00377B5A"/>
    <w:rsid w:val="00380941"/>
    <w:rsid w:val="00380D93"/>
    <w:rsid w:val="003817DC"/>
    <w:rsid w:val="0038212E"/>
    <w:rsid w:val="00382648"/>
    <w:rsid w:val="00382852"/>
    <w:rsid w:val="00383366"/>
    <w:rsid w:val="0038336C"/>
    <w:rsid w:val="00383961"/>
    <w:rsid w:val="00383F92"/>
    <w:rsid w:val="00384348"/>
    <w:rsid w:val="00384DB3"/>
    <w:rsid w:val="0038524B"/>
    <w:rsid w:val="0038571E"/>
    <w:rsid w:val="00385CCD"/>
    <w:rsid w:val="00385FD0"/>
    <w:rsid w:val="00386C53"/>
    <w:rsid w:val="00387217"/>
    <w:rsid w:val="00391F58"/>
    <w:rsid w:val="003928F6"/>
    <w:rsid w:val="00392F93"/>
    <w:rsid w:val="00393BC1"/>
    <w:rsid w:val="00394226"/>
    <w:rsid w:val="00395327"/>
    <w:rsid w:val="0039571C"/>
    <w:rsid w:val="00395B21"/>
    <w:rsid w:val="00395CDC"/>
    <w:rsid w:val="0039637F"/>
    <w:rsid w:val="00396590"/>
    <w:rsid w:val="00396BC3"/>
    <w:rsid w:val="00396C7F"/>
    <w:rsid w:val="00397E11"/>
    <w:rsid w:val="00397F86"/>
    <w:rsid w:val="003A0397"/>
    <w:rsid w:val="003A07C6"/>
    <w:rsid w:val="003A1EB9"/>
    <w:rsid w:val="003A33EF"/>
    <w:rsid w:val="003A416E"/>
    <w:rsid w:val="003A4C38"/>
    <w:rsid w:val="003A51E1"/>
    <w:rsid w:val="003A52C7"/>
    <w:rsid w:val="003A5470"/>
    <w:rsid w:val="003A5522"/>
    <w:rsid w:val="003A5A5C"/>
    <w:rsid w:val="003A5D8D"/>
    <w:rsid w:val="003A5E24"/>
    <w:rsid w:val="003A60AB"/>
    <w:rsid w:val="003A638E"/>
    <w:rsid w:val="003A68EE"/>
    <w:rsid w:val="003A73C1"/>
    <w:rsid w:val="003A7CB1"/>
    <w:rsid w:val="003B0BAC"/>
    <w:rsid w:val="003B1A10"/>
    <w:rsid w:val="003B2CDE"/>
    <w:rsid w:val="003B3A69"/>
    <w:rsid w:val="003B3C72"/>
    <w:rsid w:val="003B3E7E"/>
    <w:rsid w:val="003B4220"/>
    <w:rsid w:val="003B488F"/>
    <w:rsid w:val="003B4DA4"/>
    <w:rsid w:val="003B6F25"/>
    <w:rsid w:val="003B76E6"/>
    <w:rsid w:val="003B7A32"/>
    <w:rsid w:val="003B7BC3"/>
    <w:rsid w:val="003B7C8B"/>
    <w:rsid w:val="003B7E7C"/>
    <w:rsid w:val="003B7FA4"/>
    <w:rsid w:val="003C0100"/>
    <w:rsid w:val="003C0FFA"/>
    <w:rsid w:val="003C1422"/>
    <w:rsid w:val="003C21C0"/>
    <w:rsid w:val="003C249D"/>
    <w:rsid w:val="003C39DD"/>
    <w:rsid w:val="003C3A20"/>
    <w:rsid w:val="003C3F08"/>
    <w:rsid w:val="003C400E"/>
    <w:rsid w:val="003C4A5F"/>
    <w:rsid w:val="003C4D14"/>
    <w:rsid w:val="003C54E3"/>
    <w:rsid w:val="003C620C"/>
    <w:rsid w:val="003C64A2"/>
    <w:rsid w:val="003C6774"/>
    <w:rsid w:val="003C67A5"/>
    <w:rsid w:val="003C6D74"/>
    <w:rsid w:val="003C7696"/>
    <w:rsid w:val="003D056D"/>
    <w:rsid w:val="003D168B"/>
    <w:rsid w:val="003D1B69"/>
    <w:rsid w:val="003D1C00"/>
    <w:rsid w:val="003D2185"/>
    <w:rsid w:val="003D3003"/>
    <w:rsid w:val="003D3FA5"/>
    <w:rsid w:val="003D4957"/>
    <w:rsid w:val="003D4B4A"/>
    <w:rsid w:val="003D4D13"/>
    <w:rsid w:val="003D50EC"/>
    <w:rsid w:val="003D6404"/>
    <w:rsid w:val="003D6CD8"/>
    <w:rsid w:val="003D73B1"/>
    <w:rsid w:val="003E037A"/>
    <w:rsid w:val="003E08D8"/>
    <w:rsid w:val="003E0BBE"/>
    <w:rsid w:val="003E1B19"/>
    <w:rsid w:val="003E22C3"/>
    <w:rsid w:val="003E2841"/>
    <w:rsid w:val="003E2AED"/>
    <w:rsid w:val="003E411F"/>
    <w:rsid w:val="003E5314"/>
    <w:rsid w:val="003E5E56"/>
    <w:rsid w:val="003E6CAF"/>
    <w:rsid w:val="003E7425"/>
    <w:rsid w:val="003E78B9"/>
    <w:rsid w:val="003E7E71"/>
    <w:rsid w:val="003F0125"/>
    <w:rsid w:val="003F0F38"/>
    <w:rsid w:val="003F1609"/>
    <w:rsid w:val="003F2B0B"/>
    <w:rsid w:val="003F2FD6"/>
    <w:rsid w:val="003F31BE"/>
    <w:rsid w:val="003F412C"/>
    <w:rsid w:val="003F5DA0"/>
    <w:rsid w:val="003F6B17"/>
    <w:rsid w:val="003F6BD0"/>
    <w:rsid w:val="003F6E43"/>
    <w:rsid w:val="003F6E81"/>
    <w:rsid w:val="003F6F13"/>
    <w:rsid w:val="003F7523"/>
    <w:rsid w:val="00400B4A"/>
    <w:rsid w:val="00401CAD"/>
    <w:rsid w:val="00401E64"/>
    <w:rsid w:val="00404BA4"/>
    <w:rsid w:val="00404E5E"/>
    <w:rsid w:val="00404EB6"/>
    <w:rsid w:val="00405301"/>
    <w:rsid w:val="004056C0"/>
    <w:rsid w:val="0040574F"/>
    <w:rsid w:val="00405C65"/>
    <w:rsid w:val="0040717B"/>
    <w:rsid w:val="00407932"/>
    <w:rsid w:val="00410E36"/>
    <w:rsid w:val="00411493"/>
    <w:rsid w:val="004116F5"/>
    <w:rsid w:val="00411817"/>
    <w:rsid w:val="00411DA0"/>
    <w:rsid w:val="00411FA0"/>
    <w:rsid w:val="00412D4B"/>
    <w:rsid w:val="00412EA1"/>
    <w:rsid w:val="00412F7E"/>
    <w:rsid w:val="004131AD"/>
    <w:rsid w:val="00413583"/>
    <w:rsid w:val="00413A52"/>
    <w:rsid w:val="0041647D"/>
    <w:rsid w:val="004166DE"/>
    <w:rsid w:val="0041719A"/>
    <w:rsid w:val="00417351"/>
    <w:rsid w:val="004173B3"/>
    <w:rsid w:val="004203B1"/>
    <w:rsid w:val="004203B2"/>
    <w:rsid w:val="004206FC"/>
    <w:rsid w:val="004226E9"/>
    <w:rsid w:val="0042457F"/>
    <w:rsid w:val="0042485C"/>
    <w:rsid w:val="00424DE4"/>
    <w:rsid w:val="0042514D"/>
    <w:rsid w:val="0042537C"/>
    <w:rsid w:val="00425CBD"/>
    <w:rsid w:val="00426925"/>
    <w:rsid w:val="00426B8A"/>
    <w:rsid w:val="00426C6C"/>
    <w:rsid w:val="00427C81"/>
    <w:rsid w:val="004305DE"/>
    <w:rsid w:val="004311F9"/>
    <w:rsid w:val="004311FF"/>
    <w:rsid w:val="00431305"/>
    <w:rsid w:val="004318BD"/>
    <w:rsid w:val="0043218E"/>
    <w:rsid w:val="00432253"/>
    <w:rsid w:val="00432444"/>
    <w:rsid w:val="004329ED"/>
    <w:rsid w:val="004333E8"/>
    <w:rsid w:val="00433459"/>
    <w:rsid w:val="00433BDF"/>
    <w:rsid w:val="00434027"/>
    <w:rsid w:val="004341AE"/>
    <w:rsid w:val="00434D2D"/>
    <w:rsid w:val="00434D38"/>
    <w:rsid w:val="00435101"/>
    <w:rsid w:val="0043590D"/>
    <w:rsid w:val="00435A85"/>
    <w:rsid w:val="0043602B"/>
    <w:rsid w:val="00436DF5"/>
    <w:rsid w:val="004400D4"/>
    <w:rsid w:val="00440549"/>
    <w:rsid w:val="00440C69"/>
    <w:rsid w:val="00441A23"/>
    <w:rsid w:val="00441E8F"/>
    <w:rsid w:val="0044276F"/>
    <w:rsid w:val="00443403"/>
    <w:rsid w:val="00444497"/>
    <w:rsid w:val="0044453D"/>
    <w:rsid w:val="0044494C"/>
    <w:rsid w:val="00444E5A"/>
    <w:rsid w:val="0044502A"/>
    <w:rsid w:val="00446BDA"/>
    <w:rsid w:val="004478F7"/>
    <w:rsid w:val="00447D38"/>
    <w:rsid w:val="004506B7"/>
    <w:rsid w:val="00450899"/>
    <w:rsid w:val="00450BB9"/>
    <w:rsid w:val="004514D1"/>
    <w:rsid w:val="0045194C"/>
    <w:rsid w:val="00451A7D"/>
    <w:rsid w:val="00451FBE"/>
    <w:rsid w:val="0045252B"/>
    <w:rsid w:val="00452E67"/>
    <w:rsid w:val="00453B10"/>
    <w:rsid w:val="00454BF8"/>
    <w:rsid w:val="004551FA"/>
    <w:rsid w:val="004555FD"/>
    <w:rsid w:val="004556E9"/>
    <w:rsid w:val="00455A80"/>
    <w:rsid w:val="004568E2"/>
    <w:rsid w:val="00457165"/>
    <w:rsid w:val="00457980"/>
    <w:rsid w:val="00460122"/>
    <w:rsid w:val="0046038C"/>
    <w:rsid w:val="004607A6"/>
    <w:rsid w:val="00460AF3"/>
    <w:rsid w:val="004616E2"/>
    <w:rsid w:val="00461F6A"/>
    <w:rsid w:val="004622C0"/>
    <w:rsid w:val="0046268A"/>
    <w:rsid w:val="00462DAE"/>
    <w:rsid w:val="00463102"/>
    <w:rsid w:val="0046331C"/>
    <w:rsid w:val="00464211"/>
    <w:rsid w:val="0046425F"/>
    <w:rsid w:val="00464D3A"/>
    <w:rsid w:val="00464D64"/>
    <w:rsid w:val="00465275"/>
    <w:rsid w:val="00465471"/>
    <w:rsid w:val="00465660"/>
    <w:rsid w:val="00465811"/>
    <w:rsid w:val="00465858"/>
    <w:rsid w:val="00466422"/>
    <w:rsid w:val="00466F1B"/>
    <w:rsid w:val="004676B7"/>
    <w:rsid w:val="00470A12"/>
    <w:rsid w:val="004712AF"/>
    <w:rsid w:val="004714DD"/>
    <w:rsid w:val="00471B0A"/>
    <w:rsid w:val="00471D3D"/>
    <w:rsid w:val="00471ED9"/>
    <w:rsid w:val="004722B7"/>
    <w:rsid w:val="004728BB"/>
    <w:rsid w:val="00472A7A"/>
    <w:rsid w:val="00473064"/>
    <w:rsid w:val="00473515"/>
    <w:rsid w:val="0047383A"/>
    <w:rsid w:val="00473DF3"/>
    <w:rsid w:val="00473EFA"/>
    <w:rsid w:val="004741C4"/>
    <w:rsid w:val="00475DC2"/>
    <w:rsid w:val="004772D0"/>
    <w:rsid w:val="0047747F"/>
    <w:rsid w:val="004776E6"/>
    <w:rsid w:val="0047790B"/>
    <w:rsid w:val="00480DD2"/>
    <w:rsid w:val="00481050"/>
    <w:rsid w:val="004812A6"/>
    <w:rsid w:val="004813D0"/>
    <w:rsid w:val="00481463"/>
    <w:rsid w:val="00483856"/>
    <w:rsid w:val="00483B1A"/>
    <w:rsid w:val="004841A5"/>
    <w:rsid w:val="00484DE3"/>
    <w:rsid w:val="00484F61"/>
    <w:rsid w:val="00485392"/>
    <w:rsid w:val="00485DFD"/>
    <w:rsid w:val="0048688D"/>
    <w:rsid w:val="004868DD"/>
    <w:rsid w:val="00486D53"/>
    <w:rsid w:val="00487D77"/>
    <w:rsid w:val="00490552"/>
    <w:rsid w:val="00491075"/>
    <w:rsid w:val="004910AA"/>
    <w:rsid w:val="00491754"/>
    <w:rsid w:val="004944C9"/>
    <w:rsid w:val="004947EE"/>
    <w:rsid w:val="00494A9C"/>
    <w:rsid w:val="00494B37"/>
    <w:rsid w:val="00495C81"/>
    <w:rsid w:val="00496E6E"/>
    <w:rsid w:val="00497218"/>
    <w:rsid w:val="00497276"/>
    <w:rsid w:val="00497515"/>
    <w:rsid w:val="004A01E2"/>
    <w:rsid w:val="004A0632"/>
    <w:rsid w:val="004A0651"/>
    <w:rsid w:val="004A06F9"/>
    <w:rsid w:val="004A0AF8"/>
    <w:rsid w:val="004A0ED0"/>
    <w:rsid w:val="004A109E"/>
    <w:rsid w:val="004A33B6"/>
    <w:rsid w:val="004A41A9"/>
    <w:rsid w:val="004A46ED"/>
    <w:rsid w:val="004A4AB9"/>
    <w:rsid w:val="004A531C"/>
    <w:rsid w:val="004A56C9"/>
    <w:rsid w:val="004A5E98"/>
    <w:rsid w:val="004A6392"/>
    <w:rsid w:val="004A644F"/>
    <w:rsid w:val="004A661D"/>
    <w:rsid w:val="004A71B9"/>
    <w:rsid w:val="004A7913"/>
    <w:rsid w:val="004B022E"/>
    <w:rsid w:val="004B0E28"/>
    <w:rsid w:val="004B1091"/>
    <w:rsid w:val="004B2A08"/>
    <w:rsid w:val="004B3E29"/>
    <w:rsid w:val="004B3E3D"/>
    <w:rsid w:val="004B4D1C"/>
    <w:rsid w:val="004B55C1"/>
    <w:rsid w:val="004B5E58"/>
    <w:rsid w:val="004B6C48"/>
    <w:rsid w:val="004B6EED"/>
    <w:rsid w:val="004B6FFC"/>
    <w:rsid w:val="004B7E4E"/>
    <w:rsid w:val="004C060C"/>
    <w:rsid w:val="004C0C92"/>
    <w:rsid w:val="004C101B"/>
    <w:rsid w:val="004C1820"/>
    <w:rsid w:val="004C194E"/>
    <w:rsid w:val="004C22EB"/>
    <w:rsid w:val="004C272F"/>
    <w:rsid w:val="004C2748"/>
    <w:rsid w:val="004C2C15"/>
    <w:rsid w:val="004C2D16"/>
    <w:rsid w:val="004C2E55"/>
    <w:rsid w:val="004C3343"/>
    <w:rsid w:val="004C33A8"/>
    <w:rsid w:val="004C3605"/>
    <w:rsid w:val="004C38E9"/>
    <w:rsid w:val="004C3C2D"/>
    <w:rsid w:val="004C4A09"/>
    <w:rsid w:val="004C540F"/>
    <w:rsid w:val="004C63FE"/>
    <w:rsid w:val="004C6A47"/>
    <w:rsid w:val="004C6B9D"/>
    <w:rsid w:val="004C77CC"/>
    <w:rsid w:val="004C7A12"/>
    <w:rsid w:val="004C7F05"/>
    <w:rsid w:val="004D005C"/>
    <w:rsid w:val="004D034A"/>
    <w:rsid w:val="004D10CB"/>
    <w:rsid w:val="004D1AA0"/>
    <w:rsid w:val="004D349F"/>
    <w:rsid w:val="004D3C86"/>
    <w:rsid w:val="004D4306"/>
    <w:rsid w:val="004D4635"/>
    <w:rsid w:val="004D4798"/>
    <w:rsid w:val="004D537B"/>
    <w:rsid w:val="004D579F"/>
    <w:rsid w:val="004D5B66"/>
    <w:rsid w:val="004D602E"/>
    <w:rsid w:val="004D7842"/>
    <w:rsid w:val="004E04EE"/>
    <w:rsid w:val="004E0EDD"/>
    <w:rsid w:val="004E1DA5"/>
    <w:rsid w:val="004E31FA"/>
    <w:rsid w:val="004E4198"/>
    <w:rsid w:val="004E5EB6"/>
    <w:rsid w:val="004E60A9"/>
    <w:rsid w:val="004E65A8"/>
    <w:rsid w:val="004E70E8"/>
    <w:rsid w:val="004E7418"/>
    <w:rsid w:val="004E7A1B"/>
    <w:rsid w:val="004E7B8D"/>
    <w:rsid w:val="004F009C"/>
    <w:rsid w:val="004F17CF"/>
    <w:rsid w:val="004F1B17"/>
    <w:rsid w:val="004F1E6F"/>
    <w:rsid w:val="004F2485"/>
    <w:rsid w:val="004F2583"/>
    <w:rsid w:val="004F27CB"/>
    <w:rsid w:val="004F3047"/>
    <w:rsid w:val="004F3656"/>
    <w:rsid w:val="004F386D"/>
    <w:rsid w:val="004F3C2A"/>
    <w:rsid w:val="004F45A7"/>
    <w:rsid w:val="004F4AF4"/>
    <w:rsid w:val="004F4D66"/>
    <w:rsid w:val="004F504C"/>
    <w:rsid w:val="004F5092"/>
    <w:rsid w:val="004F5F2E"/>
    <w:rsid w:val="004F6521"/>
    <w:rsid w:val="004F66F4"/>
    <w:rsid w:val="004F67C7"/>
    <w:rsid w:val="004F6E3C"/>
    <w:rsid w:val="004F6F16"/>
    <w:rsid w:val="004F7219"/>
    <w:rsid w:val="004F73D6"/>
    <w:rsid w:val="004F7489"/>
    <w:rsid w:val="005001D8"/>
    <w:rsid w:val="00500AA2"/>
    <w:rsid w:val="00501DB9"/>
    <w:rsid w:val="005036F1"/>
    <w:rsid w:val="00503AB8"/>
    <w:rsid w:val="00503BBC"/>
    <w:rsid w:val="00504041"/>
    <w:rsid w:val="00505775"/>
    <w:rsid w:val="0050610F"/>
    <w:rsid w:val="005069C1"/>
    <w:rsid w:val="00510246"/>
    <w:rsid w:val="005107A0"/>
    <w:rsid w:val="005111A5"/>
    <w:rsid w:val="00512937"/>
    <w:rsid w:val="00512B6E"/>
    <w:rsid w:val="00512E91"/>
    <w:rsid w:val="005138CC"/>
    <w:rsid w:val="005143E1"/>
    <w:rsid w:val="00515271"/>
    <w:rsid w:val="00515764"/>
    <w:rsid w:val="00515A98"/>
    <w:rsid w:val="00515D06"/>
    <w:rsid w:val="00515D4A"/>
    <w:rsid w:val="00515EBF"/>
    <w:rsid w:val="0051613C"/>
    <w:rsid w:val="0051627A"/>
    <w:rsid w:val="0051658D"/>
    <w:rsid w:val="005165C2"/>
    <w:rsid w:val="00516772"/>
    <w:rsid w:val="005168D5"/>
    <w:rsid w:val="00516E6A"/>
    <w:rsid w:val="005173DC"/>
    <w:rsid w:val="00517D20"/>
    <w:rsid w:val="00520B63"/>
    <w:rsid w:val="00520FF3"/>
    <w:rsid w:val="00521279"/>
    <w:rsid w:val="00521634"/>
    <w:rsid w:val="00521753"/>
    <w:rsid w:val="0052235A"/>
    <w:rsid w:val="005227E1"/>
    <w:rsid w:val="005227F3"/>
    <w:rsid w:val="00523291"/>
    <w:rsid w:val="005241FD"/>
    <w:rsid w:val="00524732"/>
    <w:rsid w:val="0052491C"/>
    <w:rsid w:val="005259DB"/>
    <w:rsid w:val="00530DB5"/>
    <w:rsid w:val="00530F90"/>
    <w:rsid w:val="00531936"/>
    <w:rsid w:val="00532029"/>
    <w:rsid w:val="00532815"/>
    <w:rsid w:val="005335F0"/>
    <w:rsid w:val="00533904"/>
    <w:rsid w:val="00533E34"/>
    <w:rsid w:val="00533FB5"/>
    <w:rsid w:val="00534A1E"/>
    <w:rsid w:val="00534F4C"/>
    <w:rsid w:val="005360EC"/>
    <w:rsid w:val="00537128"/>
    <w:rsid w:val="0053723A"/>
    <w:rsid w:val="005376E5"/>
    <w:rsid w:val="005377BE"/>
    <w:rsid w:val="005402B4"/>
    <w:rsid w:val="00541282"/>
    <w:rsid w:val="00541C95"/>
    <w:rsid w:val="0054268D"/>
    <w:rsid w:val="0054280F"/>
    <w:rsid w:val="00543859"/>
    <w:rsid w:val="00544079"/>
    <w:rsid w:val="00544350"/>
    <w:rsid w:val="00544B41"/>
    <w:rsid w:val="00544C6B"/>
    <w:rsid w:val="0054607D"/>
    <w:rsid w:val="00546455"/>
    <w:rsid w:val="00546527"/>
    <w:rsid w:val="00546970"/>
    <w:rsid w:val="00546F4A"/>
    <w:rsid w:val="00547593"/>
    <w:rsid w:val="00547C38"/>
    <w:rsid w:val="005506A2"/>
    <w:rsid w:val="00551CE5"/>
    <w:rsid w:val="0055296A"/>
    <w:rsid w:val="005533B8"/>
    <w:rsid w:val="005537AA"/>
    <w:rsid w:val="00553943"/>
    <w:rsid w:val="00553B71"/>
    <w:rsid w:val="0055402A"/>
    <w:rsid w:val="00554179"/>
    <w:rsid w:val="00554668"/>
    <w:rsid w:val="00554750"/>
    <w:rsid w:val="00554B07"/>
    <w:rsid w:val="00554E4C"/>
    <w:rsid w:val="00555362"/>
    <w:rsid w:val="00557269"/>
    <w:rsid w:val="00557BCE"/>
    <w:rsid w:val="00557FB5"/>
    <w:rsid w:val="005604E7"/>
    <w:rsid w:val="00560B49"/>
    <w:rsid w:val="0056187D"/>
    <w:rsid w:val="0056258F"/>
    <w:rsid w:val="00562A75"/>
    <w:rsid w:val="00562CDC"/>
    <w:rsid w:val="005635CB"/>
    <w:rsid w:val="00563EB9"/>
    <w:rsid w:val="005640EF"/>
    <w:rsid w:val="00564185"/>
    <w:rsid w:val="00564866"/>
    <w:rsid w:val="00564CFF"/>
    <w:rsid w:val="0056594C"/>
    <w:rsid w:val="00565C90"/>
    <w:rsid w:val="00566196"/>
    <w:rsid w:val="0056675E"/>
    <w:rsid w:val="00567FE0"/>
    <w:rsid w:val="0057041C"/>
    <w:rsid w:val="005706B7"/>
    <w:rsid w:val="00570B24"/>
    <w:rsid w:val="00572729"/>
    <w:rsid w:val="005727FB"/>
    <w:rsid w:val="005732C7"/>
    <w:rsid w:val="00573622"/>
    <w:rsid w:val="00573669"/>
    <w:rsid w:val="00573DE9"/>
    <w:rsid w:val="005743E3"/>
    <w:rsid w:val="0057694B"/>
    <w:rsid w:val="00576C79"/>
    <w:rsid w:val="0057729D"/>
    <w:rsid w:val="00577ED4"/>
    <w:rsid w:val="00580735"/>
    <w:rsid w:val="00580822"/>
    <w:rsid w:val="005808FB"/>
    <w:rsid w:val="0058090E"/>
    <w:rsid w:val="005810D9"/>
    <w:rsid w:val="0058302E"/>
    <w:rsid w:val="00583380"/>
    <w:rsid w:val="0058555A"/>
    <w:rsid w:val="00585878"/>
    <w:rsid w:val="00585E33"/>
    <w:rsid w:val="0058651B"/>
    <w:rsid w:val="005869AD"/>
    <w:rsid w:val="00586E45"/>
    <w:rsid w:val="00587881"/>
    <w:rsid w:val="0059000C"/>
    <w:rsid w:val="005905A9"/>
    <w:rsid w:val="005909CC"/>
    <w:rsid w:val="00590A07"/>
    <w:rsid w:val="0059113D"/>
    <w:rsid w:val="0059278A"/>
    <w:rsid w:val="00594750"/>
    <w:rsid w:val="00594864"/>
    <w:rsid w:val="00594934"/>
    <w:rsid w:val="00594B4B"/>
    <w:rsid w:val="00594B61"/>
    <w:rsid w:val="00595A8E"/>
    <w:rsid w:val="00596058"/>
    <w:rsid w:val="00596208"/>
    <w:rsid w:val="00596ABB"/>
    <w:rsid w:val="00596FB0"/>
    <w:rsid w:val="00597CDF"/>
    <w:rsid w:val="00597DD2"/>
    <w:rsid w:val="005A01F0"/>
    <w:rsid w:val="005A0C00"/>
    <w:rsid w:val="005A0EE7"/>
    <w:rsid w:val="005A18EF"/>
    <w:rsid w:val="005A1AAD"/>
    <w:rsid w:val="005A2584"/>
    <w:rsid w:val="005A3067"/>
    <w:rsid w:val="005A306A"/>
    <w:rsid w:val="005A38EB"/>
    <w:rsid w:val="005A43E9"/>
    <w:rsid w:val="005A4521"/>
    <w:rsid w:val="005A4F6A"/>
    <w:rsid w:val="005A5C82"/>
    <w:rsid w:val="005A5D07"/>
    <w:rsid w:val="005A5D19"/>
    <w:rsid w:val="005A6456"/>
    <w:rsid w:val="005A6D65"/>
    <w:rsid w:val="005A749D"/>
    <w:rsid w:val="005A77D1"/>
    <w:rsid w:val="005A79AD"/>
    <w:rsid w:val="005B0012"/>
    <w:rsid w:val="005B00B8"/>
    <w:rsid w:val="005B0894"/>
    <w:rsid w:val="005B0E8B"/>
    <w:rsid w:val="005B12AC"/>
    <w:rsid w:val="005B183F"/>
    <w:rsid w:val="005B272B"/>
    <w:rsid w:val="005B2774"/>
    <w:rsid w:val="005B2ADD"/>
    <w:rsid w:val="005B2E0E"/>
    <w:rsid w:val="005B3AAD"/>
    <w:rsid w:val="005B3D38"/>
    <w:rsid w:val="005B3FF7"/>
    <w:rsid w:val="005B4BDD"/>
    <w:rsid w:val="005B4C37"/>
    <w:rsid w:val="005B4EA7"/>
    <w:rsid w:val="005B4F56"/>
    <w:rsid w:val="005B51F1"/>
    <w:rsid w:val="005B523D"/>
    <w:rsid w:val="005B558D"/>
    <w:rsid w:val="005B5DDC"/>
    <w:rsid w:val="005B621B"/>
    <w:rsid w:val="005B7819"/>
    <w:rsid w:val="005C04BA"/>
    <w:rsid w:val="005C0915"/>
    <w:rsid w:val="005C0C31"/>
    <w:rsid w:val="005C161A"/>
    <w:rsid w:val="005C16E1"/>
    <w:rsid w:val="005C185C"/>
    <w:rsid w:val="005C18C8"/>
    <w:rsid w:val="005C1ACD"/>
    <w:rsid w:val="005C225A"/>
    <w:rsid w:val="005C2CCF"/>
    <w:rsid w:val="005C34F2"/>
    <w:rsid w:val="005C3B1C"/>
    <w:rsid w:val="005C3EA7"/>
    <w:rsid w:val="005C428A"/>
    <w:rsid w:val="005C5155"/>
    <w:rsid w:val="005C5196"/>
    <w:rsid w:val="005C5CD1"/>
    <w:rsid w:val="005C610D"/>
    <w:rsid w:val="005C6295"/>
    <w:rsid w:val="005C6386"/>
    <w:rsid w:val="005C64D0"/>
    <w:rsid w:val="005C6A62"/>
    <w:rsid w:val="005C6BC3"/>
    <w:rsid w:val="005C706B"/>
    <w:rsid w:val="005C7EE6"/>
    <w:rsid w:val="005D00E9"/>
    <w:rsid w:val="005D047E"/>
    <w:rsid w:val="005D09AB"/>
    <w:rsid w:val="005D0D7C"/>
    <w:rsid w:val="005D15B5"/>
    <w:rsid w:val="005D2723"/>
    <w:rsid w:val="005D28A1"/>
    <w:rsid w:val="005D2F3F"/>
    <w:rsid w:val="005D3465"/>
    <w:rsid w:val="005D4AD5"/>
    <w:rsid w:val="005D5457"/>
    <w:rsid w:val="005D6030"/>
    <w:rsid w:val="005D6349"/>
    <w:rsid w:val="005D6A60"/>
    <w:rsid w:val="005D76D2"/>
    <w:rsid w:val="005E0924"/>
    <w:rsid w:val="005E0E38"/>
    <w:rsid w:val="005E165D"/>
    <w:rsid w:val="005E2A12"/>
    <w:rsid w:val="005E34F5"/>
    <w:rsid w:val="005E52B1"/>
    <w:rsid w:val="005E573F"/>
    <w:rsid w:val="005E5ADF"/>
    <w:rsid w:val="005E5FA3"/>
    <w:rsid w:val="005E7126"/>
    <w:rsid w:val="005E7D33"/>
    <w:rsid w:val="005F01E9"/>
    <w:rsid w:val="005F06BC"/>
    <w:rsid w:val="005F06E4"/>
    <w:rsid w:val="005F09D8"/>
    <w:rsid w:val="005F31DA"/>
    <w:rsid w:val="005F3CDC"/>
    <w:rsid w:val="005F3D8A"/>
    <w:rsid w:val="005F4BED"/>
    <w:rsid w:val="005F4F4C"/>
    <w:rsid w:val="005F5883"/>
    <w:rsid w:val="005F5CF8"/>
    <w:rsid w:val="005F716F"/>
    <w:rsid w:val="005F7B9E"/>
    <w:rsid w:val="005F7CC7"/>
    <w:rsid w:val="005F7D12"/>
    <w:rsid w:val="006000ED"/>
    <w:rsid w:val="0060075A"/>
    <w:rsid w:val="006009B1"/>
    <w:rsid w:val="00601C50"/>
    <w:rsid w:val="00602E95"/>
    <w:rsid w:val="00603018"/>
    <w:rsid w:val="00603047"/>
    <w:rsid w:val="0060353E"/>
    <w:rsid w:val="00603560"/>
    <w:rsid w:val="0060365F"/>
    <w:rsid w:val="00603AC4"/>
    <w:rsid w:val="00603B9A"/>
    <w:rsid w:val="006047C1"/>
    <w:rsid w:val="006050B4"/>
    <w:rsid w:val="006052CA"/>
    <w:rsid w:val="00605D51"/>
    <w:rsid w:val="0060781E"/>
    <w:rsid w:val="00607EBD"/>
    <w:rsid w:val="00610373"/>
    <w:rsid w:val="00610FCE"/>
    <w:rsid w:val="006114B0"/>
    <w:rsid w:val="0061175D"/>
    <w:rsid w:val="00611BF4"/>
    <w:rsid w:val="00611C62"/>
    <w:rsid w:val="00611D87"/>
    <w:rsid w:val="00612A38"/>
    <w:rsid w:val="00612CF1"/>
    <w:rsid w:val="00612D88"/>
    <w:rsid w:val="0061402A"/>
    <w:rsid w:val="0061524F"/>
    <w:rsid w:val="00615B0E"/>
    <w:rsid w:val="006160F8"/>
    <w:rsid w:val="006161AE"/>
    <w:rsid w:val="006164A4"/>
    <w:rsid w:val="00616E57"/>
    <w:rsid w:val="006173F7"/>
    <w:rsid w:val="006173FE"/>
    <w:rsid w:val="006174F2"/>
    <w:rsid w:val="00620CB8"/>
    <w:rsid w:val="006222D2"/>
    <w:rsid w:val="00623652"/>
    <w:rsid w:val="00624093"/>
    <w:rsid w:val="006243A6"/>
    <w:rsid w:val="0062465A"/>
    <w:rsid w:val="00624C00"/>
    <w:rsid w:val="00624EC4"/>
    <w:rsid w:val="006251DA"/>
    <w:rsid w:val="00625B5A"/>
    <w:rsid w:val="00626C74"/>
    <w:rsid w:val="00626CDE"/>
    <w:rsid w:val="0062795B"/>
    <w:rsid w:val="00630184"/>
    <w:rsid w:val="00630467"/>
    <w:rsid w:val="00632393"/>
    <w:rsid w:val="00632DC0"/>
    <w:rsid w:val="0063325C"/>
    <w:rsid w:val="00633B98"/>
    <w:rsid w:val="00633CF4"/>
    <w:rsid w:val="0063430C"/>
    <w:rsid w:val="006343ED"/>
    <w:rsid w:val="006347FA"/>
    <w:rsid w:val="00635110"/>
    <w:rsid w:val="006357F2"/>
    <w:rsid w:val="0063672E"/>
    <w:rsid w:val="00636971"/>
    <w:rsid w:val="00637802"/>
    <w:rsid w:val="006402A9"/>
    <w:rsid w:val="00640E8F"/>
    <w:rsid w:val="006427F5"/>
    <w:rsid w:val="00642A04"/>
    <w:rsid w:val="00642E0C"/>
    <w:rsid w:val="00642F8E"/>
    <w:rsid w:val="00643369"/>
    <w:rsid w:val="0064363A"/>
    <w:rsid w:val="00643CA9"/>
    <w:rsid w:val="0064453E"/>
    <w:rsid w:val="00644C36"/>
    <w:rsid w:val="006451B2"/>
    <w:rsid w:val="0064554F"/>
    <w:rsid w:val="00645EC6"/>
    <w:rsid w:val="006461EA"/>
    <w:rsid w:val="00646443"/>
    <w:rsid w:val="00646D72"/>
    <w:rsid w:val="00646DBC"/>
    <w:rsid w:val="006478B2"/>
    <w:rsid w:val="00647B6F"/>
    <w:rsid w:val="006500FA"/>
    <w:rsid w:val="00650DBF"/>
    <w:rsid w:val="00650E22"/>
    <w:rsid w:val="00650EFE"/>
    <w:rsid w:val="0065152E"/>
    <w:rsid w:val="0065153E"/>
    <w:rsid w:val="00651CB7"/>
    <w:rsid w:val="00651FA1"/>
    <w:rsid w:val="0065240B"/>
    <w:rsid w:val="006524CF"/>
    <w:rsid w:val="006524FD"/>
    <w:rsid w:val="0065261A"/>
    <w:rsid w:val="00652B35"/>
    <w:rsid w:val="00652CCC"/>
    <w:rsid w:val="00652D9D"/>
    <w:rsid w:val="00653C02"/>
    <w:rsid w:val="00654E06"/>
    <w:rsid w:val="00654E49"/>
    <w:rsid w:val="006550A8"/>
    <w:rsid w:val="00655304"/>
    <w:rsid w:val="00655E28"/>
    <w:rsid w:val="00655FC1"/>
    <w:rsid w:val="00656162"/>
    <w:rsid w:val="006565AE"/>
    <w:rsid w:val="00656F5D"/>
    <w:rsid w:val="00657014"/>
    <w:rsid w:val="0065767D"/>
    <w:rsid w:val="0066026E"/>
    <w:rsid w:val="006606DB"/>
    <w:rsid w:val="006614E4"/>
    <w:rsid w:val="0066153C"/>
    <w:rsid w:val="0066163B"/>
    <w:rsid w:val="006617F3"/>
    <w:rsid w:val="00661E95"/>
    <w:rsid w:val="0066213D"/>
    <w:rsid w:val="0066272D"/>
    <w:rsid w:val="006627BB"/>
    <w:rsid w:val="00662D58"/>
    <w:rsid w:val="00662DA9"/>
    <w:rsid w:val="00662F83"/>
    <w:rsid w:val="00663AD8"/>
    <w:rsid w:val="00663CF0"/>
    <w:rsid w:val="00663D09"/>
    <w:rsid w:val="00663D77"/>
    <w:rsid w:val="00663EC5"/>
    <w:rsid w:val="006649AB"/>
    <w:rsid w:val="0066523A"/>
    <w:rsid w:val="006657D2"/>
    <w:rsid w:val="00665931"/>
    <w:rsid w:val="00665D86"/>
    <w:rsid w:val="00667462"/>
    <w:rsid w:val="00667661"/>
    <w:rsid w:val="0066792E"/>
    <w:rsid w:val="0067008C"/>
    <w:rsid w:val="00670DEF"/>
    <w:rsid w:val="00670DF4"/>
    <w:rsid w:val="00671ECB"/>
    <w:rsid w:val="00673A51"/>
    <w:rsid w:val="00674207"/>
    <w:rsid w:val="00674A11"/>
    <w:rsid w:val="00674A83"/>
    <w:rsid w:val="00674C30"/>
    <w:rsid w:val="00674D51"/>
    <w:rsid w:val="006750D1"/>
    <w:rsid w:val="006752DC"/>
    <w:rsid w:val="006755D1"/>
    <w:rsid w:val="00675847"/>
    <w:rsid w:val="0067591F"/>
    <w:rsid w:val="00676EB5"/>
    <w:rsid w:val="00677237"/>
    <w:rsid w:val="0067729D"/>
    <w:rsid w:val="006775DC"/>
    <w:rsid w:val="006805C1"/>
    <w:rsid w:val="0068072B"/>
    <w:rsid w:val="00681E05"/>
    <w:rsid w:val="0068212C"/>
    <w:rsid w:val="006822A8"/>
    <w:rsid w:val="00682FD8"/>
    <w:rsid w:val="0068315D"/>
    <w:rsid w:val="006831B3"/>
    <w:rsid w:val="00683306"/>
    <w:rsid w:val="00683950"/>
    <w:rsid w:val="00683E01"/>
    <w:rsid w:val="006846C0"/>
    <w:rsid w:val="00684E48"/>
    <w:rsid w:val="006852B8"/>
    <w:rsid w:val="00685776"/>
    <w:rsid w:val="006857C4"/>
    <w:rsid w:val="00685A5D"/>
    <w:rsid w:val="00685CC9"/>
    <w:rsid w:val="00685DFD"/>
    <w:rsid w:val="0068605F"/>
    <w:rsid w:val="006864A7"/>
    <w:rsid w:val="006867E4"/>
    <w:rsid w:val="006869B4"/>
    <w:rsid w:val="0068785B"/>
    <w:rsid w:val="00687ADE"/>
    <w:rsid w:val="00690070"/>
    <w:rsid w:val="00690355"/>
    <w:rsid w:val="00690572"/>
    <w:rsid w:val="00690F7F"/>
    <w:rsid w:val="006914E5"/>
    <w:rsid w:val="00692289"/>
    <w:rsid w:val="006929A4"/>
    <w:rsid w:val="00692AE0"/>
    <w:rsid w:val="00692F0F"/>
    <w:rsid w:val="0069315A"/>
    <w:rsid w:val="00693920"/>
    <w:rsid w:val="00693929"/>
    <w:rsid w:val="00694032"/>
    <w:rsid w:val="00694075"/>
    <w:rsid w:val="00694325"/>
    <w:rsid w:val="00694703"/>
    <w:rsid w:val="00694AE9"/>
    <w:rsid w:val="00694D68"/>
    <w:rsid w:val="00695215"/>
    <w:rsid w:val="00695D9D"/>
    <w:rsid w:val="00696411"/>
    <w:rsid w:val="006967A2"/>
    <w:rsid w:val="00696BAB"/>
    <w:rsid w:val="00696EE8"/>
    <w:rsid w:val="006973EF"/>
    <w:rsid w:val="00697DFD"/>
    <w:rsid w:val="00697E15"/>
    <w:rsid w:val="006A0232"/>
    <w:rsid w:val="006A07B6"/>
    <w:rsid w:val="006A087D"/>
    <w:rsid w:val="006A0B7B"/>
    <w:rsid w:val="006A0D88"/>
    <w:rsid w:val="006A1873"/>
    <w:rsid w:val="006A1F26"/>
    <w:rsid w:val="006A2A7B"/>
    <w:rsid w:val="006A3358"/>
    <w:rsid w:val="006A3878"/>
    <w:rsid w:val="006A3B62"/>
    <w:rsid w:val="006A3FC5"/>
    <w:rsid w:val="006A3FC7"/>
    <w:rsid w:val="006A4EFA"/>
    <w:rsid w:val="006A514D"/>
    <w:rsid w:val="006A56B3"/>
    <w:rsid w:val="006A5799"/>
    <w:rsid w:val="006A585B"/>
    <w:rsid w:val="006A6560"/>
    <w:rsid w:val="006B049C"/>
    <w:rsid w:val="006B0A8A"/>
    <w:rsid w:val="006B0F4D"/>
    <w:rsid w:val="006B1360"/>
    <w:rsid w:val="006B1393"/>
    <w:rsid w:val="006B1C45"/>
    <w:rsid w:val="006B22F3"/>
    <w:rsid w:val="006B266A"/>
    <w:rsid w:val="006B2A34"/>
    <w:rsid w:val="006B41CD"/>
    <w:rsid w:val="006B4771"/>
    <w:rsid w:val="006B4880"/>
    <w:rsid w:val="006B4B66"/>
    <w:rsid w:val="006B4DB2"/>
    <w:rsid w:val="006B4EA8"/>
    <w:rsid w:val="006B6E03"/>
    <w:rsid w:val="006B71F2"/>
    <w:rsid w:val="006B75D2"/>
    <w:rsid w:val="006B7882"/>
    <w:rsid w:val="006B7F79"/>
    <w:rsid w:val="006C04E4"/>
    <w:rsid w:val="006C0D6C"/>
    <w:rsid w:val="006C0E38"/>
    <w:rsid w:val="006C1F90"/>
    <w:rsid w:val="006C2436"/>
    <w:rsid w:val="006C26F8"/>
    <w:rsid w:val="006C2935"/>
    <w:rsid w:val="006C2F2A"/>
    <w:rsid w:val="006C316F"/>
    <w:rsid w:val="006C45E2"/>
    <w:rsid w:val="006C4ACE"/>
    <w:rsid w:val="006C50AC"/>
    <w:rsid w:val="006C5B87"/>
    <w:rsid w:val="006C619E"/>
    <w:rsid w:val="006C62DC"/>
    <w:rsid w:val="006C6706"/>
    <w:rsid w:val="006C6747"/>
    <w:rsid w:val="006C6987"/>
    <w:rsid w:val="006C75A8"/>
    <w:rsid w:val="006C7DE0"/>
    <w:rsid w:val="006D017B"/>
    <w:rsid w:val="006D02BB"/>
    <w:rsid w:val="006D0420"/>
    <w:rsid w:val="006D140B"/>
    <w:rsid w:val="006D1469"/>
    <w:rsid w:val="006D1E1C"/>
    <w:rsid w:val="006D335E"/>
    <w:rsid w:val="006D51BA"/>
    <w:rsid w:val="006D5C72"/>
    <w:rsid w:val="006D6078"/>
    <w:rsid w:val="006D6214"/>
    <w:rsid w:val="006D672C"/>
    <w:rsid w:val="006D733F"/>
    <w:rsid w:val="006D7B26"/>
    <w:rsid w:val="006E0E15"/>
    <w:rsid w:val="006E3287"/>
    <w:rsid w:val="006E35E6"/>
    <w:rsid w:val="006E3C4B"/>
    <w:rsid w:val="006E4264"/>
    <w:rsid w:val="006E4E9E"/>
    <w:rsid w:val="006E5010"/>
    <w:rsid w:val="006E50BD"/>
    <w:rsid w:val="006E58B1"/>
    <w:rsid w:val="006E59E3"/>
    <w:rsid w:val="006E5E1B"/>
    <w:rsid w:val="006E61FA"/>
    <w:rsid w:val="006E6244"/>
    <w:rsid w:val="006E650F"/>
    <w:rsid w:val="006E7024"/>
    <w:rsid w:val="006E7FD4"/>
    <w:rsid w:val="006F00D4"/>
    <w:rsid w:val="006F08B4"/>
    <w:rsid w:val="006F09E5"/>
    <w:rsid w:val="006F0DB4"/>
    <w:rsid w:val="006F1F77"/>
    <w:rsid w:val="006F2CAC"/>
    <w:rsid w:val="006F2D41"/>
    <w:rsid w:val="006F430C"/>
    <w:rsid w:val="006F4980"/>
    <w:rsid w:val="006F4B69"/>
    <w:rsid w:val="006F4FD4"/>
    <w:rsid w:val="006F5B32"/>
    <w:rsid w:val="006F6495"/>
    <w:rsid w:val="006F6C26"/>
    <w:rsid w:val="006F72C3"/>
    <w:rsid w:val="0070071B"/>
    <w:rsid w:val="00700C96"/>
    <w:rsid w:val="00701604"/>
    <w:rsid w:val="00702A64"/>
    <w:rsid w:val="00703074"/>
    <w:rsid w:val="00703579"/>
    <w:rsid w:val="0070364D"/>
    <w:rsid w:val="00703A4E"/>
    <w:rsid w:val="00703FC6"/>
    <w:rsid w:val="007040D8"/>
    <w:rsid w:val="0070446D"/>
    <w:rsid w:val="00704F12"/>
    <w:rsid w:val="00705096"/>
    <w:rsid w:val="0070519F"/>
    <w:rsid w:val="00705D75"/>
    <w:rsid w:val="00705E7A"/>
    <w:rsid w:val="00705FDA"/>
    <w:rsid w:val="00706330"/>
    <w:rsid w:val="0070662C"/>
    <w:rsid w:val="007069A0"/>
    <w:rsid w:val="00706ACC"/>
    <w:rsid w:val="00706B1D"/>
    <w:rsid w:val="00706B64"/>
    <w:rsid w:val="00707197"/>
    <w:rsid w:val="00707428"/>
    <w:rsid w:val="00707FC7"/>
    <w:rsid w:val="0071032B"/>
    <w:rsid w:val="0071068B"/>
    <w:rsid w:val="0071108A"/>
    <w:rsid w:val="007114E5"/>
    <w:rsid w:val="00711584"/>
    <w:rsid w:val="00711DD9"/>
    <w:rsid w:val="007120DF"/>
    <w:rsid w:val="00712259"/>
    <w:rsid w:val="007127D6"/>
    <w:rsid w:val="00714350"/>
    <w:rsid w:val="007143ED"/>
    <w:rsid w:val="007152DC"/>
    <w:rsid w:val="00715967"/>
    <w:rsid w:val="00716D51"/>
    <w:rsid w:val="00717479"/>
    <w:rsid w:val="00717498"/>
    <w:rsid w:val="00717503"/>
    <w:rsid w:val="007201FF"/>
    <w:rsid w:val="007220F1"/>
    <w:rsid w:val="0072234D"/>
    <w:rsid w:val="00723603"/>
    <w:rsid w:val="00723817"/>
    <w:rsid w:val="0072386B"/>
    <w:rsid w:val="00723A07"/>
    <w:rsid w:val="00723A1B"/>
    <w:rsid w:val="007245F7"/>
    <w:rsid w:val="00726348"/>
    <w:rsid w:val="007267CC"/>
    <w:rsid w:val="00727B97"/>
    <w:rsid w:val="007305F2"/>
    <w:rsid w:val="0073144E"/>
    <w:rsid w:val="00731567"/>
    <w:rsid w:val="0073391F"/>
    <w:rsid w:val="007339B9"/>
    <w:rsid w:val="00733D82"/>
    <w:rsid w:val="0073446C"/>
    <w:rsid w:val="00734DDE"/>
    <w:rsid w:val="00734E98"/>
    <w:rsid w:val="00735AC2"/>
    <w:rsid w:val="00735E5A"/>
    <w:rsid w:val="0073606A"/>
    <w:rsid w:val="00736A81"/>
    <w:rsid w:val="00736BC6"/>
    <w:rsid w:val="00736FDC"/>
    <w:rsid w:val="0074060B"/>
    <w:rsid w:val="007406BA"/>
    <w:rsid w:val="00740AFE"/>
    <w:rsid w:val="00740BBF"/>
    <w:rsid w:val="0074273C"/>
    <w:rsid w:val="00742A19"/>
    <w:rsid w:val="00744AA8"/>
    <w:rsid w:val="00744E98"/>
    <w:rsid w:val="00745AD7"/>
    <w:rsid w:val="007462D8"/>
    <w:rsid w:val="00746F8B"/>
    <w:rsid w:val="00747060"/>
    <w:rsid w:val="007471E8"/>
    <w:rsid w:val="007471F5"/>
    <w:rsid w:val="00747508"/>
    <w:rsid w:val="00747C59"/>
    <w:rsid w:val="007507CB"/>
    <w:rsid w:val="00751004"/>
    <w:rsid w:val="00751413"/>
    <w:rsid w:val="007519CC"/>
    <w:rsid w:val="00751F2E"/>
    <w:rsid w:val="00751FD2"/>
    <w:rsid w:val="00752933"/>
    <w:rsid w:val="00752C50"/>
    <w:rsid w:val="00753CFF"/>
    <w:rsid w:val="00754030"/>
    <w:rsid w:val="007545A4"/>
    <w:rsid w:val="0075462F"/>
    <w:rsid w:val="00754F33"/>
    <w:rsid w:val="007553B6"/>
    <w:rsid w:val="00755CA7"/>
    <w:rsid w:val="00755CAB"/>
    <w:rsid w:val="0075793A"/>
    <w:rsid w:val="00757C6F"/>
    <w:rsid w:val="00760976"/>
    <w:rsid w:val="00760F91"/>
    <w:rsid w:val="00761148"/>
    <w:rsid w:val="0076168E"/>
    <w:rsid w:val="0076187B"/>
    <w:rsid w:val="00761DE0"/>
    <w:rsid w:val="007623D9"/>
    <w:rsid w:val="00763459"/>
    <w:rsid w:val="00763F9B"/>
    <w:rsid w:val="00763FF0"/>
    <w:rsid w:val="0076407D"/>
    <w:rsid w:val="007645E9"/>
    <w:rsid w:val="00765F4C"/>
    <w:rsid w:val="007660F3"/>
    <w:rsid w:val="00766BC9"/>
    <w:rsid w:val="0077032A"/>
    <w:rsid w:val="00770662"/>
    <w:rsid w:val="00771815"/>
    <w:rsid w:val="0077190E"/>
    <w:rsid w:val="00772760"/>
    <w:rsid w:val="00772B13"/>
    <w:rsid w:val="00772BBB"/>
    <w:rsid w:val="00772F59"/>
    <w:rsid w:val="00773319"/>
    <w:rsid w:val="00773F3F"/>
    <w:rsid w:val="0077436B"/>
    <w:rsid w:val="007743FB"/>
    <w:rsid w:val="0077442A"/>
    <w:rsid w:val="007745E9"/>
    <w:rsid w:val="00774A15"/>
    <w:rsid w:val="00774BDA"/>
    <w:rsid w:val="00774CDF"/>
    <w:rsid w:val="0077551F"/>
    <w:rsid w:val="00775651"/>
    <w:rsid w:val="00775F6C"/>
    <w:rsid w:val="00776331"/>
    <w:rsid w:val="00776F3F"/>
    <w:rsid w:val="007771EC"/>
    <w:rsid w:val="0077759B"/>
    <w:rsid w:val="00777B40"/>
    <w:rsid w:val="00777D2E"/>
    <w:rsid w:val="0078070A"/>
    <w:rsid w:val="00781568"/>
    <w:rsid w:val="00781646"/>
    <w:rsid w:val="007819CF"/>
    <w:rsid w:val="00781E77"/>
    <w:rsid w:val="0078289B"/>
    <w:rsid w:val="0078304E"/>
    <w:rsid w:val="00783126"/>
    <w:rsid w:val="00783221"/>
    <w:rsid w:val="007842FC"/>
    <w:rsid w:val="00784B04"/>
    <w:rsid w:val="00785326"/>
    <w:rsid w:val="0078537B"/>
    <w:rsid w:val="007856CF"/>
    <w:rsid w:val="00786132"/>
    <w:rsid w:val="00786510"/>
    <w:rsid w:val="00786D3C"/>
    <w:rsid w:val="00787082"/>
    <w:rsid w:val="00787095"/>
    <w:rsid w:val="00787139"/>
    <w:rsid w:val="007874ED"/>
    <w:rsid w:val="007903BB"/>
    <w:rsid w:val="0079075D"/>
    <w:rsid w:val="00791508"/>
    <w:rsid w:val="0079171C"/>
    <w:rsid w:val="0079294E"/>
    <w:rsid w:val="00792F26"/>
    <w:rsid w:val="007931C4"/>
    <w:rsid w:val="00793691"/>
    <w:rsid w:val="00793E7A"/>
    <w:rsid w:val="0079458A"/>
    <w:rsid w:val="007961C2"/>
    <w:rsid w:val="007962C4"/>
    <w:rsid w:val="00796471"/>
    <w:rsid w:val="0079696D"/>
    <w:rsid w:val="00796C2C"/>
    <w:rsid w:val="00796E21"/>
    <w:rsid w:val="00797A70"/>
    <w:rsid w:val="00797DA7"/>
    <w:rsid w:val="00797EF9"/>
    <w:rsid w:val="007A0092"/>
    <w:rsid w:val="007A023D"/>
    <w:rsid w:val="007A028E"/>
    <w:rsid w:val="007A033B"/>
    <w:rsid w:val="007A088D"/>
    <w:rsid w:val="007A0C55"/>
    <w:rsid w:val="007A0E5F"/>
    <w:rsid w:val="007A1E03"/>
    <w:rsid w:val="007A2B8C"/>
    <w:rsid w:val="007A3757"/>
    <w:rsid w:val="007A3B50"/>
    <w:rsid w:val="007A3EA2"/>
    <w:rsid w:val="007A5AAB"/>
    <w:rsid w:val="007A5AEE"/>
    <w:rsid w:val="007A65AB"/>
    <w:rsid w:val="007A6A35"/>
    <w:rsid w:val="007A6AEC"/>
    <w:rsid w:val="007A6F28"/>
    <w:rsid w:val="007A74A5"/>
    <w:rsid w:val="007A7A29"/>
    <w:rsid w:val="007B15DF"/>
    <w:rsid w:val="007B1C15"/>
    <w:rsid w:val="007B1E98"/>
    <w:rsid w:val="007B4087"/>
    <w:rsid w:val="007B4262"/>
    <w:rsid w:val="007B46A6"/>
    <w:rsid w:val="007B55B4"/>
    <w:rsid w:val="007B5D12"/>
    <w:rsid w:val="007B5EED"/>
    <w:rsid w:val="007B6606"/>
    <w:rsid w:val="007B690B"/>
    <w:rsid w:val="007B698A"/>
    <w:rsid w:val="007B6A5F"/>
    <w:rsid w:val="007B7284"/>
    <w:rsid w:val="007B7976"/>
    <w:rsid w:val="007B79D2"/>
    <w:rsid w:val="007B7C3E"/>
    <w:rsid w:val="007C0419"/>
    <w:rsid w:val="007C17E2"/>
    <w:rsid w:val="007C2361"/>
    <w:rsid w:val="007C260E"/>
    <w:rsid w:val="007C2DD3"/>
    <w:rsid w:val="007C31E7"/>
    <w:rsid w:val="007C3B18"/>
    <w:rsid w:val="007C5968"/>
    <w:rsid w:val="007C611C"/>
    <w:rsid w:val="007C6C8F"/>
    <w:rsid w:val="007C777A"/>
    <w:rsid w:val="007C7C2E"/>
    <w:rsid w:val="007D032C"/>
    <w:rsid w:val="007D05C7"/>
    <w:rsid w:val="007D174D"/>
    <w:rsid w:val="007D18B3"/>
    <w:rsid w:val="007D1A49"/>
    <w:rsid w:val="007D26BA"/>
    <w:rsid w:val="007D321F"/>
    <w:rsid w:val="007D3CA3"/>
    <w:rsid w:val="007D4714"/>
    <w:rsid w:val="007D5CB8"/>
    <w:rsid w:val="007D6047"/>
    <w:rsid w:val="007D609A"/>
    <w:rsid w:val="007D6201"/>
    <w:rsid w:val="007D6613"/>
    <w:rsid w:val="007D6CE7"/>
    <w:rsid w:val="007D7068"/>
    <w:rsid w:val="007D7678"/>
    <w:rsid w:val="007E0353"/>
    <w:rsid w:val="007E0961"/>
    <w:rsid w:val="007E139F"/>
    <w:rsid w:val="007E1DA1"/>
    <w:rsid w:val="007E2019"/>
    <w:rsid w:val="007E2782"/>
    <w:rsid w:val="007E27F8"/>
    <w:rsid w:val="007E295A"/>
    <w:rsid w:val="007E29D1"/>
    <w:rsid w:val="007E2E95"/>
    <w:rsid w:val="007E3B2C"/>
    <w:rsid w:val="007E3D72"/>
    <w:rsid w:val="007E41F6"/>
    <w:rsid w:val="007E4B07"/>
    <w:rsid w:val="007E4DFC"/>
    <w:rsid w:val="007E72A6"/>
    <w:rsid w:val="007F01C1"/>
    <w:rsid w:val="007F043A"/>
    <w:rsid w:val="007F1050"/>
    <w:rsid w:val="007F1052"/>
    <w:rsid w:val="007F1E74"/>
    <w:rsid w:val="007F292E"/>
    <w:rsid w:val="007F2D72"/>
    <w:rsid w:val="007F2E31"/>
    <w:rsid w:val="007F3F6D"/>
    <w:rsid w:val="007F44EE"/>
    <w:rsid w:val="007F4D14"/>
    <w:rsid w:val="007F4D1F"/>
    <w:rsid w:val="007F5011"/>
    <w:rsid w:val="007F5059"/>
    <w:rsid w:val="007F5257"/>
    <w:rsid w:val="007F588B"/>
    <w:rsid w:val="007F6645"/>
    <w:rsid w:val="007F7101"/>
    <w:rsid w:val="007F7550"/>
    <w:rsid w:val="007F7912"/>
    <w:rsid w:val="008028E3"/>
    <w:rsid w:val="00802C36"/>
    <w:rsid w:val="00802F7C"/>
    <w:rsid w:val="00803458"/>
    <w:rsid w:val="00803816"/>
    <w:rsid w:val="00803922"/>
    <w:rsid w:val="008044D2"/>
    <w:rsid w:val="00804874"/>
    <w:rsid w:val="00806AA6"/>
    <w:rsid w:val="00807360"/>
    <w:rsid w:val="00807D83"/>
    <w:rsid w:val="00807FCB"/>
    <w:rsid w:val="00810359"/>
    <w:rsid w:val="0081168D"/>
    <w:rsid w:val="008121EC"/>
    <w:rsid w:val="00813917"/>
    <w:rsid w:val="00813AE8"/>
    <w:rsid w:val="00814488"/>
    <w:rsid w:val="00814761"/>
    <w:rsid w:val="00814CAD"/>
    <w:rsid w:val="008151FE"/>
    <w:rsid w:val="008159A8"/>
    <w:rsid w:val="0081640B"/>
    <w:rsid w:val="00816860"/>
    <w:rsid w:val="00816C1C"/>
    <w:rsid w:val="00816C88"/>
    <w:rsid w:val="00816CE3"/>
    <w:rsid w:val="00817473"/>
    <w:rsid w:val="00817565"/>
    <w:rsid w:val="008201AC"/>
    <w:rsid w:val="008202B6"/>
    <w:rsid w:val="0082066D"/>
    <w:rsid w:val="00820F5B"/>
    <w:rsid w:val="0082107D"/>
    <w:rsid w:val="008220C4"/>
    <w:rsid w:val="008223AE"/>
    <w:rsid w:val="00822530"/>
    <w:rsid w:val="0082351C"/>
    <w:rsid w:val="00823811"/>
    <w:rsid w:val="0082431F"/>
    <w:rsid w:val="00825DA9"/>
    <w:rsid w:val="00826405"/>
    <w:rsid w:val="00827164"/>
    <w:rsid w:val="00827953"/>
    <w:rsid w:val="00827B70"/>
    <w:rsid w:val="00827D93"/>
    <w:rsid w:val="00827DC7"/>
    <w:rsid w:val="00830416"/>
    <w:rsid w:val="0083077E"/>
    <w:rsid w:val="00831381"/>
    <w:rsid w:val="008313CB"/>
    <w:rsid w:val="008320B5"/>
    <w:rsid w:val="00832567"/>
    <w:rsid w:val="00832943"/>
    <w:rsid w:val="00832F20"/>
    <w:rsid w:val="00833E53"/>
    <w:rsid w:val="00834829"/>
    <w:rsid w:val="00835FC1"/>
    <w:rsid w:val="008360C6"/>
    <w:rsid w:val="008363BC"/>
    <w:rsid w:val="008364F9"/>
    <w:rsid w:val="00836605"/>
    <w:rsid w:val="00836DD5"/>
    <w:rsid w:val="008379ED"/>
    <w:rsid w:val="00837F8F"/>
    <w:rsid w:val="00837FAF"/>
    <w:rsid w:val="00840150"/>
    <w:rsid w:val="00840740"/>
    <w:rsid w:val="00840FEE"/>
    <w:rsid w:val="0084166B"/>
    <w:rsid w:val="00841B44"/>
    <w:rsid w:val="00841C69"/>
    <w:rsid w:val="008426ED"/>
    <w:rsid w:val="00842714"/>
    <w:rsid w:val="008435FF"/>
    <w:rsid w:val="00843B82"/>
    <w:rsid w:val="00843FAF"/>
    <w:rsid w:val="0084458B"/>
    <w:rsid w:val="0084496D"/>
    <w:rsid w:val="00844C1E"/>
    <w:rsid w:val="00845158"/>
    <w:rsid w:val="008452F5"/>
    <w:rsid w:val="0084694E"/>
    <w:rsid w:val="008478B9"/>
    <w:rsid w:val="00847A48"/>
    <w:rsid w:val="00847FC4"/>
    <w:rsid w:val="008506D6"/>
    <w:rsid w:val="00850D2B"/>
    <w:rsid w:val="008526DE"/>
    <w:rsid w:val="008527EB"/>
    <w:rsid w:val="00852AEA"/>
    <w:rsid w:val="00852F27"/>
    <w:rsid w:val="0085312A"/>
    <w:rsid w:val="00853BBD"/>
    <w:rsid w:val="00853C56"/>
    <w:rsid w:val="00854040"/>
    <w:rsid w:val="008540B6"/>
    <w:rsid w:val="00854395"/>
    <w:rsid w:val="00854724"/>
    <w:rsid w:val="00854872"/>
    <w:rsid w:val="00854E1C"/>
    <w:rsid w:val="008558F9"/>
    <w:rsid w:val="00856682"/>
    <w:rsid w:val="00856BA4"/>
    <w:rsid w:val="00856D38"/>
    <w:rsid w:val="00856E25"/>
    <w:rsid w:val="008570DD"/>
    <w:rsid w:val="0085769F"/>
    <w:rsid w:val="00857D00"/>
    <w:rsid w:val="00857E2C"/>
    <w:rsid w:val="008606BF"/>
    <w:rsid w:val="00860B92"/>
    <w:rsid w:val="008615F9"/>
    <w:rsid w:val="00861BDC"/>
    <w:rsid w:val="008622E2"/>
    <w:rsid w:val="008628D8"/>
    <w:rsid w:val="00862CB6"/>
    <w:rsid w:val="00863029"/>
    <w:rsid w:val="0086403A"/>
    <w:rsid w:val="00864720"/>
    <w:rsid w:val="0086480D"/>
    <w:rsid w:val="00864FFC"/>
    <w:rsid w:val="00865C38"/>
    <w:rsid w:val="008663D1"/>
    <w:rsid w:val="00867775"/>
    <w:rsid w:val="00870AC1"/>
    <w:rsid w:val="00871DF2"/>
    <w:rsid w:val="0087444F"/>
    <w:rsid w:val="008746ED"/>
    <w:rsid w:val="008751AD"/>
    <w:rsid w:val="00875968"/>
    <w:rsid w:val="00876A68"/>
    <w:rsid w:val="008772D8"/>
    <w:rsid w:val="00877E13"/>
    <w:rsid w:val="00877E3F"/>
    <w:rsid w:val="00880C8B"/>
    <w:rsid w:val="00881FFF"/>
    <w:rsid w:val="0088214C"/>
    <w:rsid w:val="00882B96"/>
    <w:rsid w:val="00882EA4"/>
    <w:rsid w:val="00884017"/>
    <w:rsid w:val="008842E6"/>
    <w:rsid w:val="00884CFE"/>
    <w:rsid w:val="008851C3"/>
    <w:rsid w:val="00885355"/>
    <w:rsid w:val="00887705"/>
    <w:rsid w:val="00890455"/>
    <w:rsid w:val="00890C9D"/>
    <w:rsid w:val="00891188"/>
    <w:rsid w:val="008913AF"/>
    <w:rsid w:val="00891AC6"/>
    <w:rsid w:val="00891EAA"/>
    <w:rsid w:val="008926C7"/>
    <w:rsid w:val="00892C96"/>
    <w:rsid w:val="0089370E"/>
    <w:rsid w:val="00893D77"/>
    <w:rsid w:val="00893EC9"/>
    <w:rsid w:val="00894027"/>
    <w:rsid w:val="0089436C"/>
    <w:rsid w:val="008957D4"/>
    <w:rsid w:val="008957E2"/>
    <w:rsid w:val="00895EE6"/>
    <w:rsid w:val="0089654B"/>
    <w:rsid w:val="00896C3E"/>
    <w:rsid w:val="00896C8B"/>
    <w:rsid w:val="00896EF8"/>
    <w:rsid w:val="0089717D"/>
    <w:rsid w:val="0089740C"/>
    <w:rsid w:val="00897737"/>
    <w:rsid w:val="00897BF4"/>
    <w:rsid w:val="00897C2F"/>
    <w:rsid w:val="008A03F1"/>
    <w:rsid w:val="008A0508"/>
    <w:rsid w:val="008A0B1E"/>
    <w:rsid w:val="008A108E"/>
    <w:rsid w:val="008A149B"/>
    <w:rsid w:val="008A1700"/>
    <w:rsid w:val="008A1901"/>
    <w:rsid w:val="008A1FBA"/>
    <w:rsid w:val="008A26A7"/>
    <w:rsid w:val="008A2B67"/>
    <w:rsid w:val="008A2EC7"/>
    <w:rsid w:val="008A3366"/>
    <w:rsid w:val="008A3D22"/>
    <w:rsid w:val="008A4458"/>
    <w:rsid w:val="008A4C55"/>
    <w:rsid w:val="008A5F56"/>
    <w:rsid w:val="008A659A"/>
    <w:rsid w:val="008A6C44"/>
    <w:rsid w:val="008A73F2"/>
    <w:rsid w:val="008A7604"/>
    <w:rsid w:val="008B020D"/>
    <w:rsid w:val="008B0849"/>
    <w:rsid w:val="008B13B5"/>
    <w:rsid w:val="008B16F9"/>
    <w:rsid w:val="008B2B4F"/>
    <w:rsid w:val="008B2EC4"/>
    <w:rsid w:val="008B305F"/>
    <w:rsid w:val="008B3264"/>
    <w:rsid w:val="008B3C5A"/>
    <w:rsid w:val="008B41B3"/>
    <w:rsid w:val="008B4A0F"/>
    <w:rsid w:val="008B553E"/>
    <w:rsid w:val="008B562F"/>
    <w:rsid w:val="008B5BD7"/>
    <w:rsid w:val="008B5E95"/>
    <w:rsid w:val="008B5F1B"/>
    <w:rsid w:val="008B612A"/>
    <w:rsid w:val="008B722A"/>
    <w:rsid w:val="008B7E7B"/>
    <w:rsid w:val="008B7F7A"/>
    <w:rsid w:val="008C002C"/>
    <w:rsid w:val="008C0B45"/>
    <w:rsid w:val="008C0BA5"/>
    <w:rsid w:val="008C1602"/>
    <w:rsid w:val="008C184A"/>
    <w:rsid w:val="008C1C22"/>
    <w:rsid w:val="008C260F"/>
    <w:rsid w:val="008C281D"/>
    <w:rsid w:val="008C39FA"/>
    <w:rsid w:val="008C4823"/>
    <w:rsid w:val="008C483F"/>
    <w:rsid w:val="008C4D3B"/>
    <w:rsid w:val="008C501B"/>
    <w:rsid w:val="008C52A2"/>
    <w:rsid w:val="008C52CC"/>
    <w:rsid w:val="008C5EBD"/>
    <w:rsid w:val="008C6348"/>
    <w:rsid w:val="008C63FC"/>
    <w:rsid w:val="008C702A"/>
    <w:rsid w:val="008D01F1"/>
    <w:rsid w:val="008D0650"/>
    <w:rsid w:val="008D0766"/>
    <w:rsid w:val="008D0B2C"/>
    <w:rsid w:val="008D0FE3"/>
    <w:rsid w:val="008D113B"/>
    <w:rsid w:val="008D2D1E"/>
    <w:rsid w:val="008D2F61"/>
    <w:rsid w:val="008D31D1"/>
    <w:rsid w:val="008D3487"/>
    <w:rsid w:val="008D423A"/>
    <w:rsid w:val="008D4300"/>
    <w:rsid w:val="008D46AF"/>
    <w:rsid w:val="008D4F0F"/>
    <w:rsid w:val="008D5295"/>
    <w:rsid w:val="008D5780"/>
    <w:rsid w:val="008D5C3E"/>
    <w:rsid w:val="008D6199"/>
    <w:rsid w:val="008D7250"/>
    <w:rsid w:val="008D7452"/>
    <w:rsid w:val="008D7A46"/>
    <w:rsid w:val="008E006D"/>
    <w:rsid w:val="008E02A3"/>
    <w:rsid w:val="008E093A"/>
    <w:rsid w:val="008E0B11"/>
    <w:rsid w:val="008E0DA0"/>
    <w:rsid w:val="008E1164"/>
    <w:rsid w:val="008E1742"/>
    <w:rsid w:val="008E17F8"/>
    <w:rsid w:val="008E2786"/>
    <w:rsid w:val="008E27BA"/>
    <w:rsid w:val="008E2ABE"/>
    <w:rsid w:val="008E3046"/>
    <w:rsid w:val="008E3AB0"/>
    <w:rsid w:val="008E3B6C"/>
    <w:rsid w:val="008E4890"/>
    <w:rsid w:val="008E4BB0"/>
    <w:rsid w:val="008E52CB"/>
    <w:rsid w:val="008E578E"/>
    <w:rsid w:val="008E58B0"/>
    <w:rsid w:val="008E6940"/>
    <w:rsid w:val="008E77C7"/>
    <w:rsid w:val="008E7A19"/>
    <w:rsid w:val="008E7BA0"/>
    <w:rsid w:val="008F057A"/>
    <w:rsid w:val="008F0EB5"/>
    <w:rsid w:val="008F12EE"/>
    <w:rsid w:val="008F1333"/>
    <w:rsid w:val="008F198F"/>
    <w:rsid w:val="008F1E48"/>
    <w:rsid w:val="008F2445"/>
    <w:rsid w:val="008F26BA"/>
    <w:rsid w:val="008F26CF"/>
    <w:rsid w:val="008F41A5"/>
    <w:rsid w:val="008F497C"/>
    <w:rsid w:val="008F498C"/>
    <w:rsid w:val="008F4C5C"/>
    <w:rsid w:val="008F4DC3"/>
    <w:rsid w:val="008F6F61"/>
    <w:rsid w:val="008F704B"/>
    <w:rsid w:val="008F71DD"/>
    <w:rsid w:val="008F7232"/>
    <w:rsid w:val="008F7ED0"/>
    <w:rsid w:val="008F7F34"/>
    <w:rsid w:val="00900535"/>
    <w:rsid w:val="00901375"/>
    <w:rsid w:val="00901511"/>
    <w:rsid w:val="0090157D"/>
    <w:rsid w:val="009016A9"/>
    <w:rsid w:val="00902945"/>
    <w:rsid w:val="00902E9D"/>
    <w:rsid w:val="009030A0"/>
    <w:rsid w:val="009038FE"/>
    <w:rsid w:val="00903E2F"/>
    <w:rsid w:val="009049C5"/>
    <w:rsid w:val="00904B91"/>
    <w:rsid w:val="00904F17"/>
    <w:rsid w:val="00905CA1"/>
    <w:rsid w:val="00906C27"/>
    <w:rsid w:val="00906C40"/>
    <w:rsid w:val="00906CF3"/>
    <w:rsid w:val="00906F62"/>
    <w:rsid w:val="00907353"/>
    <w:rsid w:val="00907D86"/>
    <w:rsid w:val="0091009C"/>
    <w:rsid w:val="00910381"/>
    <w:rsid w:val="00910ACE"/>
    <w:rsid w:val="00911A06"/>
    <w:rsid w:val="00911B54"/>
    <w:rsid w:val="00911E9E"/>
    <w:rsid w:val="00913E66"/>
    <w:rsid w:val="00913F56"/>
    <w:rsid w:val="0091480F"/>
    <w:rsid w:val="0091518A"/>
    <w:rsid w:val="00915516"/>
    <w:rsid w:val="00915B74"/>
    <w:rsid w:val="00916275"/>
    <w:rsid w:val="00916C51"/>
    <w:rsid w:val="00917453"/>
    <w:rsid w:val="0091746F"/>
    <w:rsid w:val="00920153"/>
    <w:rsid w:val="009208D9"/>
    <w:rsid w:val="00921DC1"/>
    <w:rsid w:val="009222E7"/>
    <w:rsid w:val="0092299C"/>
    <w:rsid w:val="009232F2"/>
    <w:rsid w:val="00923D8D"/>
    <w:rsid w:val="009247F9"/>
    <w:rsid w:val="00924EEC"/>
    <w:rsid w:val="00925AC8"/>
    <w:rsid w:val="00925B91"/>
    <w:rsid w:val="00926490"/>
    <w:rsid w:val="00926BE7"/>
    <w:rsid w:val="00927197"/>
    <w:rsid w:val="00927C47"/>
    <w:rsid w:val="00927FA9"/>
    <w:rsid w:val="0093001C"/>
    <w:rsid w:val="00931524"/>
    <w:rsid w:val="0093192F"/>
    <w:rsid w:val="009319B2"/>
    <w:rsid w:val="00932192"/>
    <w:rsid w:val="00932238"/>
    <w:rsid w:val="00932CA1"/>
    <w:rsid w:val="00933966"/>
    <w:rsid w:val="00933A63"/>
    <w:rsid w:val="00933B58"/>
    <w:rsid w:val="00933D26"/>
    <w:rsid w:val="0093427B"/>
    <w:rsid w:val="00934368"/>
    <w:rsid w:val="009343AD"/>
    <w:rsid w:val="00934E4B"/>
    <w:rsid w:val="00934EE9"/>
    <w:rsid w:val="009353CA"/>
    <w:rsid w:val="00936711"/>
    <w:rsid w:val="00936CA0"/>
    <w:rsid w:val="009414D5"/>
    <w:rsid w:val="00941ECB"/>
    <w:rsid w:val="00942A52"/>
    <w:rsid w:val="00942D01"/>
    <w:rsid w:val="00943826"/>
    <w:rsid w:val="009440F6"/>
    <w:rsid w:val="00944197"/>
    <w:rsid w:val="009461E8"/>
    <w:rsid w:val="00946466"/>
    <w:rsid w:val="00946519"/>
    <w:rsid w:val="009467CE"/>
    <w:rsid w:val="00946855"/>
    <w:rsid w:val="00946B9D"/>
    <w:rsid w:val="00946C03"/>
    <w:rsid w:val="009471EF"/>
    <w:rsid w:val="00950469"/>
    <w:rsid w:val="00950BF1"/>
    <w:rsid w:val="0095100A"/>
    <w:rsid w:val="0095149F"/>
    <w:rsid w:val="009518BB"/>
    <w:rsid w:val="00951DA6"/>
    <w:rsid w:val="00953A17"/>
    <w:rsid w:val="00953E35"/>
    <w:rsid w:val="0095425D"/>
    <w:rsid w:val="00954328"/>
    <w:rsid w:val="009548E4"/>
    <w:rsid w:val="009556EA"/>
    <w:rsid w:val="00955791"/>
    <w:rsid w:val="00956C52"/>
    <w:rsid w:val="00957B17"/>
    <w:rsid w:val="00960E35"/>
    <w:rsid w:val="00960FBF"/>
    <w:rsid w:val="0096129F"/>
    <w:rsid w:val="00961881"/>
    <w:rsid w:val="009619E2"/>
    <w:rsid w:val="00961F2B"/>
    <w:rsid w:val="00962120"/>
    <w:rsid w:val="009622B0"/>
    <w:rsid w:val="00962CCB"/>
    <w:rsid w:val="009635AD"/>
    <w:rsid w:val="00963C55"/>
    <w:rsid w:val="009640AB"/>
    <w:rsid w:val="00964875"/>
    <w:rsid w:val="00964D7B"/>
    <w:rsid w:val="009651EF"/>
    <w:rsid w:val="009659DD"/>
    <w:rsid w:val="00965FDA"/>
    <w:rsid w:val="00966707"/>
    <w:rsid w:val="00967204"/>
    <w:rsid w:val="00970C36"/>
    <w:rsid w:val="00970DBC"/>
    <w:rsid w:val="0097135F"/>
    <w:rsid w:val="0097178F"/>
    <w:rsid w:val="00971C4E"/>
    <w:rsid w:val="00971EA9"/>
    <w:rsid w:val="00971ECE"/>
    <w:rsid w:val="009729F3"/>
    <w:rsid w:val="00973872"/>
    <w:rsid w:val="00973A83"/>
    <w:rsid w:val="00973D80"/>
    <w:rsid w:val="00973F3C"/>
    <w:rsid w:val="00973F88"/>
    <w:rsid w:val="00974194"/>
    <w:rsid w:val="00974A3C"/>
    <w:rsid w:val="00974AB4"/>
    <w:rsid w:val="00974AE3"/>
    <w:rsid w:val="00974DBE"/>
    <w:rsid w:val="00975E14"/>
    <w:rsid w:val="009769C2"/>
    <w:rsid w:val="00977711"/>
    <w:rsid w:val="009801DA"/>
    <w:rsid w:val="00980B4C"/>
    <w:rsid w:val="00980C11"/>
    <w:rsid w:val="009821F1"/>
    <w:rsid w:val="00983912"/>
    <w:rsid w:val="0098468C"/>
    <w:rsid w:val="0098491D"/>
    <w:rsid w:val="00984B95"/>
    <w:rsid w:val="00984EF5"/>
    <w:rsid w:val="00984FDE"/>
    <w:rsid w:val="00985DA7"/>
    <w:rsid w:val="009863B8"/>
    <w:rsid w:val="00986981"/>
    <w:rsid w:val="00987112"/>
    <w:rsid w:val="009877BF"/>
    <w:rsid w:val="00987CD4"/>
    <w:rsid w:val="009906AF"/>
    <w:rsid w:val="009909ED"/>
    <w:rsid w:val="00991193"/>
    <w:rsid w:val="00991A3B"/>
    <w:rsid w:val="009924A9"/>
    <w:rsid w:val="009925CE"/>
    <w:rsid w:val="009940D1"/>
    <w:rsid w:val="00995304"/>
    <w:rsid w:val="009956A5"/>
    <w:rsid w:val="00995D91"/>
    <w:rsid w:val="009974C2"/>
    <w:rsid w:val="009A01A0"/>
    <w:rsid w:val="009A0827"/>
    <w:rsid w:val="009A0887"/>
    <w:rsid w:val="009A17CA"/>
    <w:rsid w:val="009A218C"/>
    <w:rsid w:val="009A25A5"/>
    <w:rsid w:val="009A3531"/>
    <w:rsid w:val="009A3599"/>
    <w:rsid w:val="009A3C26"/>
    <w:rsid w:val="009A4448"/>
    <w:rsid w:val="009A4C3E"/>
    <w:rsid w:val="009A5111"/>
    <w:rsid w:val="009A51AF"/>
    <w:rsid w:val="009A528C"/>
    <w:rsid w:val="009A5878"/>
    <w:rsid w:val="009A6CF6"/>
    <w:rsid w:val="009B0010"/>
    <w:rsid w:val="009B0919"/>
    <w:rsid w:val="009B0EAA"/>
    <w:rsid w:val="009B17E7"/>
    <w:rsid w:val="009B18F0"/>
    <w:rsid w:val="009B1DC8"/>
    <w:rsid w:val="009B249E"/>
    <w:rsid w:val="009B2960"/>
    <w:rsid w:val="009B375B"/>
    <w:rsid w:val="009B513C"/>
    <w:rsid w:val="009B6D28"/>
    <w:rsid w:val="009B74A4"/>
    <w:rsid w:val="009B78AC"/>
    <w:rsid w:val="009B78B5"/>
    <w:rsid w:val="009C0814"/>
    <w:rsid w:val="009C0A7B"/>
    <w:rsid w:val="009C15ED"/>
    <w:rsid w:val="009C1BBE"/>
    <w:rsid w:val="009C1C31"/>
    <w:rsid w:val="009C1CCF"/>
    <w:rsid w:val="009C23F7"/>
    <w:rsid w:val="009C292F"/>
    <w:rsid w:val="009C4414"/>
    <w:rsid w:val="009C4936"/>
    <w:rsid w:val="009C4F32"/>
    <w:rsid w:val="009C5D05"/>
    <w:rsid w:val="009C5F30"/>
    <w:rsid w:val="009C5FC9"/>
    <w:rsid w:val="009C689B"/>
    <w:rsid w:val="009C7174"/>
    <w:rsid w:val="009C7903"/>
    <w:rsid w:val="009D0099"/>
    <w:rsid w:val="009D07A7"/>
    <w:rsid w:val="009D0A68"/>
    <w:rsid w:val="009D0F04"/>
    <w:rsid w:val="009D132C"/>
    <w:rsid w:val="009D2425"/>
    <w:rsid w:val="009D24BF"/>
    <w:rsid w:val="009D2799"/>
    <w:rsid w:val="009D2D74"/>
    <w:rsid w:val="009D30A0"/>
    <w:rsid w:val="009D38FA"/>
    <w:rsid w:val="009D40D7"/>
    <w:rsid w:val="009D4664"/>
    <w:rsid w:val="009D4C7D"/>
    <w:rsid w:val="009D4DE7"/>
    <w:rsid w:val="009D602C"/>
    <w:rsid w:val="009D62BD"/>
    <w:rsid w:val="009D63B4"/>
    <w:rsid w:val="009D68FE"/>
    <w:rsid w:val="009D693E"/>
    <w:rsid w:val="009D69A2"/>
    <w:rsid w:val="009D6D1F"/>
    <w:rsid w:val="009D6F35"/>
    <w:rsid w:val="009D6F8E"/>
    <w:rsid w:val="009D73D2"/>
    <w:rsid w:val="009D78C2"/>
    <w:rsid w:val="009E0434"/>
    <w:rsid w:val="009E067D"/>
    <w:rsid w:val="009E0773"/>
    <w:rsid w:val="009E08DB"/>
    <w:rsid w:val="009E0AEB"/>
    <w:rsid w:val="009E0B98"/>
    <w:rsid w:val="009E2ABB"/>
    <w:rsid w:val="009E2C3B"/>
    <w:rsid w:val="009E2DDA"/>
    <w:rsid w:val="009E2F3C"/>
    <w:rsid w:val="009E3149"/>
    <w:rsid w:val="009E47A9"/>
    <w:rsid w:val="009E5057"/>
    <w:rsid w:val="009E51BB"/>
    <w:rsid w:val="009E573C"/>
    <w:rsid w:val="009E5886"/>
    <w:rsid w:val="009E5F75"/>
    <w:rsid w:val="009E6E8E"/>
    <w:rsid w:val="009E7181"/>
    <w:rsid w:val="009E71DD"/>
    <w:rsid w:val="009E7FF4"/>
    <w:rsid w:val="009F008E"/>
    <w:rsid w:val="009F019C"/>
    <w:rsid w:val="009F03C7"/>
    <w:rsid w:val="009F0479"/>
    <w:rsid w:val="009F0A43"/>
    <w:rsid w:val="009F1259"/>
    <w:rsid w:val="009F175F"/>
    <w:rsid w:val="009F18E9"/>
    <w:rsid w:val="009F2161"/>
    <w:rsid w:val="009F2515"/>
    <w:rsid w:val="009F2B50"/>
    <w:rsid w:val="009F33B2"/>
    <w:rsid w:val="009F34B3"/>
    <w:rsid w:val="009F361D"/>
    <w:rsid w:val="009F394A"/>
    <w:rsid w:val="009F3CAD"/>
    <w:rsid w:val="009F6318"/>
    <w:rsid w:val="009F7B73"/>
    <w:rsid w:val="009F7FEA"/>
    <w:rsid w:val="00A00E60"/>
    <w:rsid w:val="00A01711"/>
    <w:rsid w:val="00A01B92"/>
    <w:rsid w:val="00A029D2"/>
    <w:rsid w:val="00A039C6"/>
    <w:rsid w:val="00A03C29"/>
    <w:rsid w:val="00A03C69"/>
    <w:rsid w:val="00A048DE"/>
    <w:rsid w:val="00A057E0"/>
    <w:rsid w:val="00A059F4"/>
    <w:rsid w:val="00A05FF3"/>
    <w:rsid w:val="00A0657D"/>
    <w:rsid w:val="00A06E99"/>
    <w:rsid w:val="00A07039"/>
    <w:rsid w:val="00A073C4"/>
    <w:rsid w:val="00A07B34"/>
    <w:rsid w:val="00A10481"/>
    <w:rsid w:val="00A108DA"/>
    <w:rsid w:val="00A110F2"/>
    <w:rsid w:val="00A119A3"/>
    <w:rsid w:val="00A11C10"/>
    <w:rsid w:val="00A12223"/>
    <w:rsid w:val="00A127E0"/>
    <w:rsid w:val="00A132C4"/>
    <w:rsid w:val="00A13373"/>
    <w:rsid w:val="00A1342F"/>
    <w:rsid w:val="00A14223"/>
    <w:rsid w:val="00A142BB"/>
    <w:rsid w:val="00A14F15"/>
    <w:rsid w:val="00A16742"/>
    <w:rsid w:val="00A16936"/>
    <w:rsid w:val="00A16E1F"/>
    <w:rsid w:val="00A16FB4"/>
    <w:rsid w:val="00A17BC4"/>
    <w:rsid w:val="00A17DCC"/>
    <w:rsid w:val="00A207DA"/>
    <w:rsid w:val="00A20F47"/>
    <w:rsid w:val="00A2115A"/>
    <w:rsid w:val="00A21C35"/>
    <w:rsid w:val="00A224F2"/>
    <w:rsid w:val="00A227D5"/>
    <w:rsid w:val="00A22BCA"/>
    <w:rsid w:val="00A23993"/>
    <w:rsid w:val="00A243B0"/>
    <w:rsid w:val="00A24C80"/>
    <w:rsid w:val="00A24E2E"/>
    <w:rsid w:val="00A2502C"/>
    <w:rsid w:val="00A2593D"/>
    <w:rsid w:val="00A25AD3"/>
    <w:rsid w:val="00A266A4"/>
    <w:rsid w:val="00A26A2F"/>
    <w:rsid w:val="00A27BC4"/>
    <w:rsid w:val="00A30004"/>
    <w:rsid w:val="00A306D4"/>
    <w:rsid w:val="00A30BCF"/>
    <w:rsid w:val="00A31A9D"/>
    <w:rsid w:val="00A32A3D"/>
    <w:rsid w:val="00A3355A"/>
    <w:rsid w:val="00A33CCC"/>
    <w:rsid w:val="00A34AA7"/>
    <w:rsid w:val="00A34D10"/>
    <w:rsid w:val="00A35558"/>
    <w:rsid w:val="00A36745"/>
    <w:rsid w:val="00A36CA3"/>
    <w:rsid w:val="00A40B07"/>
    <w:rsid w:val="00A41126"/>
    <w:rsid w:val="00A4122F"/>
    <w:rsid w:val="00A413CE"/>
    <w:rsid w:val="00A41427"/>
    <w:rsid w:val="00A41E83"/>
    <w:rsid w:val="00A42B72"/>
    <w:rsid w:val="00A42B9A"/>
    <w:rsid w:val="00A42C8C"/>
    <w:rsid w:val="00A43594"/>
    <w:rsid w:val="00A43AA2"/>
    <w:rsid w:val="00A444DB"/>
    <w:rsid w:val="00A450AE"/>
    <w:rsid w:val="00A459C0"/>
    <w:rsid w:val="00A46287"/>
    <w:rsid w:val="00A46462"/>
    <w:rsid w:val="00A474D9"/>
    <w:rsid w:val="00A476D6"/>
    <w:rsid w:val="00A47AAF"/>
    <w:rsid w:val="00A47AD8"/>
    <w:rsid w:val="00A509D4"/>
    <w:rsid w:val="00A50C84"/>
    <w:rsid w:val="00A50E24"/>
    <w:rsid w:val="00A510D6"/>
    <w:rsid w:val="00A515ED"/>
    <w:rsid w:val="00A51CAD"/>
    <w:rsid w:val="00A51D29"/>
    <w:rsid w:val="00A51EED"/>
    <w:rsid w:val="00A51F82"/>
    <w:rsid w:val="00A536F8"/>
    <w:rsid w:val="00A53D17"/>
    <w:rsid w:val="00A53DE7"/>
    <w:rsid w:val="00A53EFE"/>
    <w:rsid w:val="00A543DA"/>
    <w:rsid w:val="00A555B4"/>
    <w:rsid w:val="00A561D8"/>
    <w:rsid w:val="00A56D8C"/>
    <w:rsid w:val="00A56F47"/>
    <w:rsid w:val="00A5701E"/>
    <w:rsid w:val="00A5778F"/>
    <w:rsid w:val="00A57C78"/>
    <w:rsid w:val="00A57CC8"/>
    <w:rsid w:val="00A57E13"/>
    <w:rsid w:val="00A60DB1"/>
    <w:rsid w:val="00A61184"/>
    <w:rsid w:val="00A616BA"/>
    <w:rsid w:val="00A61BE0"/>
    <w:rsid w:val="00A62141"/>
    <w:rsid w:val="00A626C0"/>
    <w:rsid w:val="00A62960"/>
    <w:rsid w:val="00A63F2C"/>
    <w:rsid w:val="00A651BB"/>
    <w:rsid w:val="00A65588"/>
    <w:rsid w:val="00A65EF3"/>
    <w:rsid w:val="00A661C2"/>
    <w:rsid w:val="00A66EB5"/>
    <w:rsid w:val="00A67182"/>
    <w:rsid w:val="00A67219"/>
    <w:rsid w:val="00A70335"/>
    <w:rsid w:val="00A7058A"/>
    <w:rsid w:val="00A70B25"/>
    <w:rsid w:val="00A71C3B"/>
    <w:rsid w:val="00A722C4"/>
    <w:rsid w:val="00A7236D"/>
    <w:rsid w:val="00A72EDD"/>
    <w:rsid w:val="00A72F14"/>
    <w:rsid w:val="00A73B27"/>
    <w:rsid w:val="00A7669B"/>
    <w:rsid w:val="00A76A59"/>
    <w:rsid w:val="00A77CC1"/>
    <w:rsid w:val="00A8045C"/>
    <w:rsid w:val="00A8072C"/>
    <w:rsid w:val="00A80D81"/>
    <w:rsid w:val="00A8176D"/>
    <w:rsid w:val="00A81C48"/>
    <w:rsid w:val="00A82B80"/>
    <w:rsid w:val="00A83059"/>
    <w:rsid w:val="00A83DB2"/>
    <w:rsid w:val="00A8402C"/>
    <w:rsid w:val="00A84DF8"/>
    <w:rsid w:val="00A85275"/>
    <w:rsid w:val="00A856AD"/>
    <w:rsid w:val="00A85959"/>
    <w:rsid w:val="00A86E88"/>
    <w:rsid w:val="00A87306"/>
    <w:rsid w:val="00A87536"/>
    <w:rsid w:val="00A87A04"/>
    <w:rsid w:val="00A87A6D"/>
    <w:rsid w:val="00A87DEC"/>
    <w:rsid w:val="00A90B3C"/>
    <w:rsid w:val="00A91652"/>
    <w:rsid w:val="00A925D1"/>
    <w:rsid w:val="00A93181"/>
    <w:rsid w:val="00A935FA"/>
    <w:rsid w:val="00A93E27"/>
    <w:rsid w:val="00A94D88"/>
    <w:rsid w:val="00A94DFB"/>
    <w:rsid w:val="00A94E7D"/>
    <w:rsid w:val="00A95AE6"/>
    <w:rsid w:val="00A95FDA"/>
    <w:rsid w:val="00A95FF2"/>
    <w:rsid w:val="00A96390"/>
    <w:rsid w:val="00A974AB"/>
    <w:rsid w:val="00A97D1D"/>
    <w:rsid w:val="00A97EBD"/>
    <w:rsid w:val="00AA035A"/>
    <w:rsid w:val="00AA0EF6"/>
    <w:rsid w:val="00AA1190"/>
    <w:rsid w:val="00AA1804"/>
    <w:rsid w:val="00AA2FAF"/>
    <w:rsid w:val="00AA3696"/>
    <w:rsid w:val="00AA3E8C"/>
    <w:rsid w:val="00AA4550"/>
    <w:rsid w:val="00AA45B7"/>
    <w:rsid w:val="00AA582D"/>
    <w:rsid w:val="00AA5ABA"/>
    <w:rsid w:val="00AA635F"/>
    <w:rsid w:val="00AA646A"/>
    <w:rsid w:val="00AA6593"/>
    <w:rsid w:val="00AA6E71"/>
    <w:rsid w:val="00AA7C31"/>
    <w:rsid w:val="00AB057E"/>
    <w:rsid w:val="00AB092B"/>
    <w:rsid w:val="00AB1283"/>
    <w:rsid w:val="00AB2326"/>
    <w:rsid w:val="00AB2AAE"/>
    <w:rsid w:val="00AB368B"/>
    <w:rsid w:val="00AB390F"/>
    <w:rsid w:val="00AB45AE"/>
    <w:rsid w:val="00AB4ED5"/>
    <w:rsid w:val="00AB53E0"/>
    <w:rsid w:val="00AB6828"/>
    <w:rsid w:val="00AB748C"/>
    <w:rsid w:val="00AB7C33"/>
    <w:rsid w:val="00AB7C82"/>
    <w:rsid w:val="00AB7E86"/>
    <w:rsid w:val="00AC0042"/>
    <w:rsid w:val="00AC0638"/>
    <w:rsid w:val="00AC0726"/>
    <w:rsid w:val="00AC11A0"/>
    <w:rsid w:val="00AC18DA"/>
    <w:rsid w:val="00AC1E56"/>
    <w:rsid w:val="00AC1FFA"/>
    <w:rsid w:val="00AC231D"/>
    <w:rsid w:val="00AC27B1"/>
    <w:rsid w:val="00AC2E7B"/>
    <w:rsid w:val="00AC389C"/>
    <w:rsid w:val="00AC38D9"/>
    <w:rsid w:val="00AC3F9F"/>
    <w:rsid w:val="00AC41EB"/>
    <w:rsid w:val="00AC48C3"/>
    <w:rsid w:val="00AC4C23"/>
    <w:rsid w:val="00AC4C78"/>
    <w:rsid w:val="00AC5014"/>
    <w:rsid w:val="00AC5229"/>
    <w:rsid w:val="00AC543F"/>
    <w:rsid w:val="00AC5888"/>
    <w:rsid w:val="00AC698A"/>
    <w:rsid w:val="00AC6D5B"/>
    <w:rsid w:val="00AC7126"/>
    <w:rsid w:val="00AC733A"/>
    <w:rsid w:val="00AC7490"/>
    <w:rsid w:val="00AD08B6"/>
    <w:rsid w:val="00AD0F22"/>
    <w:rsid w:val="00AD158B"/>
    <w:rsid w:val="00AD1F64"/>
    <w:rsid w:val="00AD32FA"/>
    <w:rsid w:val="00AD3E35"/>
    <w:rsid w:val="00AD3EB3"/>
    <w:rsid w:val="00AD40EB"/>
    <w:rsid w:val="00AD4B90"/>
    <w:rsid w:val="00AD4DC4"/>
    <w:rsid w:val="00AD568F"/>
    <w:rsid w:val="00AD5C38"/>
    <w:rsid w:val="00AD5FF0"/>
    <w:rsid w:val="00AD61E9"/>
    <w:rsid w:val="00AD66D8"/>
    <w:rsid w:val="00AD6C7A"/>
    <w:rsid w:val="00AD6FEF"/>
    <w:rsid w:val="00AD754B"/>
    <w:rsid w:val="00AD7C2F"/>
    <w:rsid w:val="00AE0641"/>
    <w:rsid w:val="00AE14CB"/>
    <w:rsid w:val="00AE16BC"/>
    <w:rsid w:val="00AE2801"/>
    <w:rsid w:val="00AE2981"/>
    <w:rsid w:val="00AE3002"/>
    <w:rsid w:val="00AE3994"/>
    <w:rsid w:val="00AE3B8E"/>
    <w:rsid w:val="00AE3F33"/>
    <w:rsid w:val="00AE44E0"/>
    <w:rsid w:val="00AE5701"/>
    <w:rsid w:val="00AE5764"/>
    <w:rsid w:val="00AE6274"/>
    <w:rsid w:val="00AE6B50"/>
    <w:rsid w:val="00AE772F"/>
    <w:rsid w:val="00AE7E51"/>
    <w:rsid w:val="00AF0C83"/>
    <w:rsid w:val="00AF0DAA"/>
    <w:rsid w:val="00AF0ECB"/>
    <w:rsid w:val="00AF1720"/>
    <w:rsid w:val="00AF1826"/>
    <w:rsid w:val="00AF1A05"/>
    <w:rsid w:val="00AF1A5D"/>
    <w:rsid w:val="00AF1F1C"/>
    <w:rsid w:val="00AF3338"/>
    <w:rsid w:val="00AF3374"/>
    <w:rsid w:val="00AF39E6"/>
    <w:rsid w:val="00AF3B34"/>
    <w:rsid w:val="00AF3DDE"/>
    <w:rsid w:val="00AF3E66"/>
    <w:rsid w:val="00AF41A3"/>
    <w:rsid w:val="00AF4ECA"/>
    <w:rsid w:val="00AF4F3D"/>
    <w:rsid w:val="00AF50EA"/>
    <w:rsid w:val="00AF52D5"/>
    <w:rsid w:val="00AF600D"/>
    <w:rsid w:val="00AF68C7"/>
    <w:rsid w:val="00AF6958"/>
    <w:rsid w:val="00AF6C73"/>
    <w:rsid w:val="00AF6DB1"/>
    <w:rsid w:val="00AF6E22"/>
    <w:rsid w:val="00AF6FBC"/>
    <w:rsid w:val="00AF73AC"/>
    <w:rsid w:val="00AF7DA5"/>
    <w:rsid w:val="00AF7F37"/>
    <w:rsid w:val="00B006BF"/>
    <w:rsid w:val="00B00C66"/>
    <w:rsid w:val="00B00C8E"/>
    <w:rsid w:val="00B01751"/>
    <w:rsid w:val="00B03032"/>
    <w:rsid w:val="00B03568"/>
    <w:rsid w:val="00B03769"/>
    <w:rsid w:val="00B04BF9"/>
    <w:rsid w:val="00B0532E"/>
    <w:rsid w:val="00B05471"/>
    <w:rsid w:val="00B059F2"/>
    <w:rsid w:val="00B06546"/>
    <w:rsid w:val="00B10A06"/>
    <w:rsid w:val="00B10A9C"/>
    <w:rsid w:val="00B11050"/>
    <w:rsid w:val="00B11073"/>
    <w:rsid w:val="00B113D7"/>
    <w:rsid w:val="00B11BCF"/>
    <w:rsid w:val="00B12F96"/>
    <w:rsid w:val="00B13B1D"/>
    <w:rsid w:val="00B1414C"/>
    <w:rsid w:val="00B1450B"/>
    <w:rsid w:val="00B1582C"/>
    <w:rsid w:val="00B1608A"/>
    <w:rsid w:val="00B174C3"/>
    <w:rsid w:val="00B20190"/>
    <w:rsid w:val="00B20B44"/>
    <w:rsid w:val="00B20FAE"/>
    <w:rsid w:val="00B21A3B"/>
    <w:rsid w:val="00B21F15"/>
    <w:rsid w:val="00B233F3"/>
    <w:rsid w:val="00B236A1"/>
    <w:rsid w:val="00B23D15"/>
    <w:rsid w:val="00B24453"/>
    <w:rsid w:val="00B2494E"/>
    <w:rsid w:val="00B2503E"/>
    <w:rsid w:val="00B254B2"/>
    <w:rsid w:val="00B25611"/>
    <w:rsid w:val="00B260D9"/>
    <w:rsid w:val="00B261DA"/>
    <w:rsid w:val="00B26312"/>
    <w:rsid w:val="00B2738A"/>
    <w:rsid w:val="00B27690"/>
    <w:rsid w:val="00B30349"/>
    <w:rsid w:val="00B305B9"/>
    <w:rsid w:val="00B320B1"/>
    <w:rsid w:val="00B33E01"/>
    <w:rsid w:val="00B34B6F"/>
    <w:rsid w:val="00B35016"/>
    <w:rsid w:val="00B3592F"/>
    <w:rsid w:val="00B35E43"/>
    <w:rsid w:val="00B36948"/>
    <w:rsid w:val="00B369DB"/>
    <w:rsid w:val="00B37A90"/>
    <w:rsid w:val="00B403F2"/>
    <w:rsid w:val="00B40D39"/>
    <w:rsid w:val="00B4190C"/>
    <w:rsid w:val="00B41D0F"/>
    <w:rsid w:val="00B42A45"/>
    <w:rsid w:val="00B4310A"/>
    <w:rsid w:val="00B437C8"/>
    <w:rsid w:val="00B43DFB"/>
    <w:rsid w:val="00B44D1B"/>
    <w:rsid w:val="00B45491"/>
    <w:rsid w:val="00B45EA6"/>
    <w:rsid w:val="00B46871"/>
    <w:rsid w:val="00B47F90"/>
    <w:rsid w:val="00B47FE3"/>
    <w:rsid w:val="00B505E6"/>
    <w:rsid w:val="00B5076C"/>
    <w:rsid w:val="00B50BDB"/>
    <w:rsid w:val="00B511DA"/>
    <w:rsid w:val="00B52276"/>
    <w:rsid w:val="00B52A60"/>
    <w:rsid w:val="00B52A85"/>
    <w:rsid w:val="00B543CE"/>
    <w:rsid w:val="00B5447D"/>
    <w:rsid w:val="00B55277"/>
    <w:rsid w:val="00B55435"/>
    <w:rsid w:val="00B56C40"/>
    <w:rsid w:val="00B570BA"/>
    <w:rsid w:val="00B57509"/>
    <w:rsid w:val="00B6133D"/>
    <w:rsid w:val="00B62091"/>
    <w:rsid w:val="00B62ABC"/>
    <w:rsid w:val="00B62D7F"/>
    <w:rsid w:val="00B633FB"/>
    <w:rsid w:val="00B640A0"/>
    <w:rsid w:val="00B64235"/>
    <w:rsid w:val="00B64D71"/>
    <w:rsid w:val="00B64EFF"/>
    <w:rsid w:val="00B66AA6"/>
    <w:rsid w:val="00B67048"/>
    <w:rsid w:val="00B671A6"/>
    <w:rsid w:val="00B67600"/>
    <w:rsid w:val="00B67653"/>
    <w:rsid w:val="00B702E1"/>
    <w:rsid w:val="00B710A6"/>
    <w:rsid w:val="00B71297"/>
    <w:rsid w:val="00B712F4"/>
    <w:rsid w:val="00B713CE"/>
    <w:rsid w:val="00B71650"/>
    <w:rsid w:val="00B7190C"/>
    <w:rsid w:val="00B71C7B"/>
    <w:rsid w:val="00B71DF7"/>
    <w:rsid w:val="00B7226B"/>
    <w:rsid w:val="00B7262A"/>
    <w:rsid w:val="00B72658"/>
    <w:rsid w:val="00B72BCE"/>
    <w:rsid w:val="00B72E5E"/>
    <w:rsid w:val="00B742E1"/>
    <w:rsid w:val="00B7460A"/>
    <w:rsid w:val="00B7487E"/>
    <w:rsid w:val="00B74AD9"/>
    <w:rsid w:val="00B751D3"/>
    <w:rsid w:val="00B751DA"/>
    <w:rsid w:val="00B75390"/>
    <w:rsid w:val="00B76824"/>
    <w:rsid w:val="00B7693C"/>
    <w:rsid w:val="00B80D71"/>
    <w:rsid w:val="00B80DDC"/>
    <w:rsid w:val="00B82709"/>
    <w:rsid w:val="00B8330C"/>
    <w:rsid w:val="00B83573"/>
    <w:rsid w:val="00B839FF"/>
    <w:rsid w:val="00B83BE7"/>
    <w:rsid w:val="00B83DE8"/>
    <w:rsid w:val="00B83E77"/>
    <w:rsid w:val="00B8496C"/>
    <w:rsid w:val="00B84AC0"/>
    <w:rsid w:val="00B84C89"/>
    <w:rsid w:val="00B84D84"/>
    <w:rsid w:val="00B85210"/>
    <w:rsid w:val="00B85B37"/>
    <w:rsid w:val="00B86650"/>
    <w:rsid w:val="00B867F3"/>
    <w:rsid w:val="00B87C9A"/>
    <w:rsid w:val="00B87F20"/>
    <w:rsid w:val="00B90AFD"/>
    <w:rsid w:val="00B90E6D"/>
    <w:rsid w:val="00B91308"/>
    <w:rsid w:val="00B940B3"/>
    <w:rsid w:val="00B94A19"/>
    <w:rsid w:val="00B95407"/>
    <w:rsid w:val="00B959ED"/>
    <w:rsid w:val="00B963DC"/>
    <w:rsid w:val="00B96C43"/>
    <w:rsid w:val="00B96E4C"/>
    <w:rsid w:val="00B979CE"/>
    <w:rsid w:val="00B97A9B"/>
    <w:rsid w:val="00BA04CE"/>
    <w:rsid w:val="00BA0988"/>
    <w:rsid w:val="00BA0EB5"/>
    <w:rsid w:val="00BA1044"/>
    <w:rsid w:val="00BA1B26"/>
    <w:rsid w:val="00BA1FB3"/>
    <w:rsid w:val="00BA2452"/>
    <w:rsid w:val="00BA249F"/>
    <w:rsid w:val="00BA29AC"/>
    <w:rsid w:val="00BA2EBF"/>
    <w:rsid w:val="00BA35F4"/>
    <w:rsid w:val="00BA49D6"/>
    <w:rsid w:val="00BA4C40"/>
    <w:rsid w:val="00BA5635"/>
    <w:rsid w:val="00BA5779"/>
    <w:rsid w:val="00BA57AE"/>
    <w:rsid w:val="00BA589D"/>
    <w:rsid w:val="00BA5AE2"/>
    <w:rsid w:val="00BA7290"/>
    <w:rsid w:val="00BA7954"/>
    <w:rsid w:val="00BA7D60"/>
    <w:rsid w:val="00BA7F1C"/>
    <w:rsid w:val="00BB07A1"/>
    <w:rsid w:val="00BB0E12"/>
    <w:rsid w:val="00BB0ED8"/>
    <w:rsid w:val="00BB145D"/>
    <w:rsid w:val="00BB16E8"/>
    <w:rsid w:val="00BB1D46"/>
    <w:rsid w:val="00BB3FF9"/>
    <w:rsid w:val="00BB42E8"/>
    <w:rsid w:val="00BB4D49"/>
    <w:rsid w:val="00BB6314"/>
    <w:rsid w:val="00BB672B"/>
    <w:rsid w:val="00BB766F"/>
    <w:rsid w:val="00BB7EF8"/>
    <w:rsid w:val="00BC015D"/>
    <w:rsid w:val="00BC025A"/>
    <w:rsid w:val="00BC02C3"/>
    <w:rsid w:val="00BC057A"/>
    <w:rsid w:val="00BC1230"/>
    <w:rsid w:val="00BC1D42"/>
    <w:rsid w:val="00BC25D2"/>
    <w:rsid w:val="00BC2A39"/>
    <w:rsid w:val="00BC56EE"/>
    <w:rsid w:val="00BC5935"/>
    <w:rsid w:val="00BC638B"/>
    <w:rsid w:val="00BC6E23"/>
    <w:rsid w:val="00BC6E81"/>
    <w:rsid w:val="00BC71AC"/>
    <w:rsid w:val="00BC72D0"/>
    <w:rsid w:val="00BC76BC"/>
    <w:rsid w:val="00BC76C4"/>
    <w:rsid w:val="00BC77AB"/>
    <w:rsid w:val="00BC7D38"/>
    <w:rsid w:val="00BD019E"/>
    <w:rsid w:val="00BD055B"/>
    <w:rsid w:val="00BD09EB"/>
    <w:rsid w:val="00BD1093"/>
    <w:rsid w:val="00BD1529"/>
    <w:rsid w:val="00BD21A9"/>
    <w:rsid w:val="00BD322B"/>
    <w:rsid w:val="00BD4147"/>
    <w:rsid w:val="00BD462C"/>
    <w:rsid w:val="00BD471F"/>
    <w:rsid w:val="00BD539D"/>
    <w:rsid w:val="00BD5EB7"/>
    <w:rsid w:val="00BD612B"/>
    <w:rsid w:val="00BD62A3"/>
    <w:rsid w:val="00BD6BF3"/>
    <w:rsid w:val="00BD6C59"/>
    <w:rsid w:val="00BD6E93"/>
    <w:rsid w:val="00BD6FF0"/>
    <w:rsid w:val="00BD79F6"/>
    <w:rsid w:val="00BE00A3"/>
    <w:rsid w:val="00BE0FA6"/>
    <w:rsid w:val="00BE0FDD"/>
    <w:rsid w:val="00BE1241"/>
    <w:rsid w:val="00BE1877"/>
    <w:rsid w:val="00BE218F"/>
    <w:rsid w:val="00BE2EF4"/>
    <w:rsid w:val="00BE3359"/>
    <w:rsid w:val="00BE3436"/>
    <w:rsid w:val="00BE3802"/>
    <w:rsid w:val="00BE3ACF"/>
    <w:rsid w:val="00BE4090"/>
    <w:rsid w:val="00BE432A"/>
    <w:rsid w:val="00BE470B"/>
    <w:rsid w:val="00BE4BF5"/>
    <w:rsid w:val="00BE4C02"/>
    <w:rsid w:val="00BE5076"/>
    <w:rsid w:val="00BE572D"/>
    <w:rsid w:val="00BE6906"/>
    <w:rsid w:val="00BE765B"/>
    <w:rsid w:val="00BE7FA1"/>
    <w:rsid w:val="00BF1001"/>
    <w:rsid w:val="00BF1472"/>
    <w:rsid w:val="00BF1973"/>
    <w:rsid w:val="00BF1AB1"/>
    <w:rsid w:val="00BF1CE3"/>
    <w:rsid w:val="00BF1FE1"/>
    <w:rsid w:val="00BF265B"/>
    <w:rsid w:val="00BF2BF1"/>
    <w:rsid w:val="00BF3987"/>
    <w:rsid w:val="00BF412E"/>
    <w:rsid w:val="00BF47DD"/>
    <w:rsid w:val="00BF5014"/>
    <w:rsid w:val="00BF575C"/>
    <w:rsid w:val="00BF6492"/>
    <w:rsid w:val="00BF6715"/>
    <w:rsid w:val="00BF6FA3"/>
    <w:rsid w:val="00BF746E"/>
    <w:rsid w:val="00BF7968"/>
    <w:rsid w:val="00C008D9"/>
    <w:rsid w:val="00C00D52"/>
    <w:rsid w:val="00C01C10"/>
    <w:rsid w:val="00C01D31"/>
    <w:rsid w:val="00C022A7"/>
    <w:rsid w:val="00C02766"/>
    <w:rsid w:val="00C0303B"/>
    <w:rsid w:val="00C037F6"/>
    <w:rsid w:val="00C03B63"/>
    <w:rsid w:val="00C04304"/>
    <w:rsid w:val="00C04681"/>
    <w:rsid w:val="00C04FD3"/>
    <w:rsid w:val="00C050A1"/>
    <w:rsid w:val="00C058D0"/>
    <w:rsid w:val="00C05F4C"/>
    <w:rsid w:val="00C060C1"/>
    <w:rsid w:val="00C10000"/>
    <w:rsid w:val="00C10F4F"/>
    <w:rsid w:val="00C113B5"/>
    <w:rsid w:val="00C11814"/>
    <w:rsid w:val="00C11D11"/>
    <w:rsid w:val="00C11E2D"/>
    <w:rsid w:val="00C12C3A"/>
    <w:rsid w:val="00C1323F"/>
    <w:rsid w:val="00C13355"/>
    <w:rsid w:val="00C13967"/>
    <w:rsid w:val="00C13D64"/>
    <w:rsid w:val="00C13FA9"/>
    <w:rsid w:val="00C1475A"/>
    <w:rsid w:val="00C14C59"/>
    <w:rsid w:val="00C15633"/>
    <w:rsid w:val="00C15B94"/>
    <w:rsid w:val="00C166C0"/>
    <w:rsid w:val="00C16CF1"/>
    <w:rsid w:val="00C17FF9"/>
    <w:rsid w:val="00C2000F"/>
    <w:rsid w:val="00C20090"/>
    <w:rsid w:val="00C216B1"/>
    <w:rsid w:val="00C219D9"/>
    <w:rsid w:val="00C22329"/>
    <w:rsid w:val="00C22A9A"/>
    <w:rsid w:val="00C22DDE"/>
    <w:rsid w:val="00C22E2D"/>
    <w:rsid w:val="00C232A3"/>
    <w:rsid w:val="00C238E6"/>
    <w:rsid w:val="00C23A6D"/>
    <w:rsid w:val="00C240BE"/>
    <w:rsid w:val="00C244B0"/>
    <w:rsid w:val="00C245EC"/>
    <w:rsid w:val="00C257DA"/>
    <w:rsid w:val="00C25C24"/>
    <w:rsid w:val="00C264AE"/>
    <w:rsid w:val="00C26534"/>
    <w:rsid w:val="00C26A06"/>
    <w:rsid w:val="00C26BB5"/>
    <w:rsid w:val="00C3009B"/>
    <w:rsid w:val="00C309B5"/>
    <w:rsid w:val="00C30F4E"/>
    <w:rsid w:val="00C31510"/>
    <w:rsid w:val="00C31632"/>
    <w:rsid w:val="00C31F9F"/>
    <w:rsid w:val="00C32DDE"/>
    <w:rsid w:val="00C3315E"/>
    <w:rsid w:val="00C33A6F"/>
    <w:rsid w:val="00C33C91"/>
    <w:rsid w:val="00C33FCB"/>
    <w:rsid w:val="00C347E9"/>
    <w:rsid w:val="00C34A9D"/>
    <w:rsid w:val="00C358D3"/>
    <w:rsid w:val="00C35B11"/>
    <w:rsid w:val="00C35FAE"/>
    <w:rsid w:val="00C360CF"/>
    <w:rsid w:val="00C36EAB"/>
    <w:rsid w:val="00C3782F"/>
    <w:rsid w:val="00C37EA4"/>
    <w:rsid w:val="00C37F15"/>
    <w:rsid w:val="00C401B3"/>
    <w:rsid w:val="00C41FB5"/>
    <w:rsid w:val="00C42045"/>
    <w:rsid w:val="00C422F1"/>
    <w:rsid w:val="00C42463"/>
    <w:rsid w:val="00C431A5"/>
    <w:rsid w:val="00C43C27"/>
    <w:rsid w:val="00C4439F"/>
    <w:rsid w:val="00C45391"/>
    <w:rsid w:val="00C45628"/>
    <w:rsid w:val="00C45E8A"/>
    <w:rsid w:val="00C46052"/>
    <w:rsid w:val="00C4697D"/>
    <w:rsid w:val="00C46C68"/>
    <w:rsid w:val="00C47891"/>
    <w:rsid w:val="00C47FDB"/>
    <w:rsid w:val="00C50F51"/>
    <w:rsid w:val="00C51702"/>
    <w:rsid w:val="00C52BEE"/>
    <w:rsid w:val="00C532AC"/>
    <w:rsid w:val="00C535BA"/>
    <w:rsid w:val="00C53CB2"/>
    <w:rsid w:val="00C546CC"/>
    <w:rsid w:val="00C55F6F"/>
    <w:rsid w:val="00C5615B"/>
    <w:rsid w:val="00C5652B"/>
    <w:rsid w:val="00C56970"/>
    <w:rsid w:val="00C571B9"/>
    <w:rsid w:val="00C57316"/>
    <w:rsid w:val="00C5768A"/>
    <w:rsid w:val="00C577AB"/>
    <w:rsid w:val="00C578FB"/>
    <w:rsid w:val="00C60546"/>
    <w:rsid w:val="00C60811"/>
    <w:rsid w:val="00C60EA7"/>
    <w:rsid w:val="00C60F09"/>
    <w:rsid w:val="00C610AE"/>
    <w:rsid w:val="00C624D3"/>
    <w:rsid w:val="00C62674"/>
    <w:rsid w:val="00C62BBB"/>
    <w:rsid w:val="00C62D32"/>
    <w:rsid w:val="00C6342F"/>
    <w:rsid w:val="00C6369E"/>
    <w:rsid w:val="00C63901"/>
    <w:rsid w:val="00C63D99"/>
    <w:rsid w:val="00C64978"/>
    <w:rsid w:val="00C64EF7"/>
    <w:rsid w:val="00C657CA"/>
    <w:rsid w:val="00C66589"/>
    <w:rsid w:val="00C66D99"/>
    <w:rsid w:val="00C66DAE"/>
    <w:rsid w:val="00C67404"/>
    <w:rsid w:val="00C677A7"/>
    <w:rsid w:val="00C67D0A"/>
    <w:rsid w:val="00C7023C"/>
    <w:rsid w:val="00C70381"/>
    <w:rsid w:val="00C70AFB"/>
    <w:rsid w:val="00C71054"/>
    <w:rsid w:val="00C71107"/>
    <w:rsid w:val="00C712A4"/>
    <w:rsid w:val="00C719FA"/>
    <w:rsid w:val="00C71E1F"/>
    <w:rsid w:val="00C72028"/>
    <w:rsid w:val="00C7324A"/>
    <w:rsid w:val="00C73DC6"/>
    <w:rsid w:val="00C73ED0"/>
    <w:rsid w:val="00C7495D"/>
    <w:rsid w:val="00C74CBA"/>
    <w:rsid w:val="00C767AE"/>
    <w:rsid w:val="00C76C0F"/>
    <w:rsid w:val="00C76C10"/>
    <w:rsid w:val="00C76F7C"/>
    <w:rsid w:val="00C80D0A"/>
    <w:rsid w:val="00C80D5E"/>
    <w:rsid w:val="00C80DF7"/>
    <w:rsid w:val="00C8179B"/>
    <w:rsid w:val="00C83D29"/>
    <w:rsid w:val="00C84431"/>
    <w:rsid w:val="00C8457E"/>
    <w:rsid w:val="00C845E4"/>
    <w:rsid w:val="00C84FBA"/>
    <w:rsid w:val="00C85285"/>
    <w:rsid w:val="00C859AB"/>
    <w:rsid w:val="00C85A5D"/>
    <w:rsid w:val="00C861E7"/>
    <w:rsid w:val="00C862D7"/>
    <w:rsid w:val="00C86912"/>
    <w:rsid w:val="00C86BED"/>
    <w:rsid w:val="00C87196"/>
    <w:rsid w:val="00C878B9"/>
    <w:rsid w:val="00C87995"/>
    <w:rsid w:val="00C90B96"/>
    <w:rsid w:val="00C91019"/>
    <w:rsid w:val="00C91C1B"/>
    <w:rsid w:val="00C91FFD"/>
    <w:rsid w:val="00C9250C"/>
    <w:rsid w:val="00C92527"/>
    <w:rsid w:val="00C9366A"/>
    <w:rsid w:val="00C937DB"/>
    <w:rsid w:val="00C94275"/>
    <w:rsid w:val="00C94FD3"/>
    <w:rsid w:val="00C950E7"/>
    <w:rsid w:val="00C9599A"/>
    <w:rsid w:val="00C95BD9"/>
    <w:rsid w:val="00C96470"/>
    <w:rsid w:val="00C96FD9"/>
    <w:rsid w:val="00C96FF8"/>
    <w:rsid w:val="00C9762C"/>
    <w:rsid w:val="00CA073E"/>
    <w:rsid w:val="00CA0B34"/>
    <w:rsid w:val="00CA18E4"/>
    <w:rsid w:val="00CA1C86"/>
    <w:rsid w:val="00CA24D5"/>
    <w:rsid w:val="00CA274C"/>
    <w:rsid w:val="00CA27ED"/>
    <w:rsid w:val="00CA2B34"/>
    <w:rsid w:val="00CA3A4F"/>
    <w:rsid w:val="00CA3C06"/>
    <w:rsid w:val="00CA3E39"/>
    <w:rsid w:val="00CA4631"/>
    <w:rsid w:val="00CA48ED"/>
    <w:rsid w:val="00CA5344"/>
    <w:rsid w:val="00CA55EB"/>
    <w:rsid w:val="00CA5974"/>
    <w:rsid w:val="00CA6BD1"/>
    <w:rsid w:val="00CA6EF6"/>
    <w:rsid w:val="00CA72ED"/>
    <w:rsid w:val="00CA75CA"/>
    <w:rsid w:val="00CA7DDD"/>
    <w:rsid w:val="00CB0A5C"/>
    <w:rsid w:val="00CB0ED9"/>
    <w:rsid w:val="00CB104A"/>
    <w:rsid w:val="00CB1875"/>
    <w:rsid w:val="00CB2068"/>
    <w:rsid w:val="00CB25E8"/>
    <w:rsid w:val="00CB2937"/>
    <w:rsid w:val="00CB2C09"/>
    <w:rsid w:val="00CB315B"/>
    <w:rsid w:val="00CB34A7"/>
    <w:rsid w:val="00CB43AE"/>
    <w:rsid w:val="00CB4B73"/>
    <w:rsid w:val="00CB5421"/>
    <w:rsid w:val="00CB56B4"/>
    <w:rsid w:val="00CB5F83"/>
    <w:rsid w:val="00CB75B3"/>
    <w:rsid w:val="00CB7637"/>
    <w:rsid w:val="00CB775E"/>
    <w:rsid w:val="00CC02D3"/>
    <w:rsid w:val="00CC03DD"/>
    <w:rsid w:val="00CC0F2A"/>
    <w:rsid w:val="00CC102D"/>
    <w:rsid w:val="00CC1136"/>
    <w:rsid w:val="00CC1141"/>
    <w:rsid w:val="00CC12D9"/>
    <w:rsid w:val="00CC1D00"/>
    <w:rsid w:val="00CC1F7C"/>
    <w:rsid w:val="00CC2200"/>
    <w:rsid w:val="00CC2402"/>
    <w:rsid w:val="00CC249F"/>
    <w:rsid w:val="00CC254B"/>
    <w:rsid w:val="00CC2868"/>
    <w:rsid w:val="00CC452E"/>
    <w:rsid w:val="00CC45DB"/>
    <w:rsid w:val="00CC4746"/>
    <w:rsid w:val="00CC62DB"/>
    <w:rsid w:val="00CC6367"/>
    <w:rsid w:val="00CC6445"/>
    <w:rsid w:val="00CC66D6"/>
    <w:rsid w:val="00CC6CB9"/>
    <w:rsid w:val="00CC6EA9"/>
    <w:rsid w:val="00CC7295"/>
    <w:rsid w:val="00CC7D84"/>
    <w:rsid w:val="00CD075B"/>
    <w:rsid w:val="00CD10B0"/>
    <w:rsid w:val="00CD13AE"/>
    <w:rsid w:val="00CD19E4"/>
    <w:rsid w:val="00CD1C0B"/>
    <w:rsid w:val="00CD1D70"/>
    <w:rsid w:val="00CD1FAC"/>
    <w:rsid w:val="00CD3064"/>
    <w:rsid w:val="00CD396B"/>
    <w:rsid w:val="00CD3EEC"/>
    <w:rsid w:val="00CD471D"/>
    <w:rsid w:val="00CD49B4"/>
    <w:rsid w:val="00CD550D"/>
    <w:rsid w:val="00CD5A10"/>
    <w:rsid w:val="00CD6435"/>
    <w:rsid w:val="00CD6DB7"/>
    <w:rsid w:val="00CD7C95"/>
    <w:rsid w:val="00CD7C9D"/>
    <w:rsid w:val="00CD7EFB"/>
    <w:rsid w:val="00CD7F09"/>
    <w:rsid w:val="00CE0105"/>
    <w:rsid w:val="00CE0300"/>
    <w:rsid w:val="00CE1155"/>
    <w:rsid w:val="00CE12A3"/>
    <w:rsid w:val="00CE14F0"/>
    <w:rsid w:val="00CE24CA"/>
    <w:rsid w:val="00CE2E9F"/>
    <w:rsid w:val="00CE2FE7"/>
    <w:rsid w:val="00CE37F3"/>
    <w:rsid w:val="00CE4CF7"/>
    <w:rsid w:val="00CE4ED6"/>
    <w:rsid w:val="00CE51DB"/>
    <w:rsid w:val="00CE54F0"/>
    <w:rsid w:val="00CE55BE"/>
    <w:rsid w:val="00CE6766"/>
    <w:rsid w:val="00CE67A2"/>
    <w:rsid w:val="00CE6C7C"/>
    <w:rsid w:val="00CE73E4"/>
    <w:rsid w:val="00CF1154"/>
    <w:rsid w:val="00CF15AC"/>
    <w:rsid w:val="00CF167F"/>
    <w:rsid w:val="00CF1B4C"/>
    <w:rsid w:val="00CF1CCD"/>
    <w:rsid w:val="00CF208D"/>
    <w:rsid w:val="00CF2D77"/>
    <w:rsid w:val="00CF3AC7"/>
    <w:rsid w:val="00CF3B13"/>
    <w:rsid w:val="00CF4482"/>
    <w:rsid w:val="00CF4976"/>
    <w:rsid w:val="00CF4CE8"/>
    <w:rsid w:val="00CF4D4E"/>
    <w:rsid w:val="00CF4D73"/>
    <w:rsid w:val="00CF5380"/>
    <w:rsid w:val="00CF5819"/>
    <w:rsid w:val="00CF5A4D"/>
    <w:rsid w:val="00CF5D57"/>
    <w:rsid w:val="00CF6273"/>
    <w:rsid w:val="00CF6749"/>
    <w:rsid w:val="00CF78D3"/>
    <w:rsid w:val="00CF7BDD"/>
    <w:rsid w:val="00D00065"/>
    <w:rsid w:val="00D0097B"/>
    <w:rsid w:val="00D00C8F"/>
    <w:rsid w:val="00D019B6"/>
    <w:rsid w:val="00D01F1F"/>
    <w:rsid w:val="00D0208F"/>
    <w:rsid w:val="00D0213B"/>
    <w:rsid w:val="00D02197"/>
    <w:rsid w:val="00D02456"/>
    <w:rsid w:val="00D02A2E"/>
    <w:rsid w:val="00D02B82"/>
    <w:rsid w:val="00D02C08"/>
    <w:rsid w:val="00D03158"/>
    <w:rsid w:val="00D03386"/>
    <w:rsid w:val="00D044E7"/>
    <w:rsid w:val="00D04DF2"/>
    <w:rsid w:val="00D0503E"/>
    <w:rsid w:val="00D05697"/>
    <w:rsid w:val="00D060D7"/>
    <w:rsid w:val="00D06E4B"/>
    <w:rsid w:val="00D06EBF"/>
    <w:rsid w:val="00D074F2"/>
    <w:rsid w:val="00D07FBC"/>
    <w:rsid w:val="00D1019A"/>
    <w:rsid w:val="00D1025C"/>
    <w:rsid w:val="00D10EB7"/>
    <w:rsid w:val="00D11896"/>
    <w:rsid w:val="00D131B7"/>
    <w:rsid w:val="00D13A6B"/>
    <w:rsid w:val="00D13D1F"/>
    <w:rsid w:val="00D15A2A"/>
    <w:rsid w:val="00D16A60"/>
    <w:rsid w:val="00D1720C"/>
    <w:rsid w:val="00D177FE"/>
    <w:rsid w:val="00D178A2"/>
    <w:rsid w:val="00D217FD"/>
    <w:rsid w:val="00D21EE1"/>
    <w:rsid w:val="00D221B8"/>
    <w:rsid w:val="00D231CE"/>
    <w:rsid w:val="00D24329"/>
    <w:rsid w:val="00D248E2"/>
    <w:rsid w:val="00D24C27"/>
    <w:rsid w:val="00D25340"/>
    <w:rsid w:val="00D25412"/>
    <w:rsid w:val="00D25843"/>
    <w:rsid w:val="00D258CD"/>
    <w:rsid w:val="00D2597E"/>
    <w:rsid w:val="00D25F1C"/>
    <w:rsid w:val="00D25F1E"/>
    <w:rsid w:val="00D262CE"/>
    <w:rsid w:val="00D26397"/>
    <w:rsid w:val="00D26545"/>
    <w:rsid w:val="00D26B8F"/>
    <w:rsid w:val="00D273BC"/>
    <w:rsid w:val="00D27805"/>
    <w:rsid w:val="00D27D73"/>
    <w:rsid w:val="00D31416"/>
    <w:rsid w:val="00D31819"/>
    <w:rsid w:val="00D31999"/>
    <w:rsid w:val="00D31ACB"/>
    <w:rsid w:val="00D31FC4"/>
    <w:rsid w:val="00D32552"/>
    <w:rsid w:val="00D32D36"/>
    <w:rsid w:val="00D32F20"/>
    <w:rsid w:val="00D339A6"/>
    <w:rsid w:val="00D33D2B"/>
    <w:rsid w:val="00D33D5D"/>
    <w:rsid w:val="00D34EFF"/>
    <w:rsid w:val="00D35389"/>
    <w:rsid w:val="00D35468"/>
    <w:rsid w:val="00D35724"/>
    <w:rsid w:val="00D35A33"/>
    <w:rsid w:val="00D3674B"/>
    <w:rsid w:val="00D36F88"/>
    <w:rsid w:val="00D3772E"/>
    <w:rsid w:val="00D37767"/>
    <w:rsid w:val="00D406E5"/>
    <w:rsid w:val="00D407A1"/>
    <w:rsid w:val="00D40C9E"/>
    <w:rsid w:val="00D40F03"/>
    <w:rsid w:val="00D4261F"/>
    <w:rsid w:val="00D428E7"/>
    <w:rsid w:val="00D42B41"/>
    <w:rsid w:val="00D430D9"/>
    <w:rsid w:val="00D44137"/>
    <w:rsid w:val="00D448D7"/>
    <w:rsid w:val="00D44A0C"/>
    <w:rsid w:val="00D44CF2"/>
    <w:rsid w:val="00D4556C"/>
    <w:rsid w:val="00D45CDD"/>
    <w:rsid w:val="00D46622"/>
    <w:rsid w:val="00D46C83"/>
    <w:rsid w:val="00D4745E"/>
    <w:rsid w:val="00D47A81"/>
    <w:rsid w:val="00D514B9"/>
    <w:rsid w:val="00D521A5"/>
    <w:rsid w:val="00D529DD"/>
    <w:rsid w:val="00D52C1A"/>
    <w:rsid w:val="00D52CBA"/>
    <w:rsid w:val="00D53750"/>
    <w:rsid w:val="00D54187"/>
    <w:rsid w:val="00D54684"/>
    <w:rsid w:val="00D546D9"/>
    <w:rsid w:val="00D54BD9"/>
    <w:rsid w:val="00D54D82"/>
    <w:rsid w:val="00D551B5"/>
    <w:rsid w:val="00D553A3"/>
    <w:rsid w:val="00D554D1"/>
    <w:rsid w:val="00D55E57"/>
    <w:rsid w:val="00D55FFB"/>
    <w:rsid w:val="00D56197"/>
    <w:rsid w:val="00D56524"/>
    <w:rsid w:val="00D5679B"/>
    <w:rsid w:val="00D56828"/>
    <w:rsid w:val="00D56FC1"/>
    <w:rsid w:val="00D57675"/>
    <w:rsid w:val="00D57716"/>
    <w:rsid w:val="00D600CE"/>
    <w:rsid w:val="00D6036F"/>
    <w:rsid w:val="00D607E8"/>
    <w:rsid w:val="00D60E5B"/>
    <w:rsid w:val="00D6107B"/>
    <w:rsid w:val="00D614B5"/>
    <w:rsid w:val="00D6255F"/>
    <w:rsid w:val="00D62B76"/>
    <w:rsid w:val="00D62CE4"/>
    <w:rsid w:val="00D62EEB"/>
    <w:rsid w:val="00D630DD"/>
    <w:rsid w:val="00D6358D"/>
    <w:rsid w:val="00D64E62"/>
    <w:rsid w:val="00D6575D"/>
    <w:rsid w:val="00D66268"/>
    <w:rsid w:val="00D6632D"/>
    <w:rsid w:val="00D66341"/>
    <w:rsid w:val="00D67185"/>
    <w:rsid w:val="00D6784A"/>
    <w:rsid w:val="00D67881"/>
    <w:rsid w:val="00D67D51"/>
    <w:rsid w:val="00D67E7D"/>
    <w:rsid w:val="00D67ED3"/>
    <w:rsid w:val="00D70587"/>
    <w:rsid w:val="00D70B16"/>
    <w:rsid w:val="00D70C29"/>
    <w:rsid w:val="00D71033"/>
    <w:rsid w:val="00D7121E"/>
    <w:rsid w:val="00D712DF"/>
    <w:rsid w:val="00D72580"/>
    <w:rsid w:val="00D7403D"/>
    <w:rsid w:val="00D74698"/>
    <w:rsid w:val="00D749B7"/>
    <w:rsid w:val="00D74B4E"/>
    <w:rsid w:val="00D752D2"/>
    <w:rsid w:val="00D757FB"/>
    <w:rsid w:val="00D764B6"/>
    <w:rsid w:val="00D77511"/>
    <w:rsid w:val="00D805A5"/>
    <w:rsid w:val="00D80B10"/>
    <w:rsid w:val="00D80C72"/>
    <w:rsid w:val="00D81608"/>
    <w:rsid w:val="00D81A54"/>
    <w:rsid w:val="00D81CE2"/>
    <w:rsid w:val="00D820A1"/>
    <w:rsid w:val="00D821CD"/>
    <w:rsid w:val="00D82277"/>
    <w:rsid w:val="00D82A40"/>
    <w:rsid w:val="00D837E6"/>
    <w:rsid w:val="00D83BF2"/>
    <w:rsid w:val="00D83D89"/>
    <w:rsid w:val="00D84899"/>
    <w:rsid w:val="00D84ECC"/>
    <w:rsid w:val="00D86F21"/>
    <w:rsid w:val="00D87977"/>
    <w:rsid w:val="00D87C7F"/>
    <w:rsid w:val="00D90140"/>
    <w:rsid w:val="00D901A2"/>
    <w:rsid w:val="00D91622"/>
    <w:rsid w:val="00D91766"/>
    <w:rsid w:val="00D919FB"/>
    <w:rsid w:val="00D92382"/>
    <w:rsid w:val="00D94A7D"/>
    <w:rsid w:val="00D94FD2"/>
    <w:rsid w:val="00D954D0"/>
    <w:rsid w:val="00D95870"/>
    <w:rsid w:val="00D95AA8"/>
    <w:rsid w:val="00D96400"/>
    <w:rsid w:val="00D96F2A"/>
    <w:rsid w:val="00D97B08"/>
    <w:rsid w:val="00D97EE7"/>
    <w:rsid w:val="00DA0A59"/>
    <w:rsid w:val="00DA1394"/>
    <w:rsid w:val="00DA2127"/>
    <w:rsid w:val="00DA2285"/>
    <w:rsid w:val="00DA2639"/>
    <w:rsid w:val="00DA2DC1"/>
    <w:rsid w:val="00DA2DCA"/>
    <w:rsid w:val="00DA3695"/>
    <w:rsid w:val="00DA3759"/>
    <w:rsid w:val="00DA39F5"/>
    <w:rsid w:val="00DA4437"/>
    <w:rsid w:val="00DA4CA0"/>
    <w:rsid w:val="00DA4FE2"/>
    <w:rsid w:val="00DA50D1"/>
    <w:rsid w:val="00DA5526"/>
    <w:rsid w:val="00DA6046"/>
    <w:rsid w:val="00DA7396"/>
    <w:rsid w:val="00DA7893"/>
    <w:rsid w:val="00DB1445"/>
    <w:rsid w:val="00DB1F6F"/>
    <w:rsid w:val="00DB20AB"/>
    <w:rsid w:val="00DB2BA2"/>
    <w:rsid w:val="00DB2BAF"/>
    <w:rsid w:val="00DB2EA9"/>
    <w:rsid w:val="00DB3798"/>
    <w:rsid w:val="00DB3A2E"/>
    <w:rsid w:val="00DB3D77"/>
    <w:rsid w:val="00DB4812"/>
    <w:rsid w:val="00DB49F4"/>
    <w:rsid w:val="00DB4F88"/>
    <w:rsid w:val="00DB5078"/>
    <w:rsid w:val="00DB5636"/>
    <w:rsid w:val="00DB573B"/>
    <w:rsid w:val="00DB5778"/>
    <w:rsid w:val="00DB5A56"/>
    <w:rsid w:val="00DB6E6F"/>
    <w:rsid w:val="00DB7C77"/>
    <w:rsid w:val="00DC0B1F"/>
    <w:rsid w:val="00DC1752"/>
    <w:rsid w:val="00DC1AD1"/>
    <w:rsid w:val="00DC2348"/>
    <w:rsid w:val="00DC2DDB"/>
    <w:rsid w:val="00DC30E3"/>
    <w:rsid w:val="00DC3CFB"/>
    <w:rsid w:val="00DC41A7"/>
    <w:rsid w:val="00DC4711"/>
    <w:rsid w:val="00DC4A91"/>
    <w:rsid w:val="00DC4E9E"/>
    <w:rsid w:val="00DC53AE"/>
    <w:rsid w:val="00DC5472"/>
    <w:rsid w:val="00DC608E"/>
    <w:rsid w:val="00DC622A"/>
    <w:rsid w:val="00DC65E5"/>
    <w:rsid w:val="00DC701F"/>
    <w:rsid w:val="00DC7269"/>
    <w:rsid w:val="00DC7FED"/>
    <w:rsid w:val="00DD1025"/>
    <w:rsid w:val="00DD13BA"/>
    <w:rsid w:val="00DD1454"/>
    <w:rsid w:val="00DD1857"/>
    <w:rsid w:val="00DD1D7C"/>
    <w:rsid w:val="00DD1F54"/>
    <w:rsid w:val="00DD2053"/>
    <w:rsid w:val="00DD25C9"/>
    <w:rsid w:val="00DD3330"/>
    <w:rsid w:val="00DD34D6"/>
    <w:rsid w:val="00DD3997"/>
    <w:rsid w:val="00DD4290"/>
    <w:rsid w:val="00DD4306"/>
    <w:rsid w:val="00DD4FD1"/>
    <w:rsid w:val="00DD52D7"/>
    <w:rsid w:val="00DD53B2"/>
    <w:rsid w:val="00DD53FF"/>
    <w:rsid w:val="00DD5AB1"/>
    <w:rsid w:val="00DD6BB1"/>
    <w:rsid w:val="00DD7023"/>
    <w:rsid w:val="00DD7217"/>
    <w:rsid w:val="00DD75A7"/>
    <w:rsid w:val="00DD780D"/>
    <w:rsid w:val="00DD7861"/>
    <w:rsid w:val="00DE072F"/>
    <w:rsid w:val="00DE0B18"/>
    <w:rsid w:val="00DE2781"/>
    <w:rsid w:val="00DE33A6"/>
    <w:rsid w:val="00DE3B09"/>
    <w:rsid w:val="00DE4429"/>
    <w:rsid w:val="00DE4775"/>
    <w:rsid w:val="00DE4A0A"/>
    <w:rsid w:val="00DE552B"/>
    <w:rsid w:val="00DE56D3"/>
    <w:rsid w:val="00DE5D25"/>
    <w:rsid w:val="00DE6147"/>
    <w:rsid w:val="00DE62AC"/>
    <w:rsid w:val="00DE6EAB"/>
    <w:rsid w:val="00DE7243"/>
    <w:rsid w:val="00DE7302"/>
    <w:rsid w:val="00DE75A0"/>
    <w:rsid w:val="00DF00A8"/>
    <w:rsid w:val="00DF0263"/>
    <w:rsid w:val="00DF18E2"/>
    <w:rsid w:val="00DF1DCC"/>
    <w:rsid w:val="00DF21C2"/>
    <w:rsid w:val="00DF2504"/>
    <w:rsid w:val="00DF2E0C"/>
    <w:rsid w:val="00DF3013"/>
    <w:rsid w:val="00DF37D4"/>
    <w:rsid w:val="00DF3933"/>
    <w:rsid w:val="00DF3EFD"/>
    <w:rsid w:val="00DF4283"/>
    <w:rsid w:val="00DF4A1D"/>
    <w:rsid w:val="00DF4CA5"/>
    <w:rsid w:val="00DF6928"/>
    <w:rsid w:val="00DF6BFA"/>
    <w:rsid w:val="00DF77BF"/>
    <w:rsid w:val="00DF7AD5"/>
    <w:rsid w:val="00E00C89"/>
    <w:rsid w:val="00E01144"/>
    <w:rsid w:val="00E02228"/>
    <w:rsid w:val="00E0238F"/>
    <w:rsid w:val="00E02802"/>
    <w:rsid w:val="00E029C2"/>
    <w:rsid w:val="00E03725"/>
    <w:rsid w:val="00E03ABD"/>
    <w:rsid w:val="00E03B53"/>
    <w:rsid w:val="00E04501"/>
    <w:rsid w:val="00E04CE0"/>
    <w:rsid w:val="00E0555E"/>
    <w:rsid w:val="00E05C1D"/>
    <w:rsid w:val="00E0709C"/>
    <w:rsid w:val="00E07764"/>
    <w:rsid w:val="00E078D4"/>
    <w:rsid w:val="00E07961"/>
    <w:rsid w:val="00E07D50"/>
    <w:rsid w:val="00E1063E"/>
    <w:rsid w:val="00E10A14"/>
    <w:rsid w:val="00E118D0"/>
    <w:rsid w:val="00E11B63"/>
    <w:rsid w:val="00E11E0C"/>
    <w:rsid w:val="00E120DD"/>
    <w:rsid w:val="00E12A0B"/>
    <w:rsid w:val="00E13F7F"/>
    <w:rsid w:val="00E1431C"/>
    <w:rsid w:val="00E1559C"/>
    <w:rsid w:val="00E1576B"/>
    <w:rsid w:val="00E15DF2"/>
    <w:rsid w:val="00E16F41"/>
    <w:rsid w:val="00E172B3"/>
    <w:rsid w:val="00E210CE"/>
    <w:rsid w:val="00E21CAC"/>
    <w:rsid w:val="00E22175"/>
    <w:rsid w:val="00E22A26"/>
    <w:rsid w:val="00E22B48"/>
    <w:rsid w:val="00E23245"/>
    <w:rsid w:val="00E23406"/>
    <w:rsid w:val="00E235EC"/>
    <w:rsid w:val="00E23CF0"/>
    <w:rsid w:val="00E240B0"/>
    <w:rsid w:val="00E24423"/>
    <w:rsid w:val="00E24539"/>
    <w:rsid w:val="00E245EC"/>
    <w:rsid w:val="00E2500B"/>
    <w:rsid w:val="00E2506B"/>
    <w:rsid w:val="00E251B6"/>
    <w:rsid w:val="00E25E8A"/>
    <w:rsid w:val="00E25EDF"/>
    <w:rsid w:val="00E26D58"/>
    <w:rsid w:val="00E272D3"/>
    <w:rsid w:val="00E27569"/>
    <w:rsid w:val="00E27A76"/>
    <w:rsid w:val="00E306F0"/>
    <w:rsid w:val="00E30E7E"/>
    <w:rsid w:val="00E3129A"/>
    <w:rsid w:val="00E3193D"/>
    <w:rsid w:val="00E322C0"/>
    <w:rsid w:val="00E324D1"/>
    <w:rsid w:val="00E32D00"/>
    <w:rsid w:val="00E34A6E"/>
    <w:rsid w:val="00E35051"/>
    <w:rsid w:val="00E35CCE"/>
    <w:rsid w:val="00E35F9D"/>
    <w:rsid w:val="00E36367"/>
    <w:rsid w:val="00E368FC"/>
    <w:rsid w:val="00E36E62"/>
    <w:rsid w:val="00E36E70"/>
    <w:rsid w:val="00E37302"/>
    <w:rsid w:val="00E3732F"/>
    <w:rsid w:val="00E3751F"/>
    <w:rsid w:val="00E37670"/>
    <w:rsid w:val="00E377D0"/>
    <w:rsid w:val="00E37BE1"/>
    <w:rsid w:val="00E40AE9"/>
    <w:rsid w:val="00E410F3"/>
    <w:rsid w:val="00E4151C"/>
    <w:rsid w:val="00E41831"/>
    <w:rsid w:val="00E4188D"/>
    <w:rsid w:val="00E41A40"/>
    <w:rsid w:val="00E424CF"/>
    <w:rsid w:val="00E42637"/>
    <w:rsid w:val="00E42889"/>
    <w:rsid w:val="00E4306D"/>
    <w:rsid w:val="00E44182"/>
    <w:rsid w:val="00E44773"/>
    <w:rsid w:val="00E45776"/>
    <w:rsid w:val="00E45D5B"/>
    <w:rsid w:val="00E45FFB"/>
    <w:rsid w:val="00E4624B"/>
    <w:rsid w:val="00E47234"/>
    <w:rsid w:val="00E47743"/>
    <w:rsid w:val="00E47A8D"/>
    <w:rsid w:val="00E47F0B"/>
    <w:rsid w:val="00E506FF"/>
    <w:rsid w:val="00E51942"/>
    <w:rsid w:val="00E51CD8"/>
    <w:rsid w:val="00E51FB5"/>
    <w:rsid w:val="00E52357"/>
    <w:rsid w:val="00E52C2E"/>
    <w:rsid w:val="00E52C77"/>
    <w:rsid w:val="00E52D92"/>
    <w:rsid w:val="00E52DFA"/>
    <w:rsid w:val="00E52E25"/>
    <w:rsid w:val="00E532CB"/>
    <w:rsid w:val="00E53520"/>
    <w:rsid w:val="00E54148"/>
    <w:rsid w:val="00E54A0E"/>
    <w:rsid w:val="00E55737"/>
    <w:rsid w:val="00E560D2"/>
    <w:rsid w:val="00E56409"/>
    <w:rsid w:val="00E56D47"/>
    <w:rsid w:val="00E577B9"/>
    <w:rsid w:val="00E57D68"/>
    <w:rsid w:val="00E60387"/>
    <w:rsid w:val="00E608CB"/>
    <w:rsid w:val="00E61597"/>
    <w:rsid w:val="00E62CD2"/>
    <w:rsid w:val="00E62EB3"/>
    <w:rsid w:val="00E63440"/>
    <w:rsid w:val="00E63FC5"/>
    <w:rsid w:val="00E6497E"/>
    <w:rsid w:val="00E6538F"/>
    <w:rsid w:val="00E65F8C"/>
    <w:rsid w:val="00E66C79"/>
    <w:rsid w:val="00E66EE6"/>
    <w:rsid w:val="00E67828"/>
    <w:rsid w:val="00E7041D"/>
    <w:rsid w:val="00E70523"/>
    <w:rsid w:val="00E70ABB"/>
    <w:rsid w:val="00E70D99"/>
    <w:rsid w:val="00E70FCF"/>
    <w:rsid w:val="00E71098"/>
    <w:rsid w:val="00E710A0"/>
    <w:rsid w:val="00E71A4F"/>
    <w:rsid w:val="00E71C21"/>
    <w:rsid w:val="00E720F2"/>
    <w:rsid w:val="00E725A9"/>
    <w:rsid w:val="00E730B3"/>
    <w:rsid w:val="00E735A5"/>
    <w:rsid w:val="00E74132"/>
    <w:rsid w:val="00E75E23"/>
    <w:rsid w:val="00E75FC5"/>
    <w:rsid w:val="00E761C2"/>
    <w:rsid w:val="00E76AFD"/>
    <w:rsid w:val="00E77483"/>
    <w:rsid w:val="00E778CB"/>
    <w:rsid w:val="00E77CAC"/>
    <w:rsid w:val="00E8024D"/>
    <w:rsid w:val="00E8145E"/>
    <w:rsid w:val="00E814BA"/>
    <w:rsid w:val="00E815CC"/>
    <w:rsid w:val="00E81F5E"/>
    <w:rsid w:val="00E824A2"/>
    <w:rsid w:val="00E824FE"/>
    <w:rsid w:val="00E828F9"/>
    <w:rsid w:val="00E82A8D"/>
    <w:rsid w:val="00E82AD2"/>
    <w:rsid w:val="00E841C2"/>
    <w:rsid w:val="00E8487D"/>
    <w:rsid w:val="00E84E26"/>
    <w:rsid w:val="00E853F8"/>
    <w:rsid w:val="00E85421"/>
    <w:rsid w:val="00E85894"/>
    <w:rsid w:val="00E85A95"/>
    <w:rsid w:val="00E8602F"/>
    <w:rsid w:val="00E86239"/>
    <w:rsid w:val="00E8647C"/>
    <w:rsid w:val="00E8665D"/>
    <w:rsid w:val="00E87BE2"/>
    <w:rsid w:val="00E90FE2"/>
    <w:rsid w:val="00E9119A"/>
    <w:rsid w:val="00E924ED"/>
    <w:rsid w:val="00E92828"/>
    <w:rsid w:val="00E933C0"/>
    <w:rsid w:val="00E94E23"/>
    <w:rsid w:val="00E953A0"/>
    <w:rsid w:val="00E96265"/>
    <w:rsid w:val="00E96382"/>
    <w:rsid w:val="00E970A0"/>
    <w:rsid w:val="00E97480"/>
    <w:rsid w:val="00E97905"/>
    <w:rsid w:val="00E9792B"/>
    <w:rsid w:val="00E979F4"/>
    <w:rsid w:val="00EA01DE"/>
    <w:rsid w:val="00EA022F"/>
    <w:rsid w:val="00EA038A"/>
    <w:rsid w:val="00EA0B64"/>
    <w:rsid w:val="00EA218E"/>
    <w:rsid w:val="00EA23AF"/>
    <w:rsid w:val="00EA2B1B"/>
    <w:rsid w:val="00EA2F47"/>
    <w:rsid w:val="00EA32AD"/>
    <w:rsid w:val="00EA3484"/>
    <w:rsid w:val="00EA39BF"/>
    <w:rsid w:val="00EA3AEB"/>
    <w:rsid w:val="00EA3C49"/>
    <w:rsid w:val="00EA3F49"/>
    <w:rsid w:val="00EA4FE4"/>
    <w:rsid w:val="00EA50E2"/>
    <w:rsid w:val="00EA54A1"/>
    <w:rsid w:val="00EA5C6F"/>
    <w:rsid w:val="00EA5CE0"/>
    <w:rsid w:val="00EA629C"/>
    <w:rsid w:val="00EA66BA"/>
    <w:rsid w:val="00EA6A4E"/>
    <w:rsid w:val="00EA6A92"/>
    <w:rsid w:val="00EB1095"/>
    <w:rsid w:val="00EB2B23"/>
    <w:rsid w:val="00EB3298"/>
    <w:rsid w:val="00EB3F5F"/>
    <w:rsid w:val="00EB3FAF"/>
    <w:rsid w:val="00EB4615"/>
    <w:rsid w:val="00EB4B4F"/>
    <w:rsid w:val="00EB4DAE"/>
    <w:rsid w:val="00EB594E"/>
    <w:rsid w:val="00EB6175"/>
    <w:rsid w:val="00EB61D0"/>
    <w:rsid w:val="00EB6646"/>
    <w:rsid w:val="00EB68C2"/>
    <w:rsid w:val="00EB6F6F"/>
    <w:rsid w:val="00EC010C"/>
    <w:rsid w:val="00EC0732"/>
    <w:rsid w:val="00EC099D"/>
    <w:rsid w:val="00EC0BDB"/>
    <w:rsid w:val="00EC14D2"/>
    <w:rsid w:val="00EC2917"/>
    <w:rsid w:val="00EC326D"/>
    <w:rsid w:val="00EC33BA"/>
    <w:rsid w:val="00EC4E5F"/>
    <w:rsid w:val="00EC4FD8"/>
    <w:rsid w:val="00EC568C"/>
    <w:rsid w:val="00EC5E37"/>
    <w:rsid w:val="00EC5F26"/>
    <w:rsid w:val="00EC6DD1"/>
    <w:rsid w:val="00EC717B"/>
    <w:rsid w:val="00EC78FF"/>
    <w:rsid w:val="00ED13BE"/>
    <w:rsid w:val="00ED1A8E"/>
    <w:rsid w:val="00ED2731"/>
    <w:rsid w:val="00ED2A84"/>
    <w:rsid w:val="00ED31CE"/>
    <w:rsid w:val="00ED3B2B"/>
    <w:rsid w:val="00ED3FEC"/>
    <w:rsid w:val="00ED4A27"/>
    <w:rsid w:val="00ED4DA9"/>
    <w:rsid w:val="00ED518B"/>
    <w:rsid w:val="00ED5AD3"/>
    <w:rsid w:val="00ED5ADB"/>
    <w:rsid w:val="00ED6974"/>
    <w:rsid w:val="00ED733F"/>
    <w:rsid w:val="00ED7AF0"/>
    <w:rsid w:val="00EE0744"/>
    <w:rsid w:val="00EE09F9"/>
    <w:rsid w:val="00EE1A70"/>
    <w:rsid w:val="00EE2284"/>
    <w:rsid w:val="00EE249F"/>
    <w:rsid w:val="00EE308A"/>
    <w:rsid w:val="00EE317C"/>
    <w:rsid w:val="00EE3415"/>
    <w:rsid w:val="00EE350C"/>
    <w:rsid w:val="00EE41BB"/>
    <w:rsid w:val="00EE517A"/>
    <w:rsid w:val="00EE5AFA"/>
    <w:rsid w:val="00EE7AAC"/>
    <w:rsid w:val="00EF0676"/>
    <w:rsid w:val="00EF125B"/>
    <w:rsid w:val="00EF1826"/>
    <w:rsid w:val="00EF1E41"/>
    <w:rsid w:val="00EF2053"/>
    <w:rsid w:val="00EF27BD"/>
    <w:rsid w:val="00EF2C2E"/>
    <w:rsid w:val="00EF2DE2"/>
    <w:rsid w:val="00EF3831"/>
    <w:rsid w:val="00EF3855"/>
    <w:rsid w:val="00EF3FAD"/>
    <w:rsid w:val="00EF5088"/>
    <w:rsid w:val="00EF589D"/>
    <w:rsid w:val="00EF5AEA"/>
    <w:rsid w:val="00EF5B53"/>
    <w:rsid w:val="00EF6439"/>
    <w:rsid w:val="00EF6796"/>
    <w:rsid w:val="00EF6A85"/>
    <w:rsid w:val="00EF72F3"/>
    <w:rsid w:val="00F001F2"/>
    <w:rsid w:val="00F00F17"/>
    <w:rsid w:val="00F01BF2"/>
    <w:rsid w:val="00F02096"/>
    <w:rsid w:val="00F0276F"/>
    <w:rsid w:val="00F02CCC"/>
    <w:rsid w:val="00F03403"/>
    <w:rsid w:val="00F04294"/>
    <w:rsid w:val="00F050EB"/>
    <w:rsid w:val="00F052FE"/>
    <w:rsid w:val="00F059D1"/>
    <w:rsid w:val="00F05A30"/>
    <w:rsid w:val="00F06DEB"/>
    <w:rsid w:val="00F06EC9"/>
    <w:rsid w:val="00F070C1"/>
    <w:rsid w:val="00F07BC0"/>
    <w:rsid w:val="00F07C5B"/>
    <w:rsid w:val="00F1001D"/>
    <w:rsid w:val="00F103F3"/>
    <w:rsid w:val="00F10AEA"/>
    <w:rsid w:val="00F10C7B"/>
    <w:rsid w:val="00F10E6B"/>
    <w:rsid w:val="00F11AD2"/>
    <w:rsid w:val="00F11C69"/>
    <w:rsid w:val="00F121C0"/>
    <w:rsid w:val="00F121C3"/>
    <w:rsid w:val="00F12394"/>
    <w:rsid w:val="00F12707"/>
    <w:rsid w:val="00F12981"/>
    <w:rsid w:val="00F13426"/>
    <w:rsid w:val="00F136C4"/>
    <w:rsid w:val="00F13A9C"/>
    <w:rsid w:val="00F13BFA"/>
    <w:rsid w:val="00F1435D"/>
    <w:rsid w:val="00F14FB2"/>
    <w:rsid w:val="00F15164"/>
    <w:rsid w:val="00F1524A"/>
    <w:rsid w:val="00F15B58"/>
    <w:rsid w:val="00F15DC4"/>
    <w:rsid w:val="00F1617C"/>
    <w:rsid w:val="00F175B6"/>
    <w:rsid w:val="00F17E30"/>
    <w:rsid w:val="00F20592"/>
    <w:rsid w:val="00F2130C"/>
    <w:rsid w:val="00F22213"/>
    <w:rsid w:val="00F22E57"/>
    <w:rsid w:val="00F23B72"/>
    <w:rsid w:val="00F2416A"/>
    <w:rsid w:val="00F24634"/>
    <w:rsid w:val="00F25058"/>
    <w:rsid w:val="00F252F6"/>
    <w:rsid w:val="00F25E21"/>
    <w:rsid w:val="00F260E7"/>
    <w:rsid w:val="00F265C0"/>
    <w:rsid w:val="00F27144"/>
    <w:rsid w:val="00F278FB"/>
    <w:rsid w:val="00F27F16"/>
    <w:rsid w:val="00F27FC1"/>
    <w:rsid w:val="00F3039E"/>
    <w:rsid w:val="00F31A59"/>
    <w:rsid w:val="00F31B4D"/>
    <w:rsid w:val="00F32C49"/>
    <w:rsid w:val="00F32FE6"/>
    <w:rsid w:val="00F336FA"/>
    <w:rsid w:val="00F33928"/>
    <w:rsid w:val="00F348FA"/>
    <w:rsid w:val="00F3537B"/>
    <w:rsid w:val="00F35670"/>
    <w:rsid w:val="00F35ADF"/>
    <w:rsid w:val="00F371C4"/>
    <w:rsid w:val="00F3735C"/>
    <w:rsid w:val="00F40054"/>
    <w:rsid w:val="00F405F4"/>
    <w:rsid w:val="00F40C92"/>
    <w:rsid w:val="00F42F26"/>
    <w:rsid w:val="00F4340D"/>
    <w:rsid w:val="00F43E52"/>
    <w:rsid w:val="00F45319"/>
    <w:rsid w:val="00F46159"/>
    <w:rsid w:val="00F468B6"/>
    <w:rsid w:val="00F4781E"/>
    <w:rsid w:val="00F500EA"/>
    <w:rsid w:val="00F50411"/>
    <w:rsid w:val="00F50615"/>
    <w:rsid w:val="00F5092D"/>
    <w:rsid w:val="00F5166F"/>
    <w:rsid w:val="00F516D6"/>
    <w:rsid w:val="00F52AC4"/>
    <w:rsid w:val="00F53AA5"/>
    <w:rsid w:val="00F53AE3"/>
    <w:rsid w:val="00F53F4A"/>
    <w:rsid w:val="00F54459"/>
    <w:rsid w:val="00F5486E"/>
    <w:rsid w:val="00F54B34"/>
    <w:rsid w:val="00F54E3D"/>
    <w:rsid w:val="00F5543E"/>
    <w:rsid w:val="00F55475"/>
    <w:rsid w:val="00F55A26"/>
    <w:rsid w:val="00F55D8B"/>
    <w:rsid w:val="00F56219"/>
    <w:rsid w:val="00F56B06"/>
    <w:rsid w:val="00F56B15"/>
    <w:rsid w:val="00F570FC"/>
    <w:rsid w:val="00F57196"/>
    <w:rsid w:val="00F57677"/>
    <w:rsid w:val="00F57C0D"/>
    <w:rsid w:val="00F57E5B"/>
    <w:rsid w:val="00F60261"/>
    <w:rsid w:val="00F6036D"/>
    <w:rsid w:val="00F60887"/>
    <w:rsid w:val="00F6113B"/>
    <w:rsid w:val="00F61A95"/>
    <w:rsid w:val="00F63571"/>
    <w:rsid w:val="00F63846"/>
    <w:rsid w:val="00F63A44"/>
    <w:rsid w:val="00F63C0A"/>
    <w:rsid w:val="00F640DF"/>
    <w:rsid w:val="00F651D0"/>
    <w:rsid w:val="00F652D4"/>
    <w:rsid w:val="00F654F5"/>
    <w:rsid w:val="00F65666"/>
    <w:rsid w:val="00F6592B"/>
    <w:rsid w:val="00F65DDB"/>
    <w:rsid w:val="00F66BC3"/>
    <w:rsid w:val="00F67094"/>
    <w:rsid w:val="00F67787"/>
    <w:rsid w:val="00F70366"/>
    <w:rsid w:val="00F70770"/>
    <w:rsid w:val="00F7156C"/>
    <w:rsid w:val="00F7187B"/>
    <w:rsid w:val="00F725D5"/>
    <w:rsid w:val="00F73405"/>
    <w:rsid w:val="00F7382E"/>
    <w:rsid w:val="00F74B7A"/>
    <w:rsid w:val="00F74DDE"/>
    <w:rsid w:val="00F75DD6"/>
    <w:rsid w:val="00F76370"/>
    <w:rsid w:val="00F765E8"/>
    <w:rsid w:val="00F77BD5"/>
    <w:rsid w:val="00F8016D"/>
    <w:rsid w:val="00F80B37"/>
    <w:rsid w:val="00F80BFC"/>
    <w:rsid w:val="00F8127A"/>
    <w:rsid w:val="00F8129C"/>
    <w:rsid w:val="00F81B33"/>
    <w:rsid w:val="00F81DE0"/>
    <w:rsid w:val="00F82644"/>
    <w:rsid w:val="00F8267D"/>
    <w:rsid w:val="00F82951"/>
    <w:rsid w:val="00F82CA8"/>
    <w:rsid w:val="00F831BA"/>
    <w:rsid w:val="00F83C9B"/>
    <w:rsid w:val="00F859FC"/>
    <w:rsid w:val="00F861A9"/>
    <w:rsid w:val="00F865D3"/>
    <w:rsid w:val="00F86698"/>
    <w:rsid w:val="00F869DB"/>
    <w:rsid w:val="00F8729B"/>
    <w:rsid w:val="00F90407"/>
    <w:rsid w:val="00F90E00"/>
    <w:rsid w:val="00F91068"/>
    <w:rsid w:val="00F916DD"/>
    <w:rsid w:val="00F91CA3"/>
    <w:rsid w:val="00F92EA6"/>
    <w:rsid w:val="00F92FE1"/>
    <w:rsid w:val="00F93382"/>
    <w:rsid w:val="00F9361C"/>
    <w:rsid w:val="00F93954"/>
    <w:rsid w:val="00F9433D"/>
    <w:rsid w:val="00F9437B"/>
    <w:rsid w:val="00F95639"/>
    <w:rsid w:val="00F95EE6"/>
    <w:rsid w:val="00F96956"/>
    <w:rsid w:val="00F970D7"/>
    <w:rsid w:val="00F97790"/>
    <w:rsid w:val="00FA1F22"/>
    <w:rsid w:val="00FA23A5"/>
    <w:rsid w:val="00FA27AD"/>
    <w:rsid w:val="00FA2C22"/>
    <w:rsid w:val="00FA2E55"/>
    <w:rsid w:val="00FA2F0B"/>
    <w:rsid w:val="00FA3141"/>
    <w:rsid w:val="00FA32BF"/>
    <w:rsid w:val="00FA363E"/>
    <w:rsid w:val="00FA3BD2"/>
    <w:rsid w:val="00FA42CC"/>
    <w:rsid w:val="00FA446E"/>
    <w:rsid w:val="00FA5F53"/>
    <w:rsid w:val="00FA62BC"/>
    <w:rsid w:val="00FA63EE"/>
    <w:rsid w:val="00FA6C6F"/>
    <w:rsid w:val="00FA6CD6"/>
    <w:rsid w:val="00FA6E7F"/>
    <w:rsid w:val="00FA71A3"/>
    <w:rsid w:val="00FA71A4"/>
    <w:rsid w:val="00FA7A96"/>
    <w:rsid w:val="00FA7C65"/>
    <w:rsid w:val="00FB0C70"/>
    <w:rsid w:val="00FB2296"/>
    <w:rsid w:val="00FB22DB"/>
    <w:rsid w:val="00FB3325"/>
    <w:rsid w:val="00FB3334"/>
    <w:rsid w:val="00FB3FD9"/>
    <w:rsid w:val="00FB44D5"/>
    <w:rsid w:val="00FB460C"/>
    <w:rsid w:val="00FB466A"/>
    <w:rsid w:val="00FB4830"/>
    <w:rsid w:val="00FB4E67"/>
    <w:rsid w:val="00FB740A"/>
    <w:rsid w:val="00FC08D2"/>
    <w:rsid w:val="00FC110D"/>
    <w:rsid w:val="00FC2E33"/>
    <w:rsid w:val="00FC2F64"/>
    <w:rsid w:val="00FC420A"/>
    <w:rsid w:val="00FC4A07"/>
    <w:rsid w:val="00FC4F98"/>
    <w:rsid w:val="00FC56B2"/>
    <w:rsid w:val="00FC5B63"/>
    <w:rsid w:val="00FC6168"/>
    <w:rsid w:val="00FC6DC2"/>
    <w:rsid w:val="00FC6E14"/>
    <w:rsid w:val="00FC7639"/>
    <w:rsid w:val="00FC7E17"/>
    <w:rsid w:val="00FD1170"/>
    <w:rsid w:val="00FD1CF6"/>
    <w:rsid w:val="00FD29A5"/>
    <w:rsid w:val="00FD3170"/>
    <w:rsid w:val="00FD3D60"/>
    <w:rsid w:val="00FD3E5B"/>
    <w:rsid w:val="00FD432D"/>
    <w:rsid w:val="00FD4498"/>
    <w:rsid w:val="00FD4550"/>
    <w:rsid w:val="00FD5426"/>
    <w:rsid w:val="00FD555B"/>
    <w:rsid w:val="00FD557E"/>
    <w:rsid w:val="00FD7C06"/>
    <w:rsid w:val="00FD7E78"/>
    <w:rsid w:val="00FE0414"/>
    <w:rsid w:val="00FE05BD"/>
    <w:rsid w:val="00FE1293"/>
    <w:rsid w:val="00FE18EC"/>
    <w:rsid w:val="00FE190D"/>
    <w:rsid w:val="00FE3472"/>
    <w:rsid w:val="00FE37D2"/>
    <w:rsid w:val="00FE4AF6"/>
    <w:rsid w:val="00FE55A1"/>
    <w:rsid w:val="00FE560C"/>
    <w:rsid w:val="00FE5B6B"/>
    <w:rsid w:val="00FE5F26"/>
    <w:rsid w:val="00FE648A"/>
    <w:rsid w:val="00FE6F88"/>
    <w:rsid w:val="00FE7166"/>
    <w:rsid w:val="00FE730E"/>
    <w:rsid w:val="00FE7DA5"/>
    <w:rsid w:val="00FE7E7B"/>
    <w:rsid w:val="00FF0399"/>
    <w:rsid w:val="00FF03E8"/>
    <w:rsid w:val="00FF0DEA"/>
    <w:rsid w:val="00FF16A5"/>
    <w:rsid w:val="00FF1AEA"/>
    <w:rsid w:val="00FF1B70"/>
    <w:rsid w:val="00FF3AB1"/>
    <w:rsid w:val="00FF3B53"/>
    <w:rsid w:val="00FF437A"/>
    <w:rsid w:val="00FF4A9E"/>
    <w:rsid w:val="00FF4DFC"/>
    <w:rsid w:val="00FF56DA"/>
    <w:rsid w:val="00FF56DB"/>
    <w:rsid w:val="00FF657A"/>
    <w:rsid w:val="00FF73AE"/>
    <w:rsid w:val="00FF7823"/>
    <w:rsid w:val="00FF7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bfbfb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8" w:defSemiHidden="1" w:defUnhideWhenUsed="1" w:defQFormat="0" w:count="267">
    <w:lsdException w:name="Normal" w:semiHidden="0" w:unhideWhenUsed="0" w:qFormat="1"/>
    <w:lsdException w:name="heading 1" w:semiHidden="0" w:uiPriority="1" w:unhideWhenUsed="0" w:qFormat="1"/>
    <w:lsdException w:name="heading 2" w:semiHidden="0" w:uiPriority="99" w:unhideWhenUsed="0" w:qFormat="1"/>
    <w:lsdException w:name="heading 3" w:semiHidden="0" w:uiPriority="99"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lsdException w:name="annotation text" w:uiPriority="99"/>
    <w:lsdException w:name="header" w:uiPriority="99"/>
    <w:lsdException w:name="footer" w:uiPriority="99"/>
    <w:lsdException w:name="caption" w:qFormat="1"/>
    <w:lsdException w:name="footnote reference" w:uiPriority="11"/>
    <w:lsdException w:name="annotation reference" w:uiPriority="99"/>
    <w:lsdException w:name="page number" w:uiPriority="14"/>
    <w:lsdException w:name="endnote reference" w:uiPriority="99"/>
    <w:lsdException w:name="List Bullet" w:qFormat="1"/>
    <w:lsdException w:name="List Bullet 3" w:uiPriority="19"/>
    <w:lsdException w:name="Title" w:semiHidden="0" w:unhideWhenUsed="0" w:qFormat="1"/>
    <w:lsdException w:name="Default Paragraph Font" w:uiPriority="0"/>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0"/>
    <w:lsdException w:name="HTML Bottom of Form" w:uiPriority="0"/>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99"/>
    <w:lsdException w:name="No Spacing" w:semiHidden="0" w:unhideWhenUsed="0" w:qFormat="1"/>
    <w:lsdException w:name="Light Shading" w:semiHidden="0" w:uiPriority="99" w:unhideWhenUsed="0"/>
    <w:lsdException w:name="Light List" w:semiHidden="0" w:uiPriority="61"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62"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nhideWhenUsed="0" w:qFormat="1"/>
    <w:lsdException w:name="Medium Shading 2 Accent 3" w:semiHidden="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uiPriority="64" w:unhideWhenUsed="0"/>
    <w:lsdException w:name="Book Title" w:uiPriority="65" w:unhideWhenUsed="0" w:qFormat="1"/>
    <w:lsdException w:name="Bibliography" w:uiPriority="66"/>
    <w:lsdException w:name="TOC Heading" w:uiPriority="39" w:qFormat="1"/>
  </w:latentStyles>
  <w:style w:type="paragraph" w:default="1" w:styleId="Normal">
    <w:name w:val="Normal"/>
    <w:uiPriority w:val="98"/>
    <w:qFormat/>
    <w:rsid w:val="00F468B6"/>
    <w:rPr>
      <w:rFonts w:ascii="Arial" w:hAnsi="Arial"/>
      <w:sz w:val="24"/>
      <w:szCs w:val="24"/>
      <w:lang w:eastAsia="en-US"/>
    </w:rPr>
  </w:style>
  <w:style w:type="paragraph" w:styleId="Heading1">
    <w:name w:val="heading 1"/>
    <w:next w:val="ARbody"/>
    <w:link w:val="Heading1Char"/>
    <w:uiPriority w:val="1"/>
    <w:qFormat/>
    <w:rsid w:val="00F82CA8"/>
    <w:pPr>
      <w:keepNext/>
      <w:keepLines/>
      <w:spacing w:after="480" w:line="480" w:lineRule="atLeast"/>
      <w:outlineLvl w:val="0"/>
    </w:pPr>
    <w:rPr>
      <w:rFonts w:ascii="Arial" w:eastAsia="MS Gothic" w:hAnsi="Arial"/>
      <w:bCs/>
      <w:color w:val="004C97"/>
      <w:kern w:val="32"/>
      <w:sz w:val="48"/>
      <w:szCs w:val="64"/>
      <w:lang w:eastAsia="en-US"/>
    </w:rPr>
  </w:style>
  <w:style w:type="paragraph" w:styleId="Heading2">
    <w:name w:val="heading 2"/>
    <w:next w:val="ARbody"/>
    <w:link w:val="Heading2Char"/>
    <w:uiPriority w:val="99"/>
    <w:qFormat/>
    <w:rsid w:val="00D02456"/>
    <w:pPr>
      <w:keepNext/>
      <w:keepLines/>
      <w:spacing w:before="300" w:after="80" w:line="340" w:lineRule="atLeast"/>
      <w:outlineLvl w:val="1"/>
    </w:pPr>
    <w:rPr>
      <w:rFonts w:ascii="Arial" w:eastAsia="MS Gothic" w:hAnsi="Arial"/>
      <w:bCs/>
      <w:iCs/>
      <w:color w:val="404040"/>
      <w:sz w:val="30"/>
      <w:szCs w:val="30"/>
      <w:lang w:eastAsia="en-US"/>
    </w:rPr>
  </w:style>
  <w:style w:type="paragraph" w:styleId="Heading3">
    <w:name w:val="heading 3"/>
    <w:next w:val="ARbody"/>
    <w:link w:val="Heading3Char"/>
    <w:uiPriority w:val="99"/>
    <w:qFormat/>
    <w:rsid w:val="00F82CA8"/>
    <w:pPr>
      <w:keepNext/>
      <w:keepLines/>
      <w:spacing w:before="280" w:after="80" w:line="280" w:lineRule="atLeast"/>
      <w:outlineLvl w:val="2"/>
    </w:pPr>
    <w:rPr>
      <w:rFonts w:ascii="Arial" w:eastAsia="MS Gothic" w:hAnsi="Arial"/>
      <w:bCs/>
      <w:color w:val="004C97"/>
      <w:sz w:val="24"/>
      <w:szCs w:val="24"/>
    </w:rPr>
  </w:style>
  <w:style w:type="paragraph" w:styleId="Heading4">
    <w:name w:val="heading 4"/>
    <w:next w:val="ARbody"/>
    <w:link w:val="Heading4Char"/>
    <w:uiPriority w:val="1"/>
    <w:qFormat/>
    <w:rsid w:val="00B01751"/>
    <w:pPr>
      <w:keepNext/>
      <w:keepLines/>
      <w:spacing w:before="240" w:after="80" w:line="240" w:lineRule="atLeast"/>
      <w:outlineLvl w:val="3"/>
    </w:pPr>
    <w:rPr>
      <w:rFonts w:ascii="Arial" w:eastAsia="MS Mincho" w:hAnsi="Arial" w:cs="Arial"/>
      <w:b/>
      <w:bCs/>
      <w:szCs w:val="24"/>
      <w:lang w:eastAsia="en-US"/>
    </w:rPr>
  </w:style>
  <w:style w:type="paragraph" w:styleId="Heading5">
    <w:name w:val="heading 5"/>
    <w:next w:val="ARbody"/>
    <w:link w:val="Heading5Char"/>
    <w:uiPriority w:val="1"/>
    <w:qFormat/>
    <w:rsid w:val="00D2597E"/>
    <w:pPr>
      <w:keepNext/>
      <w:keepLines/>
      <w:spacing w:before="240" w:after="80" w:line="240" w:lineRule="atLeast"/>
      <w:outlineLvl w:val="4"/>
    </w:pPr>
    <w:rPr>
      <w:rFonts w:ascii="Arial" w:hAnsi="Arial"/>
      <w:i/>
      <w:szCs w:val="24"/>
      <w:lang w:eastAsia="en-US"/>
    </w:rPr>
  </w:style>
  <w:style w:type="paragraph" w:styleId="Heading6">
    <w:name w:val="heading 6"/>
    <w:basedOn w:val="Normal"/>
    <w:next w:val="Normal"/>
    <w:link w:val="Heading6Char"/>
    <w:uiPriority w:val="1"/>
    <w:qFormat/>
    <w:rsid w:val="00F869DB"/>
    <w:pPr>
      <w:keepNext/>
      <w:widowControl w:val="0"/>
      <w:overflowPunct w:val="0"/>
      <w:autoSpaceDE w:val="0"/>
      <w:autoSpaceDN w:val="0"/>
      <w:adjustRightInd w:val="0"/>
      <w:spacing w:before="160" w:after="80"/>
      <w:textAlignment w:val="baseline"/>
      <w:outlineLvl w:val="5"/>
    </w:pPr>
    <w:rPr>
      <w:bCs/>
      <w:i/>
      <w:sz w:val="19"/>
      <w:lang w:val="x-none"/>
    </w:rPr>
  </w:style>
  <w:style w:type="paragraph" w:styleId="Heading7">
    <w:name w:val="heading 7"/>
    <w:basedOn w:val="Normal"/>
    <w:next w:val="Normal"/>
    <w:link w:val="Heading7Char"/>
    <w:uiPriority w:val="1"/>
    <w:qFormat/>
    <w:rsid w:val="001B06CC"/>
    <w:pPr>
      <w:keepNext/>
      <w:widowControl w:val="0"/>
      <w:overflowPunct w:val="0"/>
      <w:autoSpaceDE w:val="0"/>
      <w:autoSpaceDN w:val="0"/>
      <w:adjustRightInd w:val="0"/>
      <w:spacing w:before="140" w:after="80"/>
      <w:textAlignment w:val="baseline"/>
      <w:outlineLvl w:val="6"/>
    </w:pPr>
    <w:rPr>
      <w:b/>
      <w:sz w:val="17"/>
      <w:szCs w:val="17"/>
      <w:lang w:val="x-none"/>
    </w:rPr>
  </w:style>
  <w:style w:type="paragraph" w:styleId="Heading8">
    <w:name w:val="heading 8"/>
    <w:basedOn w:val="Normal"/>
    <w:next w:val="Normal"/>
    <w:link w:val="Heading8Char"/>
    <w:uiPriority w:val="1"/>
    <w:unhideWhenUsed/>
    <w:qFormat/>
    <w:rsid w:val="0093192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qFormat/>
    <w:rsid w:val="0093192F"/>
    <w:pPr>
      <w:spacing w:before="240" w:after="60"/>
      <w:outlineLvl w:val="8"/>
    </w:pPr>
    <w:rPr>
      <w:sz w:val="20"/>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bodybeforetable">
    <w:name w:val="AR body before table"/>
    <w:basedOn w:val="ARbody"/>
    <w:uiPriority w:val="3"/>
    <w:qFormat/>
    <w:rsid w:val="00FD3D60"/>
    <w:pPr>
      <w:spacing w:after="240"/>
    </w:pPr>
    <w:rPr>
      <w:lang w:eastAsia="en-AU"/>
    </w:rPr>
  </w:style>
  <w:style w:type="character" w:customStyle="1" w:styleId="Heading1Char">
    <w:name w:val="Heading 1 Char"/>
    <w:link w:val="Heading1"/>
    <w:uiPriority w:val="1"/>
    <w:rsid w:val="00F82CA8"/>
    <w:rPr>
      <w:rFonts w:ascii="Arial" w:eastAsia="MS Gothic" w:hAnsi="Arial"/>
      <w:bCs/>
      <w:color w:val="004C97"/>
      <w:kern w:val="32"/>
      <w:sz w:val="48"/>
      <w:szCs w:val="64"/>
      <w:lang w:eastAsia="en-US"/>
    </w:rPr>
  </w:style>
  <w:style w:type="character" w:customStyle="1" w:styleId="Heading2Char">
    <w:name w:val="Heading 2 Char"/>
    <w:link w:val="Heading2"/>
    <w:uiPriority w:val="99"/>
    <w:rsid w:val="00D02456"/>
    <w:rPr>
      <w:rFonts w:ascii="Arial" w:eastAsia="MS Gothic" w:hAnsi="Arial"/>
      <w:bCs/>
      <w:iCs/>
      <w:color w:val="404040"/>
      <w:sz w:val="30"/>
      <w:szCs w:val="30"/>
      <w:lang w:eastAsia="en-US" w:bidi="ar-SA"/>
    </w:rPr>
  </w:style>
  <w:style w:type="character" w:customStyle="1" w:styleId="Heading3Char">
    <w:name w:val="Heading 3 Char"/>
    <w:link w:val="Heading3"/>
    <w:uiPriority w:val="99"/>
    <w:rsid w:val="00F82CA8"/>
    <w:rPr>
      <w:rFonts w:ascii="Arial" w:eastAsia="MS Gothic" w:hAnsi="Arial"/>
      <w:bCs/>
      <w:color w:val="004C97"/>
      <w:sz w:val="24"/>
      <w:szCs w:val="24"/>
    </w:rPr>
  </w:style>
  <w:style w:type="character" w:customStyle="1" w:styleId="Heading4Char">
    <w:name w:val="Heading 4 Char"/>
    <w:link w:val="Heading4"/>
    <w:uiPriority w:val="1"/>
    <w:rsid w:val="00B01751"/>
    <w:rPr>
      <w:rFonts w:ascii="Arial" w:eastAsia="MS Mincho" w:hAnsi="Arial" w:cs="Arial"/>
      <w:b/>
      <w:bCs/>
      <w:szCs w:val="24"/>
      <w:lang w:eastAsia="en-US"/>
    </w:rPr>
  </w:style>
  <w:style w:type="paragraph" w:styleId="Header">
    <w:name w:val="header"/>
    <w:link w:val="HeaderChar"/>
    <w:uiPriority w:val="99"/>
    <w:rsid w:val="00064B9B"/>
    <w:pPr>
      <w:widowControl w:val="0"/>
      <w:overflowPunct w:val="0"/>
      <w:autoSpaceDE w:val="0"/>
      <w:autoSpaceDN w:val="0"/>
      <w:adjustRightInd w:val="0"/>
      <w:textAlignment w:val="baseline"/>
    </w:pPr>
    <w:rPr>
      <w:rFonts w:ascii="Arial" w:hAnsi="Arial"/>
      <w:sz w:val="24"/>
      <w:szCs w:val="24"/>
      <w:lang w:eastAsia="en-US"/>
    </w:rPr>
  </w:style>
  <w:style w:type="character" w:customStyle="1" w:styleId="HeaderChar">
    <w:name w:val="Header Char"/>
    <w:link w:val="Header"/>
    <w:uiPriority w:val="99"/>
    <w:rsid w:val="00064B9B"/>
    <w:rPr>
      <w:rFonts w:ascii="Arial" w:hAnsi="Arial"/>
      <w:lang w:eastAsia="en-US" w:bidi="ar-SA"/>
    </w:rPr>
  </w:style>
  <w:style w:type="character" w:styleId="Hyperlink">
    <w:name w:val="Hyperlink"/>
    <w:uiPriority w:val="99"/>
    <w:rsid w:val="00C264AE"/>
    <w:rPr>
      <w:color w:val="0072CE"/>
      <w:u w:val="dotted"/>
    </w:rPr>
  </w:style>
  <w:style w:type="paragraph" w:customStyle="1" w:styleId="LightList-Accent31">
    <w:name w:val="Light List - Accent 31"/>
    <w:hidden/>
    <w:uiPriority w:val="99"/>
    <w:semiHidden/>
    <w:rsid w:val="00655FC1"/>
    <w:rPr>
      <w:rFonts w:ascii="Arial" w:hAnsi="Arial"/>
      <w:sz w:val="24"/>
      <w:szCs w:val="24"/>
      <w:lang w:eastAsia="en-US"/>
    </w:rPr>
  </w:style>
  <w:style w:type="paragraph" w:styleId="TOC5">
    <w:name w:val="toc 5"/>
    <w:basedOn w:val="Normal"/>
    <w:next w:val="Normal"/>
    <w:autoRedefine/>
    <w:uiPriority w:val="39"/>
    <w:rsid w:val="008D0650"/>
    <w:pPr>
      <w:ind w:left="800"/>
    </w:pPr>
  </w:style>
  <w:style w:type="paragraph" w:customStyle="1" w:styleId="ARtablesource">
    <w:name w:val="AR table source"/>
    <w:basedOn w:val="ARtabletext"/>
    <w:uiPriority w:val="99"/>
    <w:qFormat/>
    <w:rsid w:val="004F7219"/>
    <w:rPr>
      <w:i/>
      <w:sz w:val="16"/>
    </w:rPr>
  </w:style>
  <w:style w:type="paragraph" w:customStyle="1" w:styleId="ARtablepurpleboldrightindent">
    <w:name w:val="AR table purple bold right indent"/>
    <w:basedOn w:val="ARtablebluebold"/>
    <w:uiPriority w:val="3"/>
    <w:qFormat/>
    <w:rsid w:val="00C87995"/>
    <w:pPr>
      <w:ind w:right="4536"/>
    </w:pPr>
  </w:style>
  <w:style w:type="paragraph" w:customStyle="1" w:styleId="ARtabletext">
    <w:name w:val="AR table text"/>
    <w:uiPriority w:val="99"/>
    <w:qFormat/>
    <w:rsid w:val="009A4448"/>
    <w:pPr>
      <w:spacing w:before="80" w:after="60"/>
    </w:pPr>
    <w:rPr>
      <w:rFonts w:ascii="Arial" w:eastAsia="Times" w:hAnsi="Arial" w:cs="Arial"/>
      <w:sz w:val="18"/>
      <w:szCs w:val="18"/>
    </w:rPr>
  </w:style>
  <w:style w:type="paragraph" w:customStyle="1" w:styleId="ARtablecaption">
    <w:name w:val="AR table caption"/>
    <w:uiPriority w:val="99"/>
    <w:qFormat/>
    <w:rsid w:val="007B698A"/>
    <w:pPr>
      <w:keepNext/>
      <w:keepLines/>
      <w:spacing w:before="240" w:after="120"/>
    </w:pPr>
    <w:rPr>
      <w:rFonts w:ascii="Arial" w:hAnsi="Arial"/>
      <w:b/>
      <w:color w:val="004C97"/>
      <w:szCs w:val="24"/>
      <w:lang w:eastAsia="en-US"/>
    </w:rPr>
  </w:style>
  <w:style w:type="paragraph" w:customStyle="1" w:styleId="ARbodyafterbullets">
    <w:name w:val="AR body after bullets"/>
    <w:basedOn w:val="ARbody"/>
    <w:uiPriority w:val="98"/>
    <w:qFormat/>
    <w:rsid w:val="00CE1155"/>
    <w:pPr>
      <w:spacing w:before="120"/>
    </w:pPr>
  </w:style>
  <w:style w:type="paragraph" w:styleId="Footer">
    <w:name w:val="footer"/>
    <w:link w:val="FooterChar"/>
    <w:uiPriority w:val="99"/>
    <w:rsid w:val="00AB7C33"/>
    <w:pPr>
      <w:tabs>
        <w:tab w:val="right" w:pos="9639"/>
      </w:tabs>
    </w:pPr>
    <w:rPr>
      <w:rFonts w:ascii="Arial" w:hAnsi="Arial"/>
      <w:sz w:val="18"/>
      <w:szCs w:val="18"/>
      <w:lang w:eastAsia="en-US"/>
    </w:rPr>
  </w:style>
  <w:style w:type="character" w:styleId="PageNumber">
    <w:name w:val="page number"/>
    <w:uiPriority w:val="14"/>
    <w:rsid w:val="00573622"/>
    <w:rPr>
      <w:rFonts w:ascii="Arial" w:hAnsi="Arial"/>
      <w:color w:val="00467F"/>
      <w:sz w:val="16"/>
    </w:rPr>
  </w:style>
  <w:style w:type="paragraph" w:styleId="TOC1">
    <w:name w:val="toc 1"/>
    <w:basedOn w:val="TOC2"/>
    <w:uiPriority w:val="39"/>
    <w:rsid w:val="00E3193D"/>
    <w:pPr>
      <w:ind w:left="0"/>
    </w:pPr>
    <w:rPr>
      <w:noProof/>
    </w:rPr>
  </w:style>
  <w:style w:type="paragraph" w:styleId="TOC2">
    <w:name w:val="toc 2"/>
    <w:uiPriority w:val="39"/>
    <w:rsid w:val="00E3193D"/>
    <w:pPr>
      <w:tabs>
        <w:tab w:val="right" w:leader="dot" w:pos="9639"/>
      </w:tabs>
      <w:spacing w:after="120" w:line="260" w:lineRule="atLeast"/>
      <w:ind w:left="284"/>
    </w:pPr>
    <w:rPr>
      <w:rFonts w:ascii="Arial" w:hAnsi="Arial"/>
      <w:szCs w:val="24"/>
      <w:lang w:eastAsia="en-US"/>
    </w:rPr>
  </w:style>
  <w:style w:type="paragraph" w:styleId="DocumentMap">
    <w:name w:val="Document Map"/>
    <w:basedOn w:val="Normal"/>
    <w:link w:val="DocumentMapChar"/>
    <w:uiPriority w:val="98"/>
    <w:semiHidden/>
    <w:rsid w:val="00FA6C6F"/>
    <w:rPr>
      <w:rFonts w:ascii="Lucida Grande" w:hAnsi="Lucida Grande"/>
      <w:lang w:val="x-none"/>
    </w:rPr>
  </w:style>
  <w:style w:type="character" w:customStyle="1" w:styleId="DocumentMapChar">
    <w:name w:val="Document Map Char"/>
    <w:link w:val="DocumentMap"/>
    <w:uiPriority w:val="98"/>
    <w:semiHidden/>
    <w:rsid w:val="00AF6C73"/>
    <w:rPr>
      <w:rFonts w:ascii="Lucida Grande" w:hAnsi="Lucida Grande" w:cs="Lucida Grande"/>
      <w:sz w:val="24"/>
      <w:szCs w:val="24"/>
      <w:lang w:eastAsia="en-US"/>
    </w:rPr>
  </w:style>
  <w:style w:type="paragraph" w:styleId="TOC3">
    <w:name w:val="toc 3"/>
    <w:basedOn w:val="TOC2"/>
    <w:uiPriority w:val="39"/>
    <w:rsid w:val="00C92527"/>
  </w:style>
  <w:style w:type="paragraph" w:customStyle="1" w:styleId="ARTOCheading">
    <w:name w:val="AR TOC heading"/>
    <w:basedOn w:val="Heading1"/>
    <w:next w:val="ARbody"/>
    <w:link w:val="ARTOCheadingChar"/>
    <w:uiPriority w:val="99"/>
    <w:qFormat/>
    <w:rsid w:val="008F497C"/>
    <w:pPr>
      <w:outlineLvl w:val="9"/>
    </w:pPr>
    <w:rPr>
      <w:szCs w:val="32"/>
      <w:lang w:val="x-none" w:eastAsia="x-none"/>
    </w:rPr>
  </w:style>
  <w:style w:type="character" w:customStyle="1" w:styleId="ARTOCheadingChar">
    <w:name w:val="AR TOC heading Char"/>
    <w:link w:val="ARTOCheading"/>
    <w:uiPriority w:val="99"/>
    <w:rsid w:val="008F497C"/>
    <w:rPr>
      <w:rFonts w:ascii="Arial" w:eastAsia="MS Gothic" w:hAnsi="Arial"/>
      <w:bCs/>
      <w:color w:val="87189D"/>
      <w:kern w:val="32"/>
      <w:sz w:val="48"/>
      <w:szCs w:val="32"/>
      <w:lang w:val="x-none" w:eastAsia="x-none"/>
    </w:rPr>
  </w:style>
  <w:style w:type="paragraph" w:styleId="TOC4">
    <w:name w:val="toc 4"/>
    <w:basedOn w:val="TOC3"/>
    <w:uiPriority w:val="39"/>
    <w:rsid w:val="00185838"/>
    <w:pPr>
      <w:ind w:left="567"/>
    </w:pPr>
  </w:style>
  <w:style w:type="paragraph" w:styleId="TOC6">
    <w:name w:val="toc 6"/>
    <w:basedOn w:val="Normal"/>
    <w:next w:val="Normal"/>
    <w:autoRedefine/>
    <w:uiPriority w:val="39"/>
    <w:rsid w:val="008D0650"/>
    <w:pPr>
      <w:ind w:left="1000"/>
    </w:pPr>
  </w:style>
  <w:style w:type="paragraph" w:styleId="TOC7">
    <w:name w:val="toc 7"/>
    <w:basedOn w:val="Normal"/>
    <w:next w:val="Normal"/>
    <w:autoRedefine/>
    <w:uiPriority w:val="39"/>
    <w:rsid w:val="008D0650"/>
    <w:pPr>
      <w:ind w:left="1200"/>
    </w:pPr>
  </w:style>
  <w:style w:type="paragraph" w:styleId="TOC8">
    <w:name w:val="toc 8"/>
    <w:basedOn w:val="Normal"/>
    <w:next w:val="Normal"/>
    <w:autoRedefine/>
    <w:uiPriority w:val="39"/>
    <w:rsid w:val="008D0650"/>
    <w:pPr>
      <w:ind w:left="1400"/>
    </w:pPr>
  </w:style>
  <w:style w:type="paragraph" w:styleId="TOC9">
    <w:name w:val="toc 9"/>
    <w:basedOn w:val="Normal"/>
    <w:next w:val="Normal"/>
    <w:autoRedefine/>
    <w:uiPriority w:val="39"/>
    <w:rsid w:val="008D0650"/>
    <w:pPr>
      <w:ind w:left="1600"/>
    </w:pPr>
  </w:style>
  <w:style w:type="paragraph" w:customStyle="1" w:styleId="ARbullet1">
    <w:name w:val="AR bullet 1"/>
    <w:basedOn w:val="ARbody"/>
    <w:uiPriority w:val="99"/>
    <w:qFormat/>
    <w:rsid w:val="00F468B6"/>
    <w:pPr>
      <w:numPr>
        <w:numId w:val="1"/>
      </w:numPr>
      <w:spacing w:after="40"/>
    </w:pPr>
  </w:style>
  <w:style w:type="table" w:styleId="TableGrid">
    <w:name w:val="Table Grid"/>
    <w:basedOn w:val="TableNormal"/>
    <w:uiPriority w:val="59"/>
    <w:rsid w:val="007E0961"/>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cPr>
        <w:vAlign w:val="bottom"/>
      </w:tcPr>
    </w:tblStylePr>
  </w:style>
  <w:style w:type="paragraph" w:customStyle="1" w:styleId="ARtablefootnotenumbered">
    <w:name w:val="AR table footnote numbered"/>
    <w:basedOn w:val="ARtablefootnote"/>
    <w:link w:val="ARtablefootnotenumberedChar"/>
    <w:qFormat/>
    <w:rsid w:val="00554E4C"/>
    <w:pPr>
      <w:ind w:left="284" w:hanging="284"/>
    </w:pPr>
  </w:style>
  <w:style w:type="character" w:styleId="EndnoteReference">
    <w:name w:val="endnote reference"/>
    <w:uiPriority w:val="99"/>
    <w:semiHidden/>
    <w:rsid w:val="00D96F2A"/>
    <w:rPr>
      <w:vertAlign w:val="superscript"/>
    </w:rPr>
  </w:style>
  <w:style w:type="paragraph" w:customStyle="1" w:styleId="ARtablecolhead">
    <w:name w:val="AR table col head"/>
    <w:uiPriority w:val="99"/>
    <w:qFormat/>
    <w:rsid w:val="009A4448"/>
    <w:pPr>
      <w:spacing w:before="80" w:after="60" w:line="216" w:lineRule="auto"/>
    </w:pPr>
    <w:rPr>
      <w:rFonts w:ascii="Arial" w:eastAsia="Times" w:hAnsi="Arial" w:cs="Arial"/>
      <w:b/>
      <w:sz w:val="18"/>
      <w:szCs w:val="18"/>
      <w:lang w:eastAsia="en-US"/>
    </w:rPr>
  </w:style>
  <w:style w:type="paragraph" w:customStyle="1" w:styleId="ARaccessibilitypara">
    <w:name w:val="AR accessibility para"/>
    <w:uiPriority w:val="99"/>
    <w:rsid w:val="003D2185"/>
    <w:pPr>
      <w:spacing w:after="200" w:line="300" w:lineRule="atLeast"/>
    </w:pPr>
    <w:rPr>
      <w:rFonts w:ascii="Arial" w:eastAsia="Times" w:hAnsi="Arial"/>
      <w:sz w:val="24"/>
      <w:szCs w:val="19"/>
      <w:lang w:eastAsia="en-US"/>
    </w:rPr>
  </w:style>
  <w:style w:type="paragraph" w:styleId="FootnoteText">
    <w:name w:val="footnote text"/>
    <w:basedOn w:val="ARbody"/>
    <w:link w:val="FootnoteTextChar"/>
    <w:uiPriority w:val="9"/>
    <w:rsid w:val="00064B9B"/>
    <w:pPr>
      <w:spacing w:before="60" w:after="60" w:line="230" w:lineRule="atLeast"/>
    </w:pPr>
    <w:rPr>
      <w:rFonts w:cs="Times New Roman"/>
      <w:sz w:val="18"/>
      <w:szCs w:val="18"/>
      <w:lang w:val="x-none"/>
    </w:rPr>
  </w:style>
  <w:style w:type="character" w:customStyle="1" w:styleId="FootnoteTextChar">
    <w:name w:val="Footnote Text Char"/>
    <w:link w:val="FootnoteText"/>
    <w:uiPriority w:val="9"/>
    <w:rsid w:val="00064B9B"/>
    <w:rPr>
      <w:rFonts w:ascii="Arial" w:eastAsia="Times" w:hAnsi="Arial" w:cs="Arial"/>
      <w:sz w:val="18"/>
      <w:szCs w:val="18"/>
      <w:lang w:eastAsia="en-US"/>
    </w:rPr>
  </w:style>
  <w:style w:type="character" w:styleId="FootnoteReference">
    <w:name w:val="footnote reference"/>
    <w:uiPriority w:val="11"/>
    <w:rsid w:val="003F7523"/>
    <w:rPr>
      <w:vertAlign w:val="superscript"/>
    </w:rPr>
  </w:style>
  <w:style w:type="paragraph" w:customStyle="1" w:styleId="ARpublicationtitle">
    <w:name w:val="AR publication title"/>
    <w:link w:val="ARpublicationtitleChar"/>
    <w:uiPriority w:val="99"/>
    <w:qFormat/>
    <w:rsid w:val="004E7B8D"/>
    <w:pPr>
      <w:spacing w:after="200"/>
    </w:pPr>
    <w:rPr>
      <w:rFonts w:ascii="Arial" w:eastAsia="MS Mincho" w:hAnsi="Arial"/>
      <w:b/>
      <w:bCs/>
      <w:noProof/>
      <w:color w:val="FFFFFF"/>
      <w:sz w:val="50"/>
      <w:szCs w:val="50"/>
      <w:lang w:eastAsia="en-US"/>
    </w:rPr>
  </w:style>
  <w:style w:type="character" w:customStyle="1" w:styleId="ARpublicationtitleChar">
    <w:name w:val="AR publication title Char"/>
    <w:link w:val="ARpublicationtitle"/>
    <w:uiPriority w:val="99"/>
    <w:rsid w:val="004E7B8D"/>
    <w:rPr>
      <w:rFonts w:ascii="Arial" w:eastAsia="MS Mincho" w:hAnsi="Arial"/>
      <w:b/>
      <w:bCs/>
      <w:noProof/>
      <w:color w:val="FFFFFF"/>
      <w:sz w:val="50"/>
      <w:szCs w:val="50"/>
      <w:lang w:eastAsia="en-US"/>
    </w:rPr>
  </w:style>
  <w:style w:type="paragraph" w:customStyle="1" w:styleId="ARbodynospace">
    <w:name w:val="AR body no space"/>
    <w:basedOn w:val="ARbody"/>
    <w:uiPriority w:val="3"/>
    <w:qFormat/>
    <w:rsid w:val="006C0D6C"/>
    <w:pPr>
      <w:spacing w:after="0"/>
    </w:pPr>
  </w:style>
  <w:style w:type="paragraph" w:customStyle="1" w:styleId="ARbullet2">
    <w:name w:val="AR bullet 2"/>
    <w:basedOn w:val="ARbody"/>
    <w:uiPriority w:val="99"/>
    <w:qFormat/>
    <w:rsid w:val="00F468B6"/>
    <w:pPr>
      <w:numPr>
        <w:ilvl w:val="1"/>
        <w:numId w:val="1"/>
      </w:numPr>
      <w:spacing w:after="40" w:line="270" w:lineRule="atLeast"/>
    </w:pPr>
  </w:style>
  <w:style w:type="paragraph" w:customStyle="1" w:styleId="ARfigurecaption">
    <w:name w:val="AR figure caption"/>
    <w:next w:val="ARbody"/>
    <w:link w:val="ARfigurecaptionChar"/>
    <w:uiPriority w:val="99"/>
    <w:qFormat/>
    <w:rsid w:val="00203320"/>
    <w:pPr>
      <w:keepNext/>
      <w:keepLines/>
      <w:spacing w:before="240" w:after="120"/>
    </w:pPr>
    <w:rPr>
      <w:rFonts w:ascii="Arial" w:hAnsi="Arial"/>
      <w:b/>
      <w:color w:val="7C239D"/>
      <w:sz w:val="26"/>
      <w:szCs w:val="24"/>
      <w:lang w:eastAsia="en-US"/>
    </w:rPr>
  </w:style>
  <w:style w:type="character" w:customStyle="1" w:styleId="ARfigurecaptionChar">
    <w:name w:val="AR figure caption Char"/>
    <w:link w:val="ARfigurecaption"/>
    <w:uiPriority w:val="99"/>
    <w:rsid w:val="00203320"/>
    <w:rPr>
      <w:rFonts w:ascii="Arial" w:hAnsi="Arial"/>
      <w:b/>
      <w:color w:val="7C239D"/>
      <w:sz w:val="26"/>
      <w:lang w:eastAsia="en-US"/>
    </w:rPr>
  </w:style>
  <w:style w:type="paragraph" w:styleId="NormalWeb">
    <w:name w:val="Normal (Web)"/>
    <w:basedOn w:val="Normal"/>
    <w:uiPriority w:val="98"/>
    <w:semiHidden/>
    <w:rsid w:val="00890455"/>
    <w:pPr>
      <w:spacing w:before="100" w:beforeAutospacing="1" w:after="100" w:afterAutospacing="1"/>
    </w:pPr>
    <w:rPr>
      <w:rFonts w:ascii="Times New Roman" w:hAnsi="Times New Roman"/>
      <w:lang w:eastAsia="en-AU"/>
    </w:rPr>
  </w:style>
  <w:style w:type="paragraph" w:customStyle="1" w:styleId="ARpublicationsubtitle">
    <w:name w:val="AR publication subtitle"/>
    <w:link w:val="ARpublicationsubtitleChar"/>
    <w:uiPriority w:val="99"/>
    <w:qFormat/>
    <w:rsid w:val="004E7B8D"/>
    <w:rPr>
      <w:rFonts w:ascii="Arial" w:hAnsi="Arial"/>
      <w:bCs/>
      <w:color w:val="FFFFFF"/>
      <w:sz w:val="40"/>
      <w:szCs w:val="40"/>
      <w:lang w:eastAsia="en-US"/>
    </w:rPr>
  </w:style>
  <w:style w:type="character" w:customStyle="1" w:styleId="ARpublicationsubtitleChar">
    <w:name w:val="AR publication subtitle Char"/>
    <w:link w:val="ARpublicationsubtitle"/>
    <w:uiPriority w:val="99"/>
    <w:rsid w:val="004E7B8D"/>
    <w:rPr>
      <w:rFonts w:ascii="Arial" w:hAnsi="Arial"/>
      <w:bCs/>
      <w:color w:val="FFFFFF"/>
      <w:sz w:val="40"/>
      <w:szCs w:val="40"/>
      <w:lang w:eastAsia="en-US"/>
    </w:rPr>
  </w:style>
  <w:style w:type="paragraph" w:styleId="Caption">
    <w:name w:val="caption"/>
    <w:basedOn w:val="Normal"/>
    <w:next w:val="Normal"/>
    <w:uiPriority w:val="98"/>
    <w:semiHidden/>
    <w:qFormat/>
    <w:rsid w:val="00106A9E"/>
    <w:rPr>
      <w:b/>
      <w:bCs/>
    </w:rPr>
  </w:style>
  <w:style w:type="table" w:customStyle="1" w:styleId="Casestudy">
    <w:name w:val="Case study"/>
    <w:basedOn w:val="TableNormal"/>
    <w:rsid w:val="008913AF"/>
    <w:tblPr>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Pr>
    <w:tcPr>
      <w:shd w:val="clear" w:color="auto" w:fill="auto"/>
    </w:tcPr>
  </w:style>
  <w:style w:type="paragraph" w:customStyle="1" w:styleId="ARcasestudysubhead">
    <w:name w:val="AR case study subhead"/>
    <w:next w:val="ARcasestudytext"/>
    <w:link w:val="ARcasestudysubheadChar"/>
    <w:uiPriority w:val="99"/>
    <w:rsid w:val="00532029"/>
    <w:pPr>
      <w:keepNext/>
      <w:keepLines/>
      <w:spacing w:after="60" w:line="250" w:lineRule="atLeast"/>
      <w:ind w:right="170"/>
    </w:pPr>
    <w:rPr>
      <w:rFonts w:ascii="Arial" w:eastAsia="MS Mincho" w:hAnsi="Arial"/>
      <w:b/>
      <w:bCs/>
      <w:color w:val="004C97"/>
      <w:szCs w:val="21"/>
      <w:lang w:val="fr-FR" w:eastAsia="en-US"/>
    </w:rPr>
  </w:style>
  <w:style w:type="paragraph" w:customStyle="1" w:styleId="ARcasestudytext">
    <w:name w:val="AR case study text"/>
    <w:link w:val="ARcasestudytextChar"/>
    <w:uiPriority w:val="99"/>
    <w:rsid w:val="00532029"/>
    <w:pPr>
      <w:spacing w:after="120" w:line="260" w:lineRule="atLeast"/>
    </w:pPr>
    <w:rPr>
      <w:rFonts w:ascii="Arial" w:eastAsia="Times" w:hAnsi="Arial" w:cs="Arial"/>
      <w:color w:val="004C97"/>
      <w:szCs w:val="24"/>
    </w:rPr>
  </w:style>
  <w:style w:type="character" w:customStyle="1" w:styleId="ARcasestudytextChar">
    <w:name w:val="AR case study text Char"/>
    <w:link w:val="ARcasestudytext"/>
    <w:uiPriority w:val="99"/>
    <w:rsid w:val="00532029"/>
    <w:rPr>
      <w:rFonts w:ascii="Arial" w:eastAsia="Times" w:hAnsi="Arial" w:cs="Arial"/>
      <w:color w:val="004C97"/>
      <w:szCs w:val="24"/>
    </w:rPr>
  </w:style>
  <w:style w:type="character" w:customStyle="1" w:styleId="ARcasestudysubheadChar">
    <w:name w:val="AR case study subhead Char"/>
    <w:link w:val="ARcasestudysubhead"/>
    <w:uiPriority w:val="99"/>
    <w:rsid w:val="00532029"/>
    <w:rPr>
      <w:rFonts w:ascii="Arial" w:eastAsia="MS Mincho" w:hAnsi="Arial"/>
      <w:b/>
      <w:bCs/>
      <w:color w:val="004C97"/>
      <w:szCs w:val="21"/>
      <w:lang w:val="fr-FR" w:eastAsia="en-US"/>
    </w:rPr>
  </w:style>
  <w:style w:type="paragraph" w:customStyle="1" w:styleId="ARtablebluebold">
    <w:name w:val="AR table blue bold"/>
    <w:basedOn w:val="ARtabletext"/>
    <w:uiPriority w:val="3"/>
    <w:qFormat/>
    <w:rsid w:val="00A450AE"/>
    <w:rPr>
      <w:b/>
      <w:color w:val="004C97"/>
    </w:rPr>
  </w:style>
  <w:style w:type="paragraph" w:customStyle="1" w:styleId="ARtablenoteindent">
    <w:name w:val="AR table note indent"/>
    <w:link w:val="ARtablenoteindentChar"/>
    <w:uiPriority w:val="3"/>
    <w:qFormat/>
    <w:rsid w:val="00AB7C33"/>
    <w:pPr>
      <w:spacing w:after="80"/>
      <w:ind w:left="454"/>
    </w:pPr>
    <w:rPr>
      <w:rFonts w:ascii="Arial" w:eastAsia="Times" w:hAnsi="Arial"/>
      <w:i/>
      <w:iCs/>
      <w:sz w:val="16"/>
      <w:szCs w:val="18"/>
    </w:rPr>
  </w:style>
  <w:style w:type="character" w:customStyle="1" w:styleId="ARtablenoteindentChar">
    <w:name w:val="AR table note indent Char"/>
    <w:link w:val="ARtablenoteindent"/>
    <w:uiPriority w:val="3"/>
    <w:rsid w:val="00AB7C33"/>
    <w:rPr>
      <w:rFonts w:ascii="Arial" w:eastAsia="Times" w:hAnsi="Arial"/>
      <w:i/>
      <w:iCs/>
      <w:sz w:val="16"/>
      <w:szCs w:val="18"/>
      <w:lang w:bidi="ar-SA"/>
    </w:rPr>
  </w:style>
  <w:style w:type="paragraph" w:customStyle="1" w:styleId="ARtablefootnote">
    <w:name w:val="AR table footnote"/>
    <w:uiPriority w:val="99"/>
    <w:qFormat/>
    <w:rsid w:val="00544C6B"/>
    <w:pPr>
      <w:spacing w:before="80" w:after="60"/>
    </w:pPr>
    <w:rPr>
      <w:rFonts w:ascii="Arial" w:hAnsi="Arial"/>
      <w:i/>
      <w:sz w:val="16"/>
      <w:szCs w:val="16"/>
      <w:lang w:eastAsia="en-US"/>
    </w:rPr>
  </w:style>
  <w:style w:type="paragraph" w:customStyle="1" w:styleId="ARtablepurplebold">
    <w:name w:val="AR table purple bold"/>
    <w:basedOn w:val="ARtabletext"/>
    <w:uiPriority w:val="3"/>
    <w:qFormat/>
    <w:rsid w:val="007819CF"/>
    <w:rPr>
      <w:b/>
      <w:color w:val="87189D"/>
    </w:rPr>
  </w:style>
  <w:style w:type="paragraph" w:customStyle="1" w:styleId="ARtablepurplebolditalic">
    <w:name w:val="AR table purple bold italic"/>
    <w:basedOn w:val="ARtablebluebold"/>
    <w:uiPriority w:val="3"/>
    <w:qFormat/>
    <w:rsid w:val="00544C6B"/>
    <w:rPr>
      <w:i/>
    </w:rPr>
  </w:style>
  <w:style w:type="numbering" w:customStyle="1" w:styleId="ZZBullets">
    <w:name w:val="ZZ Bullets"/>
    <w:rsid w:val="00F468B6"/>
    <w:pPr>
      <w:numPr>
        <w:numId w:val="1"/>
      </w:numPr>
    </w:pPr>
  </w:style>
  <w:style w:type="paragraph" w:customStyle="1" w:styleId="LightList-Accent311">
    <w:name w:val="Light List - Accent 311"/>
    <w:hidden/>
    <w:uiPriority w:val="99"/>
    <w:semiHidden/>
    <w:rsid w:val="00BE7FA1"/>
    <w:rPr>
      <w:rFonts w:ascii="Arial" w:hAnsi="Arial"/>
      <w:sz w:val="24"/>
      <w:szCs w:val="24"/>
      <w:lang w:eastAsia="en-US"/>
    </w:rPr>
  </w:style>
  <w:style w:type="paragraph" w:styleId="BalloonText">
    <w:name w:val="Balloon Text"/>
    <w:basedOn w:val="Normal"/>
    <w:link w:val="BalloonTextChar"/>
    <w:uiPriority w:val="98"/>
    <w:semiHidden/>
    <w:unhideWhenUsed/>
    <w:rsid w:val="0012051E"/>
    <w:rPr>
      <w:rFonts w:ascii="Tahoma" w:hAnsi="Tahoma"/>
      <w:sz w:val="16"/>
      <w:szCs w:val="16"/>
      <w:lang w:val="x-none"/>
    </w:rPr>
  </w:style>
  <w:style w:type="character" w:customStyle="1" w:styleId="BalloonTextChar">
    <w:name w:val="Balloon Text Char"/>
    <w:link w:val="BalloonText"/>
    <w:uiPriority w:val="98"/>
    <w:semiHidden/>
    <w:rsid w:val="0012051E"/>
    <w:rPr>
      <w:rFonts w:ascii="Tahoma" w:hAnsi="Tahoma" w:cs="Tahoma"/>
      <w:sz w:val="16"/>
      <w:szCs w:val="16"/>
      <w:lang w:eastAsia="en-US"/>
    </w:rPr>
  </w:style>
  <w:style w:type="character" w:styleId="FollowedHyperlink">
    <w:name w:val="FollowedHyperlink"/>
    <w:uiPriority w:val="99"/>
    <w:rsid w:val="00C264AE"/>
    <w:rPr>
      <w:color w:val="500778"/>
      <w:u w:val="dotted"/>
    </w:rPr>
  </w:style>
  <w:style w:type="character" w:styleId="CommentReference">
    <w:name w:val="annotation reference"/>
    <w:uiPriority w:val="99"/>
    <w:semiHidden/>
    <w:unhideWhenUsed/>
    <w:rsid w:val="005909CC"/>
    <w:rPr>
      <w:sz w:val="16"/>
      <w:szCs w:val="16"/>
    </w:rPr>
  </w:style>
  <w:style w:type="paragraph" w:styleId="CommentText">
    <w:name w:val="annotation text"/>
    <w:basedOn w:val="Normal"/>
    <w:link w:val="CommentTextChar"/>
    <w:uiPriority w:val="99"/>
    <w:semiHidden/>
    <w:unhideWhenUsed/>
    <w:rsid w:val="005909CC"/>
    <w:rPr>
      <w:lang w:val="x-none"/>
    </w:rPr>
  </w:style>
  <w:style w:type="character" w:customStyle="1" w:styleId="CommentTextChar">
    <w:name w:val="Comment Text Char"/>
    <w:link w:val="CommentText"/>
    <w:uiPriority w:val="99"/>
    <w:semiHidden/>
    <w:rsid w:val="005909CC"/>
    <w:rPr>
      <w:rFonts w:ascii="Arial" w:hAnsi="Arial"/>
      <w:lang w:eastAsia="en-US"/>
    </w:rPr>
  </w:style>
  <w:style w:type="paragraph" w:styleId="CommentSubject">
    <w:name w:val="annotation subject"/>
    <w:basedOn w:val="CommentText"/>
    <w:next w:val="CommentText"/>
    <w:link w:val="CommentSubjectChar"/>
    <w:uiPriority w:val="98"/>
    <w:semiHidden/>
    <w:unhideWhenUsed/>
    <w:rsid w:val="005909CC"/>
    <w:rPr>
      <w:b/>
      <w:bCs/>
    </w:rPr>
  </w:style>
  <w:style w:type="character" w:customStyle="1" w:styleId="CommentSubjectChar">
    <w:name w:val="Comment Subject Char"/>
    <w:link w:val="CommentSubject"/>
    <w:uiPriority w:val="98"/>
    <w:semiHidden/>
    <w:rsid w:val="005909CC"/>
    <w:rPr>
      <w:rFonts w:ascii="Arial" w:hAnsi="Arial"/>
      <w:b/>
      <w:bCs/>
      <w:lang w:eastAsia="en-US"/>
    </w:rPr>
  </w:style>
  <w:style w:type="paragraph" w:styleId="EndnoteText">
    <w:name w:val="endnote text"/>
    <w:basedOn w:val="Normal"/>
    <w:link w:val="EndnoteTextChar"/>
    <w:uiPriority w:val="98"/>
    <w:semiHidden/>
    <w:unhideWhenUsed/>
    <w:rsid w:val="008B612A"/>
    <w:rPr>
      <w:lang w:val="x-none"/>
    </w:rPr>
  </w:style>
  <w:style w:type="character" w:customStyle="1" w:styleId="EndnoteTextChar">
    <w:name w:val="Endnote Text Char"/>
    <w:link w:val="EndnoteText"/>
    <w:uiPriority w:val="98"/>
    <w:semiHidden/>
    <w:rsid w:val="008B612A"/>
    <w:rPr>
      <w:rFonts w:ascii="Arial" w:hAnsi="Arial"/>
      <w:lang w:eastAsia="en-US"/>
    </w:rPr>
  </w:style>
  <w:style w:type="paragraph" w:customStyle="1" w:styleId="ARheaderright">
    <w:name w:val="AR header right"/>
    <w:basedOn w:val="ARheaderleft"/>
    <w:uiPriority w:val="11"/>
    <w:rsid w:val="00C55F6F"/>
    <w:pPr>
      <w:tabs>
        <w:tab w:val="clear" w:pos="680"/>
        <w:tab w:val="right" w:pos="8959"/>
        <w:tab w:val="right" w:pos="9639"/>
      </w:tabs>
      <w:jc w:val="left"/>
    </w:pPr>
  </w:style>
  <w:style w:type="character" w:customStyle="1" w:styleId="ARpagenumber">
    <w:name w:val="AR page number"/>
    <w:uiPriority w:val="11"/>
    <w:rsid w:val="009A4448"/>
    <w:rPr>
      <w:rFonts w:ascii="Arial" w:hAnsi="Arial" w:cs="Arial"/>
      <w:b/>
    </w:rPr>
  </w:style>
  <w:style w:type="paragraph" w:customStyle="1" w:styleId="ARheaderleft">
    <w:name w:val="AR header left"/>
    <w:uiPriority w:val="11"/>
    <w:rsid w:val="00407932"/>
    <w:pPr>
      <w:pBdr>
        <w:bottom w:val="single" w:sz="4" w:space="4" w:color="004C97"/>
      </w:pBdr>
      <w:tabs>
        <w:tab w:val="left" w:pos="680"/>
      </w:tabs>
      <w:jc w:val="right"/>
    </w:pPr>
    <w:rPr>
      <w:rFonts w:ascii="Arial" w:hAnsi="Arial"/>
      <w:sz w:val="18"/>
      <w:szCs w:val="24"/>
      <w:lang w:eastAsia="en-US"/>
    </w:rPr>
  </w:style>
  <w:style w:type="paragraph" w:customStyle="1" w:styleId="ARbody">
    <w:name w:val="AR body"/>
    <w:uiPriority w:val="99"/>
    <w:qFormat/>
    <w:rsid w:val="00EB594E"/>
    <w:pPr>
      <w:spacing w:after="120" w:line="260" w:lineRule="atLeast"/>
    </w:pPr>
    <w:rPr>
      <w:rFonts w:ascii="Arial" w:eastAsia="Times" w:hAnsi="Arial" w:cs="Arial"/>
      <w:szCs w:val="24"/>
      <w:lang w:eastAsia="en-US"/>
    </w:rPr>
  </w:style>
  <w:style w:type="character" w:customStyle="1" w:styleId="Heading5Char">
    <w:name w:val="Heading 5 Char"/>
    <w:link w:val="Heading5"/>
    <w:uiPriority w:val="1"/>
    <w:rsid w:val="00D2597E"/>
    <w:rPr>
      <w:rFonts w:ascii="Arial" w:hAnsi="Arial"/>
      <w:i/>
      <w:szCs w:val="24"/>
      <w:lang w:eastAsia="en-US"/>
    </w:rPr>
  </w:style>
  <w:style w:type="character" w:customStyle="1" w:styleId="Heading6Char">
    <w:name w:val="Heading 6 Char"/>
    <w:link w:val="Heading6"/>
    <w:uiPriority w:val="1"/>
    <w:rsid w:val="00F869DB"/>
    <w:rPr>
      <w:rFonts w:ascii="Arial" w:hAnsi="Arial"/>
      <w:bCs/>
      <w:i/>
      <w:sz w:val="19"/>
      <w:szCs w:val="24"/>
      <w:lang w:val="x-none" w:eastAsia="en-US"/>
    </w:rPr>
  </w:style>
  <w:style w:type="character" w:customStyle="1" w:styleId="Heading7Char">
    <w:name w:val="Heading 7 Char"/>
    <w:link w:val="Heading7"/>
    <w:uiPriority w:val="1"/>
    <w:rsid w:val="001B06CC"/>
    <w:rPr>
      <w:rFonts w:ascii="Arial" w:hAnsi="Arial"/>
      <w:b/>
      <w:sz w:val="17"/>
      <w:szCs w:val="17"/>
      <w:lang w:val="x-none" w:eastAsia="en-US"/>
    </w:rPr>
  </w:style>
  <w:style w:type="character" w:customStyle="1" w:styleId="FooterChar">
    <w:name w:val="Footer Char"/>
    <w:link w:val="Footer"/>
    <w:uiPriority w:val="99"/>
    <w:rsid w:val="00DB2BA2"/>
    <w:rPr>
      <w:rFonts w:ascii="Arial" w:hAnsi="Arial"/>
      <w:sz w:val="18"/>
      <w:szCs w:val="18"/>
      <w:lang w:eastAsia="en-US" w:bidi="ar-SA"/>
    </w:rPr>
  </w:style>
  <w:style w:type="paragraph" w:customStyle="1" w:styleId="ARbodyaftertable">
    <w:name w:val="AR body after table"/>
    <w:basedOn w:val="ARbody"/>
    <w:uiPriority w:val="99"/>
    <w:qFormat/>
    <w:rsid w:val="00CD1FAC"/>
    <w:pPr>
      <w:spacing w:before="240"/>
    </w:pPr>
  </w:style>
  <w:style w:type="paragraph" w:customStyle="1" w:styleId="ARtabletextright">
    <w:name w:val="AR table text right"/>
    <w:basedOn w:val="ARtabletext"/>
    <w:uiPriority w:val="99"/>
    <w:qFormat/>
    <w:rsid w:val="006864A7"/>
    <w:pPr>
      <w:jc w:val="right"/>
    </w:pPr>
  </w:style>
  <w:style w:type="paragraph" w:customStyle="1" w:styleId="ARtablecolheadright">
    <w:name w:val="AR table col head right"/>
    <w:basedOn w:val="ARtablecolhead"/>
    <w:uiPriority w:val="99"/>
    <w:qFormat/>
    <w:rsid w:val="00AC698A"/>
    <w:pPr>
      <w:jc w:val="right"/>
    </w:pPr>
  </w:style>
  <w:style w:type="paragraph" w:customStyle="1" w:styleId="ARtabletextbold">
    <w:name w:val="AR table text bold"/>
    <w:basedOn w:val="ARtabletext"/>
    <w:uiPriority w:val="3"/>
    <w:qFormat/>
    <w:rsid w:val="001F2C09"/>
    <w:rPr>
      <w:b/>
    </w:rPr>
  </w:style>
  <w:style w:type="paragraph" w:customStyle="1" w:styleId="ARtableperformancesymbol">
    <w:name w:val="AR table performance symbol"/>
    <w:basedOn w:val="Normal"/>
    <w:link w:val="ARtableperformancesymbolChar"/>
    <w:uiPriority w:val="99"/>
    <w:qFormat/>
    <w:rsid w:val="00DB2BA2"/>
    <w:pPr>
      <w:spacing w:before="80"/>
      <w:jc w:val="center"/>
    </w:pPr>
    <w:rPr>
      <w:rFonts w:ascii="Wingdings" w:hAnsi="Wingdings"/>
      <w:sz w:val="18"/>
      <w:szCs w:val="18"/>
      <w:lang w:val="x-none" w:eastAsia="x-none"/>
    </w:rPr>
  </w:style>
  <w:style w:type="character" w:customStyle="1" w:styleId="ARtableperformancesymbolChar">
    <w:name w:val="AR table performance symbol Char"/>
    <w:link w:val="ARtableperformancesymbol"/>
    <w:uiPriority w:val="99"/>
    <w:rsid w:val="00DB2BA2"/>
    <w:rPr>
      <w:rFonts w:ascii="Wingdings" w:hAnsi="Wingdings"/>
      <w:sz w:val="18"/>
      <w:szCs w:val="18"/>
    </w:rPr>
  </w:style>
  <w:style w:type="paragraph" w:styleId="Title">
    <w:name w:val="Title"/>
    <w:basedOn w:val="Normal"/>
    <w:next w:val="Normal"/>
    <w:link w:val="TitleChar"/>
    <w:uiPriority w:val="98"/>
    <w:semiHidden/>
    <w:qFormat/>
    <w:rsid w:val="00DB2BA2"/>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link w:val="Title"/>
    <w:uiPriority w:val="98"/>
    <w:semiHidden/>
    <w:rsid w:val="00E52E25"/>
    <w:rPr>
      <w:rFonts w:ascii="Cambria" w:hAnsi="Cambria"/>
      <w:color w:val="17365D"/>
      <w:spacing w:val="5"/>
      <w:kern w:val="28"/>
      <w:sz w:val="52"/>
      <w:szCs w:val="52"/>
      <w:lang w:val="x-none" w:eastAsia="en-US"/>
    </w:rPr>
  </w:style>
  <w:style w:type="paragraph" w:customStyle="1" w:styleId="MediumList2-Accent21">
    <w:name w:val="Medium List 2 - Accent 21"/>
    <w:hidden/>
    <w:uiPriority w:val="99"/>
    <w:semiHidden/>
    <w:rsid w:val="004329ED"/>
    <w:rPr>
      <w:rFonts w:ascii="Arial" w:hAnsi="Arial"/>
      <w:sz w:val="24"/>
      <w:szCs w:val="24"/>
      <w:lang w:eastAsia="en-US"/>
    </w:rPr>
  </w:style>
  <w:style w:type="character" w:styleId="Strong">
    <w:name w:val="Strong"/>
    <w:uiPriority w:val="98"/>
    <w:qFormat/>
    <w:rsid w:val="004400D4"/>
    <w:rPr>
      <w:b/>
      <w:bCs/>
    </w:rPr>
  </w:style>
  <w:style w:type="character" w:styleId="Emphasis">
    <w:name w:val="Emphasis"/>
    <w:uiPriority w:val="20"/>
    <w:qFormat/>
    <w:rsid w:val="004400D4"/>
    <w:rPr>
      <w:i/>
      <w:iCs/>
    </w:rPr>
  </w:style>
  <w:style w:type="paragraph" w:styleId="ListNumber">
    <w:name w:val="List Number"/>
    <w:basedOn w:val="Normal"/>
    <w:uiPriority w:val="98"/>
    <w:semiHidden/>
    <w:rsid w:val="00495C81"/>
    <w:pPr>
      <w:spacing w:after="120"/>
      <w:ind w:left="720" w:hanging="720"/>
    </w:pPr>
    <w:rPr>
      <w:rFonts w:ascii="Verdana" w:hAnsi="Verdana"/>
    </w:rPr>
  </w:style>
  <w:style w:type="table" w:customStyle="1" w:styleId="TableGrid1">
    <w:name w:val="Table Grid1"/>
    <w:basedOn w:val="TableNormal"/>
    <w:next w:val="TableGrid"/>
    <w:uiPriority w:val="99"/>
    <w:rsid w:val="00D40C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2">
    <w:name w:val="Medium List 2 - Accent 22"/>
    <w:hidden/>
    <w:uiPriority w:val="71"/>
    <w:unhideWhenUsed/>
    <w:rsid w:val="00B11073"/>
    <w:rPr>
      <w:rFonts w:ascii="Arial" w:hAnsi="Arial"/>
      <w:sz w:val="24"/>
      <w:szCs w:val="24"/>
      <w:lang w:eastAsia="en-US"/>
    </w:rPr>
  </w:style>
  <w:style w:type="paragraph" w:customStyle="1" w:styleId="ColorfulShading-Accent11">
    <w:name w:val="Colorful Shading - Accent 11"/>
    <w:hidden/>
    <w:uiPriority w:val="99"/>
    <w:unhideWhenUsed/>
    <w:rsid w:val="004333E8"/>
    <w:rPr>
      <w:rFonts w:ascii="Arial" w:hAnsi="Arial"/>
      <w:sz w:val="24"/>
      <w:szCs w:val="24"/>
      <w:lang w:eastAsia="en-US"/>
    </w:rPr>
  </w:style>
  <w:style w:type="numbering" w:customStyle="1" w:styleId="NoList1">
    <w:name w:val="No List1"/>
    <w:next w:val="NoList"/>
    <w:uiPriority w:val="99"/>
    <w:semiHidden/>
    <w:unhideWhenUsed/>
    <w:rsid w:val="00F93382"/>
  </w:style>
  <w:style w:type="paragraph" w:styleId="Revision">
    <w:name w:val="Revision"/>
    <w:hidden/>
    <w:uiPriority w:val="62"/>
    <w:rsid w:val="00F93382"/>
    <w:rPr>
      <w:rFonts w:ascii="Arial" w:hAnsi="Arial"/>
      <w:lang w:eastAsia="en-US"/>
    </w:rPr>
  </w:style>
  <w:style w:type="paragraph" w:styleId="ListParagraph">
    <w:name w:val="List Paragraph"/>
    <w:basedOn w:val="Normal"/>
    <w:uiPriority w:val="98"/>
    <w:semiHidden/>
    <w:qFormat/>
    <w:rsid w:val="00434D2D"/>
    <w:pPr>
      <w:ind w:left="720"/>
      <w:contextualSpacing/>
    </w:pPr>
  </w:style>
  <w:style w:type="numbering" w:customStyle="1" w:styleId="NoList2">
    <w:name w:val="No List2"/>
    <w:next w:val="NoList"/>
    <w:uiPriority w:val="99"/>
    <w:semiHidden/>
    <w:unhideWhenUsed/>
    <w:rsid w:val="00E76AFD"/>
  </w:style>
  <w:style w:type="numbering" w:customStyle="1" w:styleId="NoList3">
    <w:name w:val="No List3"/>
    <w:next w:val="NoList"/>
    <w:uiPriority w:val="99"/>
    <w:semiHidden/>
    <w:unhideWhenUsed/>
    <w:rsid w:val="00D02A2E"/>
  </w:style>
  <w:style w:type="character" w:customStyle="1" w:styleId="Heading8Char">
    <w:name w:val="Heading 8 Char"/>
    <w:basedOn w:val="DefaultParagraphFont"/>
    <w:link w:val="Heading8"/>
    <w:uiPriority w:val="1"/>
    <w:rsid w:val="0093192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1"/>
    <w:rsid w:val="0093192F"/>
    <w:rPr>
      <w:rFonts w:ascii="Arial" w:hAnsi="Arial"/>
      <w:szCs w:val="22"/>
      <w:lang w:val="x-none" w:eastAsia="x-none"/>
    </w:rPr>
  </w:style>
  <w:style w:type="table" w:customStyle="1" w:styleId="DTFTable">
    <w:name w:val="DTF Table"/>
    <w:basedOn w:val="TableNormal"/>
    <w:uiPriority w:val="99"/>
    <w:rsid w:val="0093192F"/>
    <w:pPr>
      <w:spacing w:before="20" w:after="20"/>
      <w:jc w:val="right"/>
    </w:pPr>
    <w:rPr>
      <w:rFonts w:asciiTheme="majorHAnsi" w:eastAsiaTheme="minorHAnsi" w:hAnsiTheme="majorHAnsi" w:cstheme="minorBid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paragraph" w:customStyle="1" w:styleId="ARtablegreenboldrightindent">
    <w:name w:val="AR table green bold right indent"/>
    <w:basedOn w:val="Normal"/>
    <w:uiPriority w:val="99"/>
    <w:qFormat/>
    <w:rsid w:val="0093192F"/>
    <w:pPr>
      <w:spacing w:before="80" w:after="60"/>
      <w:ind w:right="3969"/>
    </w:pPr>
    <w:rPr>
      <w:rFonts w:eastAsia="Times" w:cs="Arial"/>
      <w:b/>
      <w:color w:val="00866F"/>
      <w:sz w:val="18"/>
      <w:szCs w:val="18"/>
      <w:lang w:eastAsia="en-AU"/>
    </w:rPr>
  </w:style>
  <w:style w:type="paragraph" w:customStyle="1" w:styleId="ARtablegreenbold">
    <w:name w:val="AR table green bold"/>
    <w:basedOn w:val="ARtabletext"/>
    <w:uiPriority w:val="99"/>
    <w:qFormat/>
    <w:rsid w:val="0093192F"/>
    <w:rPr>
      <w:b/>
      <w:color w:val="00866F"/>
    </w:rPr>
  </w:style>
  <w:style w:type="numbering" w:customStyle="1" w:styleId="Bullet">
    <w:name w:val="Bullet"/>
    <w:uiPriority w:val="99"/>
    <w:rsid w:val="00AF0C83"/>
    <w:pPr>
      <w:numPr>
        <w:numId w:val="23"/>
      </w:numPr>
    </w:pPr>
  </w:style>
  <w:style w:type="paragraph" w:styleId="ListBullet2">
    <w:name w:val="List Bullet 2"/>
    <w:basedOn w:val="ListBullet"/>
    <w:uiPriority w:val="98"/>
    <w:semiHidden/>
    <w:rsid w:val="0093192F"/>
    <w:pPr>
      <w:numPr>
        <w:ilvl w:val="1"/>
      </w:numPr>
      <w:tabs>
        <w:tab w:val="num" w:pos="360"/>
      </w:tabs>
    </w:pPr>
  </w:style>
  <w:style w:type="paragraph" w:styleId="ListBullet">
    <w:name w:val="List Bullet"/>
    <w:basedOn w:val="Normal"/>
    <w:link w:val="ListBulletChar"/>
    <w:uiPriority w:val="98"/>
    <w:semiHidden/>
    <w:qFormat/>
    <w:rsid w:val="00AF0C83"/>
    <w:pPr>
      <w:keepLines/>
      <w:numPr>
        <w:numId w:val="23"/>
      </w:numPr>
      <w:spacing w:before="60"/>
      <w:contextualSpacing/>
    </w:pPr>
    <w:rPr>
      <w:rFonts w:asciiTheme="minorHAnsi" w:eastAsiaTheme="minorHAnsi" w:hAnsiTheme="minorHAnsi" w:cstheme="minorBidi"/>
      <w:spacing w:val="2"/>
      <w:sz w:val="18"/>
      <w:szCs w:val="18"/>
    </w:rPr>
  </w:style>
  <w:style w:type="paragraph" w:styleId="ListBullet3">
    <w:name w:val="List Bullet 3"/>
    <w:basedOn w:val="ListBullet2"/>
    <w:uiPriority w:val="19"/>
    <w:semiHidden/>
    <w:rsid w:val="0093192F"/>
    <w:pPr>
      <w:numPr>
        <w:ilvl w:val="2"/>
      </w:numPr>
      <w:tabs>
        <w:tab w:val="num" w:pos="360"/>
      </w:tabs>
    </w:pPr>
  </w:style>
  <w:style w:type="character" w:customStyle="1" w:styleId="ListBulletChar">
    <w:name w:val="List Bullet Char"/>
    <w:basedOn w:val="DefaultParagraphFont"/>
    <w:link w:val="ListBullet"/>
    <w:uiPriority w:val="98"/>
    <w:semiHidden/>
    <w:rsid w:val="00E52E25"/>
    <w:rPr>
      <w:rFonts w:asciiTheme="minorHAnsi" w:eastAsiaTheme="minorHAnsi" w:hAnsiTheme="minorHAnsi" w:cstheme="minorBidi"/>
      <w:spacing w:val="2"/>
      <w:sz w:val="18"/>
      <w:szCs w:val="18"/>
      <w:lang w:eastAsia="en-US"/>
    </w:rPr>
  </w:style>
  <w:style w:type="paragraph" w:customStyle="1" w:styleId="Heading2nonTOC">
    <w:name w:val="Heading 2 (non TOC)"/>
    <w:basedOn w:val="Heading2"/>
    <w:next w:val="Normal"/>
    <w:uiPriority w:val="12"/>
    <w:qFormat/>
    <w:rsid w:val="0093192F"/>
    <w:pPr>
      <w:numPr>
        <w:ilvl w:val="1"/>
      </w:numPr>
      <w:tabs>
        <w:tab w:val="left" w:pos="964"/>
        <w:tab w:val="right" w:pos="9582"/>
      </w:tabs>
      <w:spacing w:before="240" w:after="0" w:line="240" w:lineRule="auto"/>
    </w:pPr>
    <w:rPr>
      <w:rFonts w:asciiTheme="majorHAnsi" w:eastAsiaTheme="majorEastAsia" w:hAnsiTheme="majorHAnsi" w:cstheme="majorBidi"/>
      <w:b/>
      <w:bCs w:val="0"/>
      <w:iCs w:val="0"/>
      <w:color w:val="auto"/>
      <w:spacing w:val="-2"/>
      <w:sz w:val="24"/>
      <w:szCs w:val="26"/>
    </w:rPr>
  </w:style>
  <w:style w:type="paragraph" w:customStyle="1" w:styleId="ARtablegreenbolditalic">
    <w:name w:val="AR table green bold italic"/>
    <w:basedOn w:val="ARtablegreenbold"/>
    <w:uiPriority w:val="99"/>
    <w:rsid w:val="0093192F"/>
    <w:rPr>
      <w:rFonts w:eastAsia="Calibri"/>
      <w:i/>
    </w:rPr>
  </w:style>
  <w:style w:type="paragraph" w:customStyle="1" w:styleId="ARheaderrightlandscape">
    <w:name w:val="AR header right landscape"/>
    <w:basedOn w:val="ARheaderright"/>
    <w:uiPriority w:val="98"/>
    <w:qFormat/>
    <w:rsid w:val="00F14FB2"/>
    <w:pPr>
      <w:tabs>
        <w:tab w:val="clear" w:pos="8959"/>
        <w:tab w:val="clear" w:pos="9639"/>
        <w:tab w:val="right" w:pos="13778"/>
        <w:tab w:val="right" w:pos="14459"/>
      </w:tabs>
    </w:pPr>
    <w:rPr>
      <w:szCs w:val="20"/>
    </w:rPr>
  </w:style>
  <w:style w:type="paragraph" w:styleId="NoSpacing">
    <w:name w:val="No Spacing"/>
    <w:uiPriority w:val="98"/>
    <w:semiHidden/>
    <w:qFormat/>
    <w:rsid w:val="0093192F"/>
    <w:pPr>
      <w:ind w:left="720" w:firstLine="720"/>
    </w:pPr>
    <w:rPr>
      <w:rFonts w:ascii="Calibri" w:eastAsia="Calibri" w:hAnsi="Calibri"/>
      <w:sz w:val="22"/>
      <w:szCs w:val="22"/>
    </w:rPr>
  </w:style>
  <w:style w:type="paragraph" w:customStyle="1" w:styleId="ARfintabledashindent">
    <w:name w:val="AR fin table dash indent"/>
    <w:basedOn w:val="ARfintablebody"/>
    <w:uiPriority w:val="98"/>
    <w:qFormat/>
    <w:rsid w:val="0093192F"/>
    <w:pPr>
      <w:ind w:left="567" w:hanging="227"/>
    </w:pPr>
  </w:style>
  <w:style w:type="table" w:styleId="LightList">
    <w:name w:val="Light List"/>
    <w:basedOn w:val="TableNormal"/>
    <w:uiPriority w:val="61"/>
    <w:rsid w:val="009319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intablealpha">
    <w:name w:val="AR fin table alpha"/>
    <w:basedOn w:val="ARfintablebody"/>
    <w:uiPriority w:val="8"/>
    <w:qFormat/>
    <w:rsid w:val="008A3D22"/>
    <w:pPr>
      <w:numPr>
        <w:numId w:val="25"/>
      </w:numPr>
    </w:pPr>
  </w:style>
  <w:style w:type="character" w:customStyle="1" w:styleId="Emphasissuperscript">
    <w:name w:val="Emphasis superscript"/>
    <w:uiPriority w:val="98"/>
    <w:qFormat/>
    <w:rsid w:val="0093192F"/>
    <w:rPr>
      <w:i/>
      <w:iCs/>
      <w:vertAlign w:val="superscript"/>
    </w:rPr>
  </w:style>
  <w:style w:type="paragraph" w:customStyle="1" w:styleId="ARfinbullet2">
    <w:name w:val="AR fin bullet 2"/>
    <w:basedOn w:val="ARfinbody"/>
    <w:uiPriority w:val="98"/>
    <w:qFormat/>
    <w:rsid w:val="008A3D22"/>
    <w:pPr>
      <w:numPr>
        <w:ilvl w:val="1"/>
        <w:numId w:val="29"/>
      </w:numPr>
    </w:pPr>
    <w:rPr>
      <w:lang w:eastAsia="en-AU"/>
    </w:rPr>
  </w:style>
  <w:style w:type="paragraph" w:customStyle="1" w:styleId="ARfootnotebullet">
    <w:name w:val="AR footnote bullet"/>
    <w:basedOn w:val="Normal"/>
    <w:link w:val="ARfootnotebulletChar"/>
    <w:qFormat/>
    <w:rsid w:val="0093192F"/>
    <w:pPr>
      <w:spacing w:after="60" w:line="200" w:lineRule="atLeast"/>
      <w:ind w:left="720" w:hanging="360"/>
    </w:pPr>
    <w:rPr>
      <w:color w:val="000000"/>
      <w:sz w:val="16"/>
    </w:rPr>
  </w:style>
  <w:style w:type="numbering" w:customStyle="1" w:styleId="ZZLoweralphainfintables">
    <w:name w:val="ZZ Lower alpha in fin tables"/>
    <w:rsid w:val="008A3D22"/>
    <w:pPr>
      <w:numPr>
        <w:numId w:val="25"/>
      </w:numPr>
    </w:pPr>
  </w:style>
  <w:style w:type="paragraph" w:customStyle="1" w:styleId="ARfintablebodyindent">
    <w:name w:val="AR fin table body indent"/>
    <w:basedOn w:val="ARfintablebody"/>
    <w:uiPriority w:val="8"/>
    <w:qFormat/>
    <w:rsid w:val="0093192F"/>
    <w:pPr>
      <w:ind w:left="340"/>
    </w:pPr>
  </w:style>
  <w:style w:type="paragraph" w:customStyle="1" w:styleId="ARfintablebodyindent2">
    <w:name w:val="AR fin table body indent 2"/>
    <w:basedOn w:val="ARfintablebodyindent"/>
    <w:uiPriority w:val="8"/>
    <w:qFormat/>
    <w:rsid w:val="0093192F"/>
    <w:pPr>
      <w:ind w:left="680"/>
    </w:pPr>
  </w:style>
  <w:style w:type="paragraph" w:customStyle="1" w:styleId="ARfintablecolhead">
    <w:name w:val="AR fin table col head"/>
    <w:basedOn w:val="ARfintablecolheadright"/>
    <w:qFormat/>
    <w:rsid w:val="0093192F"/>
    <w:pPr>
      <w:jc w:val="left"/>
    </w:pPr>
    <w:rPr>
      <w:lang w:eastAsia="en-AU"/>
    </w:rPr>
  </w:style>
  <w:style w:type="paragraph" w:customStyle="1" w:styleId="ARfintablebody">
    <w:name w:val="AR fin table body"/>
    <w:qFormat/>
    <w:rsid w:val="0093192F"/>
    <w:pPr>
      <w:suppressAutoHyphens/>
      <w:spacing w:before="40" w:after="20"/>
      <w:ind w:right="113"/>
    </w:pPr>
    <w:rPr>
      <w:rFonts w:ascii="Arial" w:eastAsia="MS Mincho" w:hAnsi="Arial" w:cs="Arial"/>
      <w:color w:val="000000"/>
      <w:sz w:val="16"/>
      <w:szCs w:val="16"/>
      <w:lang w:eastAsia="en-US"/>
    </w:rPr>
  </w:style>
  <w:style w:type="paragraph" w:styleId="TableofFigures">
    <w:name w:val="table of figures"/>
    <w:basedOn w:val="Normal"/>
    <w:next w:val="Normal"/>
    <w:uiPriority w:val="98"/>
    <w:semiHidden/>
    <w:rsid w:val="0093192F"/>
    <w:pPr>
      <w:jc w:val="right"/>
    </w:pPr>
    <w:rPr>
      <w:rFonts w:ascii="AvantGarde Bk BT" w:hAnsi="AvantGarde Bk BT"/>
      <w:sz w:val="18"/>
      <w:szCs w:val="18"/>
    </w:rPr>
  </w:style>
  <w:style w:type="paragraph" w:styleId="Index1">
    <w:name w:val="index 1"/>
    <w:basedOn w:val="Normal"/>
    <w:next w:val="Normal"/>
    <w:autoRedefine/>
    <w:uiPriority w:val="98"/>
    <w:semiHidden/>
    <w:rsid w:val="0093192F"/>
    <w:pPr>
      <w:ind w:left="180" w:hanging="180"/>
    </w:pPr>
    <w:rPr>
      <w:rFonts w:ascii="Times New Roman" w:hAnsi="Times New Roman"/>
      <w:b/>
      <w:sz w:val="18"/>
      <w:szCs w:val="18"/>
    </w:rPr>
  </w:style>
  <w:style w:type="paragraph" w:customStyle="1" w:styleId="ARfintablebodybold">
    <w:name w:val="AR fin table body bold"/>
    <w:basedOn w:val="ARfintablebody"/>
    <w:rsid w:val="0093192F"/>
    <w:rPr>
      <w:rFonts w:cs="Arial-BoldMT"/>
      <w:b/>
      <w:bCs/>
    </w:rPr>
  </w:style>
  <w:style w:type="paragraph" w:styleId="PlainText">
    <w:name w:val="Plain Text"/>
    <w:basedOn w:val="Normal"/>
    <w:link w:val="PlainTextChar"/>
    <w:uiPriority w:val="98"/>
    <w:semiHidden/>
    <w:rsid w:val="0093192F"/>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3192F"/>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3192F"/>
    <w:rPr>
      <w:rFonts w:ascii="Verdana" w:hAnsi="Verdana"/>
      <w:lang w:eastAsia="en-US"/>
    </w:rPr>
  </w:style>
  <w:style w:type="character" w:customStyle="1" w:styleId="ARfootnotebulletChar">
    <w:name w:val="AR footnote bullet Char"/>
    <w:link w:val="ARfootnotebullet"/>
    <w:rsid w:val="0093192F"/>
    <w:rPr>
      <w:rFonts w:ascii="Arial" w:hAnsi="Arial"/>
      <w:color w:val="000000"/>
      <w:sz w:val="16"/>
      <w:szCs w:val="24"/>
      <w:lang w:eastAsia="en-US"/>
    </w:rPr>
  </w:style>
  <w:style w:type="paragraph" w:customStyle="1" w:styleId="ARfootnotetables">
    <w:name w:val="AR footnote tables"/>
    <w:basedOn w:val="Normal"/>
    <w:qFormat/>
    <w:rsid w:val="0093192F"/>
    <w:pPr>
      <w:spacing w:before="60" w:after="60" w:line="200" w:lineRule="atLeast"/>
      <w:ind w:left="284" w:hanging="284"/>
    </w:pPr>
    <w:rPr>
      <w:color w:val="000000"/>
      <w:sz w:val="16"/>
    </w:rPr>
  </w:style>
  <w:style w:type="paragraph" w:customStyle="1" w:styleId="Tableinline">
    <w:name w:val="Table inline"/>
    <w:basedOn w:val="Normal"/>
    <w:uiPriority w:val="99"/>
    <w:semiHidden/>
    <w:rsid w:val="0093192F"/>
    <w:pPr>
      <w:spacing w:after="120" w:line="270" w:lineRule="atLeast"/>
    </w:pPr>
    <w:rPr>
      <w:rFonts w:eastAsia="Times" w:cs="Arial"/>
      <w:sz w:val="20"/>
      <w:szCs w:val="20"/>
    </w:rPr>
  </w:style>
  <w:style w:type="paragraph" w:customStyle="1" w:styleId="ARtableBIsubhead">
    <w:name w:val="AR table BI subhead"/>
    <w:basedOn w:val="ARfintablebody"/>
    <w:qFormat/>
    <w:rsid w:val="0093192F"/>
    <w:rPr>
      <w:b/>
      <w:i/>
    </w:rPr>
  </w:style>
  <w:style w:type="paragraph" w:customStyle="1" w:styleId="ARfintableboldsubhead">
    <w:name w:val="AR fin table bold subhead"/>
    <w:basedOn w:val="ARfintablebody"/>
    <w:rsid w:val="0093192F"/>
    <w:pPr>
      <w:spacing w:before="160"/>
    </w:pPr>
    <w:rPr>
      <w:b/>
      <w:szCs w:val="18"/>
    </w:rPr>
  </w:style>
  <w:style w:type="character" w:customStyle="1" w:styleId="ARtablefootnotenumberedChar">
    <w:name w:val="AR table footnote numbered Char"/>
    <w:link w:val="ARtablefootnotenumbered"/>
    <w:rsid w:val="0093192F"/>
    <w:rPr>
      <w:rFonts w:ascii="Arial" w:hAnsi="Arial"/>
      <w:i/>
      <w:sz w:val="16"/>
      <w:szCs w:val="16"/>
      <w:lang w:eastAsia="en-US"/>
    </w:rPr>
  </w:style>
  <w:style w:type="paragraph" w:customStyle="1" w:styleId="ARfintableinlinenote">
    <w:name w:val="AR fin table inline note"/>
    <w:link w:val="ARfintableinlinenoteChar"/>
    <w:qFormat/>
    <w:rsid w:val="0093192F"/>
    <w:pPr>
      <w:spacing w:after="60" w:line="200" w:lineRule="atLeast"/>
      <w:ind w:left="284"/>
    </w:pPr>
    <w:rPr>
      <w:rFonts w:ascii="Arial" w:eastAsia="MS Mincho" w:hAnsi="Arial"/>
      <w:i/>
      <w:sz w:val="16"/>
      <w:szCs w:val="24"/>
      <w:lang w:eastAsia="en-US"/>
    </w:rPr>
  </w:style>
  <w:style w:type="character" w:customStyle="1" w:styleId="ARfintableinlinenoteChar">
    <w:name w:val="AR fin table inline note Char"/>
    <w:link w:val="ARfintableinlinenote"/>
    <w:rsid w:val="0093192F"/>
    <w:rPr>
      <w:rFonts w:ascii="Arial" w:eastAsia="MS Mincho" w:hAnsi="Arial"/>
      <w:i/>
      <w:sz w:val="16"/>
      <w:szCs w:val="24"/>
      <w:lang w:eastAsia="en-US"/>
    </w:rPr>
  </w:style>
  <w:style w:type="paragraph" w:customStyle="1" w:styleId="ARfintablefootnote">
    <w:name w:val="AR fin table footnote"/>
    <w:basedOn w:val="Normal"/>
    <w:qFormat/>
    <w:rsid w:val="0093192F"/>
    <w:pPr>
      <w:spacing w:before="60" w:after="60" w:line="180" w:lineRule="atLeast"/>
    </w:pPr>
    <w:rPr>
      <w:color w:val="000000"/>
      <w:sz w:val="14"/>
      <w:szCs w:val="14"/>
    </w:rPr>
  </w:style>
  <w:style w:type="paragraph" w:customStyle="1" w:styleId="ARfintableoutputgroup">
    <w:name w:val="AR fin table output group"/>
    <w:basedOn w:val="ARfintablebody"/>
    <w:qFormat/>
    <w:rsid w:val="0093192F"/>
    <w:rPr>
      <w:b/>
      <w:bCs/>
      <w:szCs w:val="18"/>
    </w:rPr>
  </w:style>
  <w:style w:type="paragraph" w:customStyle="1" w:styleId="ARfintablebodyright">
    <w:name w:val="AR fin table body right"/>
    <w:basedOn w:val="ARfintablebody"/>
    <w:qFormat/>
    <w:rsid w:val="0093192F"/>
    <w:pPr>
      <w:jc w:val="right"/>
    </w:pPr>
  </w:style>
  <w:style w:type="character" w:customStyle="1" w:styleId="Superscriptbolditalic">
    <w:name w:val="Superscript bold italic"/>
    <w:uiPriority w:val="99"/>
    <w:rsid w:val="0093192F"/>
    <w:rPr>
      <w:b/>
      <w:bCs/>
      <w:i/>
      <w:iCs/>
      <w:vertAlign w:val="superscript"/>
    </w:rPr>
  </w:style>
  <w:style w:type="paragraph" w:customStyle="1" w:styleId="ARfintablecolheadcentre">
    <w:name w:val="AR fin table col head centre"/>
    <w:basedOn w:val="ARfintablecolhead"/>
    <w:qFormat/>
    <w:rsid w:val="0093192F"/>
    <w:pPr>
      <w:ind w:right="0"/>
      <w:jc w:val="center"/>
    </w:pPr>
  </w:style>
  <w:style w:type="paragraph" w:customStyle="1" w:styleId="ARfintablecolheadright">
    <w:name w:val="AR fin table col head right"/>
    <w:basedOn w:val="Normal"/>
    <w:qFormat/>
    <w:rsid w:val="0093192F"/>
    <w:pPr>
      <w:spacing w:before="40" w:after="40"/>
      <w:ind w:right="113"/>
      <w:jc w:val="right"/>
    </w:pPr>
    <w:rPr>
      <w:b/>
      <w:sz w:val="16"/>
      <w:szCs w:val="16"/>
    </w:rPr>
  </w:style>
  <w:style w:type="paragraph" w:customStyle="1" w:styleId="ARfintablefootnoteroman">
    <w:name w:val="AR fin table footnote roman"/>
    <w:link w:val="ARfintablefootnoteromanChar"/>
    <w:qFormat/>
    <w:rsid w:val="0093192F"/>
    <w:pPr>
      <w:spacing w:before="40" w:after="40" w:line="180" w:lineRule="atLeast"/>
      <w:ind w:left="284" w:hanging="284"/>
    </w:pPr>
    <w:rPr>
      <w:rFonts w:ascii="Arial" w:hAnsi="Arial"/>
      <w:color w:val="000000"/>
      <w:sz w:val="14"/>
      <w:szCs w:val="14"/>
    </w:rPr>
  </w:style>
  <w:style w:type="character" w:customStyle="1" w:styleId="ARfintablefootnoteromanChar">
    <w:name w:val="AR fin table footnote roman Char"/>
    <w:link w:val="ARfintablefootnoteroman"/>
    <w:rsid w:val="0093192F"/>
    <w:rPr>
      <w:rFonts w:ascii="Arial" w:hAnsi="Arial"/>
      <w:color w:val="000000"/>
      <w:sz w:val="14"/>
      <w:szCs w:val="14"/>
    </w:rPr>
  </w:style>
  <w:style w:type="paragraph" w:customStyle="1" w:styleId="ARfinbody">
    <w:name w:val="AR fin body"/>
    <w:basedOn w:val="Normal"/>
    <w:rsid w:val="0093192F"/>
    <w:pPr>
      <w:suppressAutoHyphens/>
      <w:autoSpaceDE w:val="0"/>
      <w:autoSpaceDN w:val="0"/>
      <w:adjustRightInd w:val="0"/>
      <w:spacing w:after="60" w:line="190" w:lineRule="atLeast"/>
      <w:textAlignment w:val="center"/>
    </w:pPr>
    <w:rPr>
      <w:rFonts w:cs="ArialMT"/>
      <w:color w:val="000000"/>
      <w:sz w:val="16"/>
      <w:szCs w:val="16"/>
    </w:rPr>
  </w:style>
  <w:style w:type="paragraph" w:customStyle="1" w:styleId="ARfinbullet1">
    <w:name w:val="AR fin bullet 1"/>
    <w:basedOn w:val="ARfinbody"/>
    <w:rsid w:val="008A3D22"/>
    <w:pPr>
      <w:numPr>
        <w:numId w:val="29"/>
      </w:numPr>
    </w:pPr>
    <w:rPr>
      <w:rFonts w:eastAsia="Verdana"/>
    </w:rPr>
  </w:style>
  <w:style w:type="character" w:customStyle="1" w:styleId="Superscript">
    <w:name w:val="Superscript"/>
    <w:uiPriority w:val="99"/>
    <w:rsid w:val="0093192F"/>
    <w:rPr>
      <w:vertAlign w:val="superscript"/>
    </w:rPr>
  </w:style>
  <w:style w:type="character" w:customStyle="1" w:styleId="Superscriptbold">
    <w:name w:val="Superscript bold"/>
    <w:uiPriority w:val="99"/>
    <w:qFormat/>
    <w:rsid w:val="0093192F"/>
    <w:rPr>
      <w:rFonts w:eastAsia="Verdana"/>
      <w:b/>
      <w:vertAlign w:val="superscript"/>
    </w:rPr>
  </w:style>
  <w:style w:type="character" w:customStyle="1" w:styleId="Superscriptitalic">
    <w:name w:val="Superscript italic"/>
    <w:uiPriority w:val="99"/>
    <w:rsid w:val="0093192F"/>
    <w:rPr>
      <w:rFonts w:ascii="Arial" w:hAnsi="Arial" w:cs="Arial-ItalicMT"/>
      <w:i/>
      <w:iCs/>
      <w:vertAlign w:val="superscript"/>
    </w:rPr>
  </w:style>
  <w:style w:type="paragraph" w:customStyle="1" w:styleId="Heading2continued">
    <w:name w:val="Heading 2 continued"/>
    <w:basedOn w:val="Heading2"/>
    <w:next w:val="ARbody"/>
    <w:uiPriority w:val="98"/>
    <w:qFormat/>
    <w:rsid w:val="0093192F"/>
    <w:pPr>
      <w:pageBreakBefore/>
      <w:spacing w:before="0" w:after="200" w:line="360" w:lineRule="atLeast"/>
      <w:outlineLvl w:val="9"/>
    </w:pPr>
    <w:rPr>
      <w:rFonts w:cs="Arial"/>
      <w:sz w:val="23"/>
      <w:szCs w:val="23"/>
      <w:lang w:eastAsia="en-AU"/>
    </w:rPr>
  </w:style>
  <w:style w:type="paragraph" w:customStyle="1" w:styleId="Heading3continued">
    <w:name w:val="Heading 3 continued"/>
    <w:uiPriority w:val="98"/>
    <w:qFormat/>
    <w:rsid w:val="0093192F"/>
    <w:pPr>
      <w:keepNext/>
      <w:keepLines/>
      <w:spacing w:after="200" w:line="280" w:lineRule="atLeast"/>
    </w:pPr>
    <w:rPr>
      <w:rFonts w:ascii="Arial" w:eastAsia="MS Gothic" w:hAnsi="Arial" w:cs="Arial"/>
      <w:bCs/>
      <w:color w:val="004C97"/>
      <w:sz w:val="24"/>
      <w:szCs w:val="24"/>
    </w:rPr>
  </w:style>
  <w:style w:type="paragraph" w:customStyle="1" w:styleId="Heading4continued">
    <w:name w:val="Heading 4 continued"/>
    <w:uiPriority w:val="98"/>
    <w:qFormat/>
    <w:rsid w:val="0093192F"/>
    <w:pPr>
      <w:keepNext/>
      <w:keepLines/>
      <w:spacing w:after="200" w:line="240" w:lineRule="atLeast"/>
    </w:pPr>
    <w:rPr>
      <w:rFonts w:ascii="Arial" w:eastAsia="MS Mincho" w:hAnsi="Arial" w:cs="Arial"/>
      <w:b/>
      <w:bCs/>
    </w:rPr>
  </w:style>
  <w:style w:type="paragraph" w:customStyle="1" w:styleId="ARfintablefootnoteindent">
    <w:name w:val="AR fin table footnote indent"/>
    <w:basedOn w:val="ARfintablefootnote"/>
    <w:uiPriority w:val="98"/>
    <w:qFormat/>
    <w:rsid w:val="0093192F"/>
    <w:pPr>
      <w:ind w:left="284"/>
    </w:pPr>
  </w:style>
  <w:style w:type="numbering" w:customStyle="1" w:styleId="ZZFinbullets">
    <w:name w:val="ZZ Fin bullets"/>
    <w:basedOn w:val="NoList"/>
    <w:rsid w:val="008A3D22"/>
    <w:pPr>
      <w:numPr>
        <w:numId w:val="29"/>
      </w:numPr>
    </w:pPr>
  </w:style>
  <w:style w:type="paragraph" w:customStyle="1" w:styleId="ARbulletafternumbers1">
    <w:name w:val="AR bullet after numbers 1"/>
    <w:basedOn w:val="Normal"/>
    <w:uiPriority w:val="4"/>
    <w:rsid w:val="008A3D22"/>
    <w:pPr>
      <w:numPr>
        <w:ilvl w:val="2"/>
        <w:numId w:val="30"/>
      </w:numPr>
      <w:spacing w:after="40" w:line="270" w:lineRule="atLeast"/>
    </w:pPr>
    <w:rPr>
      <w:rFonts w:eastAsia="Times"/>
      <w:sz w:val="20"/>
      <w:szCs w:val="20"/>
    </w:rPr>
  </w:style>
  <w:style w:type="paragraph" w:customStyle="1" w:styleId="ARbulletafternumbers2">
    <w:name w:val="AR bullet after numbers 2"/>
    <w:basedOn w:val="Normal"/>
    <w:rsid w:val="008A3D22"/>
    <w:pPr>
      <w:numPr>
        <w:ilvl w:val="3"/>
        <w:numId w:val="30"/>
      </w:numPr>
      <w:spacing w:after="40" w:line="270" w:lineRule="atLeast"/>
    </w:pPr>
    <w:rPr>
      <w:rFonts w:eastAsia="Times"/>
      <w:sz w:val="20"/>
      <w:szCs w:val="20"/>
    </w:rPr>
  </w:style>
  <w:style w:type="paragraph" w:customStyle="1" w:styleId="ARnumberdigit">
    <w:name w:val="AR number digit"/>
    <w:basedOn w:val="Normal"/>
    <w:uiPriority w:val="2"/>
    <w:rsid w:val="008A3D22"/>
    <w:pPr>
      <w:numPr>
        <w:numId w:val="30"/>
      </w:numPr>
      <w:spacing w:after="120" w:line="270" w:lineRule="atLeast"/>
    </w:pPr>
    <w:rPr>
      <w:rFonts w:eastAsia="Times"/>
      <w:sz w:val="20"/>
      <w:szCs w:val="20"/>
    </w:rPr>
  </w:style>
  <w:style w:type="paragraph" w:customStyle="1" w:styleId="ARnumberdigitindent">
    <w:name w:val="AR number digit indent"/>
    <w:basedOn w:val="Normal"/>
    <w:uiPriority w:val="3"/>
    <w:rsid w:val="004722B7"/>
    <w:pPr>
      <w:numPr>
        <w:ilvl w:val="1"/>
        <w:numId w:val="30"/>
      </w:numPr>
      <w:tabs>
        <w:tab w:val="clear" w:pos="794"/>
      </w:tabs>
      <w:spacing w:after="120" w:line="270" w:lineRule="atLeast"/>
    </w:pPr>
    <w:rPr>
      <w:rFonts w:eastAsia="Times"/>
      <w:sz w:val="20"/>
      <w:szCs w:val="20"/>
    </w:rPr>
  </w:style>
  <w:style w:type="numbering" w:customStyle="1" w:styleId="ZZNumbersdigit">
    <w:name w:val="ZZ Numbers digit"/>
    <w:rsid w:val="008A3D22"/>
    <w:pPr>
      <w:numPr>
        <w:numId w:val="30"/>
      </w:numPr>
    </w:pPr>
  </w:style>
  <w:style w:type="table" w:customStyle="1" w:styleId="Healthtablenoverticals">
    <w:name w:val="Health table no verticals"/>
    <w:basedOn w:val="TableNormal"/>
    <w:uiPriority w:val="99"/>
    <w:rsid w:val="0093192F"/>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customStyle="1" w:styleId="ARnumberalpha1">
    <w:name w:val="AR number alpha 1"/>
    <w:basedOn w:val="ARbody"/>
    <w:uiPriority w:val="3"/>
    <w:qFormat/>
    <w:rsid w:val="0093192F"/>
    <w:pPr>
      <w:numPr>
        <w:numId w:val="38"/>
      </w:numPr>
      <w:spacing w:after="40"/>
    </w:pPr>
    <w:rPr>
      <w:rFonts w:eastAsia="Times New Roman"/>
      <w:szCs w:val="20"/>
    </w:rPr>
  </w:style>
  <w:style w:type="paragraph" w:customStyle="1" w:styleId="ARnumberalpha2">
    <w:name w:val="AR number alpha 2"/>
    <w:basedOn w:val="ARbody"/>
    <w:uiPriority w:val="98"/>
    <w:qFormat/>
    <w:rsid w:val="0093192F"/>
    <w:pPr>
      <w:numPr>
        <w:ilvl w:val="1"/>
        <w:numId w:val="38"/>
      </w:numPr>
      <w:spacing w:after="40"/>
    </w:pPr>
    <w:rPr>
      <w:rFonts w:eastAsia="Times New Roman"/>
      <w:szCs w:val="20"/>
    </w:rPr>
  </w:style>
  <w:style w:type="paragraph" w:customStyle="1" w:styleId="ARnumberroman2">
    <w:name w:val="AR number roman 2"/>
    <w:basedOn w:val="ARbody"/>
    <w:uiPriority w:val="98"/>
    <w:qFormat/>
    <w:rsid w:val="00071FEC"/>
    <w:pPr>
      <w:numPr>
        <w:ilvl w:val="2"/>
        <w:numId w:val="38"/>
      </w:numPr>
      <w:spacing w:after="40" w:line="270" w:lineRule="atLeast"/>
    </w:pPr>
    <w:rPr>
      <w:rFonts w:eastAsia="Times New Roman"/>
      <w:szCs w:val="20"/>
    </w:rPr>
  </w:style>
  <w:style w:type="numbering" w:customStyle="1" w:styleId="ARnumberedparas">
    <w:name w:val="AR numbered paras"/>
    <w:rsid w:val="0093192F"/>
    <w:pPr>
      <w:numPr>
        <w:numId w:val="38"/>
      </w:numPr>
    </w:pPr>
  </w:style>
  <w:style w:type="paragraph" w:customStyle="1" w:styleId="ARfinbodyaftertable">
    <w:name w:val="AR fin body after table"/>
    <w:basedOn w:val="ARfintablebody"/>
    <w:uiPriority w:val="98"/>
    <w:qFormat/>
    <w:rsid w:val="0093192F"/>
    <w:pPr>
      <w:spacing w:before="160" w:after="60"/>
    </w:pPr>
    <w:rPr>
      <w:lang w:eastAsia="en-AU"/>
    </w:rPr>
  </w:style>
  <w:style w:type="paragraph" w:customStyle="1" w:styleId="ARfinnumberalpha1">
    <w:name w:val="AR fin number alpha 1"/>
    <w:basedOn w:val="ARfinbody"/>
    <w:uiPriority w:val="98"/>
    <w:qFormat/>
    <w:rsid w:val="008A3D22"/>
    <w:pPr>
      <w:numPr>
        <w:numId w:val="40"/>
      </w:numPr>
    </w:pPr>
    <w:rPr>
      <w:lang w:eastAsia="en-AU"/>
    </w:rPr>
  </w:style>
  <w:style w:type="paragraph" w:customStyle="1" w:styleId="ARfinnumberalpha2">
    <w:name w:val="AR fin number alpha 2"/>
    <w:basedOn w:val="ARfinbody"/>
    <w:uiPriority w:val="98"/>
    <w:qFormat/>
    <w:rsid w:val="008A3D22"/>
    <w:pPr>
      <w:numPr>
        <w:ilvl w:val="1"/>
        <w:numId w:val="40"/>
      </w:numPr>
    </w:pPr>
  </w:style>
  <w:style w:type="numbering" w:customStyle="1" w:styleId="ZZFinnumbersalpha">
    <w:name w:val="ZZ Fin numbers alpha"/>
    <w:basedOn w:val="ARnumberedparas"/>
    <w:uiPriority w:val="99"/>
    <w:rsid w:val="008A3D22"/>
    <w:pPr>
      <w:numPr>
        <w:numId w:val="40"/>
      </w:numPr>
    </w:pPr>
  </w:style>
  <w:style w:type="paragraph" w:customStyle="1" w:styleId="Heading5continued">
    <w:name w:val="Heading 5 continued"/>
    <w:basedOn w:val="Heading5"/>
    <w:uiPriority w:val="98"/>
    <w:qFormat/>
    <w:rsid w:val="0093192F"/>
    <w:pPr>
      <w:spacing w:before="200" w:after="160" w:line="230" w:lineRule="atLeast"/>
      <w:outlineLvl w:val="9"/>
    </w:pPr>
    <w:rPr>
      <w:b/>
      <w:sz w:val="19"/>
      <w:szCs w:val="20"/>
    </w:rPr>
  </w:style>
  <w:style w:type="paragraph" w:customStyle="1" w:styleId="ARfinstructure1">
    <w:name w:val="AR fin structure 1"/>
    <w:basedOn w:val="ARfinbody"/>
    <w:uiPriority w:val="98"/>
    <w:qFormat/>
    <w:rsid w:val="0093192F"/>
    <w:pPr>
      <w:ind w:left="454" w:hanging="454"/>
    </w:pPr>
    <w:rPr>
      <w:lang w:eastAsia="en-AU"/>
    </w:rPr>
  </w:style>
  <w:style w:type="paragraph" w:customStyle="1" w:styleId="ARfinstructure2">
    <w:name w:val="AR fin structure 2"/>
    <w:basedOn w:val="ARfinbody"/>
    <w:uiPriority w:val="98"/>
    <w:qFormat/>
    <w:rsid w:val="0093192F"/>
    <w:pPr>
      <w:ind w:left="1021" w:hanging="567"/>
    </w:pPr>
    <w:rPr>
      <w:lang w:eastAsia="en-AU"/>
    </w:rPr>
  </w:style>
  <w:style w:type="paragraph" w:customStyle="1" w:styleId="ARfintablebullet">
    <w:name w:val="AR fin table bullet"/>
    <w:basedOn w:val="ARfintablebody"/>
    <w:uiPriority w:val="98"/>
    <w:qFormat/>
    <w:rsid w:val="008A3D22"/>
    <w:pPr>
      <w:numPr>
        <w:numId w:val="41"/>
      </w:numPr>
    </w:pPr>
    <w:rPr>
      <w:lang w:eastAsia="en-AU"/>
    </w:rPr>
  </w:style>
  <w:style w:type="numbering" w:customStyle="1" w:styleId="ZZFintablebullets">
    <w:name w:val="ZZ Fin table bullets"/>
    <w:basedOn w:val="NoList"/>
    <w:uiPriority w:val="99"/>
    <w:rsid w:val="008A3D22"/>
    <w:pPr>
      <w:numPr>
        <w:numId w:val="41"/>
      </w:numPr>
    </w:pPr>
  </w:style>
  <w:style w:type="paragraph" w:styleId="TOCHeading">
    <w:name w:val="TOC Heading"/>
    <w:basedOn w:val="Heading1"/>
    <w:next w:val="Normal"/>
    <w:uiPriority w:val="39"/>
    <w:semiHidden/>
    <w:unhideWhenUsed/>
    <w:qFormat/>
    <w:rsid w:val="0093192F"/>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table" w:customStyle="1" w:styleId="TableGrid2">
    <w:name w:val="Table Grid2"/>
    <w:basedOn w:val="TableNormal"/>
    <w:next w:val="TableGrid"/>
    <w:uiPriority w:val="59"/>
    <w:rsid w:val="009319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192F"/>
  </w:style>
  <w:style w:type="numbering" w:customStyle="1" w:styleId="NoList11">
    <w:name w:val="No List11"/>
    <w:next w:val="NoList"/>
    <w:uiPriority w:val="99"/>
    <w:semiHidden/>
    <w:unhideWhenUsed/>
    <w:rsid w:val="0093192F"/>
  </w:style>
  <w:style w:type="table" w:customStyle="1" w:styleId="Casestudy1">
    <w:name w:val="Case study1"/>
    <w:basedOn w:val="TableNormal"/>
    <w:rsid w:val="0093192F"/>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paragraph" w:customStyle="1" w:styleId="ARtablebullet2">
    <w:name w:val="AR table bullet 2"/>
    <w:basedOn w:val="ARtablebullet1"/>
    <w:uiPriority w:val="99"/>
    <w:qFormat/>
    <w:rsid w:val="00653C02"/>
    <w:pPr>
      <w:ind w:left="454"/>
    </w:pPr>
  </w:style>
  <w:style w:type="paragraph" w:customStyle="1" w:styleId="DHHSbody">
    <w:name w:val="DHHS body"/>
    <w:link w:val="DHHSbodyChar"/>
    <w:uiPriority w:val="99"/>
    <w:qFormat/>
    <w:rsid w:val="00653C02"/>
    <w:pPr>
      <w:spacing w:after="120" w:line="270" w:lineRule="atLeast"/>
    </w:pPr>
    <w:rPr>
      <w:rFonts w:ascii="Arial" w:eastAsia="Calibri" w:hAnsi="Arial"/>
      <w:sz w:val="22"/>
      <w:szCs w:val="24"/>
      <w:lang w:eastAsia="en-US"/>
    </w:rPr>
  </w:style>
  <w:style w:type="paragraph" w:customStyle="1" w:styleId="ARtablebullet1">
    <w:name w:val="AR table bullet 1"/>
    <w:basedOn w:val="ARtabletext"/>
    <w:uiPriority w:val="99"/>
    <w:qFormat/>
    <w:rsid w:val="00653C02"/>
    <w:pPr>
      <w:ind w:left="227" w:hanging="227"/>
    </w:pPr>
  </w:style>
  <w:style w:type="paragraph" w:customStyle="1" w:styleId="ARbullet1final">
    <w:name w:val="AR bullet 1 final"/>
    <w:basedOn w:val="ARbullet1"/>
    <w:uiPriority w:val="99"/>
    <w:qFormat/>
    <w:rsid w:val="00653C02"/>
    <w:pPr>
      <w:spacing w:after="120"/>
    </w:pPr>
  </w:style>
  <w:style w:type="paragraph" w:customStyle="1" w:styleId="ARbullet2final">
    <w:name w:val="AR bullet 2 final"/>
    <w:basedOn w:val="ARbody"/>
    <w:uiPriority w:val="99"/>
    <w:qFormat/>
    <w:rsid w:val="00653C02"/>
    <w:pPr>
      <w:spacing w:line="270" w:lineRule="atLeast"/>
      <w:ind w:left="567" w:hanging="283"/>
    </w:pPr>
    <w:rPr>
      <w:rFonts w:cs="Times New Roman"/>
      <w:lang w:val="x-none"/>
    </w:rPr>
  </w:style>
  <w:style w:type="character" w:customStyle="1" w:styleId="DHHSbodyChar">
    <w:name w:val="DHHS body Char"/>
    <w:link w:val="DHHSbody"/>
    <w:uiPriority w:val="99"/>
    <w:locked/>
    <w:rsid w:val="00653C02"/>
    <w:rPr>
      <w:rFonts w:ascii="Arial" w:eastAsia="Calibri" w:hAnsi="Arial"/>
      <w:sz w:val="22"/>
      <w:szCs w:val="24"/>
      <w:lang w:eastAsia="en-US"/>
    </w:rPr>
  </w:style>
  <w:style w:type="paragraph" w:customStyle="1" w:styleId="DHHSbullet1">
    <w:name w:val="DHHS bullet 1"/>
    <w:basedOn w:val="DHHSbody"/>
    <w:qFormat/>
    <w:rsid w:val="00C34A9D"/>
    <w:pPr>
      <w:tabs>
        <w:tab w:val="num" w:pos="360"/>
      </w:tabs>
      <w:spacing w:after="40"/>
    </w:pPr>
    <w:rPr>
      <w:rFonts w:eastAsia="Times"/>
      <w:sz w:val="20"/>
      <w:szCs w:val="20"/>
    </w:rPr>
  </w:style>
  <w:style w:type="paragraph" w:customStyle="1" w:styleId="DHHSbullet2">
    <w:name w:val="DHHS bullet 2"/>
    <w:basedOn w:val="DHHSbody"/>
    <w:uiPriority w:val="2"/>
    <w:qFormat/>
    <w:rsid w:val="00C34A9D"/>
    <w:pPr>
      <w:tabs>
        <w:tab w:val="num" w:pos="360"/>
      </w:tabs>
      <w:spacing w:after="40"/>
    </w:pPr>
    <w:rPr>
      <w:rFonts w:eastAsia="Times"/>
      <w:sz w:val="20"/>
      <w:szCs w:val="20"/>
    </w:rPr>
  </w:style>
  <w:style w:type="paragraph" w:customStyle="1" w:styleId="DHHSbullet1lastline">
    <w:name w:val="DHHS bullet 1 last line"/>
    <w:basedOn w:val="DHHSbullet1"/>
    <w:qFormat/>
    <w:rsid w:val="00C34A9D"/>
    <w:pPr>
      <w:spacing w:after="120"/>
      <w:ind w:left="284" w:hanging="284"/>
    </w:pPr>
  </w:style>
  <w:style w:type="paragraph" w:customStyle="1" w:styleId="DHHSbullet2lastline">
    <w:name w:val="DHHS bullet 2 last line"/>
    <w:basedOn w:val="DHHSbullet2"/>
    <w:uiPriority w:val="2"/>
    <w:qFormat/>
    <w:rsid w:val="00C34A9D"/>
    <w:pPr>
      <w:spacing w:after="120"/>
      <w:ind w:left="567" w:hanging="283"/>
    </w:pPr>
  </w:style>
  <w:style w:type="paragraph" w:customStyle="1" w:styleId="DHHStablebullet">
    <w:name w:val="DHHS table bullet"/>
    <w:basedOn w:val="Normal"/>
    <w:uiPriority w:val="3"/>
    <w:qFormat/>
    <w:rsid w:val="00C34A9D"/>
    <w:pPr>
      <w:spacing w:before="80" w:after="60"/>
      <w:ind w:left="227" w:hanging="227"/>
    </w:pPr>
    <w:rPr>
      <w:sz w:val="20"/>
      <w:szCs w:val="20"/>
    </w:rPr>
  </w:style>
  <w:style w:type="paragraph" w:customStyle="1" w:styleId="DHHSbulletindent">
    <w:name w:val="DHHS bullet indent"/>
    <w:basedOn w:val="DHHSbody"/>
    <w:uiPriority w:val="4"/>
    <w:rsid w:val="00C34A9D"/>
    <w:pPr>
      <w:tabs>
        <w:tab w:val="num" w:pos="360"/>
      </w:tabs>
      <w:spacing w:after="40"/>
    </w:pPr>
    <w:rPr>
      <w:rFonts w:eastAsia="Times"/>
      <w:sz w:val="20"/>
      <w:szCs w:val="20"/>
    </w:rPr>
  </w:style>
  <w:style w:type="paragraph" w:customStyle="1" w:styleId="DHHSbulletindentlastline">
    <w:name w:val="DHHS bullet indent last line"/>
    <w:basedOn w:val="DHHSbody"/>
    <w:uiPriority w:val="4"/>
    <w:rsid w:val="00C34A9D"/>
    <w:pPr>
      <w:tabs>
        <w:tab w:val="num" w:pos="360"/>
      </w:tabs>
    </w:pPr>
    <w:rPr>
      <w:rFonts w:eastAsia="Times"/>
      <w:sz w:val="20"/>
      <w:szCs w:val="20"/>
    </w:rPr>
  </w:style>
  <w:style w:type="character" w:customStyle="1" w:styleId="UnresolvedMention1">
    <w:name w:val="Unresolved Mention1"/>
    <w:basedOn w:val="DefaultParagraphFont"/>
    <w:uiPriority w:val="99"/>
    <w:semiHidden/>
    <w:unhideWhenUsed/>
    <w:rsid w:val="000E5341"/>
    <w:rPr>
      <w:color w:val="808080"/>
      <w:shd w:val="clear" w:color="auto" w:fill="E6E6E6"/>
    </w:rPr>
  </w:style>
  <w:style w:type="character" w:customStyle="1" w:styleId="UnresolvedMention2">
    <w:name w:val="Unresolved Mention2"/>
    <w:basedOn w:val="DefaultParagraphFont"/>
    <w:uiPriority w:val="99"/>
    <w:semiHidden/>
    <w:unhideWhenUsed/>
    <w:rsid w:val="00F5445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8" w:defSemiHidden="1" w:defUnhideWhenUsed="1" w:defQFormat="0" w:count="267">
    <w:lsdException w:name="Normal" w:semiHidden="0" w:unhideWhenUsed="0" w:qFormat="1"/>
    <w:lsdException w:name="heading 1" w:semiHidden="0" w:uiPriority="1" w:unhideWhenUsed="0" w:qFormat="1"/>
    <w:lsdException w:name="heading 2" w:semiHidden="0" w:uiPriority="99" w:unhideWhenUsed="0" w:qFormat="1"/>
    <w:lsdException w:name="heading 3" w:semiHidden="0" w:uiPriority="99"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lsdException w:name="annotation text" w:uiPriority="99"/>
    <w:lsdException w:name="header" w:uiPriority="99"/>
    <w:lsdException w:name="footer" w:uiPriority="99"/>
    <w:lsdException w:name="caption" w:qFormat="1"/>
    <w:lsdException w:name="footnote reference" w:uiPriority="11"/>
    <w:lsdException w:name="annotation reference" w:uiPriority="99"/>
    <w:lsdException w:name="page number" w:uiPriority="14"/>
    <w:lsdException w:name="endnote reference" w:uiPriority="99"/>
    <w:lsdException w:name="List Bullet" w:qFormat="1"/>
    <w:lsdException w:name="List Bullet 3" w:uiPriority="19"/>
    <w:lsdException w:name="Title" w:semiHidden="0" w:unhideWhenUsed="0" w:qFormat="1"/>
    <w:lsdException w:name="Default Paragraph Font" w:uiPriority="0"/>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0"/>
    <w:lsdException w:name="HTML Bottom of Form" w:uiPriority="0"/>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99"/>
    <w:lsdException w:name="No Spacing" w:semiHidden="0" w:unhideWhenUsed="0" w:qFormat="1"/>
    <w:lsdException w:name="Light Shading" w:semiHidden="0" w:uiPriority="99" w:unhideWhenUsed="0"/>
    <w:lsdException w:name="Light List" w:semiHidden="0" w:uiPriority="61"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62"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nhideWhenUsed="0" w:qFormat="1"/>
    <w:lsdException w:name="Medium Shading 2 Accent 3" w:semiHidden="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uiPriority="64" w:unhideWhenUsed="0"/>
    <w:lsdException w:name="Book Title" w:uiPriority="65" w:unhideWhenUsed="0" w:qFormat="1"/>
    <w:lsdException w:name="Bibliography" w:uiPriority="66"/>
    <w:lsdException w:name="TOC Heading" w:uiPriority="39" w:qFormat="1"/>
  </w:latentStyles>
  <w:style w:type="paragraph" w:default="1" w:styleId="Normal">
    <w:name w:val="Normal"/>
    <w:uiPriority w:val="98"/>
    <w:qFormat/>
    <w:rsid w:val="00F468B6"/>
    <w:rPr>
      <w:rFonts w:ascii="Arial" w:hAnsi="Arial"/>
      <w:sz w:val="24"/>
      <w:szCs w:val="24"/>
      <w:lang w:eastAsia="en-US"/>
    </w:rPr>
  </w:style>
  <w:style w:type="paragraph" w:styleId="Heading1">
    <w:name w:val="heading 1"/>
    <w:next w:val="ARbody"/>
    <w:link w:val="Heading1Char"/>
    <w:uiPriority w:val="1"/>
    <w:qFormat/>
    <w:rsid w:val="00F82CA8"/>
    <w:pPr>
      <w:keepNext/>
      <w:keepLines/>
      <w:spacing w:after="480" w:line="480" w:lineRule="atLeast"/>
      <w:outlineLvl w:val="0"/>
    </w:pPr>
    <w:rPr>
      <w:rFonts w:ascii="Arial" w:eastAsia="MS Gothic" w:hAnsi="Arial"/>
      <w:bCs/>
      <w:color w:val="004C97"/>
      <w:kern w:val="32"/>
      <w:sz w:val="48"/>
      <w:szCs w:val="64"/>
      <w:lang w:eastAsia="en-US"/>
    </w:rPr>
  </w:style>
  <w:style w:type="paragraph" w:styleId="Heading2">
    <w:name w:val="heading 2"/>
    <w:next w:val="ARbody"/>
    <w:link w:val="Heading2Char"/>
    <w:uiPriority w:val="99"/>
    <w:qFormat/>
    <w:rsid w:val="00D02456"/>
    <w:pPr>
      <w:keepNext/>
      <w:keepLines/>
      <w:spacing w:before="300" w:after="80" w:line="340" w:lineRule="atLeast"/>
      <w:outlineLvl w:val="1"/>
    </w:pPr>
    <w:rPr>
      <w:rFonts w:ascii="Arial" w:eastAsia="MS Gothic" w:hAnsi="Arial"/>
      <w:bCs/>
      <w:iCs/>
      <w:color w:val="404040"/>
      <w:sz w:val="30"/>
      <w:szCs w:val="30"/>
      <w:lang w:eastAsia="en-US"/>
    </w:rPr>
  </w:style>
  <w:style w:type="paragraph" w:styleId="Heading3">
    <w:name w:val="heading 3"/>
    <w:next w:val="ARbody"/>
    <w:link w:val="Heading3Char"/>
    <w:uiPriority w:val="99"/>
    <w:qFormat/>
    <w:rsid w:val="00F82CA8"/>
    <w:pPr>
      <w:keepNext/>
      <w:keepLines/>
      <w:spacing w:before="280" w:after="80" w:line="280" w:lineRule="atLeast"/>
      <w:outlineLvl w:val="2"/>
    </w:pPr>
    <w:rPr>
      <w:rFonts w:ascii="Arial" w:eastAsia="MS Gothic" w:hAnsi="Arial"/>
      <w:bCs/>
      <w:color w:val="004C97"/>
      <w:sz w:val="24"/>
      <w:szCs w:val="24"/>
    </w:rPr>
  </w:style>
  <w:style w:type="paragraph" w:styleId="Heading4">
    <w:name w:val="heading 4"/>
    <w:next w:val="ARbody"/>
    <w:link w:val="Heading4Char"/>
    <w:uiPriority w:val="1"/>
    <w:qFormat/>
    <w:rsid w:val="00B01751"/>
    <w:pPr>
      <w:keepNext/>
      <w:keepLines/>
      <w:spacing w:before="240" w:after="80" w:line="240" w:lineRule="atLeast"/>
      <w:outlineLvl w:val="3"/>
    </w:pPr>
    <w:rPr>
      <w:rFonts w:ascii="Arial" w:eastAsia="MS Mincho" w:hAnsi="Arial" w:cs="Arial"/>
      <w:b/>
      <w:bCs/>
      <w:szCs w:val="24"/>
      <w:lang w:eastAsia="en-US"/>
    </w:rPr>
  </w:style>
  <w:style w:type="paragraph" w:styleId="Heading5">
    <w:name w:val="heading 5"/>
    <w:next w:val="ARbody"/>
    <w:link w:val="Heading5Char"/>
    <w:uiPriority w:val="1"/>
    <w:qFormat/>
    <w:rsid w:val="00D2597E"/>
    <w:pPr>
      <w:keepNext/>
      <w:keepLines/>
      <w:spacing w:before="240" w:after="80" w:line="240" w:lineRule="atLeast"/>
      <w:outlineLvl w:val="4"/>
    </w:pPr>
    <w:rPr>
      <w:rFonts w:ascii="Arial" w:hAnsi="Arial"/>
      <w:i/>
      <w:szCs w:val="24"/>
      <w:lang w:eastAsia="en-US"/>
    </w:rPr>
  </w:style>
  <w:style w:type="paragraph" w:styleId="Heading6">
    <w:name w:val="heading 6"/>
    <w:basedOn w:val="Normal"/>
    <w:next w:val="Normal"/>
    <w:link w:val="Heading6Char"/>
    <w:uiPriority w:val="1"/>
    <w:qFormat/>
    <w:rsid w:val="00F869DB"/>
    <w:pPr>
      <w:keepNext/>
      <w:widowControl w:val="0"/>
      <w:overflowPunct w:val="0"/>
      <w:autoSpaceDE w:val="0"/>
      <w:autoSpaceDN w:val="0"/>
      <w:adjustRightInd w:val="0"/>
      <w:spacing w:before="160" w:after="80"/>
      <w:textAlignment w:val="baseline"/>
      <w:outlineLvl w:val="5"/>
    </w:pPr>
    <w:rPr>
      <w:bCs/>
      <w:i/>
      <w:sz w:val="19"/>
      <w:lang w:val="x-none"/>
    </w:rPr>
  </w:style>
  <w:style w:type="paragraph" w:styleId="Heading7">
    <w:name w:val="heading 7"/>
    <w:basedOn w:val="Normal"/>
    <w:next w:val="Normal"/>
    <w:link w:val="Heading7Char"/>
    <w:uiPriority w:val="1"/>
    <w:qFormat/>
    <w:rsid w:val="001B06CC"/>
    <w:pPr>
      <w:keepNext/>
      <w:widowControl w:val="0"/>
      <w:overflowPunct w:val="0"/>
      <w:autoSpaceDE w:val="0"/>
      <w:autoSpaceDN w:val="0"/>
      <w:adjustRightInd w:val="0"/>
      <w:spacing w:before="140" w:after="80"/>
      <w:textAlignment w:val="baseline"/>
      <w:outlineLvl w:val="6"/>
    </w:pPr>
    <w:rPr>
      <w:b/>
      <w:sz w:val="17"/>
      <w:szCs w:val="17"/>
      <w:lang w:val="x-none"/>
    </w:rPr>
  </w:style>
  <w:style w:type="paragraph" w:styleId="Heading8">
    <w:name w:val="heading 8"/>
    <w:basedOn w:val="Normal"/>
    <w:next w:val="Normal"/>
    <w:link w:val="Heading8Char"/>
    <w:uiPriority w:val="1"/>
    <w:unhideWhenUsed/>
    <w:qFormat/>
    <w:rsid w:val="0093192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qFormat/>
    <w:rsid w:val="0093192F"/>
    <w:pPr>
      <w:spacing w:before="240" w:after="60"/>
      <w:outlineLvl w:val="8"/>
    </w:pPr>
    <w:rPr>
      <w:sz w:val="20"/>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bodybeforetable">
    <w:name w:val="AR body before table"/>
    <w:basedOn w:val="ARbody"/>
    <w:uiPriority w:val="3"/>
    <w:qFormat/>
    <w:rsid w:val="00FD3D60"/>
    <w:pPr>
      <w:spacing w:after="240"/>
    </w:pPr>
    <w:rPr>
      <w:lang w:eastAsia="en-AU"/>
    </w:rPr>
  </w:style>
  <w:style w:type="character" w:customStyle="1" w:styleId="Heading1Char">
    <w:name w:val="Heading 1 Char"/>
    <w:link w:val="Heading1"/>
    <w:uiPriority w:val="1"/>
    <w:rsid w:val="00F82CA8"/>
    <w:rPr>
      <w:rFonts w:ascii="Arial" w:eastAsia="MS Gothic" w:hAnsi="Arial"/>
      <w:bCs/>
      <w:color w:val="004C97"/>
      <w:kern w:val="32"/>
      <w:sz w:val="48"/>
      <w:szCs w:val="64"/>
      <w:lang w:eastAsia="en-US"/>
    </w:rPr>
  </w:style>
  <w:style w:type="character" w:customStyle="1" w:styleId="Heading2Char">
    <w:name w:val="Heading 2 Char"/>
    <w:link w:val="Heading2"/>
    <w:uiPriority w:val="99"/>
    <w:rsid w:val="00D02456"/>
    <w:rPr>
      <w:rFonts w:ascii="Arial" w:eastAsia="MS Gothic" w:hAnsi="Arial"/>
      <w:bCs/>
      <w:iCs/>
      <w:color w:val="404040"/>
      <w:sz w:val="30"/>
      <w:szCs w:val="30"/>
      <w:lang w:eastAsia="en-US" w:bidi="ar-SA"/>
    </w:rPr>
  </w:style>
  <w:style w:type="character" w:customStyle="1" w:styleId="Heading3Char">
    <w:name w:val="Heading 3 Char"/>
    <w:link w:val="Heading3"/>
    <w:uiPriority w:val="99"/>
    <w:rsid w:val="00F82CA8"/>
    <w:rPr>
      <w:rFonts w:ascii="Arial" w:eastAsia="MS Gothic" w:hAnsi="Arial"/>
      <w:bCs/>
      <w:color w:val="004C97"/>
      <w:sz w:val="24"/>
      <w:szCs w:val="24"/>
    </w:rPr>
  </w:style>
  <w:style w:type="character" w:customStyle="1" w:styleId="Heading4Char">
    <w:name w:val="Heading 4 Char"/>
    <w:link w:val="Heading4"/>
    <w:uiPriority w:val="1"/>
    <w:rsid w:val="00B01751"/>
    <w:rPr>
      <w:rFonts w:ascii="Arial" w:eastAsia="MS Mincho" w:hAnsi="Arial" w:cs="Arial"/>
      <w:b/>
      <w:bCs/>
      <w:szCs w:val="24"/>
      <w:lang w:eastAsia="en-US"/>
    </w:rPr>
  </w:style>
  <w:style w:type="paragraph" w:styleId="Header">
    <w:name w:val="header"/>
    <w:link w:val="HeaderChar"/>
    <w:uiPriority w:val="99"/>
    <w:rsid w:val="00064B9B"/>
    <w:pPr>
      <w:widowControl w:val="0"/>
      <w:overflowPunct w:val="0"/>
      <w:autoSpaceDE w:val="0"/>
      <w:autoSpaceDN w:val="0"/>
      <w:adjustRightInd w:val="0"/>
      <w:textAlignment w:val="baseline"/>
    </w:pPr>
    <w:rPr>
      <w:rFonts w:ascii="Arial" w:hAnsi="Arial"/>
      <w:sz w:val="24"/>
      <w:szCs w:val="24"/>
      <w:lang w:eastAsia="en-US"/>
    </w:rPr>
  </w:style>
  <w:style w:type="character" w:customStyle="1" w:styleId="HeaderChar">
    <w:name w:val="Header Char"/>
    <w:link w:val="Header"/>
    <w:uiPriority w:val="99"/>
    <w:rsid w:val="00064B9B"/>
    <w:rPr>
      <w:rFonts w:ascii="Arial" w:hAnsi="Arial"/>
      <w:lang w:eastAsia="en-US" w:bidi="ar-SA"/>
    </w:rPr>
  </w:style>
  <w:style w:type="character" w:styleId="Hyperlink">
    <w:name w:val="Hyperlink"/>
    <w:uiPriority w:val="99"/>
    <w:rsid w:val="00C264AE"/>
    <w:rPr>
      <w:color w:val="0072CE"/>
      <w:u w:val="dotted"/>
    </w:rPr>
  </w:style>
  <w:style w:type="paragraph" w:customStyle="1" w:styleId="LightList-Accent31">
    <w:name w:val="Light List - Accent 31"/>
    <w:hidden/>
    <w:uiPriority w:val="99"/>
    <w:semiHidden/>
    <w:rsid w:val="00655FC1"/>
    <w:rPr>
      <w:rFonts w:ascii="Arial" w:hAnsi="Arial"/>
      <w:sz w:val="24"/>
      <w:szCs w:val="24"/>
      <w:lang w:eastAsia="en-US"/>
    </w:rPr>
  </w:style>
  <w:style w:type="paragraph" w:styleId="TOC5">
    <w:name w:val="toc 5"/>
    <w:basedOn w:val="Normal"/>
    <w:next w:val="Normal"/>
    <w:autoRedefine/>
    <w:uiPriority w:val="39"/>
    <w:rsid w:val="008D0650"/>
    <w:pPr>
      <w:ind w:left="800"/>
    </w:pPr>
  </w:style>
  <w:style w:type="paragraph" w:customStyle="1" w:styleId="ARtablesource">
    <w:name w:val="AR table source"/>
    <w:basedOn w:val="ARtabletext"/>
    <w:uiPriority w:val="99"/>
    <w:qFormat/>
    <w:rsid w:val="004F7219"/>
    <w:rPr>
      <w:i/>
      <w:sz w:val="16"/>
    </w:rPr>
  </w:style>
  <w:style w:type="paragraph" w:customStyle="1" w:styleId="ARtablepurpleboldrightindent">
    <w:name w:val="AR table purple bold right indent"/>
    <w:basedOn w:val="ARtablebluebold"/>
    <w:uiPriority w:val="3"/>
    <w:qFormat/>
    <w:rsid w:val="00C87995"/>
    <w:pPr>
      <w:ind w:right="4536"/>
    </w:pPr>
  </w:style>
  <w:style w:type="paragraph" w:customStyle="1" w:styleId="ARtabletext">
    <w:name w:val="AR table text"/>
    <w:uiPriority w:val="99"/>
    <w:qFormat/>
    <w:rsid w:val="009A4448"/>
    <w:pPr>
      <w:spacing w:before="80" w:after="60"/>
    </w:pPr>
    <w:rPr>
      <w:rFonts w:ascii="Arial" w:eastAsia="Times" w:hAnsi="Arial" w:cs="Arial"/>
      <w:sz w:val="18"/>
      <w:szCs w:val="18"/>
    </w:rPr>
  </w:style>
  <w:style w:type="paragraph" w:customStyle="1" w:styleId="ARtablecaption">
    <w:name w:val="AR table caption"/>
    <w:uiPriority w:val="99"/>
    <w:qFormat/>
    <w:rsid w:val="007B698A"/>
    <w:pPr>
      <w:keepNext/>
      <w:keepLines/>
      <w:spacing w:before="240" w:after="120"/>
    </w:pPr>
    <w:rPr>
      <w:rFonts w:ascii="Arial" w:hAnsi="Arial"/>
      <w:b/>
      <w:color w:val="004C97"/>
      <w:szCs w:val="24"/>
      <w:lang w:eastAsia="en-US"/>
    </w:rPr>
  </w:style>
  <w:style w:type="paragraph" w:customStyle="1" w:styleId="ARbodyafterbullets">
    <w:name w:val="AR body after bullets"/>
    <w:basedOn w:val="ARbody"/>
    <w:uiPriority w:val="98"/>
    <w:qFormat/>
    <w:rsid w:val="00CE1155"/>
    <w:pPr>
      <w:spacing w:before="120"/>
    </w:pPr>
  </w:style>
  <w:style w:type="paragraph" w:styleId="Footer">
    <w:name w:val="footer"/>
    <w:link w:val="FooterChar"/>
    <w:uiPriority w:val="99"/>
    <w:rsid w:val="00AB7C33"/>
    <w:pPr>
      <w:tabs>
        <w:tab w:val="right" w:pos="9639"/>
      </w:tabs>
    </w:pPr>
    <w:rPr>
      <w:rFonts w:ascii="Arial" w:hAnsi="Arial"/>
      <w:sz w:val="18"/>
      <w:szCs w:val="18"/>
      <w:lang w:eastAsia="en-US"/>
    </w:rPr>
  </w:style>
  <w:style w:type="character" w:styleId="PageNumber">
    <w:name w:val="page number"/>
    <w:uiPriority w:val="14"/>
    <w:rsid w:val="00573622"/>
    <w:rPr>
      <w:rFonts w:ascii="Arial" w:hAnsi="Arial"/>
      <w:color w:val="00467F"/>
      <w:sz w:val="16"/>
    </w:rPr>
  </w:style>
  <w:style w:type="paragraph" w:styleId="TOC1">
    <w:name w:val="toc 1"/>
    <w:basedOn w:val="TOC2"/>
    <w:uiPriority w:val="39"/>
    <w:rsid w:val="00E3193D"/>
    <w:pPr>
      <w:ind w:left="0"/>
    </w:pPr>
    <w:rPr>
      <w:noProof/>
    </w:rPr>
  </w:style>
  <w:style w:type="paragraph" w:styleId="TOC2">
    <w:name w:val="toc 2"/>
    <w:uiPriority w:val="39"/>
    <w:rsid w:val="00E3193D"/>
    <w:pPr>
      <w:tabs>
        <w:tab w:val="right" w:leader="dot" w:pos="9639"/>
      </w:tabs>
      <w:spacing w:after="120" w:line="260" w:lineRule="atLeast"/>
      <w:ind w:left="284"/>
    </w:pPr>
    <w:rPr>
      <w:rFonts w:ascii="Arial" w:hAnsi="Arial"/>
      <w:szCs w:val="24"/>
      <w:lang w:eastAsia="en-US"/>
    </w:rPr>
  </w:style>
  <w:style w:type="paragraph" w:styleId="DocumentMap">
    <w:name w:val="Document Map"/>
    <w:basedOn w:val="Normal"/>
    <w:link w:val="DocumentMapChar"/>
    <w:uiPriority w:val="98"/>
    <w:semiHidden/>
    <w:rsid w:val="00FA6C6F"/>
    <w:rPr>
      <w:rFonts w:ascii="Lucida Grande" w:hAnsi="Lucida Grande"/>
      <w:lang w:val="x-none"/>
    </w:rPr>
  </w:style>
  <w:style w:type="character" w:customStyle="1" w:styleId="DocumentMapChar">
    <w:name w:val="Document Map Char"/>
    <w:link w:val="DocumentMap"/>
    <w:uiPriority w:val="98"/>
    <w:semiHidden/>
    <w:rsid w:val="00AF6C73"/>
    <w:rPr>
      <w:rFonts w:ascii="Lucida Grande" w:hAnsi="Lucida Grande" w:cs="Lucida Grande"/>
      <w:sz w:val="24"/>
      <w:szCs w:val="24"/>
      <w:lang w:eastAsia="en-US"/>
    </w:rPr>
  </w:style>
  <w:style w:type="paragraph" w:styleId="TOC3">
    <w:name w:val="toc 3"/>
    <w:basedOn w:val="TOC2"/>
    <w:uiPriority w:val="39"/>
    <w:rsid w:val="00C92527"/>
  </w:style>
  <w:style w:type="paragraph" w:customStyle="1" w:styleId="ARTOCheading">
    <w:name w:val="AR TOC heading"/>
    <w:basedOn w:val="Heading1"/>
    <w:next w:val="ARbody"/>
    <w:link w:val="ARTOCheadingChar"/>
    <w:uiPriority w:val="99"/>
    <w:qFormat/>
    <w:rsid w:val="008F497C"/>
    <w:pPr>
      <w:outlineLvl w:val="9"/>
    </w:pPr>
    <w:rPr>
      <w:szCs w:val="32"/>
      <w:lang w:val="x-none" w:eastAsia="x-none"/>
    </w:rPr>
  </w:style>
  <w:style w:type="character" w:customStyle="1" w:styleId="ARTOCheadingChar">
    <w:name w:val="AR TOC heading Char"/>
    <w:link w:val="ARTOCheading"/>
    <w:uiPriority w:val="99"/>
    <w:rsid w:val="008F497C"/>
    <w:rPr>
      <w:rFonts w:ascii="Arial" w:eastAsia="MS Gothic" w:hAnsi="Arial"/>
      <w:bCs/>
      <w:color w:val="87189D"/>
      <w:kern w:val="32"/>
      <w:sz w:val="48"/>
      <w:szCs w:val="32"/>
      <w:lang w:val="x-none" w:eastAsia="x-none"/>
    </w:rPr>
  </w:style>
  <w:style w:type="paragraph" w:styleId="TOC4">
    <w:name w:val="toc 4"/>
    <w:basedOn w:val="TOC3"/>
    <w:uiPriority w:val="39"/>
    <w:rsid w:val="00185838"/>
    <w:pPr>
      <w:ind w:left="567"/>
    </w:pPr>
  </w:style>
  <w:style w:type="paragraph" w:styleId="TOC6">
    <w:name w:val="toc 6"/>
    <w:basedOn w:val="Normal"/>
    <w:next w:val="Normal"/>
    <w:autoRedefine/>
    <w:uiPriority w:val="39"/>
    <w:rsid w:val="008D0650"/>
    <w:pPr>
      <w:ind w:left="1000"/>
    </w:pPr>
  </w:style>
  <w:style w:type="paragraph" w:styleId="TOC7">
    <w:name w:val="toc 7"/>
    <w:basedOn w:val="Normal"/>
    <w:next w:val="Normal"/>
    <w:autoRedefine/>
    <w:uiPriority w:val="39"/>
    <w:rsid w:val="008D0650"/>
    <w:pPr>
      <w:ind w:left="1200"/>
    </w:pPr>
  </w:style>
  <w:style w:type="paragraph" w:styleId="TOC8">
    <w:name w:val="toc 8"/>
    <w:basedOn w:val="Normal"/>
    <w:next w:val="Normal"/>
    <w:autoRedefine/>
    <w:uiPriority w:val="39"/>
    <w:rsid w:val="008D0650"/>
    <w:pPr>
      <w:ind w:left="1400"/>
    </w:pPr>
  </w:style>
  <w:style w:type="paragraph" w:styleId="TOC9">
    <w:name w:val="toc 9"/>
    <w:basedOn w:val="Normal"/>
    <w:next w:val="Normal"/>
    <w:autoRedefine/>
    <w:uiPriority w:val="39"/>
    <w:rsid w:val="008D0650"/>
    <w:pPr>
      <w:ind w:left="1600"/>
    </w:pPr>
  </w:style>
  <w:style w:type="paragraph" w:customStyle="1" w:styleId="ARbullet1">
    <w:name w:val="AR bullet 1"/>
    <w:basedOn w:val="ARbody"/>
    <w:uiPriority w:val="99"/>
    <w:qFormat/>
    <w:rsid w:val="00F468B6"/>
    <w:pPr>
      <w:numPr>
        <w:numId w:val="1"/>
      </w:numPr>
      <w:spacing w:after="40"/>
    </w:pPr>
  </w:style>
  <w:style w:type="table" w:styleId="TableGrid">
    <w:name w:val="Table Grid"/>
    <w:basedOn w:val="TableNormal"/>
    <w:uiPriority w:val="59"/>
    <w:rsid w:val="007E0961"/>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cPr>
        <w:vAlign w:val="bottom"/>
      </w:tcPr>
    </w:tblStylePr>
  </w:style>
  <w:style w:type="paragraph" w:customStyle="1" w:styleId="ARtablefootnotenumbered">
    <w:name w:val="AR table footnote numbered"/>
    <w:basedOn w:val="ARtablefootnote"/>
    <w:link w:val="ARtablefootnotenumberedChar"/>
    <w:qFormat/>
    <w:rsid w:val="00554E4C"/>
    <w:pPr>
      <w:ind w:left="284" w:hanging="284"/>
    </w:pPr>
  </w:style>
  <w:style w:type="character" w:styleId="EndnoteReference">
    <w:name w:val="endnote reference"/>
    <w:uiPriority w:val="99"/>
    <w:semiHidden/>
    <w:rsid w:val="00D96F2A"/>
    <w:rPr>
      <w:vertAlign w:val="superscript"/>
    </w:rPr>
  </w:style>
  <w:style w:type="paragraph" w:customStyle="1" w:styleId="ARtablecolhead">
    <w:name w:val="AR table col head"/>
    <w:uiPriority w:val="99"/>
    <w:qFormat/>
    <w:rsid w:val="009A4448"/>
    <w:pPr>
      <w:spacing w:before="80" w:after="60" w:line="216" w:lineRule="auto"/>
    </w:pPr>
    <w:rPr>
      <w:rFonts w:ascii="Arial" w:eastAsia="Times" w:hAnsi="Arial" w:cs="Arial"/>
      <w:b/>
      <w:sz w:val="18"/>
      <w:szCs w:val="18"/>
      <w:lang w:eastAsia="en-US"/>
    </w:rPr>
  </w:style>
  <w:style w:type="paragraph" w:customStyle="1" w:styleId="ARaccessibilitypara">
    <w:name w:val="AR accessibility para"/>
    <w:uiPriority w:val="99"/>
    <w:rsid w:val="003D2185"/>
    <w:pPr>
      <w:spacing w:after="200" w:line="300" w:lineRule="atLeast"/>
    </w:pPr>
    <w:rPr>
      <w:rFonts w:ascii="Arial" w:eastAsia="Times" w:hAnsi="Arial"/>
      <w:sz w:val="24"/>
      <w:szCs w:val="19"/>
      <w:lang w:eastAsia="en-US"/>
    </w:rPr>
  </w:style>
  <w:style w:type="paragraph" w:styleId="FootnoteText">
    <w:name w:val="footnote text"/>
    <w:basedOn w:val="ARbody"/>
    <w:link w:val="FootnoteTextChar"/>
    <w:uiPriority w:val="9"/>
    <w:rsid w:val="00064B9B"/>
    <w:pPr>
      <w:spacing w:before="60" w:after="60" w:line="230" w:lineRule="atLeast"/>
    </w:pPr>
    <w:rPr>
      <w:rFonts w:cs="Times New Roman"/>
      <w:sz w:val="18"/>
      <w:szCs w:val="18"/>
      <w:lang w:val="x-none"/>
    </w:rPr>
  </w:style>
  <w:style w:type="character" w:customStyle="1" w:styleId="FootnoteTextChar">
    <w:name w:val="Footnote Text Char"/>
    <w:link w:val="FootnoteText"/>
    <w:uiPriority w:val="9"/>
    <w:rsid w:val="00064B9B"/>
    <w:rPr>
      <w:rFonts w:ascii="Arial" w:eastAsia="Times" w:hAnsi="Arial" w:cs="Arial"/>
      <w:sz w:val="18"/>
      <w:szCs w:val="18"/>
      <w:lang w:eastAsia="en-US"/>
    </w:rPr>
  </w:style>
  <w:style w:type="character" w:styleId="FootnoteReference">
    <w:name w:val="footnote reference"/>
    <w:uiPriority w:val="11"/>
    <w:rsid w:val="003F7523"/>
    <w:rPr>
      <w:vertAlign w:val="superscript"/>
    </w:rPr>
  </w:style>
  <w:style w:type="paragraph" w:customStyle="1" w:styleId="ARpublicationtitle">
    <w:name w:val="AR publication title"/>
    <w:link w:val="ARpublicationtitleChar"/>
    <w:uiPriority w:val="99"/>
    <w:qFormat/>
    <w:rsid w:val="004E7B8D"/>
    <w:pPr>
      <w:spacing w:after="200"/>
    </w:pPr>
    <w:rPr>
      <w:rFonts w:ascii="Arial" w:eastAsia="MS Mincho" w:hAnsi="Arial"/>
      <w:b/>
      <w:bCs/>
      <w:noProof/>
      <w:color w:val="FFFFFF"/>
      <w:sz w:val="50"/>
      <w:szCs w:val="50"/>
      <w:lang w:eastAsia="en-US"/>
    </w:rPr>
  </w:style>
  <w:style w:type="character" w:customStyle="1" w:styleId="ARpublicationtitleChar">
    <w:name w:val="AR publication title Char"/>
    <w:link w:val="ARpublicationtitle"/>
    <w:uiPriority w:val="99"/>
    <w:rsid w:val="004E7B8D"/>
    <w:rPr>
      <w:rFonts w:ascii="Arial" w:eastAsia="MS Mincho" w:hAnsi="Arial"/>
      <w:b/>
      <w:bCs/>
      <w:noProof/>
      <w:color w:val="FFFFFF"/>
      <w:sz w:val="50"/>
      <w:szCs w:val="50"/>
      <w:lang w:eastAsia="en-US"/>
    </w:rPr>
  </w:style>
  <w:style w:type="paragraph" w:customStyle="1" w:styleId="ARbodynospace">
    <w:name w:val="AR body no space"/>
    <w:basedOn w:val="ARbody"/>
    <w:uiPriority w:val="3"/>
    <w:qFormat/>
    <w:rsid w:val="006C0D6C"/>
    <w:pPr>
      <w:spacing w:after="0"/>
    </w:pPr>
  </w:style>
  <w:style w:type="paragraph" w:customStyle="1" w:styleId="ARbullet2">
    <w:name w:val="AR bullet 2"/>
    <w:basedOn w:val="ARbody"/>
    <w:uiPriority w:val="99"/>
    <w:qFormat/>
    <w:rsid w:val="00F468B6"/>
    <w:pPr>
      <w:numPr>
        <w:ilvl w:val="1"/>
        <w:numId w:val="1"/>
      </w:numPr>
      <w:spacing w:after="40" w:line="270" w:lineRule="atLeast"/>
    </w:pPr>
  </w:style>
  <w:style w:type="paragraph" w:customStyle="1" w:styleId="ARfigurecaption">
    <w:name w:val="AR figure caption"/>
    <w:next w:val="ARbody"/>
    <w:link w:val="ARfigurecaptionChar"/>
    <w:uiPriority w:val="99"/>
    <w:qFormat/>
    <w:rsid w:val="00203320"/>
    <w:pPr>
      <w:keepNext/>
      <w:keepLines/>
      <w:spacing w:before="240" w:after="120"/>
    </w:pPr>
    <w:rPr>
      <w:rFonts w:ascii="Arial" w:hAnsi="Arial"/>
      <w:b/>
      <w:color w:val="7C239D"/>
      <w:sz w:val="26"/>
      <w:szCs w:val="24"/>
      <w:lang w:eastAsia="en-US"/>
    </w:rPr>
  </w:style>
  <w:style w:type="character" w:customStyle="1" w:styleId="ARfigurecaptionChar">
    <w:name w:val="AR figure caption Char"/>
    <w:link w:val="ARfigurecaption"/>
    <w:uiPriority w:val="99"/>
    <w:rsid w:val="00203320"/>
    <w:rPr>
      <w:rFonts w:ascii="Arial" w:hAnsi="Arial"/>
      <w:b/>
      <w:color w:val="7C239D"/>
      <w:sz w:val="26"/>
      <w:lang w:eastAsia="en-US"/>
    </w:rPr>
  </w:style>
  <w:style w:type="paragraph" w:styleId="NormalWeb">
    <w:name w:val="Normal (Web)"/>
    <w:basedOn w:val="Normal"/>
    <w:uiPriority w:val="98"/>
    <w:semiHidden/>
    <w:rsid w:val="00890455"/>
    <w:pPr>
      <w:spacing w:before="100" w:beforeAutospacing="1" w:after="100" w:afterAutospacing="1"/>
    </w:pPr>
    <w:rPr>
      <w:rFonts w:ascii="Times New Roman" w:hAnsi="Times New Roman"/>
      <w:lang w:eastAsia="en-AU"/>
    </w:rPr>
  </w:style>
  <w:style w:type="paragraph" w:customStyle="1" w:styleId="ARpublicationsubtitle">
    <w:name w:val="AR publication subtitle"/>
    <w:link w:val="ARpublicationsubtitleChar"/>
    <w:uiPriority w:val="99"/>
    <w:qFormat/>
    <w:rsid w:val="004E7B8D"/>
    <w:rPr>
      <w:rFonts w:ascii="Arial" w:hAnsi="Arial"/>
      <w:bCs/>
      <w:color w:val="FFFFFF"/>
      <w:sz w:val="40"/>
      <w:szCs w:val="40"/>
      <w:lang w:eastAsia="en-US"/>
    </w:rPr>
  </w:style>
  <w:style w:type="character" w:customStyle="1" w:styleId="ARpublicationsubtitleChar">
    <w:name w:val="AR publication subtitle Char"/>
    <w:link w:val="ARpublicationsubtitle"/>
    <w:uiPriority w:val="99"/>
    <w:rsid w:val="004E7B8D"/>
    <w:rPr>
      <w:rFonts w:ascii="Arial" w:hAnsi="Arial"/>
      <w:bCs/>
      <w:color w:val="FFFFFF"/>
      <w:sz w:val="40"/>
      <w:szCs w:val="40"/>
      <w:lang w:eastAsia="en-US"/>
    </w:rPr>
  </w:style>
  <w:style w:type="paragraph" w:styleId="Caption">
    <w:name w:val="caption"/>
    <w:basedOn w:val="Normal"/>
    <w:next w:val="Normal"/>
    <w:uiPriority w:val="98"/>
    <w:semiHidden/>
    <w:qFormat/>
    <w:rsid w:val="00106A9E"/>
    <w:rPr>
      <w:b/>
      <w:bCs/>
    </w:rPr>
  </w:style>
  <w:style w:type="table" w:customStyle="1" w:styleId="Casestudy">
    <w:name w:val="Case study"/>
    <w:basedOn w:val="TableNormal"/>
    <w:rsid w:val="008913AF"/>
    <w:tblPr>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Pr>
    <w:tcPr>
      <w:shd w:val="clear" w:color="auto" w:fill="auto"/>
    </w:tcPr>
  </w:style>
  <w:style w:type="paragraph" w:customStyle="1" w:styleId="ARcasestudysubhead">
    <w:name w:val="AR case study subhead"/>
    <w:next w:val="ARcasestudytext"/>
    <w:link w:val="ARcasestudysubheadChar"/>
    <w:uiPriority w:val="99"/>
    <w:rsid w:val="00532029"/>
    <w:pPr>
      <w:keepNext/>
      <w:keepLines/>
      <w:spacing w:after="60" w:line="250" w:lineRule="atLeast"/>
      <w:ind w:right="170"/>
    </w:pPr>
    <w:rPr>
      <w:rFonts w:ascii="Arial" w:eastAsia="MS Mincho" w:hAnsi="Arial"/>
      <w:b/>
      <w:bCs/>
      <w:color w:val="004C97"/>
      <w:szCs w:val="21"/>
      <w:lang w:val="fr-FR" w:eastAsia="en-US"/>
    </w:rPr>
  </w:style>
  <w:style w:type="paragraph" w:customStyle="1" w:styleId="ARcasestudytext">
    <w:name w:val="AR case study text"/>
    <w:link w:val="ARcasestudytextChar"/>
    <w:uiPriority w:val="99"/>
    <w:rsid w:val="00532029"/>
    <w:pPr>
      <w:spacing w:after="120" w:line="260" w:lineRule="atLeast"/>
    </w:pPr>
    <w:rPr>
      <w:rFonts w:ascii="Arial" w:eastAsia="Times" w:hAnsi="Arial" w:cs="Arial"/>
      <w:color w:val="004C97"/>
      <w:szCs w:val="24"/>
    </w:rPr>
  </w:style>
  <w:style w:type="character" w:customStyle="1" w:styleId="ARcasestudytextChar">
    <w:name w:val="AR case study text Char"/>
    <w:link w:val="ARcasestudytext"/>
    <w:uiPriority w:val="99"/>
    <w:rsid w:val="00532029"/>
    <w:rPr>
      <w:rFonts w:ascii="Arial" w:eastAsia="Times" w:hAnsi="Arial" w:cs="Arial"/>
      <w:color w:val="004C97"/>
      <w:szCs w:val="24"/>
    </w:rPr>
  </w:style>
  <w:style w:type="character" w:customStyle="1" w:styleId="ARcasestudysubheadChar">
    <w:name w:val="AR case study subhead Char"/>
    <w:link w:val="ARcasestudysubhead"/>
    <w:uiPriority w:val="99"/>
    <w:rsid w:val="00532029"/>
    <w:rPr>
      <w:rFonts w:ascii="Arial" w:eastAsia="MS Mincho" w:hAnsi="Arial"/>
      <w:b/>
      <w:bCs/>
      <w:color w:val="004C97"/>
      <w:szCs w:val="21"/>
      <w:lang w:val="fr-FR" w:eastAsia="en-US"/>
    </w:rPr>
  </w:style>
  <w:style w:type="paragraph" w:customStyle="1" w:styleId="ARtablebluebold">
    <w:name w:val="AR table blue bold"/>
    <w:basedOn w:val="ARtabletext"/>
    <w:uiPriority w:val="3"/>
    <w:qFormat/>
    <w:rsid w:val="00A450AE"/>
    <w:rPr>
      <w:b/>
      <w:color w:val="004C97"/>
    </w:rPr>
  </w:style>
  <w:style w:type="paragraph" w:customStyle="1" w:styleId="ARtablenoteindent">
    <w:name w:val="AR table note indent"/>
    <w:link w:val="ARtablenoteindentChar"/>
    <w:uiPriority w:val="3"/>
    <w:qFormat/>
    <w:rsid w:val="00AB7C33"/>
    <w:pPr>
      <w:spacing w:after="80"/>
      <w:ind w:left="454"/>
    </w:pPr>
    <w:rPr>
      <w:rFonts w:ascii="Arial" w:eastAsia="Times" w:hAnsi="Arial"/>
      <w:i/>
      <w:iCs/>
      <w:sz w:val="16"/>
      <w:szCs w:val="18"/>
    </w:rPr>
  </w:style>
  <w:style w:type="character" w:customStyle="1" w:styleId="ARtablenoteindentChar">
    <w:name w:val="AR table note indent Char"/>
    <w:link w:val="ARtablenoteindent"/>
    <w:uiPriority w:val="3"/>
    <w:rsid w:val="00AB7C33"/>
    <w:rPr>
      <w:rFonts w:ascii="Arial" w:eastAsia="Times" w:hAnsi="Arial"/>
      <w:i/>
      <w:iCs/>
      <w:sz w:val="16"/>
      <w:szCs w:val="18"/>
      <w:lang w:bidi="ar-SA"/>
    </w:rPr>
  </w:style>
  <w:style w:type="paragraph" w:customStyle="1" w:styleId="ARtablefootnote">
    <w:name w:val="AR table footnote"/>
    <w:uiPriority w:val="99"/>
    <w:qFormat/>
    <w:rsid w:val="00544C6B"/>
    <w:pPr>
      <w:spacing w:before="80" w:after="60"/>
    </w:pPr>
    <w:rPr>
      <w:rFonts w:ascii="Arial" w:hAnsi="Arial"/>
      <w:i/>
      <w:sz w:val="16"/>
      <w:szCs w:val="16"/>
      <w:lang w:eastAsia="en-US"/>
    </w:rPr>
  </w:style>
  <w:style w:type="paragraph" w:customStyle="1" w:styleId="ARtablepurplebold">
    <w:name w:val="AR table purple bold"/>
    <w:basedOn w:val="ARtabletext"/>
    <w:uiPriority w:val="3"/>
    <w:qFormat/>
    <w:rsid w:val="007819CF"/>
    <w:rPr>
      <w:b/>
      <w:color w:val="87189D"/>
    </w:rPr>
  </w:style>
  <w:style w:type="paragraph" w:customStyle="1" w:styleId="ARtablepurplebolditalic">
    <w:name w:val="AR table purple bold italic"/>
    <w:basedOn w:val="ARtablebluebold"/>
    <w:uiPriority w:val="3"/>
    <w:qFormat/>
    <w:rsid w:val="00544C6B"/>
    <w:rPr>
      <w:i/>
    </w:rPr>
  </w:style>
  <w:style w:type="numbering" w:customStyle="1" w:styleId="ZZBullets">
    <w:name w:val="ZZ Bullets"/>
    <w:rsid w:val="00F468B6"/>
    <w:pPr>
      <w:numPr>
        <w:numId w:val="1"/>
      </w:numPr>
    </w:pPr>
  </w:style>
  <w:style w:type="paragraph" w:customStyle="1" w:styleId="LightList-Accent311">
    <w:name w:val="Light List - Accent 311"/>
    <w:hidden/>
    <w:uiPriority w:val="99"/>
    <w:semiHidden/>
    <w:rsid w:val="00BE7FA1"/>
    <w:rPr>
      <w:rFonts w:ascii="Arial" w:hAnsi="Arial"/>
      <w:sz w:val="24"/>
      <w:szCs w:val="24"/>
      <w:lang w:eastAsia="en-US"/>
    </w:rPr>
  </w:style>
  <w:style w:type="paragraph" w:styleId="BalloonText">
    <w:name w:val="Balloon Text"/>
    <w:basedOn w:val="Normal"/>
    <w:link w:val="BalloonTextChar"/>
    <w:uiPriority w:val="98"/>
    <w:semiHidden/>
    <w:unhideWhenUsed/>
    <w:rsid w:val="0012051E"/>
    <w:rPr>
      <w:rFonts w:ascii="Tahoma" w:hAnsi="Tahoma"/>
      <w:sz w:val="16"/>
      <w:szCs w:val="16"/>
      <w:lang w:val="x-none"/>
    </w:rPr>
  </w:style>
  <w:style w:type="character" w:customStyle="1" w:styleId="BalloonTextChar">
    <w:name w:val="Balloon Text Char"/>
    <w:link w:val="BalloonText"/>
    <w:uiPriority w:val="98"/>
    <w:semiHidden/>
    <w:rsid w:val="0012051E"/>
    <w:rPr>
      <w:rFonts w:ascii="Tahoma" w:hAnsi="Tahoma" w:cs="Tahoma"/>
      <w:sz w:val="16"/>
      <w:szCs w:val="16"/>
      <w:lang w:eastAsia="en-US"/>
    </w:rPr>
  </w:style>
  <w:style w:type="character" w:styleId="FollowedHyperlink">
    <w:name w:val="FollowedHyperlink"/>
    <w:uiPriority w:val="99"/>
    <w:rsid w:val="00C264AE"/>
    <w:rPr>
      <w:color w:val="500778"/>
      <w:u w:val="dotted"/>
    </w:rPr>
  </w:style>
  <w:style w:type="character" w:styleId="CommentReference">
    <w:name w:val="annotation reference"/>
    <w:uiPriority w:val="99"/>
    <w:semiHidden/>
    <w:unhideWhenUsed/>
    <w:rsid w:val="005909CC"/>
    <w:rPr>
      <w:sz w:val="16"/>
      <w:szCs w:val="16"/>
    </w:rPr>
  </w:style>
  <w:style w:type="paragraph" w:styleId="CommentText">
    <w:name w:val="annotation text"/>
    <w:basedOn w:val="Normal"/>
    <w:link w:val="CommentTextChar"/>
    <w:uiPriority w:val="99"/>
    <w:semiHidden/>
    <w:unhideWhenUsed/>
    <w:rsid w:val="005909CC"/>
    <w:rPr>
      <w:lang w:val="x-none"/>
    </w:rPr>
  </w:style>
  <w:style w:type="character" w:customStyle="1" w:styleId="CommentTextChar">
    <w:name w:val="Comment Text Char"/>
    <w:link w:val="CommentText"/>
    <w:uiPriority w:val="99"/>
    <w:semiHidden/>
    <w:rsid w:val="005909CC"/>
    <w:rPr>
      <w:rFonts w:ascii="Arial" w:hAnsi="Arial"/>
      <w:lang w:eastAsia="en-US"/>
    </w:rPr>
  </w:style>
  <w:style w:type="paragraph" w:styleId="CommentSubject">
    <w:name w:val="annotation subject"/>
    <w:basedOn w:val="CommentText"/>
    <w:next w:val="CommentText"/>
    <w:link w:val="CommentSubjectChar"/>
    <w:uiPriority w:val="98"/>
    <w:semiHidden/>
    <w:unhideWhenUsed/>
    <w:rsid w:val="005909CC"/>
    <w:rPr>
      <w:b/>
      <w:bCs/>
    </w:rPr>
  </w:style>
  <w:style w:type="character" w:customStyle="1" w:styleId="CommentSubjectChar">
    <w:name w:val="Comment Subject Char"/>
    <w:link w:val="CommentSubject"/>
    <w:uiPriority w:val="98"/>
    <w:semiHidden/>
    <w:rsid w:val="005909CC"/>
    <w:rPr>
      <w:rFonts w:ascii="Arial" w:hAnsi="Arial"/>
      <w:b/>
      <w:bCs/>
      <w:lang w:eastAsia="en-US"/>
    </w:rPr>
  </w:style>
  <w:style w:type="paragraph" w:styleId="EndnoteText">
    <w:name w:val="endnote text"/>
    <w:basedOn w:val="Normal"/>
    <w:link w:val="EndnoteTextChar"/>
    <w:uiPriority w:val="98"/>
    <w:semiHidden/>
    <w:unhideWhenUsed/>
    <w:rsid w:val="008B612A"/>
    <w:rPr>
      <w:lang w:val="x-none"/>
    </w:rPr>
  </w:style>
  <w:style w:type="character" w:customStyle="1" w:styleId="EndnoteTextChar">
    <w:name w:val="Endnote Text Char"/>
    <w:link w:val="EndnoteText"/>
    <w:uiPriority w:val="98"/>
    <w:semiHidden/>
    <w:rsid w:val="008B612A"/>
    <w:rPr>
      <w:rFonts w:ascii="Arial" w:hAnsi="Arial"/>
      <w:lang w:eastAsia="en-US"/>
    </w:rPr>
  </w:style>
  <w:style w:type="paragraph" w:customStyle="1" w:styleId="ARheaderright">
    <w:name w:val="AR header right"/>
    <w:basedOn w:val="ARheaderleft"/>
    <w:uiPriority w:val="11"/>
    <w:rsid w:val="00C55F6F"/>
    <w:pPr>
      <w:tabs>
        <w:tab w:val="clear" w:pos="680"/>
        <w:tab w:val="right" w:pos="8959"/>
        <w:tab w:val="right" w:pos="9639"/>
      </w:tabs>
      <w:jc w:val="left"/>
    </w:pPr>
  </w:style>
  <w:style w:type="character" w:customStyle="1" w:styleId="ARpagenumber">
    <w:name w:val="AR page number"/>
    <w:uiPriority w:val="11"/>
    <w:rsid w:val="009A4448"/>
    <w:rPr>
      <w:rFonts w:ascii="Arial" w:hAnsi="Arial" w:cs="Arial"/>
      <w:b/>
    </w:rPr>
  </w:style>
  <w:style w:type="paragraph" w:customStyle="1" w:styleId="ARheaderleft">
    <w:name w:val="AR header left"/>
    <w:uiPriority w:val="11"/>
    <w:rsid w:val="00407932"/>
    <w:pPr>
      <w:pBdr>
        <w:bottom w:val="single" w:sz="4" w:space="4" w:color="004C97"/>
      </w:pBdr>
      <w:tabs>
        <w:tab w:val="left" w:pos="680"/>
      </w:tabs>
      <w:jc w:val="right"/>
    </w:pPr>
    <w:rPr>
      <w:rFonts w:ascii="Arial" w:hAnsi="Arial"/>
      <w:sz w:val="18"/>
      <w:szCs w:val="24"/>
      <w:lang w:eastAsia="en-US"/>
    </w:rPr>
  </w:style>
  <w:style w:type="paragraph" w:customStyle="1" w:styleId="ARbody">
    <w:name w:val="AR body"/>
    <w:uiPriority w:val="99"/>
    <w:qFormat/>
    <w:rsid w:val="00EB594E"/>
    <w:pPr>
      <w:spacing w:after="120" w:line="260" w:lineRule="atLeast"/>
    </w:pPr>
    <w:rPr>
      <w:rFonts w:ascii="Arial" w:eastAsia="Times" w:hAnsi="Arial" w:cs="Arial"/>
      <w:szCs w:val="24"/>
      <w:lang w:eastAsia="en-US"/>
    </w:rPr>
  </w:style>
  <w:style w:type="character" w:customStyle="1" w:styleId="Heading5Char">
    <w:name w:val="Heading 5 Char"/>
    <w:link w:val="Heading5"/>
    <w:uiPriority w:val="1"/>
    <w:rsid w:val="00D2597E"/>
    <w:rPr>
      <w:rFonts w:ascii="Arial" w:hAnsi="Arial"/>
      <w:i/>
      <w:szCs w:val="24"/>
      <w:lang w:eastAsia="en-US"/>
    </w:rPr>
  </w:style>
  <w:style w:type="character" w:customStyle="1" w:styleId="Heading6Char">
    <w:name w:val="Heading 6 Char"/>
    <w:link w:val="Heading6"/>
    <w:uiPriority w:val="1"/>
    <w:rsid w:val="00F869DB"/>
    <w:rPr>
      <w:rFonts w:ascii="Arial" w:hAnsi="Arial"/>
      <w:bCs/>
      <w:i/>
      <w:sz w:val="19"/>
      <w:szCs w:val="24"/>
      <w:lang w:val="x-none" w:eastAsia="en-US"/>
    </w:rPr>
  </w:style>
  <w:style w:type="character" w:customStyle="1" w:styleId="Heading7Char">
    <w:name w:val="Heading 7 Char"/>
    <w:link w:val="Heading7"/>
    <w:uiPriority w:val="1"/>
    <w:rsid w:val="001B06CC"/>
    <w:rPr>
      <w:rFonts w:ascii="Arial" w:hAnsi="Arial"/>
      <w:b/>
      <w:sz w:val="17"/>
      <w:szCs w:val="17"/>
      <w:lang w:val="x-none" w:eastAsia="en-US"/>
    </w:rPr>
  </w:style>
  <w:style w:type="character" w:customStyle="1" w:styleId="FooterChar">
    <w:name w:val="Footer Char"/>
    <w:link w:val="Footer"/>
    <w:uiPriority w:val="99"/>
    <w:rsid w:val="00DB2BA2"/>
    <w:rPr>
      <w:rFonts w:ascii="Arial" w:hAnsi="Arial"/>
      <w:sz w:val="18"/>
      <w:szCs w:val="18"/>
      <w:lang w:eastAsia="en-US" w:bidi="ar-SA"/>
    </w:rPr>
  </w:style>
  <w:style w:type="paragraph" w:customStyle="1" w:styleId="ARbodyaftertable">
    <w:name w:val="AR body after table"/>
    <w:basedOn w:val="ARbody"/>
    <w:uiPriority w:val="99"/>
    <w:qFormat/>
    <w:rsid w:val="00CD1FAC"/>
    <w:pPr>
      <w:spacing w:before="240"/>
    </w:pPr>
  </w:style>
  <w:style w:type="paragraph" w:customStyle="1" w:styleId="ARtabletextright">
    <w:name w:val="AR table text right"/>
    <w:basedOn w:val="ARtabletext"/>
    <w:uiPriority w:val="99"/>
    <w:qFormat/>
    <w:rsid w:val="006864A7"/>
    <w:pPr>
      <w:jc w:val="right"/>
    </w:pPr>
  </w:style>
  <w:style w:type="paragraph" w:customStyle="1" w:styleId="ARtablecolheadright">
    <w:name w:val="AR table col head right"/>
    <w:basedOn w:val="ARtablecolhead"/>
    <w:uiPriority w:val="99"/>
    <w:qFormat/>
    <w:rsid w:val="00AC698A"/>
    <w:pPr>
      <w:jc w:val="right"/>
    </w:pPr>
  </w:style>
  <w:style w:type="paragraph" w:customStyle="1" w:styleId="ARtabletextbold">
    <w:name w:val="AR table text bold"/>
    <w:basedOn w:val="ARtabletext"/>
    <w:uiPriority w:val="3"/>
    <w:qFormat/>
    <w:rsid w:val="001F2C09"/>
    <w:rPr>
      <w:b/>
    </w:rPr>
  </w:style>
  <w:style w:type="paragraph" w:customStyle="1" w:styleId="ARtableperformancesymbol">
    <w:name w:val="AR table performance symbol"/>
    <w:basedOn w:val="Normal"/>
    <w:link w:val="ARtableperformancesymbolChar"/>
    <w:uiPriority w:val="99"/>
    <w:qFormat/>
    <w:rsid w:val="00DB2BA2"/>
    <w:pPr>
      <w:spacing w:before="80"/>
      <w:jc w:val="center"/>
    </w:pPr>
    <w:rPr>
      <w:rFonts w:ascii="Wingdings" w:hAnsi="Wingdings"/>
      <w:sz w:val="18"/>
      <w:szCs w:val="18"/>
      <w:lang w:val="x-none" w:eastAsia="x-none"/>
    </w:rPr>
  </w:style>
  <w:style w:type="character" w:customStyle="1" w:styleId="ARtableperformancesymbolChar">
    <w:name w:val="AR table performance symbol Char"/>
    <w:link w:val="ARtableperformancesymbol"/>
    <w:uiPriority w:val="99"/>
    <w:rsid w:val="00DB2BA2"/>
    <w:rPr>
      <w:rFonts w:ascii="Wingdings" w:hAnsi="Wingdings"/>
      <w:sz w:val="18"/>
      <w:szCs w:val="18"/>
    </w:rPr>
  </w:style>
  <w:style w:type="paragraph" w:styleId="Title">
    <w:name w:val="Title"/>
    <w:basedOn w:val="Normal"/>
    <w:next w:val="Normal"/>
    <w:link w:val="TitleChar"/>
    <w:uiPriority w:val="98"/>
    <w:semiHidden/>
    <w:qFormat/>
    <w:rsid w:val="00DB2BA2"/>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link w:val="Title"/>
    <w:uiPriority w:val="98"/>
    <w:semiHidden/>
    <w:rsid w:val="00E52E25"/>
    <w:rPr>
      <w:rFonts w:ascii="Cambria" w:hAnsi="Cambria"/>
      <w:color w:val="17365D"/>
      <w:spacing w:val="5"/>
      <w:kern w:val="28"/>
      <w:sz w:val="52"/>
      <w:szCs w:val="52"/>
      <w:lang w:val="x-none" w:eastAsia="en-US"/>
    </w:rPr>
  </w:style>
  <w:style w:type="paragraph" w:customStyle="1" w:styleId="MediumList2-Accent21">
    <w:name w:val="Medium List 2 - Accent 21"/>
    <w:hidden/>
    <w:uiPriority w:val="99"/>
    <w:semiHidden/>
    <w:rsid w:val="004329ED"/>
    <w:rPr>
      <w:rFonts w:ascii="Arial" w:hAnsi="Arial"/>
      <w:sz w:val="24"/>
      <w:szCs w:val="24"/>
      <w:lang w:eastAsia="en-US"/>
    </w:rPr>
  </w:style>
  <w:style w:type="character" w:styleId="Strong">
    <w:name w:val="Strong"/>
    <w:uiPriority w:val="98"/>
    <w:qFormat/>
    <w:rsid w:val="004400D4"/>
    <w:rPr>
      <w:b/>
      <w:bCs/>
    </w:rPr>
  </w:style>
  <w:style w:type="character" w:styleId="Emphasis">
    <w:name w:val="Emphasis"/>
    <w:uiPriority w:val="20"/>
    <w:qFormat/>
    <w:rsid w:val="004400D4"/>
    <w:rPr>
      <w:i/>
      <w:iCs/>
    </w:rPr>
  </w:style>
  <w:style w:type="paragraph" w:styleId="ListNumber">
    <w:name w:val="List Number"/>
    <w:basedOn w:val="Normal"/>
    <w:uiPriority w:val="98"/>
    <w:semiHidden/>
    <w:rsid w:val="00495C81"/>
    <w:pPr>
      <w:spacing w:after="120"/>
      <w:ind w:left="720" w:hanging="720"/>
    </w:pPr>
    <w:rPr>
      <w:rFonts w:ascii="Verdana" w:hAnsi="Verdana"/>
    </w:rPr>
  </w:style>
  <w:style w:type="table" w:customStyle="1" w:styleId="TableGrid1">
    <w:name w:val="Table Grid1"/>
    <w:basedOn w:val="TableNormal"/>
    <w:next w:val="TableGrid"/>
    <w:uiPriority w:val="99"/>
    <w:rsid w:val="00D40C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2">
    <w:name w:val="Medium List 2 - Accent 22"/>
    <w:hidden/>
    <w:uiPriority w:val="71"/>
    <w:unhideWhenUsed/>
    <w:rsid w:val="00B11073"/>
    <w:rPr>
      <w:rFonts w:ascii="Arial" w:hAnsi="Arial"/>
      <w:sz w:val="24"/>
      <w:szCs w:val="24"/>
      <w:lang w:eastAsia="en-US"/>
    </w:rPr>
  </w:style>
  <w:style w:type="paragraph" w:customStyle="1" w:styleId="ColorfulShading-Accent11">
    <w:name w:val="Colorful Shading - Accent 11"/>
    <w:hidden/>
    <w:uiPriority w:val="99"/>
    <w:unhideWhenUsed/>
    <w:rsid w:val="004333E8"/>
    <w:rPr>
      <w:rFonts w:ascii="Arial" w:hAnsi="Arial"/>
      <w:sz w:val="24"/>
      <w:szCs w:val="24"/>
      <w:lang w:eastAsia="en-US"/>
    </w:rPr>
  </w:style>
  <w:style w:type="numbering" w:customStyle="1" w:styleId="NoList1">
    <w:name w:val="No List1"/>
    <w:next w:val="NoList"/>
    <w:uiPriority w:val="99"/>
    <w:semiHidden/>
    <w:unhideWhenUsed/>
    <w:rsid w:val="00F93382"/>
  </w:style>
  <w:style w:type="paragraph" w:styleId="Revision">
    <w:name w:val="Revision"/>
    <w:hidden/>
    <w:uiPriority w:val="62"/>
    <w:rsid w:val="00F93382"/>
    <w:rPr>
      <w:rFonts w:ascii="Arial" w:hAnsi="Arial"/>
      <w:lang w:eastAsia="en-US"/>
    </w:rPr>
  </w:style>
  <w:style w:type="paragraph" w:styleId="ListParagraph">
    <w:name w:val="List Paragraph"/>
    <w:basedOn w:val="Normal"/>
    <w:uiPriority w:val="98"/>
    <w:semiHidden/>
    <w:qFormat/>
    <w:rsid w:val="00434D2D"/>
    <w:pPr>
      <w:ind w:left="720"/>
      <w:contextualSpacing/>
    </w:pPr>
  </w:style>
  <w:style w:type="numbering" w:customStyle="1" w:styleId="NoList2">
    <w:name w:val="No List2"/>
    <w:next w:val="NoList"/>
    <w:uiPriority w:val="99"/>
    <w:semiHidden/>
    <w:unhideWhenUsed/>
    <w:rsid w:val="00E76AFD"/>
  </w:style>
  <w:style w:type="numbering" w:customStyle="1" w:styleId="NoList3">
    <w:name w:val="No List3"/>
    <w:next w:val="NoList"/>
    <w:uiPriority w:val="99"/>
    <w:semiHidden/>
    <w:unhideWhenUsed/>
    <w:rsid w:val="00D02A2E"/>
  </w:style>
  <w:style w:type="character" w:customStyle="1" w:styleId="Heading8Char">
    <w:name w:val="Heading 8 Char"/>
    <w:basedOn w:val="DefaultParagraphFont"/>
    <w:link w:val="Heading8"/>
    <w:uiPriority w:val="1"/>
    <w:rsid w:val="0093192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1"/>
    <w:rsid w:val="0093192F"/>
    <w:rPr>
      <w:rFonts w:ascii="Arial" w:hAnsi="Arial"/>
      <w:szCs w:val="22"/>
      <w:lang w:val="x-none" w:eastAsia="x-none"/>
    </w:rPr>
  </w:style>
  <w:style w:type="table" w:customStyle="1" w:styleId="DTFTable">
    <w:name w:val="DTF Table"/>
    <w:basedOn w:val="TableNormal"/>
    <w:uiPriority w:val="99"/>
    <w:rsid w:val="0093192F"/>
    <w:pPr>
      <w:spacing w:before="20" w:after="20"/>
      <w:jc w:val="right"/>
    </w:pPr>
    <w:rPr>
      <w:rFonts w:asciiTheme="majorHAnsi" w:eastAsiaTheme="minorHAnsi" w:hAnsiTheme="majorHAnsi" w:cstheme="minorBid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paragraph" w:customStyle="1" w:styleId="ARtablegreenboldrightindent">
    <w:name w:val="AR table green bold right indent"/>
    <w:basedOn w:val="Normal"/>
    <w:uiPriority w:val="99"/>
    <w:qFormat/>
    <w:rsid w:val="0093192F"/>
    <w:pPr>
      <w:spacing w:before="80" w:after="60"/>
      <w:ind w:right="3969"/>
    </w:pPr>
    <w:rPr>
      <w:rFonts w:eastAsia="Times" w:cs="Arial"/>
      <w:b/>
      <w:color w:val="00866F"/>
      <w:sz w:val="18"/>
      <w:szCs w:val="18"/>
      <w:lang w:eastAsia="en-AU"/>
    </w:rPr>
  </w:style>
  <w:style w:type="paragraph" w:customStyle="1" w:styleId="ARtablegreenbold">
    <w:name w:val="AR table green bold"/>
    <w:basedOn w:val="ARtabletext"/>
    <w:uiPriority w:val="99"/>
    <w:qFormat/>
    <w:rsid w:val="0093192F"/>
    <w:rPr>
      <w:b/>
      <w:color w:val="00866F"/>
    </w:rPr>
  </w:style>
  <w:style w:type="numbering" w:customStyle="1" w:styleId="Bullet">
    <w:name w:val="Bullet"/>
    <w:uiPriority w:val="99"/>
    <w:rsid w:val="00AF0C83"/>
    <w:pPr>
      <w:numPr>
        <w:numId w:val="23"/>
      </w:numPr>
    </w:pPr>
  </w:style>
  <w:style w:type="paragraph" w:styleId="ListBullet2">
    <w:name w:val="List Bullet 2"/>
    <w:basedOn w:val="ListBullet"/>
    <w:uiPriority w:val="98"/>
    <w:semiHidden/>
    <w:rsid w:val="0093192F"/>
    <w:pPr>
      <w:numPr>
        <w:ilvl w:val="1"/>
      </w:numPr>
      <w:tabs>
        <w:tab w:val="num" w:pos="360"/>
      </w:tabs>
    </w:pPr>
  </w:style>
  <w:style w:type="paragraph" w:styleId="ListBullet">
    <w:name w:val="List Bullet"/>
    <w:basedOn w:val="Normal"/>
    <w:link w:val="ListBulletChar"/>
    <w:uiPriority w:val="98"/>
    <w:semiHidden/>
    <w:qFormat/>
    <w:rsid w:val="00AF0C83"/>
    <w:pPr>
      <w:keepLines/>
      <w:numPr>
        <w:numId w:val="23"/>
      </w:numPr>
      <w:spacing w:before="60"/>
      <w:contextualSpacing/>
    </w:pPr>
    <w:rPr>
      <w:rFonts w:asciiTheme="minorHAnsi" w:eastAsiaTheme="minorHAnsi" w:hAnsiTheme="minorHAnsi" w:cstheme="minorBidi"/>
      <w:spacing w:val="2"/>
      <w:sz w:val="18"/>
      <w:szCs w:val="18"/>
    </w:rPr>
  </w:style>
  <w:style w:type="paragraph" w:styleId="ListBullet3">
    <w:name w:val="List Bullet 3"/>
    <w:basedOn w:val="ListBullet2"/>
    <w:uiPriority w:val="19"/>
    <w:semiHidden/>
    <w:rsid w:val="0093192F"/>
    <w:pPr>
      <w:numPr>
        <w:ilvl w:val="2"/>
      </w:numPr>
      <w:tabs>
        <w:tab w:val="num" w:pos="360"/>
      </w:tabs>
    </w:pPr>
  </w:style>
  <w:style w:type="character" w:customStyle="1" w:styleId="ListBulletChar">
    <w:name w:val="List Bullet Char"/>
    <w:basedOn w:val="DefaultParagraphFont"/>
    <w:link w:val="ListBullet"/>
    <w:uiPriority w:val="98"/>
    <w:semiHidden/>
    <w:rsid w:val="00E52E25"/>
    <w:rPr>
      <w:rFonts w:asciiTheme="minorHAnsi" w:eastAsiaTheme="minorHAnsi" w:hAnsiTheme="minorHAnsi" w:cstheme="minorBidi"/>
      <w:spacing w:val="2"/>
      <w:sz w:val="18"/>
      <w:szCs w:val="18"/>
      <w:lang w:eastAsia="en-US"/>
    </w:rPr>
  </w:style>
  <w:style w:type="paragraph" w:customStyle="1" w:styleId="Heading2nonTOC">
    <w:name w:val="Heading 2 (non TOC)"/>
    <w:basedOn w:val="Heading2"/>
    <w:next w:val="Normal"/>
    <w:uiPriority w:val="12"/>
    <w:qFormat/>
    <w:rsid w:val="0093192F"/>
    <w:pPr>
      <w:numPr>
        <w:ilvl w:val="1"/>
      </w:numPr>
      <w:tabs>
        <w:tab w:val="left" w:pos="964"/>
        <w:tab w:val="right" w:pos="9582"/>
      </w:tabs>
      <w:spacing w:before="240" w:after="0" w:line="240" w:lineRule="auto"/>
    </w:pPr>
    <w:rPr>
      <w:rFonts w:asciiTheme="majorHAnsi" w:eastAsiaTheme="majorEastAsia" w:hAnsiTheme="majorHAnsi" w:cstheme="majorBidi"/>
      <w:b/>
      <w:bCs w:val="0"/>
      <w:iCs w:val="0"/>
      <w:color w:val="auto"/>
      <w:spacing w:val="-2"/>
      <w:sz w:val="24"/>
      <w:szCs w:val="26"/>
    </w:rPr>
  </w:style>
  <w:style w:type="paragraph" w:customStyle="1" w:styleId="ARtablegreenbolditalic">
    <w:name w:val="AR table green bold italic"/>
    <w:basedOn w:val="ARtablegreenbold"/>
    <w:uiPriority w:val="99"/>
    <w:rsid w:val="0093192F"/>
    <w:rPr>
      <w:rFonts w:eastAsia="Calibri"/>
      <w:i/>
    </w:rPr>
  </w:style>
  <w:style w:type="paragraph" w:customStyle="1" w:styleId="ARheaderrightlandscape">
    <w:name w:val="AR header right landscape"/>
    <w:basedOn w:val="ARheaderright"/>
    <w:uiPriority w:val="98"/>
    <w:qFormat/>
    <w:rsid w:val="00F14FB2"/>
    <w:pPr>
      <w:tabs>
        <w:tab w:val="clear" w:pos="8959"/>
        <w:tab w:val="clear" w:pos="9639"/>
        <w:tab w:val="right" w:pos="13778"/>
        <w:tab w:val="right" w:pos="14459"/>
      </w:tabs>
    </w:pPr>
    <w:rPr>
      <w:szCs w:val="20"/>
    </w:rPr>
  </w:style>
  <w:style w:type="paragraph" w:styleId="NoSpacing">
    <w:name w:val="No Spacing"/>
    <w:uiPriority w:val="98"/>
    <w:semiHidden/>
    <w:qFormat/>
    <w:rsid w:val="0093192F"/>
    <w:pPr>
      <w:ind w:left="720" w:firstLine="720"/>
    </w:pPr>
    <w:rPr>
      <w:rFonts w:ascii="Calibri" w:eastAsia="Calibri" w:hAnsi="Calibri"/>
      <w:sz w:val="22"/>
      <w:szCs w:val="22"/>
    </w:rPr>
  </w:style>
  <w:style w:type="paragraph" w:customStyle="1" w:styleId="ARfintabledashindent">
    <w:name w:val="AR fin table dash indent"/>
    <w:basedOn w:val="ARfintablebody"/>
    <w:uiPriority w:val="98"/>
    <w:qFormat/>
    <w:rsid w:val="0093192F"/>
    <w:pPr>
      <w:ind w:left="567" w:hanging="227"/>
    </w:pPr>
  </w:style>
  <w:style w:type="table" w:styleId="LightList">
    <w:name w:val="Light List"/>
    <w:basedOn w:val="TableNormal"/>
    <w:uiPriority w:val="61"/>
    <w:rsid w:val="009319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intablealpha">
    <w:name w:val="AR fin table alpha"/>
    <w:basedOn w:val="ARfintablebody"/>
    <w:uiPriority w:val="8"/>
    <w:qFormat/>
    <w:rsid w:val="008A3D22"/>
    <w:pPr>
      <w:numPr>
        <w:numId w:val="25"/>
      </w:numPr>
    </w:pPr>
  </w:style>
  <w:style w:type="character" w:customStyle="1" w:styleId="Emphasissuperscript">
    <w:name w:val="Emphasis superscript"/>
    <w:uiPriority w:val="98"/>
    <w:qFormat/>
    <w:rsid w:val="0093192F"/>
    <w:rPr>
      <w:i/>
      <w:iCs/>
      <w:vertAlign w:val="superscript"/>
    </w:rPr>
  </w:style>
  <w:style w:type="paragraph" w:customStyle="1" w:styleId="ARfinbullet2">
    <w:name w:val="AR fin bullet 2"/>
    <w:basedOn w:val="ARfinbody"/>
    <w:uiPriority w:val="98"/>
    <w:qFormat/>
    <w:rsid w:val="008A3D22"/>
    <w:pPr>
      <w:numPr>
        <w:ilvl w:val="1"/>
        <w:numId w:val="29"/>
      </w:numPr>
    </w:pPr>
    <w:rPr>
      <w:lang w:eastAsia="en-AU"/>
    </w:rPr>
  </w:style>
  <w:style w:type="paragraph" w:customStyle="1" w:styleId="ARfootnotebullet">
    <w:name w:val="AR footnote bullet"/>
    <w:basedOn w:val="Normal"/>
    <w:link w:val="ARfootnotebulletChar"/>
    <w:qFormat/>
    <w:rsid w:val="0093192F"/>
    <w:pPr>
      <w:spacing w:after="60" w:line="200" w:lineRule="atLeast"/>
      <w:ind w:left="720" w:hanging="360"/>
    </w:pPr>
    <w:rPr>
      <w:color w:val="000000"/>
      <w:sz w:val="16"/>
    </w:rPr>
  </w:style>
  <w:style w:type="numbering" w:customStyle="1" w:styleId="ZZLoweralphainfintables">
    <w:name w:val="ZZ Lower alpha in fin tables"/>
    <w:rsid w:val="008A3D22"/>
    <w:pPr>
      <w:numPr>
        <w:numId w:val="25"/>
      </w:numPr>
    </w:pPr>
  </w:style>
  <w:style w:type="paragraph" w:customStyle="1" w:styleId="ARfintablebodyindent">
    <w:name w:val="AR fin table body indent"/>
    <w:basedOn w:val="ARfintablebody"/>
    <w:uiPriority w:val="8"/>
    <w:qFormat/>
    <w:rsid w:val="0093192F"/>
    <w:pPr>
      <w:ind w:left="340"/>
    </w:pPr>
  </w:style>
  <w:style w:type="paragraph" w:customStyle="1" w:styleId="ARfintablebodyindent2">
    <w:name w:val="AR fin table body indent 2"/>
    <w:basedOn w:val="ARfintablebodyindent"/>
    <w:uiPriority w:val="8"/>
    <w:qFormat/>
    <w:rsid w:val="0093192F"/>
    <w:pPr>
      <w:ind w:left="680"/>
    </w:pPr>
  </w:style>
  <w:style w:type="paragraph" w:customStyle="1" w:styleId="ARfintablecolhead">
    <w:name w:val="AR fin table col head"/>
    <w:basedOn w:val="ARfintablecolheadright"/>
    <w:qFormat/>
    <w:rsid w:val="0093192F"/>
    <w:pPr>
      <w:jc w:val="left"/>
    </w:pPr>
    <w:rPr>
      <w:lang w:eastAsia="en-AU"/>
    </w:rPr>
  </w:style>
  <w:style w:type="paragraph" w:customStyle="1" w:styleId="ARfintablebody">
    <w:name w:val="AR fin table body"/>
    <w:qFormat/>
    <w:rsid w:val="0093192F"/>
    <w:pPr>
      <w:suppressAutoHyphens/>
      <w:spacing w:before="40" w:after="20"/>
      <w:ind w:right="113"/>
    </w:pPr>
    <w:rPr>
      <w:rFonts w:ascii="Arial" w:eastAsia="MS Mincho" w:hAnsi="Arial" w:cs="Arial"/>
      <w:color w:val="000000"/>
      <w:sz w:val="16"/>
      <w:szCs w:val="16"/>
      <w:lang w:eastAsia="en-US"/>
    </w:rPr>
  </w:style>
  <w:style w:type="paragraph" w:styleId="TableofFigures">
    <w:name w:val="table of figures"/>
    <w:basedOn w:val="Normal"/>
    <w:next w:val="Normal"/>
    <w:uiPriority w:val="98"/>
    <w:semiHidden/>
    <w:rsid w:val="0093192F"/>
    <w:pPr>
      <w:jc w:val="right"/>
    </w:pPr>
    <w:rPr>
      <w:rFonts w:ascii="AvantGarde Bk BT" w:hAnsi="AvantGarde Bk BT"/>
      <w:sz w:val="18"/>
      <w:szCs w:val="18"/>
    </w:rPr>
  </w:style>
  <w:style w:type="paragraph" w:styleId="Index1">
    <w:name w:val="index 1"/>
    <w:basedOn w:val="Normal"/>
    <w:next w:val="Normal"/>
    <w:autoRedefine/>
    <w:uiPriority w:val="98"/>
    <w:semiHidden/>
    <w:rsid w:val="0093192F"/>
    <w:pPr>
      <w:ind w:left="180" w:hanging="180"/>
    </w:pPr>
    <w:rPr>
      <w:rFonts w:ascii="Times New Roman" w:hAnsi="Times New Roman"/>
      <w:b/>
      <w:sz w:val="18"/>
      <w:szCs w:val="18"/>
    </w:rPr>
  </w:style>
  <w:style w:type="paragraph" w:customStyle="1" w:styleId="ARfintablebodybold">
    <w:name w:val="AR fin table body bold"/>
    <w:basedOn w:val="ARfintablebody"/>
    <w:rsid w:val="0093192F"/>
    <w:rPr>
      <w:rFonts w:cs="Arial-BoldMT"/>
      <w:b/>
      <w:bCs/>
    </w:rPr>
  </w:style>
  <w:style w:type="paragraph" w:styleId="PlainText">
    <w:name w:val="Plain Text"/>
    <w:basedOn w:val="Normal"/>
    <w:link w:val="PlainTextChar"/>
    <w:uiPriority w:val="98"/>
    <w:semiHidden/>
    <w:rsid w:val="0093192F"/>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3192F"/>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3192F"/>
    <w:rPr>
      <w:rFonts w:ascii="Verdana" w:hAnsi="Verdana"/>
      <w:lang w:eastAsia="en-US"/>
    </w:rPr>
  </w:style>
  <w:style w:type="character" w:customStyle="1" w:styleId="ARfootnotebulletChar">
    <w:name w:val="AR footnote bullet Char"/>
    <w:link w:val="ARfootnotebullet"/>
    <w:rsid w:val="0093192F"/>
    <w:rPr>
      <w:rFonts w:ascii="Arial" w:hAnsi="Arial"/>
      <w:color w:val="000000"/>
      <w:sz w:val="16"/>
      <w:szCs w:val="24"/>
      <w:lang w:eastAsia="en-US"/>
    </w:rPr>
  </w:style>
  <w:style w:type="paragraph" w:customStyle="1" w:styleId="ARfootnotetables">
    <w:name w:val="AR footnote tables"/>
    <w:basedOn w:val="Normal"/>
    <w:qFormat/>
    <w:rsid w:val="0093192F"/>
    <w:pPr>
      <w:spacing w:before="60" w:after="60" w:line="200" w:lineRule="atLeast"/>
      <w:ind w:left="284" w:hanging="284"/>
    </w:pPr>
    <w:rPr>
      <w:color w:val="000000"/>
      <w:sz w:val="16"/>
    </w:rPr>
  </w:style>
  <w:style w:type="paragraph" w:customStyle="1" w:styleId="Tableinline">
    <w:name w:val="Table inline"/>
    <w:basedOn w:val="Normal"/>
    <w:uiPriority w:val="99"/>
    <w:semiHidden/>
    <w:rsid w:val="0093192F"/>
    <w:pPr>
      <w:spacing w:after="120" w:line="270" w:lineRule="atLeast"/>
    </w:pPr>
    <w:rPr>
      <w:rFonts w:eastAsia="Times" w:cs="Arial"/>
      <w:sz w:val="20"/>
      <w:szCs w:val="20"/>
    </w:rPr>
  </w:style>
  <w:style w:type="paragraph" w:customStyle="1" w:styleId="ARtableBIsubhead">
    <w:name w:val="AR table BI subhead"/>
    <w:basedOn w:val="ARfintablebody"/>
    <w:qFormat/>
    <w:rsid w:val="0093192F"/>
    <w:rPr>
      <w:b/>
      <w:i/>
    </w:rPr>
  </w:style>
  <w:style w:type="paragraph" w:customStyle="1" w:styleId="ARfintableboldsubhead">
    <w:name w:val="AR fin table bold subhead"/>
    <w:basedOn w:val="ARfintablebody"/>
    <w:rsid w:val="0093192F"/>
    <w:pPr>
      <w:spacing w:before="160"/>
    </w:pPr>
    <w:rPr>
      <w:b/>
      <w:szCs w:val="18"/>
    </w:rPr>
  </w:style>
  <w:style w:type="character" w:customStyle="1" w:styleId="ARtablefootnotenumberedChar">
    <w:name w:val="AR table footnote numbered Char"/>
    <w:link w:val="ARtablefootnotenumbered"/>
    <w:rsid w:val="0093192F"/>
    <w:rPr>
      <w:rFonts w:ascii="Arial" w:hAnsi="Arial"/>
      <w:i/>
      <w:sz w:val="16"/>
      <w:szCs w:val="16"/>
      <w:lang w:eastAsia="en-US"/>
    </w:rPr>
  </w:style>
  <w:style w:type="paragraph" w:customStyle="1" w:styleId="ARfintableinlinenote">
    <w:name w:val="AR fin table inline note"/>
    <w:link w:val="ARfintableinlinenoteChar"/>
    <w:qFormat/>
    <w:rsid w:val="0093192F"/>
    <w:pPr>
      <w:spacing w:after="60" w:line="200" w:lineRule="atLeast"/>
      <w:ind w:left="284"/>
    </w:pPr>
    <w:rPr>
      <w:rFonts w:ascii="Arial" w:eastAsia="MS Mincho" w:hAnsi="Arial"/>
      <w:i/>
      <w:sz w:val="16"/>
      <w:szCs w:val="24"/>
      <w:lang w:eastAsia="en-US"/>
    </w:rPr>
  </w:style>
  <w:style w:type="character" w:customStyle="1" w:styleId="ARfintableinlinenoteChar">
    <w:name w:val="AR fin table inline note Char"/>
    <w:link w:val="ARfintableinlinenote"/>
    <w:rsid w:val="0093192F"/>
    <w:rPr>
      <w:rFonts w:ascii="Arial" w:eastAsia="MS Mincho" w:hAnsi="Arial"/>
      <w:i/>
      <w:sz w:val="16"/>
      <w:szCs w:val="24"/>
      <w:lang w:eastAsia="en-US"/>
    </w:rPr>
  </w:style>
  <w:style w:type="paragraph" w:customStyle="1" w:styleId="ARfintablefootnote">
    <w:name w:val="AR fin table footnote"/>
    <w:basedOn w:val="Normal"/>
    <w:qFormat/>
    <w:rsid w:val="0093192F"/>
    <w:pPr>
      <w:spacing w:before="60" w:after="60" w:line="180" w:lineRule="atLeast"/>
    </w:pPr>
    <w:rPr>
      <w:color w:val="000000"/>
      <w:sz w:val="14"/>
      <w:szCs w:val="14"/>
    </w:rPr>
  </w:style>
  <w:style w:type="paragraph" w:customStyle="1" w:styleId="ARfintableoutputgroup">
    <w:name w:val="AR fin table output group"/>
    <w:basedOn w:val="ARfintablebody"/>
    <w:qFormat/>
    <w:rsid w:val="0093192F"/>
    <w:rPr>
      <w:b/>
      <w:bCs/>
      <w:szCs w:val="18"/>
    </w:rPr>
  </w:style>
  <w:style w:type="paragraph" w:customStyle="1" w:styleId="ARfintablebodyright">
    <w:name w:val="AR fin table body right"/>
    <w:basedOn w:val="ARfintablebody"/>
    <w:qFormat/>
    <w:rsid w:val="0093192F"/>
    <w:pPr>
      <w:jc w:val="right"/>
    </w:pPr>
  </w:style>
  <w:style w:type="character" w:customStyle="1" w:styleId="Superscriptbolditalic">
    <w:name w:val="Superscript bold italic"/>
    <w:uiPriority w:val="99"/>
    <w:rsid w:val="0093192F"/>
    <w:rPr>
      <w:b/>
      <w:bCs/>
      <w:i/>
      <w:iCs/>
      <w:vertAlign w:val="superscript"/>
    </w:rPr>
  </w:style>
  <w:style w:type="paragraph" w:customStyle="1" w:styleId="ARfintablecolheadcentre">
    <w:name w:val="AR fin table col head centre"/>
    <w:basedOn w:val="ARfintablecolhead"/>
    <w:qFormat/>
    <w:rsid w:val="0093192F"/>
    <w:pPr>
      <w:ind w:right="0"/>
      <w:jc w:val="center"/>
    </w:pPr>
  </w:style>
  <w:style w:type="paragraph" w:customStyle="1" w:styleId="ARfintablecolheadright">
    <w:name w:val="AR fin table col head right"/>
    <w:basedOn w:val="Normal"/>
    <w:qFormat/>
    <w:rsid w:val="0093192F"/>
    <w:pPr>
      <w:spacing w:before="40" w:after="40"/>
      <w:ind w:right="113"/>
      <w:jc w:val="right"/>
    </w:pPr>
    <w:rPr>
      <w:b/>
      <w:sz w:val="16"/>
      <w:szCs w:val="16"/>
    </w:rPr>
  </w:style>
  <w:style w:type="paragraph" w:customStyle="1" w:styleId="ARfintablefootnoteroman">
    <w:name w:val="AR fin table footnote roman"/>
    <w:link w:val="ARfintablefootnoteromanChar"/>
    <w:qFormat/>
    <w:rsid w:val="0093192F"/>
    <w:pPr>
      <w:spacing w:before="40" w:after="40" w:line="180" w:lineRule="atLeast"/>
      <w:ind w:left="284" w:hanging="284"/>
    </w:pPr>
    <w:rPr>
      <w:rFonts w:ascii="Arial" w:hAnsi="Arial"/>
      <w:color w:val="000000"/>
      <w:sz w:val="14"/>
      <w:szCs w:val="14"/>
    </w:rPr>
  </w:style>
  <w:style w:type="character" w:customStyle="1" w:styleId="ARfintablefootnoteromanChar">
    <w:name w:val="AR fin table footnote roman Char"/>
    <w:link w:val="ARfintablefootnoteroman"/>
    <w:rsid w:val="0093192F"/>
    <w:rPr>
      <w:rFonts w:ascii="Arial" w:hAnsi="Arial"/>
      <w:color w:val="000000"/>
      <w:sz w:val="14"/>
      <w:szCs w:val="14"/>
    </w:rPr>
  </w:style>
  <w:style w:type="paragraph" w:customStyle="1" w:styleId="ARfinbody">
    <w:name w:val="AR fin body"/>
    <w:basedOn w:val="Normal"/>
    <w:rsid w:val="0093192F"/>
    <w:pPr>
      <w:suppressAutoHyphens/>
      <w:autoSpaceDE w:val="0"/>
      <w:autoSpaceDN w:val="0"/>
      <w:adjustRightInd w:val="0"/>
      <w:spacing w:after="60" w:line="190" w:lineRule="atLeast"/>
      <w:textAlignment w:val="center"/>
    </w:pPr>
    <w:rPr>
      <w:rFonts w:cs="ArialMT"/>
      <w:color w:val="000000"/>
      <w:sz w:val="16"/>
      <w:szCs w:val="16"/>
    </w:rPr>
  </w:style>
  <w:style w:type="paragraph" w:customStyle="1" w:styleId="ARfinbullet1">
    <w:name w:val="AR fin bullet 1"/>
    <w:basedOn w:val="ARfinbody"/>
    <w:rsid w:val="008A3D22"/>
    <w:pPr>
      <w:numPr>
        <w:numId w:val="29"/>
      </w:numPr>
    </w:pPr>
    <w:rPr>
      <w:rFonts w:eastAsia="Verdana"/>
    </w:rPr>
  </w:style>
  <w:style w:type="character" w:customStyle="1" w:styleId="Superscript">
    <w:name w:val="Superscript"/>
    <w:uiPriority w:val="99"/>
    <w:rsid w:val="0093192F"/>
    <w:rPr>
      <w:vertAlign w:val="superscript"/>
    </w:rPr>
  </w:style>
  <w:style w:type="character" w:customStyle="1" w:styleId="Superscriptbold">
    <w:name w:val="Superscript bold"/>
    <w:uiPriority w:val="99"/>
    <w:qFormat/>
    <w:rsid w:val="0093192F"/>
    <w:rPr>
      <w:rFonts w:eastAsia="Verdana"/>
      <w:b/>
      <w:vertAlign w:val="superscript"/>
    </w:rPr>
  </w:style>
  <w:style w:type="character" w:customStyle="1" w:styleId="Superscriptitalic">
    <w:name w:val="Superscript italic"/>
    <w:uiPriority w:val="99"/>
    <w:rsid w:val="0093192F"/>
    <w:rPr>
      <w:rFonts w:ascii="Arial" w:hAnsi="Arial" w:cs="Arial-ItalicMT"/>
      <w:i/>
      <w:iCs/>
      <w:vertAlign w:val="superscript"/>
    </w:rPr>
  </w:style>
  <w:style w:type="paragraph" w:customStyle="1" w:styleId="Heading2continued">
    <w:name w:val="Heading 2 continued"/>
    <w:basedOn w:val="Heading2"/>
    <w:next w:val="ARbody"/>
    <w:uiPriority w:val="98"/>
    <w:qFormat/>
    <w:rsid w:val="0093192F"/>
    <w:pPr>
      <w:pageBreakBefore/>
      <w:spacing w:before="0" w:after="200" w:line="360" w:lineRule="atLeast"/>
      <w:outlineLvl w:val="9"/>
    </w:pPr>
    <w:rPr>
      <w:rFonts w:cs="Arial"/>
      <w:sz w:val="23"/>
      <w:szCs w:val="23"/>
      <w:lang w:eastAsia="en-AU"/>
    </w:rPr>
  </w:style>
  <w:style w:type="paragraph" w:customStyle="1" w:styleId="Heading3continued">
    <w:name w:val="Heading 3 continued"/>
    <w:uiPriority w:val="98"/>
    <w:qFormat/>
    <w:rsid w:val="0093192F"/>
    <w:pPr>
      <w:keepNext/>
      <w:keepLines/>
      <w:spacing w:after="200" w:line="280" w:lineRule="atLeast"/>
    </w:pPr>
    <w:rPr>
      <w:rFonts w:ascii="Arial" w:eastAsia="MS Gothic" w:hAnsi="Arial" w:cs="Arial"/>
      <w:bCs/>
      <w:color w:val="004C97"/>
      <w:sz w:val="24"/>
      <w:szCs w:val="24"/>
    </w:rPr>
  </w:style>
  <w:style w:type="paragraph" w:customStyle="1" w:styleId="Heading4continued">
    <w:name w:val="Heading 4 continued"/>
    <w:uiPriority w:val="98"/>
    <w:qFormat/>
    <w:rsid w:val="0093192F"/>
    <w:pPr>
      <w:keepNext/>
      <w:keepLines/>
      <w:spacing w:after="200" w:line="240" w:lineRule="atLeast"/>
    </w:pPr>
    <w:rPr>
      <w:rFonts w:ascii="Arial" w:eastAsia="MS Mincho" w:hAnsi="Arial" w:cs="Arial"/>
      <w:b/>
      <w:bCs/>
    </w:rPr>
  </w:style>
  <w:style w:type="paragraph" w:customStyle="1" w:styleId="ARfintablefootnoteindent">
    <w:name w:val="AR fin table footnote indent"/>
    <w:basedOn w:val="ARfintablefootnote"/>
    <w:uiPriority w:val="98"/>
    <w:qFormat/>
    <w:rsid w:val="0093192F"/>
    <w:pPr>
      <w:ind w:left="284"/>
    </w:pPr>
  </w:style>
  <w:style w:type="numbering" w:customStyle="1" w:styleId="ZZFinbullets">
    <w:name w:val="ZZ Fin bullets"/>
    <w:basedOn w:val="NoList"/>
    <w:rsid w:val="008A3D22"/>
    <w:pPr>
      <w:numPr>
        <w:numId w:val="29"/>
      </w:numPr>
    </w:pPr>
  </w:style>
  <w:style w:type="paragraph" w:customStyle="1" w:styleId="ARbulletafternumbers1">
    <w:name w:val="AR bullet after numbers 1"/>
    <w:basedOn w:val="Normal"/>
    <w:uiPriority w:val="4"/>
    <w:rsid w:val="008A3D22"/>
    <w:pPr>
      <w:numPr>
        <w:ilvl w:val="2"/>
        <w:numId w:val="30"/>
      </w:numPr>
      <w:spacing w:after="40" w:line="270" w:lineRule="atLeast"/>
    </w:pPr>
    <w:rPr>
      <w:rFonts w:eastAsia="Times"/>
      <w:sz w:val="20"/>
      <w:szCs w:val="20"/>
    </w:rPr>
  </w:style>
  <w:style w:type="paragraph" w:customStyle="1" w:styleId="ARbulletafternumbers2">
    <w:name w:val="AR bullet after numbers 2"/>
    <w:basedOn w:val="Normal"/>
    <w:rsid w:val="008A3D22"/>
    <w:pPr>
      <w:numPr>
        <w:ilvl w:val="3"/>
        <w:numId w:val="30"/>
      </w:numPr>
      <w:spacing w:after="40" w:line="270" w:lineRule="atLeast"/>
    </w:pPr>
    <w:rPr>
      <w:rFonts w:eastAsia="Times"/>
      <w:sz w:val="20"/>
      <w:szCs w:val="20"/>
    </w:rPr>
  </w:style>
  <w:style w:type="paragraph" w:customStyle="1" w:styleId="ARnumberdigit">
    <w:name w:val="AR number digit"/>
    <w:basedOn w:val="Normal"/>
    <w:uiPriority w:val="2"/>
    <w:rsid w:val="008A3D22"/>
    <w:pPr>
      <w:numPr>
        <w:numId w:val="30"/>
      </w:numPr>
      <w:spacing w:after="120" w:line="270" w:lineRule="atLeast"/>
    </w:pPr>
    <w:rPr>
      <w:rFonts w:eastAsia="Times"/>
      <w:sz w:val="20"/>
      <w:szCs w:val="20"/>
    </w:rPr>
  </w:style>
  <w:style w:type="paragraph" w:customStyle="1" w:styleId="ARnumberdigitindent">
    <w:name w:val="AR number digit indent"/>
    <w:basedOn w:val="Normal"/>
    <w:uiPriority w:val="3"/>
    <w:rsid w:val="004722B7"/>
    <w:pPr>
      <w:numPr>
        <w:ilvl w:val="1"/>
        <w:numId w:val="30"/>
      </w:numPr>
      <w:tabs>
        <w:tab w:val="clear" w:pos="794"/>
      </w:tabs>
      <w:spacing w:after="120" w:line="270" w:lineRule="atLeast"/>
    </w:pPr>
    <w:rPr>
      <w:rFonts w:eastAsia="Times"/>
      <w:sz w:val="20"/>
      <w:szCs w:val="20"/>
    </w:rPr>
  </w:style>
  <w:style w:type="numbering" w:customStyle="1" w:styleId="ZZNumbersdigit">
    <w:name w:val="ZZ Numbers digit"/>
    <w:rsid w:val="008A3D22"/>
    <w:pPr>
      <w:numPr>
        <w:numId w:val="30"/>
      </w:numPr>
    </w:pPr>
  </w:style>
  <w:style w:type="table" w:customStyle="1" w:styleId="Healthtablenoverticals">
    <w:name w:val="Health table no verticals"/>
    <w:basedOn w:val="TableNormal"/>
    <w:uiPriority w:val="99"/>
    <w:rsid w:val="0093192F"/>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customStyle="1" w:styleId="ARnumberalpha1">
    <w:name w:val="AR number alpha 1"/>
    <w:basedOn w:val="ARbody"/>
    <w:uiPriority w:val="3"/>
    <w:qFormat/>
    <w:rsid w:val="0093192F"/>
    <w:pPr>
      <w:numPr>
        <w:numId w:val="38"/>
      </w:numPr>
      <w:spacing w:after="40"/>
    </w:pPr>
    <w:rPr>
      <w:rFonts w:eastAsia="Times New Roman"/>
      <w:szCs w:val="20"/>
    </w:rPr>
  </w:style>
  <w:style w:type="paragraph" w:customStyle="1" w:styleId="ARnumberalpha2">
    <w:name w:val="AR number alpha 2"/>
    <w:basedOn w:val="ARbody"/>
    <w:uiPriority w:val="98"/>
    <w:qFormat/>
    <w:rsid w:val="0093192F"/>
    <w:pPr>
      <w:numPr>
        <w:ilvl w:val="1"/>
        <w:numId w:val="38"/>
      </w:numPr>
      <w:spacing w:after="40"/>
    </w:pPr>
    <w:rPr>
      <w:rFonts w:eastAsia="Times New Roman"/>
      <w:szCs w:val="20"/>
    </w:rPr>
  </w:style>
  <w:style w:type="paragraph" w:customStyle="1" w:styleId="ARnumberroman2">
    <w:name w:val="AR number roman 2"/>
    <w:basedOn w:val="ARbody"/>
    <w:uiPriority w:val="98"/>
    <w:qFormat/>
    <w:rsid w:val="00071FEC"/>
    <w:pPr>
      <w:numPr>
        <w:ilvl w:val="2"/>
        <w:numId w:val="38"/>
      </w:numPr>
      <w:spacing w:after="40" w:line="270" w:lineRule="atLeast"/>
    </w:pPr>
    <w:rPr>
      <w:rFonts w:eastAsia="Times New Roman"/>
      <w:szCs w:val="20"/>
    </w:rPr>
  </w:style>
  <w:style w:type="numbering" w:customStyle="1" w:styleId="ARnumberedparas">
    <w:name w:val="AR numbered paras"/>
    <w:rsid w:val="0093192F"/>
    <w:pPr>
      <w:numPr>
        <w:numId w:val="38"/>
      </w:numPr>
    </w:pPr>
  </w:style>
  <w:style w:type="paragraph" w:customStyle="1" w:styleId="ARfinbodyaftertable">
    <w:name w:val="AR fin body after table"/>
    <w:basedOn w:val="ARfintablebody"/>
    <w:uiPriority w:val="98"/>
    <w:qFormat/>
    <w:rsid w:val="0093192F"/>
    <w:pPr>
      <w:spacing w:before="160" w:after="60"/>
    </w:pPr>
    <w:rPr>
      <w:lang w:eastAsia="en-AU"/>
    </w:rPr>
  </w:style>
  <w:style w:type="paragraph" w:customStyle="1" w:styleId="ARfinnumberalpha1">
    <w:name w:val="AR fin number alpha 1"/>
    <w:basedOn w:val="ARfinbody"/>
    <w:uiPriority w:val="98"/>
    <w:qFormat/>
    <w:rsid w:val="008A3D22"/>
    <w:pPr>
      <w:numPr>
        <w:numId w:val="40"/>
      </w:numPr>
    </w:pPr>
    <w:rPr>
      <w:lang w:eastAsia="en-AU"/>
    </w:rPr>
  </w:style>
  <w:style w:type="paragraph" w:customStyle="1" w:styleId="ARfinnumberalpha2">
    <w:name w:val="AR fin number alpha 2"/>
    <w:basedOn w:val="ARfinbody"/>
    <w:uiPriority w:val="98"/>
    <w:qFormat/>
    <w:rsid w:val="008A3D22"/>
    <w:pPr>
      <w:numPr>
        <w:ilvl w:val="1"/>
        <w:numId w:val="40"/>
      </w:numPr>
    </w:pPr>
  </w:style>
  <w:style w:type="numbering" w:customStyle="1" w:styleId="ZZFinnumbersalpha">
    <w:name w:val="ZZ Fin numbers alpha"/>
    <w:basedOn w:val="ARnumberedparas"/>
    <w:uiPriority w:val="99"/>
    <w:rsid w:val="008A3D22"/>
    <w:pPr>
      <w:numPr>
        <w:numId w:val="40"/>
      </w:numPr>
    </w:pPr>
  </w:style>
  <w:style w:type="paragraph" w:customStyle="1" w:styleId="Heading5continued">
    <w:name w:val="Heading 5 continued"/>
    <w:basedOn w:val="Heading5"/>
    <w:uiPriority w:val="98"/>
    <w:qFormat/>
    <w:rsid w:val="0093192F"/>
    <w:pPr>
      <w:spacing w:before="200" w:after="160" w:line="230" w:lineRule="atLeast"/>
      <w:outlineLvl w:val="9"/>
    </w:pPr>
    <w:rPr>
      <w:b/>
      <w:sz w:val="19"/>
      <w:szCs w:val="20"/>
    </w:rPr>
  </w:style>
  <w:style w:type="paragraph" w:customStyle="1" w:styleId="ARfinstructure1">
    <w:name w:val="AR fin structure 1"/>
    <w:basedOn w:val="ARfinbody"/>
    <w:uiPriority w:val="98"/>
    <w:qFormat/>
    <w:rsid w:val="0093192F"/>
    <w:pPr>
      <w:ind w:left="454" w:hanging="454"/>
    </w:pPr>
    <w:rPr>
      <w:lang w:eastAsia="en-AU"/>
    </w:rPr>
  </w:style>
  <w:style w:type="paragraph" w:customStyle="1" w:styleId="ARfinstructure2">
    <w:name w:val="AR fin structure 2"/>
    <w:basedOn w:val="ARfinbody"/>
    <w:uiPriority w:val="98"/>
    <w:qFormat/>
    <w:rsid w:val="0093192F"/>
    <w:pPr>
      <w:ind w:left="1021" w:hanging="567"/>
    </w:pPr>
    <w:rPr>
      <w:lang w:eastAsia="en-AU"/>
    </w:rPr>
  </w:style>
  <w:style w:type="paragraph" w:customStyle="1" w:styleId="ARfintablebullet">
    <w:name w:val="AR fin table bullet"/>
    <w:basedOn w:val="ARfintablebody"/>
    <w:uiPriority w:val="98"/>
    <w:qFormat/>
    <w:rsid w:val="008A3D22"/>
    <w:pPr>
      <w:numPr>
        <w:numId w:val="41"/>
      </w:numPr>
    </w:pPr>
    <w:rPr>
      <w:lang w:eastAsia="en-AU"/>
    </w:rPr>
  </w:style>
  <w:style w:type="numbering" w:customStyle="1" w:styleId="ZZFintablebullets">
    <w:name w:val="ZZ Fin table bullets"/>
    <w:basedOn w:val="NoList"/>
    <w:uiPriority w:val="99"/>
    <w:rsid w:val="008A3D22"/>
    <w:pPr>
      <w:numPr>
        <w:numId w:val="41"/>
      </w:numPr>
    </w:pPr>
  </w:style>
  <w:style w:type="paragraph" w:styleId="TOCHeading">
    <w:name w:val="TOC Heading"/>
    <w:basedOn w:val="Heading1"/>
    <w:next w:val="Normal"/>
    <w:uiPriority w:val="39"/>
    <w:semiHidden/>
    <w:unhideWhenUsed/>
    <w:qFormat/>
    <w:rsid w:val="0093192F"/>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table" w:customStyle="1" w:styleId="TableGrid2">
    <w:name w:val="Table Grid2"/>
    <w:basedOn w:val="TableNormal"/>
    <w:next w:val="TableGrid"/>
    <w:uiPriority w:val="59"/>
    <w:rsid w:val="009319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192F"/>
  </w:style>
  <w:style w:type="numbering" w:customStyle="1" w:styleId="NoList11">
    <w:name w:val="No List11"/>
    <w:next w:val="NoList"/>
    <w:uiPriority w:val="99"/>
    <w:semiHidden/>
    <w:unhideWhenUsed/>
    <w:rsid w:val="0093192F"/>
  </w:style>
  <w:style w:type="table" w:customStyle="1" w:styleId="Casestudy1">
    <w:name w:val="Case study1"/>
    <w:basedOn w:val="TableNormal"/>
    <w:rsid w:val="0093192F"/>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paragraph" w:customStyle="1" w:styleId="ARtablebullet2">
    <w:name w:val="AR table bullet 2"/>
    <w:basedOn w:val="ARtablebullet1"/>
    <w:uiPriority w:val="99"/>
    <w:qFormat/>
    <w:rsid w:val="00653C02"/>
    <w:pPr>
      <w:ind w:left="454"/>
    </w:pPr>
  </w:style>
  <w:style w:type="paragraph" w:customStyle="1" w:styleId="DHHSbody">
    <w:name w:val="DHHS body"/>
    <w:link w:val="DHHSbodyChar"/>
    <w:uiPriority w:val="99"/>
    <w:qFormat/>
    <w:rsid w:val="00653C02"/>
    <w:pPr>
      <w:spacing w:after="120" w:line="270" w:lineRule="atLeast"/>
    </w:pPr>
    <w:rPr>
      <w:rFonts w:ascii="Arial" w:eastAsia="Calibri" w:hAnsi="Arial"/>
      <w:sz w:val="22"/>
      <w:szCs w:val="24"/>
      <w:lang w:eastAsia="en-US"/>
    </w:rPr>
  </w:style>
  <w:style w:type="paragraph" w:customStyle="1" w:styleId="ARtablebullet1">
    <w:name w:val="AR table bullet 1"/>
    <w:basedOn w:val="ARtabletext"/>
    <w:uiPriority w:val="99"/>
    <w:qFormat/>
    <w:rsid w:val="00653C02"/>
    <w:pPr>
      <w:ind w:left="227" w:hanging="227"/>
    </w:pPr>
  </w:style>
  <w:style w:type="paragraph" w:customStyle="1" w:styleId="ARbullet1final">
    <w:name w:val="AR bullet 1 final"/>
    <w:basedOn w:val="ARbullet1"/>
    <w:uiPriority w:val="99"/>
    <w:qFormat/>
    <w:rsid w:val="00653C02"/>
    <w:pPr>
      <w:spacing w:after="120"/>
    </w:pPr>
  </w:style>
  <w:style w:type="paragraph" w:customStyle="1" w:styleId="ARbullet2final">
    <w:name w:val="AR bullet 2 final"/>
    <w:basedOn w:val="ARbody"/>
    <w:uiPriority w:val="99"/>
    <w:qFormat/>
    <w:rsid w:val="00653C02"/>
    <w:pPr>
      <w:spacing w:line="270" w:lineRule="atLeast"/>
      <w:ind w:left="567" w:hanging="283"/>
    </w:pPr>
    <w:rPr>
      <w:rFonts w:cs="Times New Roman"/>
      <w:lang w:val="x-none"/>
    </w:rPr>
  </w:style>
  <w:style w:type="character" w:customStyle="1" w:styleId="DHHSbodyChar">
    <w:name w:val="DHHS body Char"/>
    <w:link w:val="DHHSbody"/>
    <w:uiPriority w:val="99"/>
    <w:locked/>
    <w:rsid w:val="00653C02"/>
    <w:rPr>
      <w:rFonts w:ascii="Arial" w:eastAsia="Calibri" w:hAnsi="Arial"/>
      <w:sz w:val="22"/>
      <w:szCs w:val="24"/>
      <w:lang w:eastAsia="en-US"/>
    </w:rPr>
  </w:style>
  <w:style w:type="paragraph" w:customStyle="1" w:styleId="DHHSbullet1">
    <w:name w:val="DHHS bullet 1"/>
    <w:basedOn w:val="DHHSbody"/>
    <w:qFormat/>
    <w:rsid w:val="00C34A9D"/>
    <w:pPr>
      <w:tabs>
        <w:tab w:val="num" w:pos="360"/>
      </w:tabs>
      <w:spacing w:after="40"/>
    </w:pPr>
    <w:rPr>
      <w:rFonts w:eastAsia="Times"/>
      <w:sz w:val="20"/>
      <w:szCs w:val="20"/>
    </w:rPr>
  </w:style>
  <w:style w:type="paragraph" w:customStyle="1" w:styleId="DHHSbullet2">
    <w:name w:val="DHHS bullet 2"/>
    <w:basedOn w:val="DHHSbody"/>
    <w:uiPriority w:val="2"/>
    <w:qFormat/>
    <w:rsid w:val="00C34A9D"/>
    <w:pPr>
      <w:tabs>
        <w:tab w:val="num" w:pos="360"/>
      </w:tabs>
      <w:spacing w:after="40"/>
    </w:pPr>
    <w:rPr>
      <w:rFonts w:eastAsia="Times"/>
      <w:sz w:val="20"/>
      <w:szCs w:val="20"/>
    </w:rPr>
  </w:style>
  <w:style w:type="paragraph" w:customStyle="1" w:styleId="DHHSbullet1lastline">
    <w:name w:val="DHHS bullet 1 last line"/>
    <w:basedOn w:val="DHHSbullet1"/>
    <w:qFormat/>
    <w:rsid w:val="00C34A9D"/>
    <w:pPr>
      <w:spacing w:after="120"/>
      <w:ind w:left="284" w:hanging="284"/>
    </w:pPr>
  </w:style>
  <w:style w:type="paragraph" w:customStyle="1" w:styleId="DHHSbullet2lastline">
    <w:name w:val="DHHS bullet 2 last line"/>
    <w:basedOn w:val="DHHSbullet2"/>
    <w:uiPriority w:val="2"/>
    <w:qFormat/>
    <w:rsid w:val="00C34A9D"/>
    <w:pPr>
      <w:spacing w:after="120"/>
      <w:ind w:left="567" w:hanging="283"/>
    </w:pPr>
  </w:style>
  <w:style w:type="paragraph" w:customStyle="1" w:styleId="DHHStablebullet">
    <w:name w:val="DHHS table bullet"/>
    <w:basedOn w:val="Normal"/>
    <w:uiPriority w:val="3"/>
    <w:qFormat/>
    <w:rsid w:val="00C34A9D"/>
    <w:pPr>
      <w:spacing w:before="80" w:after="60"/>
      <w:ind w:left="227" w:hanging="227"/>
    </w:pPr>
    <w:rPr>
      <w:sz w:val="20"/>
      <w:szCs w:val="20"/>
    </w:rPr>
  </w:style>
  <w:style w:type="paragraph" w:customStyle="1" w:styleId="DHHSbulletindent">
    <w:name w:val="DHHS bullet indent"/>
    <w:basedOn w:val="DHHSbody"/>
    <w:uiPriority w:val="4"/>
    <w:rsid w:val="00C34A9D"/>
    <w:pPr>
      <w:tabs>
        <w:tab w:val="num" w:pos="360"/>
      </w:tabs>
      <w:spacing w:after="40"/>
    </w:pPr>
    <w:rPr>
      <w:rFonts w:eastAsia="Times"/>
      <w:sz w:val="20"/>
      <w:szCs w:val="20"/>
    </w:rPr>
  </w:style>
  <w:style w:type="paragraph" w:customStyle="1" w:styleId="DHHSbulletindentlastline">
    <w:name w:val="DHHS bullet indent last line"/>
    <w:basedOn w:val="DHHSbody"/>
    <w:uiPriority w:val="4"/>
    <w:rsid w:val="00C34A9D"/>
    <w:pPr>
      <w:tabs>
        <w:tab w:val="num" w:pos="360"/>
      </w:tabs>
    </w:pPr>
    <w:rPr>
      <w:rFonts w:eastAsia="Times"/>
      <w:sz w:val="20"/>
      <w:szCs w:val="20"/>
    </w:rPr>
  </w:style>
  <w:style w:type="character" w:customStyle="1" w:styleId="UnresolvedMention1">
    <w:name w:val="Unresolved Mention1"/>
    <w:basedOn w:val="DefaultParagraphFont"/>
    <w:uiPriority w:val="99"/>
    <w:semiHidden/>
    <w:unhideWhenUsed/>
    <w:rsid w:val="000E5341"/>
    <w:rPr>
      <w:color w:val="808080"/>
      <w:shd w:val="clear" w:color="auto" w:fill="E6E6E6"/>
    </w:rPr>
  </w:style>
  <w:style w:type="character" w:customStyle="1" w:styleId="UnresolvedMention2">
    <w:name w:val="Unresolved Mention2"/>
    <w:basedOn w:val="DefaultParagraphFont"/>
    <w:uiPriority w:val="99"/>
    <w:semiHidden/>
    <w:unhideWhenUsed/>
    <w:rsid w:val="00F544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16749">
      <w:bodyDiv w:val="1"/>
      <w:marLeft w:val="0"/>
      <w:marRight w:val="0"/>
      <w:marTop w:val="0"/>
      <w:marBottom w:val="0"/>
      <w:divBdr>
        <w:top w:val="none" w:sz="0" w:space="0" w:color="auto"/>
        <w:left w:val="none" w:sz="0" w:space="0" w:color="auto"/>
        <w:bottom w:val="none" w:sz="0" w:space="0" w:color="auto"/>
        <w:right w:val="none" w:sz="0" w:space="0" w:color="auto"/>
      </w:divBdr>
    </w:div>
    <w:div w:id="428234935">
      <w:bodyDiv w:val="1"/>
      <w:marLeft w:val="0"/>
      <w:marRight w:val="0"/>
      <w:marTop w:val="0"/>
      <w:marBottom w:val="0"/>
      <w:divBdr>
        <w:top w:val="none" w:sz="0" w:space="0" w:color="auto"/>
        <w:left w:val="none" w:sz="0" w:space="0" w:color="auto"/>
        <w:bottom w:val="none" w:sz="0" w:space="0" w:color="auto"/>
        <w:right w:val="none" w:sz="0" w:space="0" w:color="auto"/>
      </w:divBdr>
    </w:div>
    <w:div w:id="686518054">
      <w:bodyDiv w:val="1"/>
      <w:marLeft w:val="0"/>
      <w:marRight w:val="0"/>
      <w:marTop w:val="0"/>
      <w:marBottom w:val="0"/>
      <w:divBdr>
        <w:top w:val="none" w:sz="0" w:space="0" w:color="auto"/>
        <w:left w:val="none" w:sz="0" w:space="0" w:color="auto"/>
        <w:bottom w:val="none" w:sz="0" w:space="0" w:color="auto"/>
        <w:right w:val="none" w:sz="0" w:space="0" w:color="auto"/>
      </w:divBdr>
    </w:div>
    <w:div w:id="1280182399">
      <w:bodyDiv w:val="1"/>
      <w:marLeft w:val="0"/>
      <w:marRight w:val="0"/>
      <w:marTop w:val="0"/>
      <w:marBottom w:val="0"/>
      <w:divBdr>
        <w:top w:val="none" w:sz="0" w:space="0" w:color="auto"/>
        <w:left w:val="none" w:sz="0" w:space="0" w:color="auto"/>
        <w:bottom w:val="none" w:sz="0" w:space="0" w:color="auto"/>
        <w:right w:val="none" w:sz="0" w:space="0" w:color="auto"/>
      </w:divBdr>
    </w:div>
    <w:div w:id="1387992797">
      <w:bodyDiv w:val="1"/>
      <w:marLeft w:val="0"/>
      <w:marRight w:val="0"/>
      <w:marTop w:val="0"/>
      <w:marBottom w:val="0"/>
      <w:divBdr>
        <w:top w:val="none" w:sz="0" w:space="0" w:color="auto"/>
        <w:left w:val="none" w:sz="0" w:space="0" w:color="auto"/>
        <w:bottom w:val="none" w:sz="0" w:space="0" w:color="auto"/>
        <w:right w:val="none" w:sz="0" w:space="0" w:color="auto"/>
      </w:divBdr>
    </w:div>
    <w:div w:id="1565143952">
      <w:bodyDiv w:val="1"/>
      <w:marLeft w:val="0"/>
      <w:marRight w:val="0"/>
      <w:marTop w:val="0"/>
      <w:marBottom w:val="0"/>
      <w:divBdr>
        <w:top w:val="none" w:sz="0" w:space="0" w:color="auto"/>
        <w:left w:val="none" w:sz="0" w:space="0" w:color="auto"/>
        <w:bottom w:val="none" w:sz="0" w:space="0" w:color="auto"/>
        <w:right w:val="none" w:sz="0" w:space="0" w:color="auto"/>
      </w:divBdr>
      <w:divsChild>
        <w:div w:id="652217124">
          <w:marLeft w:val="0"/>
          <w:marRight w:val="0"/>
          <w:marTop w:val="0"/>
          <w:marBottom w:val="0"/>
          <w:divBdr>
            <w:top w:val="none" w:sz="0" w:space="0" w:color="auto"/>
            <w:left w:val="none" w:sz="0" w:space="0" w:color="auto"/>
            <w:bottom w:val="none" w:sz="0" w:space="0" w:color="auto"/>
            <w:right w:val="none" w:sz="0" w:space="0" w:color="auto"/>
          </w:divBdr>
        </w:div>
      </w:divsChild>
    </w:div>
    <w:div w:id="1809545675">
      <w:bodyDiv w:val="1"/>
      <w:marLeft w:val="0"/>
      <w:marRight w:val="0"/>
      <w:marTop w:val="0"/>
      <w:marBottom w:val="0"/>
      <w:divBdr>
        <w:top w:val="none" w:sz="0" w:space="0" w:color="auto"/>
        <w:left w:val="none" w:sz="0" w:space="0" w:color="auto"/>
        <w:bottom w:val="none" w:sz="0" w:space="0" w:color="auto"/>
        <w:right w:val="none" w:sz="0" w:space="0" w:color="auto"/>
      </w:divBdr>
      <w:divsChild>
        <w:div w:id="1993757868">
          <w:marLeft w:val="0"/>
          <w:marRight w:val="0"/>
          <w:marTop w:val="0"/>
          <w:marBottom w:val="0"/>
          <w:divBdr>
            <w:top w:val="none" w:sz="0" w:space="0" w:color="auto"/>
            <w:left w:val="none" w:sz="0" w:space="0" w:color="auto"/>
            <w:bottom w:val="none" w:sz="0" w:space="0" w:color="auto"/>
            <w:right w:val="none" w:sz="0" w:space="0" w:color="auto"/>
          </w:divBdr>
          <w:divsChild>
            <w:div w:id="102581723">
              <w:marLeft w:val="0"/>
              <w:marRight w:val="0"/>
              <w:marTop w:val="0"/>
              <w:marBottom w:val="0"/>
              <w:divBdr>
                <w:top w:val="none" w:sz="0" w:space="0" w:color="auto"/>
                <w:left w:val="none" w:sz="0" w:space="0" w:color="auto"/>
                <w:bottom w:val="none" w:sz="0" w:space="0" w:color="auto"/>
                <w:right w:val="none" w:sz="0" w:space="0" w:color="auto"/>
              </w:divBdr>
              <w:divsChild>
                <w:div w:id="208044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292250">
                      <w:marLeft w:val="0"/>
                      <w:marRight w:val="0"/>
                      <w:marTop w:val="0"/>
                      <w:marBottom w:val="0"/>
                      <w:divBdr>
                        <w:top w:val="none" w:sz="0" w:space="0" w:color="auto"/>
                        <w:left w:val="none" w:sz="0" w:space="0" w:color="auto"/>
                        <w:bottom w:val="none" w:sz="0" w:space="0" w:color="auto"/>
                        <w:right w:val="none" w:sz="0" w:space="0" w:color="auto"/>
                      </w:divBdr>
                    </w:div>
                    <w:div w:id="1476529972">
                      <w:marLeft w:val="0"/>
                      <w:marRight w:val="0"/>
                      <w:marTop w:val="0"/>
                      <w:marBottom w:val="0"/>
                      <w:divBdr>
                        <w:top w:val="none" w:sz="0" w:space="0" w:color="auto"/>
                        <w:left w:val="none" w:sz="0" w:space="0" w:color="auto"/>
                        <w:bottom w:val="none" w:sz="0" w:space="0" w:color="auto"/>
                        <w:right w:val="none" w:sz="0" w:space="0" w:color="auto"/>
                      </w:divBdr>
                    </w:div>
                    <w:div w:id="18066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80394">
      <w:bodyDiv w:val="1"/>
      <w:marLeft w:val="0"/>
      <w:marRight w:val="0"/>
      <w:marTop w:val="0"/>
      <w:marBottom w:val="0"/>
      <w:divBdr>
        <w:top w:val="none" w:sz="0" w:space="0" w:color="auto"/>
        <w:left w:val="none" w:sz="0" w:space="0" w:color="auto"/>
        <w:bottom w:val="none" w:sz="0" w:space="0" w:color="auto"/>
        <w:right w:val="none" w:sz="0" w:space="0" w:color="auto"/>
      </w:divBdr>
    </w:div>
    <w:div w:id="2013752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eader" Target="header5.xml"/><Relationship Id="rId42" Type="http://schemas.openxmlformats.org/officeDocument/2006/relationships/footer" Target="footer8.xml"/><Relationship Id="rId47" Type="http://schemas.openxmlformats.org/officeDocument/2006/relationships/header" Target="header16.xml"/><Relationship Id="rId63" Type="http://schemas.openxmlformats.org/officeDocument/2006/relationships/hyperlink" Target="https://www2.health.vic.gov.au/about/reporting-planning-data/victorian-data-linkages" TargetMode="External"/><Relationship Id="rId68" Type="http://schemas.openxmlformats.org/officeDocument/2006/relationships/hyperlink" Target="mailto:%20submit@ibac.vic.gov.au" TargetMode="External"/><Relationship Id="rId84" Type="http://schemas.openxmlformats.org/officeDocument/2006/relationships/hyperlink" Target="http://www.foi.vic.gov.au/" TargetMode="External"/><Relationship Id="rId89" Type="http://schemas.openxmlformats.org/officeDocument/2006/relationships/header" Target="header33.xml"/><Relationship Id="rId112" Type="http://schemas.openxmlformats.org/officeDocument/2006/relationships/header" Target="header48.xml"/><Relationship Id="rId133" Type="http://schemas.openxmlformats.org/officeDocument/2006/relationships/header" Target="header62.xml"/><Relationship Id="rId138" Type="http://schemas.openxmlformats.org/officeDocument/2006/relationships/header" Target="header64.xml"/><Relationship Id="rId154" Type="http://schemas.openxmlformats.org/officeDocument/2006/relationships/header" Target="header74.xml"/><Relationship Id="rId159" Type="http://schemas.openxmlformats.org/officeDocument/2006/relationships/footer" Target="footer36.xml"/><Relationship Id="rId175" Type="http://schemas.openxmlformats.org/officeDocument/2006/relationships/footer" Target="footer42.xml"/><Relationship Id="rId170" Type="http://schemas.openxmlformats.org/officeDocument/2006/relationships/footer" Target="footer41.xml"/><Relationship Id="rId191" Type="http://schemas.openxmlformats.org/officeDocument/2006/relationships/footer" Target="footer48.xml"/><Relationship Id="rId16" Type="http://schemas.openxmlformats.org/officeDocument/2006/relationships/hyperlink" Target="https://www.dhhs.vic.gov.au/publications/annual-reports" TargetMode="External"/><Relationship Id="rId107" Type="http://schemas.openxmlformats.org/officeDocument/2006/relationships/header" Target="header45.xm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footer" Target="footer5.xml"/><Relationship Id="rId53" Type="http://schemas.openxmlformats.org/officeDocument/2006/relationships/image" Target="media/image8.jpeg"/><Relationship Id="rId58" Type="http://schemas.openxmlformats.org/officeDocument/2006/relationships/hyperlink" Target="http://performance.health.vic.gov.au/Home.aspx" TargetMode="External"/><Relationship Id="rId74" Type="http://schemas.openxmlformats.org/officeDocument/2006/relationships/header" Target="header25.xml"/><Relationship Id="rId79" Type="http://schemas.openxmlformats.org/officeDocument/2006/relationships/footer" Target="footer14.xml"/><Relationship Id="rId102" Type="http://schemas.openxmlformats.org/officeDocument/2006/relationships/footer" Target="footer15.xml"/><Relationship Id="rId123" Type="http://schemas.openxmlformats.org/officeDocument/2006/relationships/header" Target="header55.xml"/><Relationship Id="rId128" Type="http://schemas.openxmlformats.org/officeDocument/2006/relationships/header" Target="header58.xml"/><Relationship Id="rId144" Type="http://schemas.openxmlformats.org/officeDocument/2006/relationships/header" Target="header68.xml"/><Relationship Id="rId149" Type="http://schemas.openxmlformats.org/officeDocument/2006/relationships/header" Target="header72.xml"/><Relationship Id="rId5" Type="http://schemas.openxmlformats.org/officeDocument/2006/relationships/settings" Target="settings.xml"/><Relationship Id="rId90" Type="http://schemas.openxmlformats.org/officeDocument/2006/relationships/header" Target="header34.xml"/><Relationship Id="rId95" Type="http://schemas.openxmlformats.org/officeDocument/2006/relationships/image" Target="media/image11.png"/><Relationship Id="rId160" Type="http://schemas.openxmlformats.org/officeDocument/2006/relationships/footer" Target="footer37.xml"/><Relationship Id="rId165" Type="http://schemas.openxmlformats.org/officeDocument/2006/relationships/header" Target="header81.xml"/><Relationship Id="rId181" Type="http://schemas.openxmlformats.org/officeDocument/2006/relationships/footer" Target="footer45.xml"/><Relationship Id="rId186" Type="http://schemas.openxmlformats.org/officeDocument/2006/relationships/header" Target="header93.xml"/><Relationship Id="rId22" Type="http://schemas.openxmlformats.org/officeDocument/2006/relationships/footer" Target="footer1.xml"/><Relationship Id="rId27" Type="http://schemas.openxmlformats.org/officeDocument/2006/relationships/footer" Target="footer4.xml"/><Relationship Id="rId43" Type="http://schemas.openxmlformats.org/officeDocument/2006/relationships/footer" Target="footer9.xml"/><Relationship Id="rId48" Type="http://schemas.openxmlformats.org/officeDocument/2006/relationships/header" Target="header17.xml"/><Relationship Id="rId64" Type="http://schemas.openxmlformats.org/officeDocument/2006/relationships/hyperlink" Target="http://www.cancervic.org.au/research/registry-statistics/statistics-data" TargetMode="External"/><Relationship Id="rId69" Type="http://schemas.openxmlformats.org/officeDocument/2006/relationships/hyperlink" Target="mailto:protected.disclosure@dhhs.vic.gov.au" TargetMode="External"/><Relationship Id="rId113" Type="http://schemas.openxmlformats.org/officeDocument/2006/relationships/footer" Target="footer20.xml"/><Relationship Id="rId118" Type="http://schemas.openxmlformats.org/officeDocument/2006/relationships/footer" Target="footer21.xml"/><Relationship Id="rId134" Type="http://schemas.openxmlformats.org/officeDocument/2006/relationships/footer" Target="footer27.xml"/><Relationship Id="rId139" Type="http://schemas.openxmlformats.org/officeDocument/2006/relationships/header" Target="header65.xml"/><Relationship Id="rId80" Type="http://schemas.openxmlformats.org/officeDocument/2006/relationships/header" Target="header28.xml"/><Relationship Id="rId85" Type="http://schemas.openxmlformats.org/officeDocument/2006/relationships/hyperlink" Target="http://www.foi.vic.gov.au/" TargetMode="External"/><Relationship Id="rId150" Type="http://schemas.openxmlformats.org/officeDocument/2006/relationships/footer" Target="footer33.xml"/><Relationship Id="rId155" Type="http://schemas.openxmlformats.org/officeDocument/2006/relationships/header" Target="header75.xml"/><Relationship Id="rId171" Type="http://schemas.openxmlformats.org/officeDocument/2006/relationships/header" Target="header84.xml"/><Relationship Id="rId176" Type="http://schemas.openxmlformats.org/officeDocument/2006/relationships/footer" Target="footer43.xml"/><Relationship Id="rId192" Type="http://schemas.openxmlformats.org/officeDocument/2006/relationships/footer" Target="footer49.xml"/><Relationship Id="rId12" Type="http://schemas.openxmlformats.org/officeDocument/2006/relationships/hyperlink" Target="mailto:corporate.reporting@dhhs.vic.gov.au" TargetMode="External"/><Relationship Id="rId17" Type="http://schemas.openxmlformats.org/officeDocument/2006/relationships/image" Target="media/image3.jpeg"/><Relationship Id="rId33" Type="http://schemas.openxmlformats.org/officeDocument/2006/relationships/header" Target="header9.xml"/><Relationship Id="rId38" Type="http://schemas.openxmlformats.org/officeDocument/2006/relationships/footer" Target="footer6.xml"/><Relationship Id="rId59" Type="http://schemas.openxmlformats.org/officeDocument/2006/relationships/hyperlink" Target="http://performance.health.vic.gov.au/Home.aspx" TargetMode="External"/><Relationship Id="rId103" Type="http://schemas.openxmlformats.org/officeDocument/2006/relationships/footer" Target="footer16.xml"/><Relationship Id="rId108" Type="http://schemas.openxmlformats.org/officeDocument/2006/relationships/header" Target="header46.xml"/><Relationship Id="rId124" Type="http://schemas.openxmlformats.org/officeDocument/2006/relationships/header" Target="header56.xml"/><Relationship Id="rId129" Type="http://schemas.openxmlformats.org/officeDocument/2006/relationships/footer" Target="footer26.xml"/><Relationship Id="rId54" Type="http://schemas.openxmlformats.org/officeDocument/2006/relationships/header" Target="header22.xml"/><Relationship Id="rId70" Type="http://schemas.openxmlformats.org/officeDocument/2006/relationships/hyperlink" Target="http://www.dhs.vic.gov.au/home" TargetMode="External"/><Relationship Id="rId75" Type="http://schemas.openxmlformats.org/officeDocument/2006/relationships/header" Target="header26.xml"/><Relationship Id="rId91" Type="http://schemas.openxmlformats.org/officeDocument/2006/relationships/header" Target="header35.xml"/><Relationship Id="rId96" Type="http://schemas.openxmlformats.org/officeDocument/2006/relationships/header" Target="header37.xml"/><Relationship Id="rId140" Type="http://schemas.openxmlformats.org/officeDocument/2006/relationships/header" Target="header66.xml"/><Relationship Id="rId145" Type="http://schemas.openxmlformats.org/officeDocument/2006/relationships/footer" Target="footer32.xml"/><Relationship Id="rId161" Type="http://schemas.openxmlformats.org/officeDocument/2006/relationships/header" Target="header78.xml"/><Relationship Id="rId166" Type="http://schemas.openxmlformats.org/officeDocument/2006/relationships/header" Target="header82.xml"/><Relationship Id="rId182" Type="http://schemas.openxmlformats.org/officeDocument/2006/relationships/footer" Target="footer46.xml"/><Relationship Id="rId187" Type="http://schemas.openxmlformats.org/officeDocument/2006/relationships/hyperlink" Target="mailto:DHHSCommunications@dhhs.vic.gov.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image" Target="media/image4.jpeg"/><Relationship Id="rId49" Type="http://schemas.openxmlformats.org/officeDocument/2006/relationships/header" Target="header18.xml"/><Relationship Id="rId114" Type="http://schemas.openxmlformats.org/officeDocument/2006/relationships/header" Target="header49.xml"/><Relationship Id="rId119" Type="http://schemas.openxmlformats.org/officeDocument/2006/relationships/footer" Target="footer22.xml"/><Relationship Id="rId44" Type="http://schemas.openxmlformats.org/officeDocument/2006/relationships/header" Target="header14.xml"/><Relationship Id="rId60" Type="http://schemas.openxmlformats.org/officeDocument/2006/relationships/hyperlink" Target="https://www2.health.vic.gov.au/about/reporting-planning-data" TargetMode="External"/><Relationship Id="rId65" Type="http://schemas.openxmlformats.org/officeDocument/2006/relationships/hyperlink" Target="https://www.myhospitals.gov.au/" TargetMode="External"/><Relationship Id="rId81" Type="http://schemas.openxmlformats.org/officeDocument/2006/relationships/header" Target="header29.xml"/><Relationship Id="rId86" Type="http://schemas.openxmlformats.org/officeDocument/2006/relationships/hyperlink" Target="https://www2.health.vic.gov.au/about/health-strategies/ministerial-statements-of-expectations" TargetMode="External"/><Relationship Id="rId130" Type="http://schemas.openxmlformats.org/officeDocument/2006/relationships/header" Target="header59.xml"/><Relationship Id="rId135" Type="http://schemas.openxmlformats.org/officeDocument/2006/relationships/footer" Target="footer28.xml"/><Relationship Id="rId151" Type="http://schemas.openxmlformats.org/officeDocument/2006/relationships/footer" Target="footer34.xml"/><Relationship Id="rId156" Type="http://schemas.openxmlformats.org/officeDocument/2006/relationships/image" Target="media/image12.jpeg"/><Relationship Id="rId177" Type="http://schemas.openxmlformats.org/officeDocument/2006/relationships/footer" Target="footer44.xml"/><Relationship Id="rId172" Type="http://schemas.openxmlformats.org/officeDocument/2006/relationships/header" Target="header85.xml"/><Relationship Id="rId193" Type="http://schemas.openxmlformats.org/officeDocument/2006/relationships/footer" Target="footer50.xml"/><Relationship Id="rId13" Type="http://schemas.openxmlformats.org/officeDocument/2006/relationships/hyperlink" Target="https://creativecommons.org/licenses/by/4.0/" TargetMode="External"/><Relationship Id="rId18" Type="http://schemas.openxmlformats.org/officeDocument/2006/relationships/header" Target="header3.xml"/><Relationship Id="rId39" Type="http://schemas.openxmlformats.org/officeDocument/2006/relationships/header" Target="header12.xml"/><Relationship Id="rId109" Type="http://schemas.openxmlformats.org/officeDocument/2006/relationships/header" Target="header47.xml"/><Relationship Id="rId34" Type="http://schemas.openxmlformats.org/officeDocument/2006/relationships/header" Target="header10.xml"/><Relationship Id="rId50" Type="http://schemas.openxmlformats.org/officeDocument/2006/relationships/header" Target="header19.xml"/><Relationship Id="rId55" Type="http://schemas.openxmlformats.org/officeDocument/2006/relationships/header" Target="header23.xml"/><Relationship Id="rId76" Type="http://schemas.openxmlformats.org/officeDocument/2006/relationships/footer" Target="footer12.xml"/><Relationship Id="rId97" Type="http://schemas.openxmlformats.org/officeDocument/2006/relationships/header" Target="header38.xml"/><Relationship Id="rId104" Type="http://schemas.openxmlformats.org/officeDocument/2006/relationships/header" Target="header43.xml"/><Relationship Id="rId120" Type="http://schemas.openxmlformats.org/officeDocument/2006/relationships/header" Target="header53.xml"/><Relationship Id="rId125" Type="http://schemas.openxmlformats.org/officeDocument/2006/relationships/header" Target="header57.xml"/><Relationship Id="rId141" Type="http://schemas.openxmlformats.org/officeDocument/2006/relationships/header" Target="header67.xml"/><Relationship Id="rId146" Type="http://schemas.openxmlformats.org/officeDocument/2006/relationships/header" Target="header69.xml"/><Relationship Id="rId167" Type="http://schemas.openxmlformats.org/officeDocument/2006/relationships/footer" Target="footer39.xml"/><Relationship Id="rId188" Type="http://schemas.openxmlformats.org/officeDocument/2006/relationships/image" Target="media/image13.png"/><Relationship Id="rId7" Type="http://schemas.openxmlformats.org/officeDocument/2006/relationships/footnotes" Target="footnotes.xml"/><Relationship Id="rId71" Type="http://schemas.openxmlformats.org/officeDocument/2006/relationships/hyperlink" Target="http://www.dhs.vic.gov.au/home" TargetMode="External"/><Relationship Id="rId92" Type="http://schemas.openxmlformats.org/officeDocument/2006/relationships/header" Target="header36.xml"/><Relationship Id="rId162" Type="http://schemas.openxmlformats.org/officeDocument/2006/relationships/footer" Target="footer38.xml"/><Relationship Id="rId183" Type="http://schemas.openxmlformats.org/officeDocument/2006/relationships/header" Target="header91.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10.xml"/><Relationship Id="rId66" Type="http://schemas.openxmlformats.org/officeDocument/2006/relationships/hyperlink" Target="http://www.aihw.gov.au/data" TargetMode="External"/><Relationship Id="rId87" Type="http://schemas.openxmlformats.org/officeDocument/2006/relationships/hyperlink" Target="http://www.dhs.vic.gov.au/about-the-department/documents-and-resources/reports-publications/statement-of-expectations" TargetMode="External"/><Relationship Id="rId110" Type="http://schemas.openxmlformats.org/officeDocument/2006/relationships/footer" Target="footer18.xml"/><Relationship Id="rId115" Type="http://schemas.openxmlformats.org/officeDocument/2006/relationships/header" Target="header50.xml"/><Relationship Id="rId131" Type="http://schemas.openxmlformats.org/officeDocument/2006/relationships/header" Target="header60.xml"/><Relationship Id="rId136" Type="http://schemas.openxmlformats.org/officeDocument/2006/relationships/header" Target="header63.xml"/><Relationship Id="rId157" Type="http://schemas.openxmlformats.org/officeDocument/2006/relationships/header" Target="header76.xml"/><Relationship Id="rId178" Type="http://schemas.openxmlformats.org/officeDocument/2006/relationships/header" Target="header88.xml"/><Relationship Id="rId61" Type="http://schemas.openxmlformats.org/officeDocument/2006/relationships/hyperlink" Target="https://dhhs.vic.gov.au/publications/reports-reviews-data" TargetMode="External"/><Relationship Id="rId82" Type="http://schemas.openxmlformats.org/officeDocument/2006/relationships/header" Target="header30.xml"/><Relationship Id="rId152" Type="http://schemas.openxmlformats.org/officeDocument/2006/relationships/header" Target="header73.xml"/><Relationship Id="rId173" Type="http://schemas.openxmlformats.org/officeDocument/2006/relationships/header" Target="header86.xml"/><Relationship Id="rId194"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image" Target="media/image2.png"/><Relationship Id="rId30" Type="http://schemas.openxmlformats.org/officeDocument/2006/relationships/image" Target="media/image6.jpeg"/><Relationship Id="rId35" Type="http://schemas.openxmlformats.org/officeDocument/2006/relationships/hyperlink" Target="http://www.changeourgame.vic.gov.au" TargetMode="External"/><Relationship Id="rId56" Type="http://schemas.openxmlformats.org/officeDocument/2006/relationships/footer" Target="footer11.xml"/><Relationship Id="rId77" Type="http://schemas.openxmlformats.org/officeDocument/2006/relationships/footer" Target="footer13.xml"/><Relationship Id="rId100" Type="http://schemas.openxmlformats.org/officeDocument/2006/relationships/header" Target="header41.xml"/><Relationship Id="rId105" Type="http://schemas.openxmlformats.org/officeDocument/2006/relationships/footer" Target="footer17.xml"/><Relationship Id="rId126" Type="http://schemas.openxmlformats.org/officeDocument/2006/relationships/footer" Target="footer24.xml"/><Relationship Id="rId147" Type="http://schemas.openxmlformats.org/officeDocument/2006/relationships/header" Target="header70.xml"/><Relationship Id="rId168" Type="http://schemas.openxmlformats.org/officeDocument/2006/relationships/footer" Target="footer40.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yperlink" Target="http://www.procurement.vic.gov.au/" TargetMode="External"/><Relationship Id="rId93" Type="http://schemas.openxmlformats.org/officeDocument/2006/relationships/image" Target="media/image9.png"/><Relationship Id="rId98" Type="http://schemas.openxmlformats.org/officeDocument/2006/relationships/header" Target="header39.xml"/><Relationship Id="rId121" Type="http://schemas.openxmlformats.org/officeDocument/2006/relationships/footer" Target="footer23.xml"/><Relationship Id="rId142" Type="http://schemas.openxmlformats.org/officeDocument/2006/relationships/footer" Target="footer30.xml"/><Relationship Id="rId163" Type="http://schemas.openxmlformats.org/officeDocument/2006/relationships/header" Target="header79.xml"/><Relationship Id="rId184" Type="http://schemas.openxmlformats.org/officeDocument/2006/relationships/footer" Target="footer47.xml"/><Relationship Id="rId189" Type="http://schemas.openxmlformats.org/officeDocument/2006/relationships/header" Target="header94.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5.xml"/><Relationship Id="rId67" Type="http://schemas.openxmlformats.org/officeDocument/2006/relationships/hyperlink" Target="http://www.ibac.vic.gov.au" TargetMode="External"/><Relationship Id="rId116" Type="http://schemas.openxmlformats.org/officeDocument/2006/relationships/header" Target="header51.xml"/><Relationship Id="rId137" Type="http://schemas.openxmlformats.org/officeDocument/2006/relationships/footer" Target="footer29.xml"/><Relationship Id="rId158" Type="http://schemas.openxmlformats.org/officeDocument/2006/relationships/header" Target="header77.xml"/><Relationship Id="rId20" Type="http://schemas.openxmlformats.org/officeDocument/2006/relationships/hyperlink" Target="https://dhhs.vic.gov.au/dhhs-leadership-charter-0" TargetMode="External"/><Relationship Id="rId41" Type="http://schemas.openxmlformats.org/officeDocument/2006/relationships/header" Target="header13.xml"/><Relationship Id="rId62" Type="http://schemas.openxmlformats.org/officeDocument/2006/relationships/hyperlink" Target="https://www.dhhs.vic.gov.au/department-health-and-human-services-information-asset-register-public" TargetMode="External"/><Relationship Id="rId83" Type="http://schemas.openxmlformats.org/officeDocument/2006/relationships/header" Target="header31.xml"/><Relationship Id="rId88" Type="http://schemas.openxmlformats.org/officeDocument/2006/relationships/header" Target="header32.xml"/><Relationship Id="rId111" Type="http://schemas.openxmlformats.org/officeDocument/2006/relationships/footer" Target="footer19.xml"/><Relationship Id="rId132" Type="http://schemas.openxmlformats.org/officeDocument/2006/relationships/header" Target="header61.xml"/><Relationship Id="rId153" Type="http://schemas.openxmlformats.org/officeDocument/2006/relationships/footer" Target="footer35.xml"/><Relationship Id="rId174" Type="http://schemas.openxmlformats.org/officeDocument/2006/relationships/header" Target="header87.xml"/><Relationship Id="rId179" Type="http://schemas.openxmlformats.org/officeDocument/2006/relationships/header" Target="header89.xml"/><Relationship Id="rId195" Type="http://schemas.openxmlformats.org/officeDocument/2006/relationships/theme" Target="theme/theme1.xml"/><Relationship Id="rId190" Type="http://schemas.openxmlformats.org/officeDocument/2006/relationships/header" Target="header95.xml"/><Relationship Id="rId15" Type="http://schemas.openxmlformats.org/officeDocument/2006/relationships/hyperlink" Target="https://creativecommons.org/licenses/by/4.0/legalcode" TargetMode="External"/><Relationship Id="rId36" Type="http://schemas.openxmlformats.org/officeDocument/2006/relationships/header" Target="header11.xml"/><Relationship Id="rId57" Type="http://schemas.openxmlformats.org/officeDocument/2006/relationships/hyperlink" Target="http://www.data.vic.gov.au/" TargetMode="External"/><Relationship Id="rId106" Type="http://schemas.openxmlformats.org/officeDocument/2006/relationships/header" Target="header44.xml"/><Relationship Id="rId127" Type="http://schemas.openxmlformats.org/officeDocument/2006/relationships/footer" Target="footer25.xml"/><Relationship Id="rId10" Type="http://schemas.openxmlformats.org/officeDocument/2006/relationships/header" Target="header1.xml"/><Relationship Id="rId31" Type="http://schemas.openxmlformats.org/officeDocument/2006/relationships/image" Target="media/image7.jpeg"/><Relationship Id="rId52" Type="http://schemas.openxmlformats.org/officeDocument/2006/relationships/header" Target="header21.xml"/><Relationship Id="rId73" Type="http://schemas.openxmlformats.org/officeDocument/2006/relationships/header" Target="header24.xml"/><Relationship Id="rId78" Type="http://schemas.openxmlformats.org/officeDocument/2006/relationships/header" Target="header27.xml"/><Relationship Id="rId94" Type="http://schemas.openxmlformats.org/officeDocument/2006/relationships/image" Target="media/image10.png"/><Relationship Id="rId99" Type="http://schemas.openxmlformats.org/officeDocument/2006/relationships/header" Target="header40.xml"/><Relationship Id="rId101" Type="http://schemas.openxmlformats.org/officeDocument/2006/relationships/header" Target="header42.xml"/><Relationship Id="rId122" Type="http://schemas.openxmlformats.org/officeDocument/2006/relationships/header" Target="header54.xml"/><Relationship Id="rId143" Type="http://schemas.openxmlformats.org/officeDocument/2006/relationships/footer" Target="footer31.xml"/><Relationship Id="rId148" Type="http://schemas.openxmlformats.org/officeDocument/2006/relationships/header" Target="header71.xml"/><Relationship Id="rId164" Type="http://schemas.openxmlformats.org/officeDocument/2006/relationships/header" Target="header80.xml"/><Relationship Id="rId169" Type="http://schemas.openxmlformats.org/officeDocument/2006/relationships/header" Target="header83.xml"/><Relationship Id="rId185" Type="http://schemas.openxmlformats.org/officeDocument/2006/relationships/header" Target="header92.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90.xml"/><Relationship Id="rId2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C596C-B16B-4BE7-85DB-406F1180B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227</Pages>
  <Words>87544</Words>
  <Characters>511732</Characters>
  <Application>Microsoft Office Word</Application>
  <DocSecurity>0</DocSecurity>
  <Lines>4264</Lines>
  <Paragraphs>1196</Paragraphs>
  <ScaleCrop>false</ScaleCrop>
  <HeadingPairs>
    <vt:vector size="2" baseType="variant">
      <vt:variant>
        <vt:lpstr>Title</vt:lpstr>
      </vt:variant>
      <vt:variant>
        <vt:i4>1</vt:i4>
      </vt:variant>
    </vt:vector>
  </HeadingPairs>
  <TitlesOfParts>
    <vt:vector size="1" baseType="lpstr">
      <vt:lpstr>Annual report 2016-17: Victorian Department of Health and Human Services</vt:lpstr>
    </vt:vector>
  </TitlesOfParts>
  <Company>Department of Health and Human Services</Company>
  <LinksUpToDate>false</LinksUpToDate>
  <CharactersWithSpaces>598080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2016-17: Victorian Department of Health and Human Services</dc:title>
  <dc:subject>Annual report</dc:subject>
  <dc:creator>Corporate Reporting</dc:creator>
  <cp:keywords>annual report 2016-17, financial statements, year in review, performance reporting, finance and budgetary performance, governance, people, disclosures, environmental sustainability report, audit opinion</cp:keywords>
  <cp:lastModifiedBy>Peter Ryan</cp:lastModifiedBy>
  <cp:revision>26</cp:revision>
  <cp:lastPrinted>2017-10-12T03:05:00Z</cp:lastPrinted>
  <dcterms:created xsi:type="dcterms:W3CDTF">2017-09-15T07:34:00Z</dcterms:created>
  <dcterms:modified xsi:type="dcterms:W3CDTF">2017-10-17T02:42:00Z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