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D58A" w14:textId="159E5290" w:rsidR="00002990" w:rsidRPr="009F0C73" w:rsidRDefault="00580E30" w:rsidP="00A55989">
      <w:pPr>
        <w:pStyle w:val="DHHSbodynospace"/>
      </w:pPr>
      <w:r w:rsidRPr="009F0C73">
        <w:rPr>
          <w:noProof/>
        </w:rPr>
        <w:drawing>
          <wp:anchor distT="0" distB="0" distL="114300" distR="114300" simplePos="0" relativeHeight="251656704" behindDoc="1" locked="1" layoutInCell="0" allowOverlap="1" wp14:anchorId="564B2D5A" wp14:editId="2ABFA80A">
            <wp:simplePos x="0" y="0"/>
            <wp:positionH relativeFrom="page">
              <wp:posOffset>0</wp:posOffset>
            </wp:positionH>
            <wp:positionV relativeFrom="page">
              <wp:posOffset>0</wp:posOffset>
            </wp:positionV>
            <wp:extent cx="7563485" cy="10700385"/>
            <wp:effectExtent l="0" t="0" r="0" b="0"/>
            <wp:wrapNone/>
            <wp:docPr id="95" name="Picture 95" descr="Victoria State Government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9F0C73" w14:paraId="018D223F" w14:textId="77777777" w:rsidTr="004C5777">
        <w:trPr>
          <w:trHeight w:val="3988"/>
        </w:trPr>
        <w:tc>
          <w:tcPr>
            <w:tcW w:w="7938" w:type="dxa"/>
            <w:shd w:val="clear" w:color="auto" w:fill="auto"/>
          </w:tcPr>
          <w:p w14:paraId="0E4CA64A" w14:textId="6CC4FD74" w:rsidR="00242534" w:rsidRPr="009F0C73" w:rsidRDefault="00242534" w:rsidP="00C722EF">
            <w:pPr>
              <w:pStyle w:val="DHHSreportsubtitlecover"/>
              <w:rPr>
                <w:sz w:val="50"/>
                <w:szCs w:val="50"/>
              </w:rPr>
            </w:pPr>
            <w:r w:rsidRPr="009F0C73">
              <w:rPr>
                <w:sz w:val="50"/>
                <w:szCs w:val="50"/>
              </w:rPr>
              <w:t>Victoria’s mental health services annual report 201</w:t>
            </w:r>
            <w:r w:rsidR="004E7DAA">
              <w:rPr>
                <w:sz w:val="50"/>
                <w:szCs w:val="50"/>
              </w:rPr>
              <w:t>6</w:t>
            </w:r>
            <w:r w:rsidRPr="009F0C73">
              <w:rPr>
                <w:sz w:val="50"/>
                <w:szCs w:val="50"/>
              </w:rPr>
              <w:t>–1</w:t>
            </w:r>
            <w:r w:rsidR="004E7DAA">
              <w:rPr>
                <w:sz w:val="50"/>
                <w:szCs w:val="50"/>
              </w:rPr>
              <w:t>7</w:t>
            </w:r>
          </w:p>
          <w:p w14:paraId="4833AD53" w14:textId="2D941690" w:rsidR="00444D82" w:rsidRPr="009F0C73" w:rsidRDefault="00444D82" w:rsidP="00C722EF">
            <w:pPr>
              <w:pStyle w:val="DHHSreportsubtitlecover"/>
            </w:pPr>
          </w:p>
        </w:tc>
      </w:tr>
      <w:tr w:rsidR="001817CD" w:rsidRPr="009F0C73" w14:paraId="0495DA46" w14:textId="77777777" w:rsidTr="004C5777">
        <w:trPr>
          <w:trHeight w:val="4664"/>
        </w:trPr>
        <w:tc>
          <w:tcPr>
            <w:tcW w:w="10252" w:type="dxa"/>
            <w:shd w:val="clear" w:color="auto" w:fill="auto"/>
          </w:tcPr>
          <w:p w14:paraId="1BD2E487" w14:textId="25325633" w:rsidR="00BC01C1" w:rsidRPr="009F0C73" w:rsidRDefault="00BC01C1" w:rsidP="00C722EF">
            <w:pPr>
              <w:pStyle w:val="Coverinstructions"/>
            </w:pPr>
          </w:p>
        </w:tc>
      </w:tr>
    </w:tbl>
    <w:p w14:paraId="03E370FF" w14:textId="77777777" w:rsidR="0069374A" w:rsidRPr="009F0C73" w:rsidRDefault="0069374A" w:rsidP="00C2657D">
      <w:pPr>
        <w:pStyle w:val="DHHSbodynospace"/>
        <w:ind w:left="-454"/>
      </w:pPr>
    </w:p>
    <w:p w14:paraId="477297A4" w14:textId="77777777" w:rsidR="00C51B1C" w:rsidRPr="009F0C73" w:rsidRDefault="00C51B1C" w:rsidP="00CA6D4E">
      <w:pPr>
        <w:pStyle w:val="DHHSbodynospace"/>
        <w:sectPr w:rsidR="00C51B1C" w:rsidRPr="009F0C73" w:rsidSect="00A55989">
          <w:footerReference w:type="even" r:id="rId9"/>
          <w:footerReference w:type="default" r:id="rId10"/>
          <w:type w:val="oddPage"/>
          <w:pgSz w:w="11906" w:h="16838"/>
          <w:pgMar w:top="3969" w:right="1304" w:bottom="1134" w:left="1304" w:header="454" w:footer="567" w:gutter="0"/>
          <w:cols w:space="720"/>
          <w:docGrid w:linePitch="360"/>
        </w:sectPr>
      </w:pPr>
    </w:p>
    <w:p w14:paraId="1230407A" w14:textId="69CE896E" w:rsidR="00AC0C3B" w:rsidRPr="009F0C73" w:rsidRDefault="009208F5" w:rsidP="00CA6D4E">
      <w:pPr>
        <w:pStyle w:val="DHHSbodynospace"/>
      </w:pPr>
      <w:r w:rsidRPr="009F0C73">
        <w:lastRenderedPageBreak/>
        <w:br w:type="page"/>
      </w:r>
      <w:r w:rsidR="00580E30" w:rsidRPr="009F0C73">
        <w:rPr>
          <w:noProof/>
        </w:rPr>
        <mc:AlternateContent>
          <mc:Choice Requires="wps">
            <w:drawing>
              <wp:anchor distT="0" distB="0" distL="114300" distR="114300" simplePos="0" relativeHeight="251655680" behindDoc="0" locked="0" layoutInCell="1" allowOverlap="1" wp14:anchorId="1D17B2E9" wp14:editId="4A09820A">
                <wp:simplePos x="0" y="0"/>
                <wp:positionH relativeFrom="column">
                  <wp:posOffset>4572000</wp:posOffset>
                </wp:positionH>
                <wp:positionV relativeFrom="paragraph">
                  <wp:posOffset>10172700</wp:posOffset>
                </wp:positionV>
                <wp:extent cx="2514600" cy="34290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AE8FEBE" w14:textId="77777777" w:rsidR="0028342A" w:rsidRDefault="0028342A"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7B2E9" id="_x0000_t202" coordsize="21600,21600" o:spt="202" path="m,l,21600r21600,l21600,xe">
                <v:stroke joinstyle="miter"/>
                <v:path gradientshapeok="t" o:connecttype="rect"/>
              </v:shapetype>
              <v:shape id="Text Box 43" o:spid="_x0000_s1026" type="#_x0000_t202" style="position:absolute;margin-left:5in;margin-top:801pt;width:19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SIRA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ttxIhEAgAARgQA&#10;AA4AAAAAAAAAAAAAAAAALgIAAGRycy9lMm9Eb2MueG1sUEsBAi0AFAAGAAgAAAAhAFiFG2jcAAAA&#10;DgEAAA8AAAAAAAAAAAAAAAAAngQAAGRycy9kb3ducmV2LnhtbFBLBQYAAAAABAAEAPMAAACnBQAA&#10;AAA=&#10;" filled="f" stroked="f">
                <v:textbox>
                  <w:txbxContent>
                    <w:p w14:paraId="5AE8FEBE" w14:textId="77777777" w:rsidR="0028342A" w:rsidRDefault="0028342A"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9F0C73" w14:paraId="404A0832" w14:textId="77777777" w:rsidTr="00CA6D4E">
        <w:trPr>
          <w:trHeight w:val="7402"/>
        </w:trPr>
        <w:tc>
          <w:tcPr>
            <w:tcW w:w="9298" w:type="dxa"/>
            <w:shd w:val="clear" w:color="auto" w:fill="auto"/>
            <w:vAlign w:val="center"/>
          </w:tcPr>
          <w:p w14:paraId="38E18F7A" w14:textId="5CDE7622" w:rsidR="00BB47D7" w:rsidRPr="009F0C73" w:rsidRDefault="00242534" w:rsidP="00630937">
            <w:pPr>
              <w:pStyle w:val="DHHSreportsubtitle"/>
            </w:pPr>
            <w:r w:rsidRPr="009F0C73">
              <w:rPr>
                <w:color w:val="53565A"/>
                <w:sz w:val="50"/>
                <w:szCs w:val="24"/>
              </w:rPr>
              <w:lastRenderedPageBreak/>
              <w:t>Victoria’s mental health services annual report 201</w:t>
            </w:r>
            <w:r w:rsidR="00463252">
              <w:rPr>
                <w:color w:val="53565A"/>
                <w:sz w:val="50"/>
                <w:szCs w:val="24"/>
              </w:rPr>
              <w:t>6</w:t>
            </w:r>
            <w:r w:rsidRPr="009F0C73">
              <w:rPr>
                <w:color w:val="53565A"/>
                <w:sz w:val="50"/>
                <w:szCs w:val="24"/>
              </w:rPr>
              <w:t>–1</w:t>
            </w:r>
            <w:r w:rsidR="00463252">
              <w:rPr>
                <w:color w:val="53565A"/>
                <w:sz w:val="50"/>
                <w:szCs w:val="24"/>
              </w:rPr>
              <w:t>7</w:t>
            </w:r>
          </w:p>
        </w:tc>
      </w:tr>
      <w:tr w:rsidR="009906C7" w:rsidRPr="009F0C73" w14:paraId="129FDFFC" w14:textId="77777777" w:rsidTr="009906C7">
        <w:tc>
          <w:tcPr>
            <w:tcW w:w="9298" w:type="dxa"/>
            <w:shd w:val="clear" w:color="auto" w:fill="auto"/>
            <w:vAlign w:val="center"/>
          </w:tcPr>
          <w:p w14:paraId="73294DF0" w14:textId="77777777" w:rsidR="009906C7" w:rsidRPr="009F0C73" w:rsidRDefault="009906C7" w:rsidP="009906C7">
            <w:pPr>
              <w:pStyle w:val="DHHSbody"/>
            </w:pPr>
          </w:p>
        </w:tc>
      </w:tr>
    </w:tbl>
    <w:p w14:paraId="1A607A53" w14:textId="77777777" w:rsidR="00CA6D4E" w:rsidRPr="009F0C73" w:rsidRDefault="00CA6D4E" w:rsidP="00CA6D4E">
      <w:pPr>
        <w:pStyle w:val="DHHSbodynospace"/>
      </w:pPr>
    </w:p>
    <w:p w14:paraId="02418957" w14:textId="77777777" w:rsidR="00AC0C3B" w:rsidRPr="009F0C73" w:rsidRDefault="00C81BA6" w:rsidP="00CA6D4E">
      <w:pPr>
        <w:pStyle w:val="DHHSbodynospace"/>
      </w:pPr>
      <w:r w:rsidRPr="009F0C73">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9F0C73" w14:paraId="2CEC6C5E" w14:textId="77777777" w:rsidTr="00564E8F">
        <w:trPr>
          <w:trHeight w:val="4313"/>
        </w:trPr>
        <w:tc>
          <w:tcPr>
            <w:tcW w:w="9401" w:type="dxa"/>
          </w:tcPr>
          <w:p w14:paraId="27957D16" w14:textId="60EE3C86" w:rsidR="00564E8F" w:rsidRPr="009F0C73" w:rsidRDefault="00564E8F" w:rsidP="00031263">
            <w:pPr>
              <w:pStyle w:val="DHHSbody"/>
              <w:rPr>
                <w:i/>
                <w:color w:val="008950"/>
                <w:sz w:val="26"/>
                <w:szCs w:val="26"/>
              </w:rPr>
            </w:pPr>
          </w:p>
        </w:tc>
      </w:tr>
      <w:tr w:rsidR="00564E8F" w:rsidRPr="009F0C73" w14:paraId="53621FFD" w14:textId="77777777" w:rsidTr="001F09DC">
        <w:trPr>
          <w:trHeight w:val="6336"/>
        </w:trPr>
        <w:tc>
          <w:tcPr>
            <w:tcW w:w="9401" w:type="dxa"/>
            <w:vAlign w:val="bottom"/>
          </w:tcPr>
          <w:p w14:paraId="05060E8B" w14:textId="3A914BA5" w:rsidR="00605B5B" w:rsidRPr="009F0C73" w:rsidRDefault="00605B5B" w:rsidP="00605B5B">
            <w:pPr>
              <w:spacing w:after="200" w:line="300" w:lineRule="atLeast"/>
              <w:rPr>
                <w:rFonts w:ascii="Arial" w:eastAsia="Times" w:hAnsi="Arial"/>
                <w:sz w:val="24"/>
                <w:szCs w:val="19"/>
              </w:rPr>
            </w:pPr>
            <w:r w:rsidRPr="009F0C73">
              <w:rPr>
                <w:rFonts w:ascii="Arial" w:eastAsia="Times" w:hAnsi="Arial"/>
                <w:sz w:val="24"/>
                <w:szCs w:val="19"/>
              </w:rPr>
              <w:t>To receive this publication in an accessible format phone</w:t>
            </w:r>
            <w:r w:rsidR="00F51CB3" w:rsidRPr="009F0C73">
              <w:rPr>
                <w:rFonts w:ascii="Arial" w:eastAsia="Times" w:hAnsi="Arial"/>
                <w:sz w:val="24"/>
                <w:szCs w:val="19"/>
              </w:rPr>
              <w:t xml:space="preserve"> 9096 8287</w:t>
            </w:r>
            <w:r w:rsidRPr="009F0C73">
              <w:rPr>
                <w:rFonts w:ascii="Arial" w:eastAsia="Times" w:hAnsi="Arial"/>
                <w:sz w:val="24"/>
                <w:szCs w:val="19"/>
              </w:rPr>
              <w:t xml:space="preserve">, using the National Relay Service 13 36 77 if required, or </w:t>
            </w:r>
            <w:hyperlink r:id="rId11" w:history="1">
              <w:r w:rsidRPr="009F0C73">
                <w:rPr>
                  <w:rStyle w:val="Hyperlink"/>
                  <w:rFonts w:ascii="Arial" w:eastAsia="Times" w:hAnsi="Arial"/>
                  <w:sz w:val="24"/>
                  <w:szCs w:val="19"/>
                </w:rPr>
                <w:t>email</w:t>
              </w:r>
              <w:r w:rsidR="00F51CB3" w:rsidRPr="009F0C73">
                <w:rPr>
                  <w:rStyle w:val="Hyperlink"/>
                  <w:rFonts w:ascii="Arial" w:eastAsia="Times" w:hAnsi="Arial"/>
                  <w:sz w:val="24"/>
                  <w:szCs w:val="19"/>
                </w:rPr>
                <w:t xml:space="preserve"> the annual report team</w:t>
              </w:r>
            </w:hyperlink>
            <w:r w:rsidRPr="009F0C73">
              <w:rPr>
                <w:rFonts w:ascii="Arial" w:eastAsia="Times" w:hAnsi="Arial"/>
                <w:sz w:val="24"/>
                <w:szCs w:val="19"/>
              </w:rPr>
              <w:t xml:space="preserve"> </w:t>
            </w:r>
            <w:r w:rsidR="00F51CB3" w:rsidRPr="009F0C73">
              <w:rPr>
                <w:rFonts w:ascii="Arial" w:eastAsia="Times" w:hAnsi="Arial"/>
                <w:sz w:val="24"/>
                <w:szCs w:val="19"/>
              </w:rPr>
              <w:t>&lt;</w:t>
            </w:r>
            <w:hyperlink r:id="rId12">
              <w:r w:rsidR="00F51CB3" w:rsidRPr="009F0C73">
                <w:rPr>
                  <w:rFonts w:ascii="Arial" w:eastAsia="Times" w:hAnsi="Arial"/>
                  <w:sz w:val="24"/>
                  <w:szCs w:val="19"/>
                </w:rPr>
                <w:t>mhs.annualreport@dhhs.vic.gov.au</w:t>
              </w:r>
            </w:hyperlink>
            <w:r w:rsidR="00F51CB3" w:rsidRPr="009F0C73">
              <w:rPr>
                <w:rFonts w:ascii="Arial" w:eastAsia="Times" w:hAnsi="Arial"/>
                <w:sz w:val="24"/>
                <w:szCs w:val="19"/>
              </w:rPr>
              <w:t>&gt;.</w:t>
            </w:r>
          </w:p>
          <w:p w14:paraId="5468AD68" w14:textId="77777777" w:rsidR="00605B5B" w:rsidRPr="009F0C73" w:rsidRDefault="00605B5B" w:rsidP="00605B5B">
            <w:pPr>
              <w:spacing w:after="120" w:line="270" w:lineRule="atLeast"/>
              <w:rPr>
                <w:rFonts w:ascii="Arial" w:eastAsia="Times" w:hAnsi="Arial"/>
              </w:rPr>
            </w:pPr>
            <w:r w:rsidRPr="009F0C73">
              <w:rPr>
                <w:rFonts w:ascii="Arial" w:eastAsia="Times" w:hAnsi="Arial"/>
              </w:rPr>
              <w:t>Authorised and published by the Victorian Government, 1 Treasury Place, Melbourne.</w:t>
            </w:r>
          </w:p>
          <w:p w14:paraId="4ED1507D" w14:textId="507DE93C" w:rsidR="00605B5B" w:rsidRPr="009F0C73" w:rsidRDefault="00605B5B" w:rsidP="00605B5B">
            <w:pPr>
              <w:spacing w:after="120" w:line="270" w:lineRule="atLeast"/>
              <w:rPr>
                <w:rFonts w:ascii="Arial" w:eastAsia="Times" w:hAnsi="Arial"/>
              </w:rPr>
            </w:pPr>
            <w:r w:rsidRPr="009F0C73">
              <w:rPr>
                <w:rFonts w:ascii="Arial" w:eastAsia="Times" w:hAnsi="Arial"/>
              </w:rPr>
              <w:t xml:space="preserve">© State of Victoria, Department of Health </w:t>
            </w:r>
            <w:r w:rsidR="002679D5" w:rsidRPr="009F0C73">
              <w:rPr>
                <w:rFonts w:ascii="Arial" w:eastAsia="Times" w:hAnsi="Arial"/>
              </w:rPr>
              <w:t>and</w:t>
            </w:r>
            <w:r w:rsidRPr="009F0C73">
              <w:rPr>
                <w:rFonts w:ascii="Arial" w:eastAsia="Times" w:hAnsi="Arial"/>
              </w:rPr>
              <w:t xml:space="preserve"> Human Services</w:t>
            </w:r>
            <w:r w:rsidR="00F51CB3" w:rsidRPr="009F0C73">
              <w:rPr>
                <w:rFonts w:ascii="Arial" w:eastAsia="Times" w:hAnsi="Arial"/>
              </w:rPr>
              <w:t>, October 201</w:t>
            </w:r>
            <w:r w:rsidR="00463252">
              <w:rPr>
                <w:rFonts w:ascii="Arial" w:eastAsia="Times" w:hAnsi="Arial"/>
              </w:rPr>
              <w:t>7</w:t>
            </w:r>
            <w:r w:rsidR="00F51CB3" w:rsidRPr="009F0C73">
              <w:rPr>
                <w:rFonts w:ascii="Arial" w:eastAsia="Times" w:hAnsi="Arial"/>
              </w:rPr>
              <w:t>.</w:t>
            </w:r>
          </w:p>
          <w:p w14:paraId="3F46633C" w14:textId="77777777" w:rsidR="00605B5B" w:rsidRPr="009F0C73" w:rsidRDefault="00605B5B" w:rsidP="00605B5B">
            <w:pPr>
              <w:spacing w:after="120" w:line="270" w:lineRule="atLeast"/>
              <w:rPr>
                <w:rFonts w:ascii="Arial" w:eastAsia="Times" w:hAnsi="Arial"/>
              </w:rPr>
            </w:pPr>
            <w:r w:rsidRPr="009F0C73">
              <w:rPr>
                <w:rFonts w:ascii="Arial" w:eastAsia="Times" w:hAnsi="Arial"/>
              </w:rPr>
              <w:t>Where the term ‘Aboriginal’ is used it refers to both Aboriginal and Torres Strait Islander people. Indigenous is retained when it is part of the title of a report, program or quotation.</w:t>
            </w:r>
          </w:p>
          <w:p w14:paraId="0A59C400" w14:textId="38365995" w:rsidR="00605B5B" w:rsidRPr="009F0C73" w:rsidRDefault="00605B5B" w:rsidP="00605B5B">
            <w:pPr>
              <w:spacing w:after="120" w:line="270" w:lineRule="atLeast"/>
              <w:rPr>
                <w:rFonts w:ascii="Arial" w:eastAsia="Times" w:hAnsi="Arial"/>
              </w:rPr>
            </w:pPr>
            <w:r w:rsidRPr="009F0C73">
              <w:rPr>
                <w:rFonts w:ascii="Arial" w:eastAsia="Times" w:hAnsi="Arial"/>
              </w:rPr>
              <w:t>ISSN</w:t>
            </w:r>
            <w:r w:rsidR="00F51CB3" w:rsidRPr="009F0C73">
              <w:rPr>
                <w:rFonts w:ascii="Arial" w:eastAsia="Times" w:hAnsi="Arial"/>
              </w:rPr>
              <w:t xml:space="preserve"> 2206-59</w:t>
            </w:r>
            <w:r w:rsidR="00463252">
              <w:rPr>
                <w:rFonts w:ascii="Arial" w:eastAsia="Times" w:hAnsi="Arial"/>
              </w:rPr>
              <w:t>89</w:t>
            </w:r>
          </w:p>
          <w:p w14:paraId="73746561" w14:textId="5EABF33A" w:rsidR="00564E8F" w:rsidRPr="009F0C73" w:rsidRDefault="00605B5B" w:rsidP="00F51CB3">
            <w:pPr>
              <w:spacing w:after="120" w:line="270" w:lineRule="atLeast"/>
              <w:rPr>
                <w:rFonts w:ascii="Arial" w:eastAsia="Times" w:hAnsi="Arial"/>
              </w:rPr>
            </w:pPr>
            <w:r w:rsidRPr="009F0C73">
              <w:rPr>
                <w:rFonts w:ascii="Arial" w:eastAsia="Times" w:hAnsi="Arial"/>
              </w:rPr>
              <w:t xml:space="preserve">Available </w:t>
            </w:r>
            <w:r w:rsidR="00F51CB3" w:rsidRPr="009F0C73">
              <w:rPr>
                <w:rFonts w:ascii="Arial" w:eastAsia="Times" w:hAnsi="Arial"/>
              </w:rPr>
              <w:t xml:space="preserve">at from the </w:t>
            </w:r>
            <w:hyperlink r:id="rId13" w:history="1">
              <w:r w:rsidR="00F51CB3" w:rsidRPr="009F0C73">
                <w:rPr>
                  <w:rStyle w:val="Hyperlink"/>
                  <w:rFonts w:ascii="Arial" w:eastAsia="Times" w:hAnsi="Arial"/>
                </w:rPr>
                <w:t>Mental Health Plan webpage</w:t>
              </w:r>
            </w:hyperlink>
            <w:r w:rsidR="00F51CB3" w:rsidRPr="009F0C73">
              <w:rPr>
                <w:rFonts w:ascii="Arial" w:eastAsia="Times" w:hAnsi="Arial"/>
              </w:rPr>
              <w:t xml:space="preserve"> &lt;www.mentalhealthplan.vic.gov</w:t>
            </w:r>
            <w:hyperlink r:id="rId14">
              <w:r w:rsidR="00F51CB3" w:rsidRPr="009F0C73">
                <w:rPr>
                  <w:rFonts w:ascii="Arial" w:eastAsia="Times" w:hAnsi="Arial"/>
                </w:rPr>
                <w:t>.au&gt;</w:t>
              </w:r>
            </w:hyperlink>
            <w:r w:rsidR="00F51CB3" w:rsidRPr="009F0C73">
              <w:rPr>
                <w:rFonts w:ascii="Arial" w:eastAsia="Times" w:hAnsi="Arial"/>
              </w:rPr>
              <w:t xml:space="preserve">. </w:t>
            </w:r>
          </w:p>
        </w:tc>
      </w:tr>
      <w:tr w:rsidR="009906C7" w:rsidRPr="009F0C73" w14:paraId="135698F0" w14:textId="77777777" w:rsidTr="009906C7">
        <w:tc>
          <w:tcPr>
            <w:tcW w:w="9401" w:type="dxa"/>
            <w:vAlign w:val="bottom"/>
          </w:tcPr>
          <w:p w14:paraId="76722086" w14:textId="77777777" w:rsidR="009906C7" w:rsidRPr="009F0C73" w:rsidRDefault="009906C7" w:rsidP="009906C7">
            <w:pPr>
              <w:pStyle w:val="DHHSbody"/>
            </w:pPr>
          </w:p>
        </w:tc>
      </w:tr>
    </w:tbl>
    <w:p w14:paraId="7C35E429" w14:textId="77777777" w:rsidR="00ED4D17" w:rsidRPr="009F0C73" w:rsidRDefault="00ED4D17" w:rsidP="003072C6">
      <w:pPr>
        <w:pStyle w:val="DHHSbody"/>
      </w:pPr>
    </w:p>
    <w:p w14:paraId="7627D848" w14:textId="77777777" w:rsidR="00E377F9" w:rsidRPr="009F0C73" w:rsidRDefault="00E377F9" w:rsidP="0005099A">
      <w:pPr>
        <w:pStyle w:val="DHHSTOCheadingreport"/>
        <w:sectPr w:rsidR="00E377F9" w:rsidRPr="009F0C73" w:rsidSect="00C51B1C">
          <w:pgSz w:w="11906" w:h="16838"/>
          <w:pgMar w:top="1701" w:right="1304" w:bottom="1134" w:left="1304" w:header="454" w:footer="567" w:gutter="0"/>
          <w:cols w:space="720"/>
          <w:docGrid w:linePitch="360"/>
        </w:sectPr>
      </w:pPr>
    </w:p>
    <w:p w14:paraId="52FA0F7A" w14:textId="77777777" w:rsidR="00E377F9" w:rsidRPr="009F0C73" w:rsidRDefault="00E377F9" w:rsidP="0005099A">
      <w:pPr>
        <w:pStyle w:val="DHHSTOCheadingreport"/>
      </w:pPr>
    </w:p>
    <w:p w14:paraId="03D1BEB6" w14:textId="77777777" w:rsidR="00E377F9" w:rsidRPr="009F0C73" w:rsidRDefault="00E377F9" w:rsidP="00E377F9">
      <w:pPr>
        <w:pStyle w:val="BodyText"/>
        <w:spacing w:before="10"/>
        <w:rPr>
          <w:rFonts w:ascii="Times New Roman"/>
          <w:sz w:val="22"/>
        </w:rPr>
      </w:pPr>
    </w:p>
    <w:p w14:paraId="208DEC57" w14:textId="5F8C2F3D" w:rsidR="00E377F9" w:rsidRPr="009F0C73" w:rsidRDefault="00580E30" w:rsidP="00F51CB3">
      <w:pPr>
        <w:spacing w:before="90"/>
        <w:ind w:left="1530"/>
        <w:rPr>
          <w:sz w:val="32"/>
        </w:rPr>
      </w:pPr>
      <w:r w:rsidRPr="009F0C73">
        <w:rPr>
          <w:noProof/>
        </w:rPr>
        <w:drawing>
          <wp:anchor distT="0" distB="0" distL="0" distR="0" simplePos="0" relativeHeight="251659776" behindDoc="0" locked="0" layoutInCell="1" allowOverlap="1" wp14:anchorId="75663E22" wp14:editId="70D452C3">
            <wp:simplePos x="0" y="0"/>
            <wp:positionH relativeFrom="page">
              <wp:posOffset>899795</wp:posOffset>
            </wp:positionH>
            <wp:positionV relativeFrom="paragraph">
              <wp:posOffset>-465455</wp:posOffset>
            </wp:positionV>
            <wp:extent cx="668020" cy="826770"/>
            <wp:effectExtent l="0" t="0" r="0" b="0"/>
            <wp:wrapNone/>
            <wp:docPr id="101"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0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F9" w:rsidRPr="009F0C73">
        <w:rPr>
          <w:color w:val="0063A5"/>
          <w:sz w:val="32"/>
        </w:rPr>
        <w:t>Department of Health and Human Services</w:t>
      </w:r>
    </w:p>
    <w:p w14:paraId="7FB07D20" w14:textId="77777777" w:rsidR="00E377F9" w:rsidRPr="009F0C73" w:rsidRDefault="00E377F9" w:rsidP="00E377F9">
      <w:pPr>
        <w:pStyle w:val="BodyText"/>
        <w:spacing w:before="3"/>
        <w:rPr>
          <w:sz w:val="33"/>
        </w:rPr>
      </w:pPr>
    </w:p>
    <w:p w14:paraId="30BD2552" w14:textId="77777777" w:rsidR="00E377F9" w:rsidRPr="009F0C73" w:rsidRDefault="00E377F9" w:rsidP="00F51CB3">
      <w:pPr>
        <w:ind w:left="6750"/>
        <w:rPr>
          <w:sz w:val="16"/>
        </w:rPr>
      </w:pPr>
      <w:r w:rsidRPr="009F0C73">
        <w:rPr>
          <w:color w:val="0063A5"/>
          <w:sz w:val="16"/>
        </w:rPr>
        <w:t>50 Lonsdale Street</w:t>
      </w:r>
    </w:p>
    <w:p w14:paraId="634D7575" w14:textId="77777777" w:rsidR="00E377F9" w:rsidRPr="009F0C73" w:rsidRDefault="00E377F9" w:rsidP="00F51CB3">
      <w:pPr>
        <w:spacing w:before="22"/>
        <w:ind w:left="6750"/>
        <w:rPr>
          <w:sz w:val="16"/>
        </w:rPr>
      </w:pPr>
      <w:r w:rsidRPr="009F0C73">
        <w:rPr>
          <w:color w:val="0063A5"/>
          <w:sz w:val="16"/>
        </w:rPr>
        <w:t>Melbourne Victoria 3000</w:t>
      </w:r>
    </w:p>
    <w:p w14:paraId="2D9FEBF6" w14:textId="77777777" w:rsidR="00E377F9" w:rsidRPr="009F0C73" w:rsidRDefault="00E377F9" w:rsidP="00F51CB3">
      <w:pPr>
        <w:spacing w:before="21"/>
        <w:ind w:left="6750"/>
        <w:rPr>
          <w:sz w:val="16"/>
        </w:rPr>
      </w:pPr>
      <w:r w:rsidRPr="009F0C73">
        <w:rPr>
          <w:color w:val="0063A5"/>
          <w:sz w:val="16"/>
        </w:rPr>
        <w:t>Telephone: 1300 650 172</w:t>
      </w:r>
    </w:p>
    <w:p w14:paraId="6B2C09C4" w14:textId="77777777" w:rsidR="00E377F9" w:rsidRPr="009F0C73" w:rsidRDefault="00E377F9" w:rsidP="00F51CB3">
      <w:pPr>
        <w:spacing w:before="22"/>
        <w:ind w:left="6750"/>
        <w:rPr>
          <w:sz w:val="16"/>
        </w:rPr>
      </w:pPr>
      <w:r w:rsidRPr="009F0C73">
        <w:rPr>
          <w:color w:val="0063A5"/>
          <w:sz w:val="16"/>
        </w:rPr>
        <w:t>GPO Box 4057</w:t>
      </w:r>
    </w:p>
    <w:p w14:paraId="137F9666" w14:textId="77777777" w:rsidR="00E377F9" w:rsidRPr="009F0C73" w:rsidRDefault="00E377F9" w:rsidP="00F51CB3">
      <w:pPr>
        <w:spacing w:before="21" w:line="266" w:lineRule="auto"/>
        <w:ind w:left="6750" w:right="1927"/>
        <w:rPr>
          <w:sz w:val="16"/>
        </w:rPr>
      </w:pPr>
      <w:r w:rsidRPr="009F0C73">
        <w:rPr>
          <w:color w:val="0063A5"/>
          <w:sz w:val="16"/>
        </w:rPr>
        <w:t xml:space="preserve">Melbourne Victoria 3001 </w:t>
      </w:r>
      <w:hyperlink r:id="rId16">
        <w:r w:rsidRPr="009F0C73">
          <w:rPr>
            <w:color w:val="0063A5"/>
            <w:sz w:val="16"/>
          </w:rPr>
          <w:t>www.dhhs.vic.gov.au</w:t>
        </w:r>
      </w:hyperlink>
    </w:p>
    <w:p w14:paraId="20B973A4" w14:textId="77777777" w:rsidR="00E377F9" w:rsidRPr="009F0C73" w:rsidRDefault="00E377F9" w:rsidP="00F51CB3">
      <w:pPr>
        <w:spacing w:before="2"/>
        <w:ind w:left="6750"/>
        <w:rPr>
          <w:sz w:val="16"/>
        </w:rPr>
      </w:pPr>
      <w:r w:rsidRPr="009F0C73">
        <w:rPr>
          <w:color w:val="0063A5"/>
          <w:sz w:val="16"/>
        </w:rPr>
        <w:t>DX 210081</w:t>
      </w:r>
    </w:p>
    <w:p w14:paraId="10320D9B" w14:textId="77777777" w:rsidR="00E377F9" w:rsidRPr="009F0C73" w:rsidRDefault="00E377F9" w:rsidP="00F51CB3">
      <w:pPr>
        <w:pStyle w:val="DHHSbody"/>
      </w:pPr>
    </w:p>
    <w:p w14:paraId="6B40A9C7" w14:textId="77777777" w:rsidR="00E377F9" w:rsidRPr="009F0C73" w:rsidRDefault="00E377F9" w:rsidP="006D459B">
      <w:pPr>
        <w:spacing w:before="92"/>
        <w:rPr>
          <w:b/>
          <w:sz w:val="28"/>
        </w:rPr>
      </w:pPr>
      <w:bookmarkStart w:id="0" w:name="THE_HON._MARTIN_FOLEY_MP_MINISTER_FOR_ME"/>
      <w:bookmarkEnd w:id="0"/>
      <w:r w:rsidRPr="009F0C73">
        <w:rPr>
          <w:b/>
          <w:color w:val="0076BE"/>
          <w:sz w:val="28"/>
        </w:rPr>
        <w:t>THE HON. MARTIN FOLEY MP</w:t>
      </w:r>
    </w:p>
    <w:p w14:paraId="2ABE3985" w14:textId="77777777" w:rsidR="00E377F9" w:rsidRPr="009F0C73" w:rsidRDefault="00E377F9" w:rsidP="006D459B">
      <w:pPr>
        <w:spacing w:before="11"/>
        <w:rPr>
          <w:b/>
          <w:sz w:val="28"/>
        </w:rPr>
      </w:pPr>
      <w:r w:rsidRPr="009F0C73">
        <w:rPr>
          <w:b/>
          <w:color w:val="0076BE"/>
          <w:sz w:val="28"/>
        </w:rPr>
        <w:t>MINISTER FOR MENTAL HEALTH</w:t>
      </w:r>
    </w:p>
    <w:p w14:paraId="585ACD60" w14:textId="77777777" w:rsidR="00E377F9" w:rsidRPr="009F0C73" w:rsidRDefault="00E377F9" w:rsidP="00F51CB3">
      <w:pPr>
        <w:pStyle w:val="DHHSbody"/>
      </w:pPr>
    </w:p>
    <w:p w14:paraId="2E85D257" w14:textId="77777777" w:rsidR="00E377F9" w:rsidRPr="009F0C73" w:rsidRDefault="00E377F9" w:rsidP="006D459B">
      <w:pPr>
        <w:pStyle w:val="DHHSbody"/>
      </w:pPr>
      <w:r w:rsidRPr="009F0C73">
        <w:t>Dear Minister</w:t>
      </w:r>
    </w:p>
    <w:p w14:paraId="5EE30DC0" w14:textId="12C7D693" w:rsidR="00E377F9" w:rsidRPr="009F0C73" w:rsidRDefault="00580E30" w:rsidP="006D459B">
      <w:pPr>
        <w:pStyle w:val="DHHSbody"/>
        <w:ind w:right="1778"/>
        <w:rPr>
          <w:sz w:val="19"/>
        </w:rPr>
      </w:pPr>
      <w:r w:rsidRPr="009F0C73">
        <w:rPr>
          <w:noProof/>
        </w:rPr>
        <w:drawing>
          <wp:anchor distT="0" distB="0" distL="0" distR="0" simplePos="0" relativeHeight="251657728" behindDoc="0" locked="0" layoutInCell="1" allowOverlap="1" wp14:anchorId="6E6A9BA1" wp14:editId="1C77E6CC">
            <wp:simplePos x="0" y="0"/>
            <wp:positionH relativeFrom="page">
              <wp:posOffset>899795</wp:posOffset>
            </wp:positionH>
            <wp:positionV relativeFrom="paragraph">
              <wp:posOffset>489585</wp:posOffset>
            </wp:positionV>
            <wp:extent cx="1024890" cy="574040"/>
            <wp:effectExtent l="0" t="0" r="0" b="0"/>
            <wp:wrapTopAndBottom/>
            <wp:docPr id="99"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89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7F9" w:rsidRPr="009F0C73">
        <w:rPr>
          <w:sz w:val="19"/>
        </w:rPr>
        <w:t xml:space="preserve">In accordance with section 118(2) of the </w:t>
      </w:r>
      <w:r w:rsidR="00E377F9" w:rsidRPr="009F0C73">
        <w:rPr>
          <w:i/>
          <w:sz w:val="19"/>
        </w:rPr>
        <w:t xml:space="preserve">Mental Health Act 2014, </w:t>
      </w:r>
      <w:r w:rsidR="00E377F9" w:rsidRPr="009F0C73">
        <w:rPr>
          <w:sz w:val="19"/>
        </w:rPr>
        <w:t xml:space="preserve">I am pleased to submit to you </w:t>
      </w:r>
      <w:r w:rsidR="00E377F9" w:rsidRPr="009F0C73">
        <w:rPr>
          <w:i/>
          <w:sz w:val="19"/>
        </w:rPr>
        <w:t xml:space="preserve">Victoria’s mental health services annual report </w:t>
      </w:r>
      <w:r w:rsidR="00E377F9" w:rsidRPr="009F0C73">
        <w:rPr>
          <w:sz w:val="19"/>
        </w:rPr>
        <w:t>for the period 1 July 201</w:t>
      </w:r>
      <w:r w:rsidR="00463252">
        <w:rPr>
          <w:sz w:val="19"/>
        </w:rPr>
        <w:t>6</w:t>
      </w:r>
      <w:r w:rsidR="00E377F9" w:rsidRPr="009F0C73">
        <w:rPr>
          <w:sz w:val="19"/>
        </w:rPr>
        <w:t xml:space="preserve"> to 30 June 201</w:t>
      </w:r>
      <w:r w:rsidR="00463252">
        <w:rPr>
          <w:sz w:val="19"/>
        </w:rPr>
        <w:t>7</w:t>
      </w:r>
      <w:r w:rsidR="00E377F9" w:rsidRPr="009F0C73">
        <w:rPr>
          <w:sz w:val="19"/>
        </w:rPr>
        <w:t>.</w:t>
      </w:r>
    </w:p>
    <w:p w14:paraId="7A756DA1" w14:textId="77777777" w:rsidR="00E377F9" w:rsidRPr="009F0C73" w:rsidRDefault="00E377F9" w:rsidP="006D459B">
      <w:pPr>
        <w:pStyle w:val="DHHSbody"/>
        <w:spacing w:after="0"/>
        <w:rPr>
          <w:b/>
        </w:rPr>
      </w:pPr>
      <w:r w:rsidRPr="009F0C73">
        <w:rPr>
          <w:b/>
        </w:rPr>
        <w:t>Kym Peake</w:t>
      </w:r>
    </w:p>
    <w:p w14:paraId="05FBA90F" w14:textId="77777777" w:rsidR="00E377F9" w:rsidRPr="009F0C73" w:rsidRDefault="00E377F9" w:rsidP="006D459B">
      <w:pPr>
        <w:pStyle w:val="DHHSbody"/>
        <w:spacing w:after="0"/>
        <w:rPr>
          <w:b/>
        </w:rPr>
      </w:pPr>
      <w:r w:rsidRPr="009F0C73">
        <w:rPr>
          <w:b/>
        </w:rPr>
        <w:t>Secretary</w:t>
      </w:r>
    </w:p>
    <w:p w14:paraId="229169C3" w14:textId="77777777" w:rsidR="00E377F9" w:rsidRPr="009F0C73" w:rsidRDefault="00E377F9" w:rsidP="006D459B">
      <w:pPr>
        <w:pStyle w:val="DHHSbody"/>
        <w:rPr>
          <w:b/>
        </w:rPr>
      </w:pPr>
      <w:r w:rsidRPr="009F0C73">
        <w:rPr>
          <w:b/>
        </w:rPr>
        <w:t>Department of Health and Human Services</w:t>
      </w:r>
    </w:p>
    <w:p w14:paraId="082600F0" w14:textId="7B337769" w:rsidR="006D459B" w:rsidRPr="009F0C73" w:rsidRDefault="00580E30" w:rsidP="006D459B">
      <w:pPr>
        <w:pStyle w:val="DHHSbody"/>
        <w:sectPr w:rsidR="006D459B" w:rsidRPr="009F0C73" w:rsidSect="00E377F9">
          <w:pgSz w:w="11906" w:h="16838"/>
          <w:pgMar w:top="1701" w:right="4" w:bottom="1134" w:left="1304" w:header="454" w:footer="567" w:gutter="0"/>
          <w:cols w:space="720"/>
          <w:docGrid w:linePitch="360"/>
        </w:sectPr>
      </w:pPr>
      <w:r w:rsidRPr="009F0C73">
        <w:rPr>
          <w:noProof/>
        </w:rPr>
        <w:drawing>
          <wp:anchor distT="0" distB="0" distL="0" distR="0" simplePos="0" relativeHeight="251660800" behindDoc="0" locked="0" layoutInCell="1" allowOverlap="1" wp14:anchorId="0AE1644E" wp14:editId="3EDDDF93">
            <wp:simplePos x="0" y="0"/>
            <wp:positionH relativeFrom="page">
              <wp:posOffset>6411595</wp:posOffset>
            </wp:positionH>
            <wp:positionV relativeFrom="paragraph">
              <wp:posOffset>3620770</wp:posOffset>
            </wp:positionV>
            <wp:extent cx="619760" cy="354965"/>
            <wp:effectExtent l="0" t="0" r="0" b="0"/>
            <wp:wrapTopAndBottom/>
            <wp:docPr id="102"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760" cy="35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EE2D8" w14:textId="2D991641" w:rsidR="00AC0C3B" w:rsidRPr="009F0C73" w:rsidRDefault="00AC0C3B" w:rsidP="0005099A">
      <w:pPr>
        <w:pStyle w:val="DHHSTOCheadingreport"/>
      </w:pPr>
      <w:r w:rsidRPr="009F0C73">
        <w:lastRenderedPageBreak/>
        <w:t>Contents</w:t>
      </w:r>
    </w:p>
    <w:bookmarkStart w:id="1" w:name="_GoBack"/>
    <w:bookmarkEnd w:id="1"/>
    <w:p w14:paraId="3021423D" w14:textId="471DC24C" w:rsidR="003F7650" w:rsidRDefault="00E15DA9">
      <w:pPr>
        <w:pStyle w:val="TOC1"/>
        <w:rPr>
          <w:rFonts w:asciiTheme="minorHAnsi" w:eastAsiaTheme="minorEastAsia" w:hAnsiTheme="minorHAnsi" w:cstheme="minorBidi"/>
          <w:b w:val="0"/>
          <w:sz w:val="22"/>
          <w:szCs w:val="22"/>
          <w:lang w:eastAsia="en-AU"/>
        </w:rPr>
      </w:pPr>
      <w:r w:rsidRPr="009F0C73">
        <w:rPr>
          <w:noProof w:val="0"/>
        </w:rPr>
        <w:fldChar w:fldCharType="begin"/>
      </w:r>
      <w:r w:rsidRPr="009F0C73">
        <w:rPr>
          <w:noProof w:val="0"/>
        </w:rPr>
        <w:instrText xml:space="preserve"> TOC \h \z \t "Heading 1,1,Heading 2,2" </w:instrText>
      </w:r>
      <w:r w:rsidRPr="009F0C73">
        <w:rPr>
          <w:noProof w:val="0"/>
        </w:rPr>
        <w:fldChar w:fldCharType="separate"/>
      </w:r>
      <w:hyperlink w:anchor="_Toc28340177" w:history="1">
        <w:r w:rsidR="003F7650" w:rsidRPr="00581144">
          <w:rPr>
            <w:rStyle w:val="Hyperlink"/>
          </w:rPr>
          <w:t>Secretary’s foreword</w:t>
        </w:r>
        <w:r w:rsidR="003F7650">
          <w:rPr>
            <w:webHidden/>
          </w:rPr>
          <w:tab/>
        </w:r>
        <w:r w:rsidR="003F7650">
          <w:rPr>
            <w:webHidden/>
          </w:rPr>
          <w:fldChar w:fldCharType="begin"/>
        </w:r>
        <w:r w:rsidR="003F7650">
          <w:rPr>
            <w:webHidden/>
          </w:rPr>
          <w:instrText xml:space="preserve"> PAGEREF _Toc28340177 \h </w:instrText>
        </w:r>
        <w:r w:rsidR="003F7650">
          <w:rPr>
            <w:webHidden/>
          </w:rPr>
        </w:r>
        <w:r w:rsidR="003F7650">
          <w:rPr>
            <w:webHidden/>
          </w:rPr>
          <w:fldChar w:fldCharType="separate"/>
        </w:r>
        <w:r w:rsidR="003F7650">
          <w:rPr>
            <w:webHidden/>
          </w:rPr>
          <w:t>viii</w:t>
        </w:r>
        <w:r w:rsidR="003F7650">
          <w:rPr>
            <w:webHidden/>
          </w:rPr>
          <w:fldChar w:fldCharType="end"/>
        </w:r>
      </w:hyperlink>
    </w:p>
    <w:p w14:paraId="06F6E186" w14:textId="1019A29D" w:rsidR="003F7650" w:rsidRDefault="003F7650">
      <w:pPr>
        <w:pStyle w:val="TOC1"/>
        <w:rPr>
          <w:rFonts w:asciiTheme="minorHAnsi" w:eastAsiaTheme="minorEastAsia" w:hAnsiTheme="minorHAnsi" w:cstheme="minorBidi"/>
          <w:b w:val="0"/>
          <w:sz w:val="22"/>
          <w:szCs w:val="22"/>
          <w:lang w:eastAsia="en-AU"/>
        </w:rPr>
      </w:pPr>
      <w:hyperlink w:anchor="_Toc28340178" w:history="1">
        <w:r w:rsidRPr="00581144">
          <w:rPr>
            <w:rStyle w:val="Hyperlink"/>
          </w:rPr>
          <w:t>The year at a glance</w:t>
        </w:r>
        <w:r>
          <w:rPr>
            <w:webHidden/>
          </w:rPr>
          <w:tab/>
        </w:r>
        <w:r>
          <w:rPr>
            <w:webHidden/>
          </w:rPr>
          <w:fldChar w:fldCharType="begin"/>
        </w:r>
        <w:r>
          <w:rPr>
            <w:webHidden/>
          </w:rPr>
          <w:instrText xml:space="preserve"> PAGEREF _Toc28340178 \h </w:instrText>
        </w:r>
        <w:r>
          <w:rPr>
            <w:webHidden/>
          </w:rPr>
        </w:r>
        <w:r>
          <w:rPr>
            <w:webHidden/>
          </w:rPr>
          <w:fldChar w:fldCharType="separate"/>
        </w:r>
        <w:r>
          <w:rPr>
            <w:webHidden/>
          </w:rPr>
          <w:t>ix</w:t>
        </w:r>
        <w:r>
          <w:rPr>
            <w:webHidden/>
          </w:rPr>
          <w:fldChar w:fldCharType="end"/>
        </w:r>
      </w:hyperlink>
    </w:p>
    <w:p w14:paraId="48369078" w14:textId="412AE6CC" w:rsidR="003F7650" w:rsidRDefault="003F7650">
      <w:pPr>
        <w:pStyle w:val="TOC2"/>
        <w:rPr>
          <w:rFonts w:asciiTheme="minorHAnsi" w:eastAsiaTheme="minorEastAsia" w:hAnsiTheme="minorHAnsi" w:cstheme="minorBidi"/>
          <w:sz w:val="22"/>
          <w:szCs w:val="22"/>
          <w:lang w:eastAsia="en-AU"/>
        </w:rPr>
      </w:pPr>
      <w:hyperlink w:anchor="_Toc28340179" w:history="1">
        <w:r w:rsidRPr="00581144">
          <w:rPr>
            <w:rStyle w:val="Hyperlink"/>
          </w:rPr>
          <w:t>Key statistics</w:t>
        </w:r>
        <w:r>
          <w:rPr>
            <w:webHidden/>
          </w:rPr>
          <w:tab/>
        </w:r>
        <w:r>
          <w:rPr>
            <w:webHidden/>
          </w:rPr>
          <w:fldChar w:fldCharType="begin"/>
        </w:r>
        <w:r>
          <w:rPr>
            <w:webHidden/>
          </w:rPr>
          <w:instrText xml:space="preserve"> PAGEREF _Toc28340179 \h </w:instrText>
        </w:r>
        <w:r>
          <w:rPr>
            <w:webHidden/>
          </w:rPr>
        </w:r>
        <w:r>
          <w:rPr>
            <w:webHidden/>
          </w:rPr>
          <w:fldChar w:fldCharType="separate"/>
        </w:r>
        <w:r>
          <w:rPr>
            <w:webHidden/>
          </w:rPr>
          <w:t>ix</w:t>
        </w:r>
        <w:r>
          <w:rPr>
            <w:webHidden/>
          </w:rPr>
          <w:fldChar w:fldCharType="end"/>
        </w:r>
      </w:hyperlink>
    </w:p>
    <w:p w14:paraId="70512DAC" w14:textId="00FCDD4D" w:rsidR="003F7650" w:rsidRDefault="003F7650">
      <w:pPr>
        <w:pStyle w:val="TOC1"/>
        <w:tabs>
          <w:tab w:val="left" w:pos="567"/>
        </w:tabs>
        <w:rPr>
          <w:rFonts w:asciiTheme="minorHAnsi" w:eastAsiaTheme="minorEastAsia" w:hAnsiTheme="minorHAnsi" w:cstheme="minorBidi"/>
          <w:b w:val="0"/>
          <w:sz w:val="22"/>
          <w:szCs w:val="22"/>
          <w:lang w:eastAsia="en-AU"/>
        </w:rPr>
      </w:pPr>
      <w:hyperlink w:anchor="_Toc28340180" w:history="1">
        <w:r w:rsidRPr="00581144">
          <w:rPr>
            <w:rStyle w:val="Hyperlink"/>
          </w:rPr>
          <w:t>1.</w:t>
        </w:r>
        <w:r>
          <w:rPr>
            <w:rFonts w:asciiTheme="minorHAnsi" w:eastAsiaTheme="minorEastAsia" w:hAnsiTheme="minorHAnsi" w:cstheme="minorBidi"/>
            <w:b w:val="0"/>
            <w:sz w:val="22"/>
            <w:szCs w:val="22"/>
            <w:lang w:eastAsia="en-AU"/>
          </w:rPr>
          <w:tab/>
        </w:r>
        <w:r w:rsidRPr="00581144">
          <w:rPr>
            <w:rStyle w:val="Hyperlink"/>
          </w:rPr>
          <w:t>Progressing Victoria’s 10-year mental health plan</w:t>
        </w:r>
        <w:r>
          <w:rPr>
            <w:webHidden/>
          </w:rPr>
          <w:tab/>
        </w:r>
        <w:r>
          <w:rPr>
            <w:webHidden/>
          </w:rPr>
          <w:fldChar w:fldCharType="begin"/>
        </w:r>
        <w:r>
          <w:rPr>
            <w:webHidden/>
          </w:rPr>
          <w:instrText xml:space="preserve"> PAGEREF _Toc28340180 \h </w:instrText>
        </w:r>
        <w:r>
          <w:rPr>
            <w:webHidden/>
          </w:rPr>
        </w:r>
        <w:r>
          <w:rPr>
            <w:webHidden/>
          </w:rPr>
          <w:fldChar w:fldCharType="separate"/>
        </w:r>
        <w:r>
          <w:rPr>
            <w:webHidden/>
          </w:rPr>
          <w:t>1</w:t>
        </w:r>
        <w:r>
          <w:rPr>
            <w:webHidden/>
          </w:rPr>
          <w:fldChar w:fldCharType="end"/>
        </w:r>
      </w:hyperlink>
    </w:p>
    <w:p w14:paraId="755216C4" w14:textId="6DF9C970" w:rsidR="003F7650" w:rsidRDefault="003F7650">
      <w:pPr>
        <w:pStyle w:val="TOC2"/>
        <w:rPr>
          <w:rFonts w:asciiTheme="minorHAnsi" w:eastAsiaTheme="minorEastAsia" w:hAnsiTheme="minorHAnsi" w:cstheme="minorBidi"/>
          <w:sz w:val="22"/>
          <w:szCs w:val="22"/>
          <w:lang w:eastAsia="en-AU"/>
        </w:rPr>
      </w:pPr>
      <w:hyperlink w:anchor="_Toc28340181" w:history="1">
        <w:r w:rsidRPr="00581144">
          <w:rPr>
            <w:rStyle w:val="Hyperlink"/>
          </w:rPr>
          <w:t>Key initiatives in 2016–17</w:t>
        </w:r>
        <w:r>
          <w:rPr>
            <w:webHidden/>
          </w:rPr>
          <w:tab/>
        </w:r>
        <w:r>
          <w:rPr>
            <w:webHidden/>
          </w:rPr>
          <w:fldChar w:fldCharType="begin"/>
        </w:r>
        <w:r>
          <w:rPr>
            <w:webHidden/>
          </w:rPr>
          <w:instrText xml:space="preserve"> PAGEREF _Toc28340181 \h </w:instrText>
        </w:r>
        <w:r>
          <w:rPr>
            <w:webHidden/>
          </w:rPr>
        </w:r>
        <w:r>
          <w:rPr>
            <w:webHidden/>
          </w:rPr>
          <w:fldChar w:fldCharType="separate"/>
        </w:r>
        <w:r>
          <w:rPr>
            <w:webHidden/>
          </w:rPr>
          <w:t>2</w:t>
        </w:r>
        <w:r>
          <w:rPr>
            <w:webHidden/>
          </w:rPr>
          <w:fldChar w:fldCharType="end"/>
        </w:r>
      </w:hyperlink>
    </w:p>
    <w:p w14:paraId="694063FF" w14:textId="189CCE37" w:rsidR="003F7650" w:rsidRDefault="003F7650">
      <w:pPr>
        <w:pStyle w:val="TOC2"/>
        <w:rPr>
          <w:rFonts w:asciiTheme="minorHAnsi" w:eastAsiaTheme="minorEastAsia" w:hAnsiTheme="minorHAnsi" w:cstheme="minorBidi"/>
          <w:sz w:val="22"/>
          <w:szCs w:val="22"/>
          <w:lang w:eastAsia="en-AU"/>
        </w:rPr>
      </w:pPr>
      <w:hyperlink w:anchor="_Toc28340182" w:history="1">
        <w:r w:rsidRPr="00581144">
          <w:rPr>
            <w:rStyle w:val="Hyperlink"/>
          </w:rPr>
          <w:t>Improving access to services</w:t>
        </w:r>
        <w:r>
          <w:rPr>
            <w:webHidden/>
          </w:rPr>
          <w:tab/>
        </w:r>
        <w:r>
          <w:rPr>
            <w:webHidden/>
          </w:rPr>
          <w:fldChar w:fldCharType="begin"/>
        </w:r>
        <w:r>
          <w:rPr>
            <w:webHidden/>
          </w:rPr>
          <w:instrText xml:space="preserve"> PAGEREF _Toc28340182 \h </w:instrText>
        </w:r>
        <w:r>
          <w:rPr>
            <w:webHidden/>
          </w:rPr>
        </w:r>
        <w:r>
          <w:rPr>
            <w:webHidden/>
          </w:rPr>
          <w:fldChar w:fldCharType="separate"/>
        </w:r>
        <w:r>
          <w:rPr>
            <w:webHidden/>
          </w:rPr>
          <w:t>7</w:t>
        </w:r>
        <w:r>
          <w:rPr>
            <w:webHidden/>
          </w:rPr>
          <w:fldChar w:fldCharType="end"/>
        </w:r>
      </w:hyperlink>
    </w:p>
    <w:p w14:paraId="66492525" w14:textId="6DC48180" w:rsidR="003F7650" w:rsidRDefault="003F7650">
      <w:pPr>
        <w:pStyle w:val="TOC2"/>
        <w:rPr>
          <w:rFonts w:asciiTheme="minorHAnsi" w:eastAsiaTheme="minorEastAsia" w:hAnsiTheme="minorHAnsi" w:cstheme="minorBidi"/>
          <w:sz w:val="22"/>
          <w:szCs w:val="22"/>
          <w:lang w:eastAsia="en-AU"/>
        </w:rPr>
      </w:pPr>
      <w:hyperlink w:anchor="_Toc28340183" w:history="1">
        <w:r w:rsidRPr="00581144">
          <w:rPr>
            <w:rStyle w:val="Hyperlink"/>
          </w:rPr>
          <w:t>Major reforms in forensic mental health</w:t>
        </w:r>
        <w:r>
          <w:rPr>
            <w:webHidden/>
          </w:rPr>
          <w:tab/>
        </w:r>
        <w:r>
          <w:rPr>
            <w:webHidden/>
          </w:rPr>
          <w:fldChar w:fldCharType="begin"/>
        </w:r>
        <w:r>
          <w:rPr>
            <w:webHidden/>
          </w:rPr>
          <w:instrText xml:space="preserve"> PAGEREF _Toc28340183 \h </w:instrText>
        </w:r>
        <w:r>
          <w:rPr>
            <w:webHidden/>
          </w:rPr>
        </w:r>
        <w:r>
          <w:rPr>
            <w:webHidden/>
          </w:rPr>
          <w:fldChar w:fldCharType="separate"/>
        </w:r>
        <w:r>
          <w:rPr>
            <w:webHidden/>
          </w:rPr>
          <w:t>8</w:t>
        </w:r>
        <w:r>
          <w:rPr>
            <w:webHidden/>
          </w:rPr>
          <w:fldChar w:fldCharType="end"/>
        </w:r>
      </w:hyperlink>
    </w:p>
    <w:p w14:paraId="1F22F1C8" w14:textId="2CD89267" w:rsidR="003F7650" w:rsidRDefault="003F7650">
      <w:pPr>
        <w:pStyle w:val="TOC2"/>
        <w:rPr>
          <w:rFonts w:asciiTheme="minorHAnsi" w:eastAsiaTheme="minorEastAsia" w:hAnsiTheme="minorHAnsi" w:cstheme="minorBidi"/>
          <w:sz w:val="22"/>
          <w:szCs w:val="22"/>
          <w:lang w:eastAsia="en-AU"/>
        </w:rPr>
      </w:pPr>
      <w:hyperlink w:anchor="_Toc28340184" w:history="1">
        <w:r w:rsidRPr="00581144">
          <w:rPr>
            <w:rStyle w:val="Hyperlink"/>
          </w:rPr>
          <w:t>Supporting and strengthening our mental health workforce</w:t>
        </w:r>
        <w:r>
          <w:rPr>
            <w:webHidden/>
          </w:rPr>
          <w:tab/>
        </w:r>
        <w:r>
          <w:rPr>
            <w:webHidden/>
          </w:rPr>
          <w:fldChar w:fldCharType="begin"/>
        </w:r>
        <w:r>
          <w:rPr>
            <w:webHidden/>
          </w:rPr>
          <w:instrText xml:space="preserve"> PAGEREF _Toc28340184 \h </w:instrText>
        </w:r>
        <w:r>
          <w:rPr>
            <w:webHidden/>
          </w:rPr>
        </w:r>
        <w:r>
          <w:rPr>
            <w:webHidden/>
          </w:rPr>
          <w:fldChar w:fldCharType="separate"/>
        </w:r>
        <w:r>
          <w:rPr>
            <w:webHidden/>
          </w:rPr>
          <w:t>10</w:t>
        </w:r>
        <w:r>
          <w:rPr>
            <w:webHidden/>
          </w:rPr>
          <w:fldChar w:fldCharType="end"/>
        </w:r>
      </w:hyperlink>
    </w:p>
    <w:p w14:paraId="1AA24A5E" w14:textId="7B35EB78" w:rsidR="003F7650" w:rsidRDefault="003F7650">
      <w:pPr>
        <w:pStyle w:val="TOC2"/>
        <w:rPr>
          <w:rFonts w:asciiTheme="minorHAnsi" w:eastAsiaTheme="minorEastAsia" w:hAnsiTheme="minorHAnsi" w:cstheme="minorBidi"/>
          <w:sz w:val="22"/>
          <w:szCs w:val="22"/>
          <w:lang w:eastAsia="en-AU"/>
        </w:rPr>
      </w:pPr>
      <w:hyperlink w:anchor="_Toc28340185" w:history="1">
        <w:r w:rsidRPr="00581144">
          <w:rPr>
            <w:rStyle w:val="Hyperlink"/>
          </w:rPr>
          <w:t>Aboriginal social and emotional wellbeing</w:t>
        </w:r>
        <w:r>
          <w:rPr>
            <w:webHidden/>
          </w:rPr>
          <w:tab/>
        </w:r>
        <w:r>
          <w:rPr>
            <w:webHidden/>
          </w:rPr>
          <w:fldChar w:fldCharType="begin"/>
        </w:r>
        <w:r>
          <w:rPr>
            <w:webHidden/>
          </w:rPr>
          <w:instrText xml:space="preserve"> PAGEREF _Toc28340185 \h </w:instrText>
        </w:r>
        <w:r>
          <w:rPr>
            <w:webHidden/>
          </w:rPr>
        </w:r>
        <w:r>
          <w:rPr>
            <w:webHidden/>
          </w:rPr>
          <w:fldChar w:fldCharType="separate"/>
        </w:r>
        <w:r>
          <w:rPr>
            <w:webHidden/>
          </w:rPr>
          <w:t>11</w:t>
        </w:r>
        <w:r>
          <w:rPr>
            <w:webHidden/>
          </w:rPr>
          <w:fldChar w:fldCharType="end"/>
        </w:r>
      </w:hyperlink>
    </w:p>
    <w:p w14:paraId="5F0BC147" w14:textId="61A0BB17" w:rsidR="003F7650" w:rsidRDefault="003F7650">
      <w:pPr>
        <w:pStyle w:val="TOC2"/>
        <w:rPr>
          <w:rFonts w:asciiTheme="minorHAnsi" w:eastAsiaTheme="minorEastAsia" w:hAnsiTheme="minorHAnsi" w:cstheme="minorBidi"/>
          <w:sz w:val="22"/>
          <w:szCs w:val="22"/>
          <w:lang w:eastAsia="en-AU"/>
        </w:rPr>
      </w:pPr>
      <w:hyperlink w:anchor="_Toc28340186" w:history="1">
        <w:r w:rsidRPr="00581144">
          <w:rPr>
            <w:rStyle w:val="Hyperlink"/>
          </w:rPr>
          <w:t>Responding to homelessness</w:t>
        </w:r>
        <w:r>
          <w:rPr>
            <w:webHidden/>
          </w:rPr>
          <w:tab/>
        </w:r>
        <w:r>
          <w:rPr>
            <w:webHidden/>
          </w:rPr>
          <w:fldChar w:fldCharType="begin"/>
        </w:r>
        <w:r>
          <w:rPr>
            <w:webHidden/>
          </w:rPr>
          <w:instrText xml:space="preserve"> PAGEREF _Toc28340186 \h </w:instrText>
        </w:r>
        <w:r>
          <w:rPr>
            <w:webHidden/>
          </w:rPr>
        </w:r>
        <w:r>
          <w:rPr>
            <w:webHidden/>
          </w:rPr>
          <w:fldChar w:fldCharType="separate"/>
        </w:r>
        <w:r>
          <w:rPr>
            <w:webHidden/>
          </w:rPr>
          <w:t>13</w:t>
        </w:r>
        <w:r>
          <w:rPr>
            <w:webHidden/>
          </w:rPr>
          <w:fldChar w:fldCharType="end"/>
        </w:r>
      </w:hyperlink>
    </w:p>
    <w:p w14:paraId="6102A56C" w14:textId="71190E87" w:rsidR="003F7650" w:rsidRDefault="003F7650">
      <w:pPr>
        <w:pStyle w:val="TOC2"/>
        <w:rPr>
          <w:rFonts w:asciiTheme="minorHAnsi" w:eastAsiaTheme="minorEastAsia" w:hAnsiTheme="minorHAnsi" w:cstheme="minorBidi"/>
          <w:sz w:val="22"/>
          <w:szCs w:val="22"/>
          <w:lang w:eastAsia="en-AU"/>
        </w:rPr>
      </w:pPr>
      <w:hyperlink w:anchor="_Toc28340187" w:history="1">
        <w:r w:rsidRPr="00581144">
          <w:rPr>
            <w:rStyle w:val="Hyperlink"/>
          </w:rPr>
          <w:t>Supporting women who have experienced family violence</w:t>
        </w:r>
        <w:r>
          <w:rPr>
            <w:webHidden/>
          </w:rPr>
          <w:tab/>
        </w:r>
        <w:r>
          <w:rPr>
            <w:webHidden/>
          </w:rPr>
          <w:fldChar w:fldCharType="begin"/>
        </w:r>
        <w:r>
          <w:rPr>
            <w:webHidden/>
          </w:rPr>
          <w:instrText xml:space="preserve"> PAGEREF _Toc28340187 \h </w:instrText>
        </w:r>
        <w:r>
          <w:rPr>
            <w:webHidden/>
          </w:rPr>
        </w:r>
        <w:r>
          <w:rPr>
            <w:webHidden/>
          </w:rPr>
          <w:fldChar w:fldCharType="separate"/>
        </w:r>
        <w:r>
          <w:rPr>
            <w:webHidden/>
          </w:rPr>
          <w:t>13</w:t>
        </w:r>
        <w:r>
          <w:rPr>
            <w:webHidden/>
          </w:rPr>
          <w:fldChar w:fldCharType="end"/>
        </w:r>
      </w:hyperlink>
    </w:p>
    <w:p w14:paraId="3D90F7E7" w14:textId="1F437607" w:rsidR="003F7650" w:rsidRDefault="003F7650">
      <w:pPr>
        <w:pStyle w:val="TOC2"/>
        <w:rPr>
          <w:rFonts w:asciiTheme="minorHAnsi" w:eastAsiaTheme="minorEastAsia" w:hAnsiTheme="minorHAnsi" w:cstheme="minorBidi"/>
          <w:sz w:val="22"/>
          <w:szCs w:val="22"/>
          <w:lang w:eastAsia="en-AU"/>
        </w:rPr>
      </w:pPr>
      <w:hyperlink w:anchor="_Toc28340188" w:history="1">
        <w:r w:rsidRPr="00581144">
          <w:rPr>
            <w:rStyle w:val="Hyperlink"/>
          </w:rPr>
          <w:t>Supporting our consumers, their families and carers</w:t>
        </w:r>
        <w:r>
          <w:rPr>
            <w:webHidden/>
          </w:rPr>
          <w:tab/>
        </w:r>
        <w:r>
          <w:rPr>
            <w:webHidden/>
          </w:rPr>
          <w:fldChar w:fldCharType="begin"/>
        </w:r>
        <w:r>
          <w:rPr>
            <w:webHidden/>
          </w:rPr>
          <w:instrText xml:space="preserve"> PAGEREF _Toc28340188 \h </w:instrText>
        </w:r>
        <w:r>
          <w:rPr>
            <w:webHidden/>
          </w:rPr>
        </w:r>
        <w:r>
          <w:rPr>
            <w:webHidden/>
          </w:rPr>
          <w:fldChar w:fldCharType="separate"/>
        </w:r>
        <w:r>
          <w:rPr>
            <w:webHidden/>
          </w:rPr>
          <w:t>14</w:t>
        </w:r>
        <w:r>
          <w:rPr>
            <w:webHidden/>
          </w:rPr>
          <w:fldChar w:fldCharType="end"/>
        </w:r>
      </w:hyperlink>
    </w:p>
    <w:p w14:paraId="7D832052" w14:textId="1704D6CC" w:rsidR="003F7650" w:rsidRDefault="003F7650">
      <w:pPr>
        <w:pStyle w:val="TOC2"/>
        <w:rPr>
          <w:rFonts w:asciiTheme="minorHAnsi" w:eastAsiaTheme="minorEastAsia" w:hAnsiTheme="minorHAnsi" w:cstheme="minorBidi"/>
          <w:sz w:val="22"/>
          <w:szCs w:val="22"/>
          <w:lang w:eastAsia="en-AU"/>
        </w:rPr>
      </w:pPr>
      <w:hyperlink w:anchor="_Toc28340189" w:history="1">
        <w:r w:rsidRPr="00581144">
          <w:rPr>
            <w:rStyle w:val="Hyperlink"/>
          </w:rPr>
          <w:t>Supporting our consumer and carer organisations</w:t>
        </w:r>
        <w:r>
          <w:rPr>
            <w:webHidden/>
          </w:rPr>
          <w:tab/>
        </w:r>
        <w:r>
          <w:rPr>
            <w:webHidden/>
          </w:rPr>
          <w:fldChar w:fldCharType="begin"/>
        </w:r>
        <w:r>
          <w:rPr>
            <w:webHidden/>
          </w:rPr>
          <w:instrText xml:space="preserve"> PAGEREF _Toc28340189 \h </w:instrText>
        </w:r>
        <w:r>
          <w:rPr>
            <w:webHidden/>
          </w:rPr>
        </w:r>
        <w:r>
          <w:rPr>
            <w:webHidden/>
          </w:rPr>
          <w:fldChar w:fldCharType="separate"/>
        </w:r>
        <w:r>
          <w:rPr>
            <w:webHidden/>
          </w:rPr>
          <w:t>14</w:t>
        </w:r>
        <w:r>
          <w:rPr>
            <w:webHidden/>
          </w:rPr>
          <w:fldChar w:fldCharType="end"/>
        </w:r>
      </w:hyperlink>
    </w:p>
    <w:p w14:paraId="2A7BEDF7" w14:textId="5E820BD0" w:rsidR="003F7650" w:rsidRDefault="003F7650">
      <w:pPr>
        <w:pStyle w:val="TOC1"/>
        <w:tabs>
          <w:tab w:val="left" w:pos="567"/>
        </w:tabs>
        <w:rPr>
          <w:rFonts w:asciiTheme="minorHAnsi" w:eastAsiaTheme="minorEastAsia" w:hAnsiTheme="minorHAnsi" w:cstheme="minorBidi"/>
          <w:b w:val="0"/>
          <w:sz w:val="22"/>
          <w:szCs w:val="22"/>
          <w:lang w:eastAsia="en-AU"/>
        </w:rPr>
      </w:pPr>
      <w:hyperlink w:anchor="_Toc28340190" w:history="1">
        <w:r w:rsidRPr="00581144">
          <w:rPr>
            <w:rStyle w:val="Hyperlink"/>
          </w:rPr>
          <w:t>2.</w:t>
        </w:r>
        <w:r>
          <w:rPr>
            <w:rFonts w:asciiTheme="minorHAnsi" w:eastAsiaTheme="minorEastAsia" w:hAnsiTheme="minorHAnsi" w:cstheme="minorBidi"/>
            <w:b w:val="0"/>
            <w:sz w:val="22"/>
            <w:szCs w:val="22"/>
            <w:lang w:eastAsia="en-AU"/>
          </w:rPr>
          <w:tab/>
        </w:r>
        <w:r w:rsidRPr="00581144">
          <w:rPr>
            <w:rStyle w:val="Hyperlink"/>
          </w:rPr>
          <w:t>Making a difference – safety and quality in our mental health services</w:t>
        </w:r>
        <w:r>
          <w:rPr>
            <w:webHidden/>
          </w:rPr>
          <w:tab/>
        </w:r>
        <w:r>
          <w:rPr>
            <w:webHidden/>
          </w:rPr>
          <w:fldChar w:fldCharType="begin"/>
        </w:r>
        <w:r>
          <w:rPr>
            <w:webHidden/>
          </w:rPr>
          <w:instrText xml:space="preserve"> PAGEREF _Toc28340190 \h </w:instrText>
        </w:r>
        <w:r>
          <w:rPr>
            <w:webHidden/>
          </w:rPr>
        </w:r>
        <w:r>
          <w:rPr>
            <w:webHidden/>
          </w:rPr>
          <w:fldChar w:fldCharType="separate"/>
        </w:r>
        <w:r>
          <w:rPr>
            <w:webHidden/>
          </w:rPr>
          <w:t>16</w:t>
        </w:r>
        <w:r>
          <w:rPr>
            <w:webHidden/>
          </w:rPr>
          <w:fldChar w:fldCharType="end"/>
        </w:r>
      </w:hyperlink>
    </w:p>
    <w:p w14:paraId="6F64E017" w14:textId="3A487A85" w:rsidR="003F7650" w:rsidRDefault="003F7650">
      <w:pPr>
        <w:pStyle w:val="TOC2"/>
        <w:rPr>
          <w:rFonts w:asciiTheme="minorHAnsi" w:eastAsiaTheme="minorEastAsia" w:hAnsiTheme="minorHAnsi" w:cstheme="minorBidi"/>
          <w:sz w:val="22"/>
          <w:szCs w:val="22"/>
          <w:lang w:eastAsia="en-AU"/>
        </w:rPr>
      </w:pPr>
      <w:hyperlink w:anchor="_Toc28340191" w:history="1">
        <w:r w:rsidRPr="00581144">
          <w:rPr>
            <w:rStyle w:val="Hyperlink"/>
          </w:rPr>
          <w:t>Safer Care Victoria</w:t>
        </w:r>
        <w:r>
          <w:rPr>
            <w:webHidden/>
          </w:rPr>
          <w:tab/>
        </w:r>
        <w:r>
          <w:rPr>
            <w:webHidden/>
          </w:rPr>
          <w:fldChar w:fldCharType="begin"/>
        </w:r>
        <w:r>
          <w:rPr>
            <w:webHidden/>
          </w:rPr>
          <w:instrText xml:space="preserve"> PAGEREF _Toc28340191 \h </w:instrText>
        </w:r>
        <w:r>
          <w:rPr>
            <w:webHidden/>
          </w:rPr>
        </w:r>
        <w:r>
          <w:rPr>
            <w:webHidden/>
          </w:rPr>
          <w:fldChar w:fldCharType="separate"/>
        </w:r>
        <w:r>
          <w:rPr>
            <w:webHidden/>
          </w:rPr>
          <w:t>16</w:t>
        </w:r>
        <w:r>
          <w:rPr>
            <w:webHidden/>
          </w:rPr>
          <w:fldChar w:fldCharType="end"/>
        </w:r>
      </w:hyperlink>
    </w:p>
    <w:p w14:paraId="0BF5B783" w14:textId="1CD6ACEB" w:rsidR="003F7650" w:rsidRDefault="003F7650">
      <w:pPr>
        <w:pStyle w:val="TOC2"/>
        <w:rPr>
          <w:rFonts w:asciiTheme="minorHAnsi" w:eastAsiaTheme="minorEastAsia" w:hAnsiTheme="minorHAnsi" w:cstheme="minorBidi"/>
          <w:sz w:val="22"/>
          <w:szCs w:val="22"/>
          <w:lang w:eastAsia="en-AU"/>
        </w:rPr>
      </w:pPr>
      <w:hyperlink w:anchor="_Toc28340192" w:history="1">
        <w:r w:rsidRPr="00581144">
          <w:rPr>
            <w:rStyle w:val="Hyperlink"/>
          </w:rPr>
          <w:t>Victorian Agency for Health Information</w:t>
        </w:r>
        <w:r>
          <w:rPr>
            <w:webHidden/>
          </w:rPr>
          <w:tab/>
        </w:r>
        <w:r>
          <w:rPr>
            <w:webHidden/>
          </w:rPr>
          <w:fldChar w:fldCharType="begin"/>
        </w:r>
        <w:r>
          <w:rPr>
            <w:webHidden/>
          </w:rPr>
          <w:instrText xml:space="preserve"> PAGEREF _Toc28340192 \h </w:instrText>
        </w:r>
        <w:r>
          <w:rPr>
            <w:webHidden/>
          </w:rPr>
        </w:r>
        <w:r>
          <w:rPr>
            <w:webHidden/>
          </w:rPr>
          <w:fldChar w:fldCharType="separate"/>
        </w:r>
        <w:r>
          <w:rPr>
            <w:webHidden/>
          </w:rPr>
          <w:t>16</w:t>
        </w:r>
        <w:r>
          <w:rPr>
            <w:webHidden/>
          </w:rPr>
          <w:fldChar w:fldCharType="end"/>
        </w:r>
      </w:hyperlink>
    </w:p>
    <w:p w14:paraId="6C8DD875" w14:textId="2C26EB41" w:rsidR="003F7650" w:rsidRDefault="003F7650">
      <w:pPr>
        <w:pStyle w:val="TOC2"/>
        <w:rPr>
          <w:rFonts w:asciiTheme="minorHAnsi" w:eastAsiaTheme="minorEastAsia" w:hAnsiTheme="minorHAnsi" w:cstheme="minorBidi"/>
          <w:sz w:val="22"/>
          <w:szCs w:val="22"/>
          <w:lang w:eastAsia="en-AU"/>
        </w:rPr>
      </w:pPr>
      <w:hyperlink w:anchor="_Toc28340193" w:history="1">
        <w:r w:rsidRPr="00581144">
          <w:rPr>
            <w:rStyle w:val="Hyperlink"/>
          </w:rPr>
          <w:t>Victoria’s Chief Psychiatrist</w:t>
        </w:r>
        <w:r>
          <w:rPr>
            <w:webHidden/>
          </w:rPr>
          <w:tab/>
        </w:r>
        <w:r>
          <w:rPr>
            <w:webHidden/>
          </w:rPr>
          <w:fldChar w:fldCharType="begin"/>
        </w:r>
        <w:r>
          <w:rPr>
            <w:webHidden/>
          </w:rPr>
          <w:instrText xml:space="preserve"> PAGEREF _Toc28340193 \h </w:instrText>
        </w:r>
        <w:r>
          <w:rPr>
            <w:webHidden/>
          </w:rPr>
        </w:r>
        <w:r>
          <w:rPr>
            <w:webHidden/>
          </w:rPr>
          <w:fldChar w:fldCharType="separate"/>
        </w:r>
        <w:r>
          <w:rPr>
            <w:webHidden/>
          </w:rPr>
          <w:t>17</w:t>
        </w:r>
        <w:r>
          <w:rPr>
            <w:webHidden/>
          </w:rPr>
          <w:fldChar w:fldCharType="end"/>
        </w:r>
      </w:hyperlink>
    </w:p>
    <w:p w14:paraId="18B5DF5E" w14:textId="6BD075BB" w:rsidR="003F7650" w:rsidRDefault="003F7650">
      <w:pPr>
        <w:pStyle w:val="TOC2"/>
        <w:rPr>
          <w:rFonts w:asciiTheme="minorHAnsi" w:eastAsiaTheme="minorEastAsia" w:hAnsiTheme="minorHAnsi" w:cstheme="minorBidi"/>
          <w:sz w:val="22"/>
          <w:szCs w:val="22"/>
          <w:lang w:eastAsia="en-AU"/>
        </w:rPr>
      </w:pPr>
      <w:hyperlink w:anchor="_Toc28340194" w:history="1">
        <w:r w:rsidRPr="00581144">
          <w:rPr>
            <w:rStyle w:val="Hyperlink"/>
          </w:rPr>
          <w:t>Reducing restrictive practices</w:t>
        </w:r>
        <w:r>
          <w:rPr>
            <w:webHidden/>
          </w:rPr>
          <w:tab/>
        </w:r>
        <w:r>
          <w:rPr>
            <w:webHidden/>
          </w:rPr>
          <w:fldChar w:fldCharType="begin"/>
        </w:r>
        <w:r>
          <w:rPr>
            <w:webHidden/>
          </w:rPr>
          <w:instrText xml:space="preserve"> PAGEREF _Toc28340194 \h </w:instrText>
        </w:r>
        <w:r>
          <w:rPr>
            <w:webHidden/>
          </w:rPr>
        </w:r>
        <w:r>
          <w:rPr>
            <w:webHidden/>
          </w:rPr>
          <w:fldChar w:fldCharType="separate"/>
        </w:r>
        <w:r>
          <w:rPr>
            <w:webHidden/>
          </w:rPr>
          <w:t>17</w:t>
        </w:r>
        <w:r>
          <w:rPr>
            <w:webHidden/>
          </w:rPr>
          <w:fldChar w:fldCharType="end"/>
        </w:r>
      </w:hyperlink>
    </w:p>
    <w:p w14:paraId="1446CB21" w14:textId="2576B5B9" w:rsidR="003F7650" w:rsidRDefault="003F7650">
      <w:pPr>
        <w:pStyle w:val="TOC2"/>
        <w:rPr>
          <w:rFonts w:asciiTheme="minorHAnsi" w:eastAsiaTheme="minorEastAsia" w:hAnsiTheme="minorHAnsi" w:cstheme="minorBidi"/>
          <w:sz w:val="22"/>
          <w:szCs w:val="22"/>
          <w:lang w:eastAsia="en-AU"/>
        </w:rPr>
      </w:pPr>
      <w:hyperlink w:anchor="_Toc28340195" w:history="1">
        <w:r w:rsidRPr="00581144">
          <w:rPr>
            <w:rStyle w:val="Hyperlink"/>
          </w:rPr>
          <w:t>Statewide rollout of Safewards</w:t>
        </w:r>
        <w:r>
          <w:rPr>
            <w:webHidden/>
          </w:rPr>
          <w:tab/>
        </w:r>
        <w:r>
          <w:rPr>
            <w:webHidden/>
          </w:rPr>
          <w:fldChar w:fldCharType="begin"/>
        </w:r>
        <w:r>
          <w:rPr>
            <w:webHidden/>
          </w:rPr>
          <w:instrText xml:space="preserve"> PAGEREF _Toc28340195 \h </w:instrText>
        </w:r>
        <w:r>
          <w:rPr>
            <w:webHidden/>
          </w:rPr>
        </w:r>
        <w:r>
          <w:rPr>
            <w:webHidden/>
          </w:rPr>
          <w:fldChar w:fldCharType="separate"/>
        </w:r>
        <w:r>
          <w:rPr>
            <w:webHidden/>
          </w:rPr>
          <w:t>17</w:t>
        </w:r>
        <w:r>
          <w:rPr>
            <w:webHidden/>
          </w:rPr>
          <w:fldChar w:fldCharType="end"/>
        </w:r>
      </w:hyperlink>
    </w:p>
    <w:p w14:paraId="7AEB6A61" w14:textId="3F00F39D" w:rsidR="003F7650" w:rsidRDefault="003F7650">
      <w:pPr>
        <w:pStyle w:val="TOC2"/>
        <w:rPr>
          <w:rFonts w:asciiTheme="minorHAnsi" w:eastAsiaTheme="minorEastAsia" w:hAnsiTheme="minorHAnsi" w:cstheme="minorBidi"/>
          <w:sz w:val="22"/>
          <w:szCs w:val="22"/>
          <w:lang w:eastAsia="en-AU"/>
        </w:rPr>
      </w:pPr>
      <w:hyperlink w:anchor="_Toc28340196" w:history="1">
        <w:r w:rsidRPr="00581144">
          <w:rPr>
            <w:rStyle w:val="Hyperlink"/>
          </w:rPr>
          <w:t>Listening to consumers</w:t>
        </w:r>
        <w:r>
          <w:rPr>
            <w:webHidden/>
          </w:rPr>
          <w:tab/>
        </w:r>
        <w:r>
          <w:rPr>
            <w:webHidden/>
          </w:rPr>
          <w:fldChar w:fldCharType="begin"/>
        </w:r>
        <w:r>
          <w:rPr>
            <w:webHidden/>
          </w:rPr>
          <w:instrText xml:space="preserve"> PAGEREF _Toc28340196 \h </w:instrText>
        </w:r>
        <w:r>
          <w:rPr>
            <w:webHidden/>
          </w:rPr>
        </w:r>
        <w:r>
          <w:rPr>
            <w:webHidden/>
          </w:rPr>
          <w:fldChar w:fldCharType="separate"/>
        </w:r>
        <w:r>
          <w:rPr>
            <w:webHidden/>
          </w:rPr>
          <w:t>18</w:t>
        </w:r>
        <w:r>
          <w:rPr>
            <w:webHidden/>
          </w:rPr>
          <w:fldChar w:fldCharType="end"/>
        </w:r>
      </w:hyperlink>
    </w:p>
    <w:p w14:paraId="345D10B0" w14:textId="3FE83F42" w:rsidR="003F7650" w:rsidRDefault="003F7650">
      <w:pPr>
        <w:pStyle w:val="TOC2"/>
        <w:rPr>
          <w:rFonts w:asciiTheme="minorHAnsi" w:eastAsiaTheme="minorEastAsia" w:hAnsiTheme="minorHAnsi" w:cstheme="minorBidi"/>
          <w:sz w:val="22"/>
          <w:szCs w:val="22"/>
          <w:lang w:eastAsia="en-AU"/>
        </w:rPr>
      </w:pPr>
      <w:hyperlink w:anchor="_Toc28340197" w:history="1">
        <w:r w:rsidRPr="00581144">
          <w:rPr>
            <w:rStyle w:val="Hyperlink"/>
          </w:rPr>
          <w:t>Expanding our peer support workforce and programs</w:t>
        </w:r>
        <w:r>
          <w:rPr>
            <w:webHidden/>
          </w:rPr>
          <w:tab/>
        </w:r>
        <w:r>
          <w:rPr>
            <w:webHidden/>
          </w:rPr>
          <w:fldChar w:fldCharType="begin"/>
        </w:r>
        <w:r>
          <w:rPr>
            <w:webHidden/>
          </w:rPr>
          <w:instrText xml:space="preserve"> PAGEREF _Toc28340197 \h </w:instrText>
        </w:r>
        <w:r>
          <w:rPr>
            <w:webHidden/>
          </w:rPr>
        </w:r>
        <w:r>
          <w:rPr>
            <w:webHidden/>
          </w:rPr>
          <w:fldChar w:fldCharType="separate"/>
        </w:r>
        <w:r>
          <w:rPr>
            <w:webHidden/>
          </w:rPr>
          <w:t>19</w:t>
        </w:r>
        <w:r>
          <w:rPr>
            <w:webHidden/>
          </w:rPr>
          <w:fldChar w:fldCharType="end"/>
        </w:r>
      </w:hyperlink>
    </w:p>
    <w:p w14:paraId="7155F6BE" w14:textId="393CE4B6" w:rsidR="003F7650" w:rsidRDefault="003F7650">
      <w:pPr>
        <w:pStyle w:val="TOC1"/>
        <w:tabs>
          <w:tab w:val="left" w:pos="567"/>
        </w:tabs>
        <w:rPr>
          <w:rFonts w:asciiTheme="minorHAnsi" w:eastAsiaTheme="minorEastAsia" w:hAnsiTheme="minorHAnsi" w:cstheme="minorBidi"/>
          <w:b w:val="0"/>
          <w:sz w:val="22"/>
          <w:szCs w:val="22"/>
          <w:lang w:eastAsia="en-AU"/>
        </w:rPr>
      </w:pPr>
      <w:hyperlink w:anchor="_Toc28340198" w:history="1">
        <w:r w:rsidRPr="00581144">
          <w:rPr>
            <w:rStyle w:val="Hyperlink"/>
          </w:rPr>
          <w:t>3.</w:t>
        </w:r>
        <w:r>
          <w:rPr>
            <w:rFonts w:asciiTheme="minorHAnsi" w:eastAsiaTheme="minorEastAsia" w:hAnsiTheme="minorHAnsi" w:cstheme="minorBidi"/>
            <w:b w:val="0"/>
            <w:sz w:val="22"/>
            <w:szCs w:val="22"/>
            <w:lang w:eastAsia="en-AU"/>
          </w:rPr>
          <w:tab/>
        </w:r>
        <w:r w:rsidRPr="00581144">
          <w:rPr>
            <w:rStyle w:val="Hyperlink"/>
          </w:rPr>
          <w:t>Year in review – public mental health services in 2016–17</w:t>
        </w:r>
        <w:r>
          <w:rPr>
            <w:webHidden/>
          </w:rPr>
          <w:tab/>
        </w:r>
        <w:r>
          <w:rPr>
            <w:webHidden/>
          </w:rPr>
          <w:fldChar w:fldCharType="begin"/>
        </w:r>
        <w:r>
          <w:rPr>
            <w:webHidden/>
          </w:rPr>
          <w:instrText xml:space="preserve"> PAGEREF _Toc28340198 \h </w:instrText>
        </w:r>
        <w:r>
          <w:rPr>
            <w:webHidden/>
          </w:rPr>
        </w:r>
        <w:r>
          <w:rPr>
            <w:webHidden/>
          </w:rPr>
          <w:fldChar w:fldCharType="separate"/>
        </w:r>
        <w:r>
          <w:rPr>
            <w:webHidden/>
          </w:rPr>
          <w:t>22</w:t>
        </w:r>
        <w:r>
          <w:rPr>
            <w:webHidden/>
          </w:rPr>
          <w:fldChar w:fldCharType="end"/>
        </w:r>
      </w:hyperlink>
    </w:p>
    <w:p w14:paraId="09E7C9D1" w14:textId="197DF733" w:rsidR="003F7650" w:rsidRDefault="003F7650">
      <w:pPr>
        <w:pStyle w:val="TOC2"/>
        <w:rPr>
          <w:rFonts w:asciiTheme="minorHAnsi" w:eastAsiaTheme="minorEastAsia" w:hAnsiTheme="minorHAnsi" w:cstheme="minorBidi"/>
          <w:sz w:val="22"/>
          <w:szCs w:val="22"/>
          <w:lang w:eastAsia="en-AU"/>
        </w:rPr>
      </w:pPr>
      <w:hyperlink w:anchor="_Toc28340199" w:history="1">
        <w:r w:rsidRPr="00581144">
          <w:rPr>
            <w:rStyle w:val="Hyperlink"/>
          </w:rPr>
          <w:t>Overview</w:t>
        </w:r>
        <w:r>
          <w:rPr>
            <w:webHidden/>
          </w:rPr>
          <w:tab/>
        </w:r>
        <w:r>
          <w:rPr>
            <w:webHidden/>
          </w:rPr>
          <w:fldChar w:fldCharType="begin"/>
        </w:r>
        <w:r>
          <w:rPr>
            <w:webHidden/>
          </w:rPr>
          <w:instrText xml:space="preserve"> PAGEREF _Toc28340199 \h </w:instrText>
        </w:r>
        <w:r>
          <w:rPr>
            <w:webHidden/>
          </w:rPr>
        </w:r>
        <w:r>
          <w:rPr>
            <w:webHidden/>
          </w:rPr>
          <w:fldChar w:fldCharType="separate"/>
        </w:r>
        <w:r>
          <w:rPr>
            <w:webHidden/>
          </w:rPr>
          <w:t>22</w:t>
        </w:r>
        <w:r>
          <w:rPr>
            <w:webHidden/>
          </w:rPr>
          <w:fldChar w:fldCharType="end"/>
        </w:r>
      </w:hyperlink>
    </w:p>
    <w:p w14:paraId="1C3614E5" w14:textId="681614A0" w:rsidR="003F7650" w:rsidRDefault="003F7650">
      <w:pPr>
        <w:pStyle w:val="TOC2"/>
        <w:rPr>
          <w:rFonts w:asciiTheme="minorHAnsi" w:eastAsiaTheme="minorEastAsia" w:hAnsiTheme="minorHAnsi" w:cstheme="minorBidi"/>
          <w:sz w:val="22"/>
          <w:szCs w:val="22"/>
          <w:lang w:eastAsia="en-AU"/>
        </w:rPr>
      </w:pPr>
      <w:hyperlink w:anchor="_Toc28340200" w:history="1">
        <w:r w:rsidRPr="00581144">
          <w:rPr>
            <w:rStyle w:val="Hyperlink"/>
          </w:rPr>
          <w:t>How do we know if we’re making a difference in people's lives?</w:t>
        </w:r>
        <w:r>
          <w:rPr>
            <w:webHidden/>
          </w:rPr>
          <w:tab/>
        </w:r>
        <w:r>
          <w:rPr>
            <w:webHidden/>
          </w:rPr>
          <w:fldChar w:fldCharType="begin"/>
        </w:r>
        <w:r>
          <w:rPr>
            <w:webHidden/>
          </w:rPr>
          <w:instrText xml:space="preserve"> PAGEREF _Toc28340200 \h </w:instrText>
        </w:r>
        <w:r>
          <w:rPr>
            <w:webHidden/>
          </w:rPr>
        </w:r>
        <w:r>
          <w:rPr>
            <w:webHidden/>
          </w:rPr>
          <w:fldChar w:fldCharType="separate"/>
        </w:r>
        <w:r>
          <w:rPr>
            <w:webHidden/>
          </w:rPr>
          <w:t>22</w:t>
        </w:r>
        <w:r>
          <w:rPr>
            <w:webHidden/>
          </w:rPr>
          <w:fldChar w:fldCharType="end"/>
        </w:r>
      </w:hyperlink>
    </w:p>
    <w:p w14:paraId="61CC50FC" w14:textId="52AC81CE" w:rsidR="003F7650" w:rsidRDefault="003F7650">
      <w:pPr>
        <w:pStyle w:val="TOC2"/>
        <w:rPr>
          <w:rFonts w:asciiTheme="minorHAnsi" w:eastAsiaTheme="minorEastAsia" w:hAnsiTheme="minorHAnsi" w:cstheme="minorBidi"/>
          <w:sz w:val="22"/>
          <w:szCs w:val="22"/>
          <w:lang w:eastAsia="en-AU"/>
        </w:rPr>
      </w:pPr>
      <w:hyperlink w:anchor="_Toc28340201" w:history="1">
        <w:r w:rsidRPr="00581144">
          <w:rPr>
            <w:rStyle w:val="Hyperlink"/>
          </w:rPr>
          <w:t>Who accessed our public mental health clinical services in 2016–17?</w:t>
        </w:r>
        <w:r>
          <w:rPr>
            <w:webHidden/>
          </w:rPr>
          <w:tab/>
        </w:r>
        <w:r>
          <w:rPr>
            <w:webHidden/>
          </w:rPr>
          <w:fldChar w:fldCharType="begin"/>
        </w:r>
        <w:r>
          <w:rPr>
            <w:webHidden/>
          </w:rPr>
          <w:instrText xml:space="preserve"> PAGEREF _Toc28340201 \h </w:instrText>
        </w:r>
        <w:r>
          <w:rPr>
            <w:webHidden/>
          </w:rPr>
        </w:r>
        <w:r>
          <w:rPr>
            <w:webHidden/>
          </w:rPr>
          <w:fldChar w:fldCharType="separate"/>
        </w:r>
        <w:r>
          <w:rPr>
            <w:webHidden/>
          </w:rPr>
          <w:t>23</w:t>
        </w:r>
        <w:r>
          <w:rPr>
            <w:webHidden/>
          </w:rPr>
          <w:fldChar w:fldCharType="end"/>
        </w:r>
      </w:hyperlink>
    </w:p>
    <w:p w14:paraId="764BAB6F" w14:textId="55315146" w:rsidR="003F7650" w:rsidRDefault="003F7650">
      <w:pPr>
        <w:pStyle w:val="TOC2"/>
        <w:rPr>
          <w:rFonts w:asciiTheme="minorHAnsi" w:eastAsiaTheme="minorEastAsia" w:hAnsiTheme="minorHAnsi" w:cstheme="minorBidi"/>
          <w:sz w:val="22"/>
          <w:szCs w:val="22"/>
          <w:lang w:eastAsia="en-AU"/>
        </w:rPr>
      </w:pPr>
      <w:hyperlink w:anchor="_Toc28340202" w:history="1">
        <w:r w:rsidRPr="00581144">
          <w:rPr>
            <w:rStyle w:val="Hyperlink"/>
          </w:rPr>
          <w:t>How were people referred to our clinical services in 2016–17?</w:t>
        </w:r>
        <w:r>
          <w:rPr>
            <w:webHidden/>
          </w:rPr>
          <w:tab/>
        </w:r>
        <w:r>
          <w:rPr>
            <w:webHidden/>
          </w:rPr>
          <w:fldChar w:fldCharType="begin"/>
        </w:r>
        <w:r>
          <w:rPr>
            <w:webHidden/>
          </w:rPr>
          <w:instrText xml:space="preserve"> PAGEREF _Toc28340202 \h </w:instrText>
        </w:r>
        <w:r>
          <w:rPr>
            <w:webHidden/>
          </w:rPr>
        </w:r>
        <w:r>
          <w:rPr>
            <w:webHidden/>
          </w:rPr>
          <w:fldChar w:fldCharType="separate"/>
        </w:r>
        <w:r>
          <w:rPr>
            <w:webHidden/>
          </w:rPr>
          <w:t>23</w:t>
        </w:r>
        <w:r>
          <w:rPr>
            <w:webHidden/>
          </w:rPr>
          <w:fldChar w:fldCharType="end"/>
        </w:r>
      </w:hyperlink>
    </w:p>
    <w:p w14:paraId="4FFCC400" w14:textId="76FAC493" w:rsidR="003F7650" w:rsidRDefault="003F7650">
      <w:pPr>
        <w:pStyle w:val="TOC2"/>
        <w:rPr>
          <w:rFonts w:asciiTheme="minorHAnsi" w:eastAsiaTheme="minorEastAsia" w:hAnsiTheme="minorHAnsi" w:cstheme="minorBidi"/>
          <w:sz w:val="22"/>
          <w:szCs w:val="22"/>
          <w:lang w:eastAsia="en-AU"/>
        </w:rPr>
      </w:pPr>
      <w:hyperlink w:anchor="_Toc28340203" w:history="1">
        <w:r w:rsidRPr="00581144">
          <w:rPr>
            <w:rStyle w:val="Hyperlink"/>
          </w:rPr>
          <w:t>Child and adolescent mental health services</w:t>
        </w:r>
        <w:r>
          <w:rPr>
            <w:webHidden/>
          </w:rPr>
          <w:tab/>
        </w:r>
        <w:r>
          <w:rPr>
            <w:webHidden/>
          </w:rPr>
          <w:fldChar w:fldCharType="begin"/>
        </w:r>
        <w:r>
          <w:rPr>
            <w:webHidden/>
          </w:rPr>
          <w:instrText xml:space="preserve"> PAGEREF _Toc28340203 \h </w:instrText>
        </w:r>
        <w:r>
          <w:rPr>
            <w:webHidden/>
          </w:rPr>
        </w:r>
        <w:r>
          <w:rPr>
            <w:webHidden/>
          </w:rPr>
          <w:fldChar w:fldCharType="separate"/>
        </w:r>
        <w:r>
          <w:rPr>
            <w:webHidden/>
          </w:rPr>
          <w:t>23</w:t>
        </w:r>
        <w:r>
          <w:rPr>
            <w:webHidden/>
          </w:rPr>
          <w:fldChar w:fldCharType="end"/>
        </w:r>
      </w:hyperlink>
    </w:p>
    <w:p w14:paraId="2EF80573" w14:textId="297F73E9" w:rsidR="003F7650" w:rsidRDefault="003F7650">
      <w:pPr>
        <w:pStyle w:val="TOC2"/>
        <w:rPr>
          <w:rFonts w:asciiTheme="minorHAnsi" w:eastAsiaTheme="minorEastAsia" w:hAnsiTheme="minorHAnsi" w:cstheme="minorBidi"/>
          <w:sz w:val="22"/>
          <w:szCs w:val="22"/>
          <w:lang w:eastAsia="en-AU"/>
        </w:rPr>
      </w:pPr>
      <w:hyperlink w:anchor="_Toc28340204" w:history="1">
        <w:r w:rsidRPr="00581144">
          <w:rPr>
            <w:rStyle w:val="Hyperlink"/>
          </w:rPr>
          <w:t>Adult mental health services</w:t>
        </w:r>
        <w:r>
          <w:rPr>
            <w:webHidden/>
          </w:rPr>
          <w:tab/>
        </w:r>
        <w:r>
          <w:rPr>
            <w:webHidden/>
          </w:rPr>
          <w:fldChar w:fldCharType="begin"/>
        </w:r>
        <w:r>
          <w:rPr>
            <w:webHidden/>
          </w:rPr>
          <w:instrText xml:space="preserve"> PAGEREF _Toc28340204 \h </w:instrText>
        </w:r>
        <w:r>
          <w:rPr>
            <w:webHidden/>
          </w:rPr>
        </w:r>
        <w:r>
          <w:rPr>
            <w:webHidden/>
          </w:rPr>
          <w:fldChar w:fldCharType="separate"/>
        </w:r>
        <w:r>
          <w:rPr>
            <w:webHidden/>
          </w:rPr>
          <w:t>24</w:t>
        </w:r>
        <w:r>
          <w:rPr>
            <w:webHidden/>
          </w:rPr>
          <w:fldChar w:fldCharType="end"/>
        </w:r>
      </w:hyperlink>
    </w:p>
    <w:p w14:paraId="7BF5D142" w14:textId="3935991D" w:rsidR="003F7650" w:rsidRDefault="003F7650">
      <w:pPr>
        <w:pStyle w:val="TOC2"/>
        <w:rPr>
          <w:rFonts w:asciiTheme="minorHAnsi" w:eastAsiaTheme="minorEastAsia" w:hAnsiTheme="minorHAnsi" w:cstheme="minorBidi"/>
          <w:sz w:val="22"/>
          <w:szCs w:val="22"/>
          <w:lang w:eastAsia="en-AU"/>
        </w:rPr>
      </w:pPr>
      <w:hyperlink w:anchor="_Toc28340205" w:history="1">
        <w:r w:rsidRPr="00581144">
          <w:rPr>
            <w:rStyle w:val="Hyperlink"/>
          </w:rPr>
          <w:t>Aged persons mental health services</w:t>
        </w:r>
        <w:r>
          <w:rPr>
            <w:webHidden/>
          </w:rPr>
          <w:tab/>
        </w:r>
        <w:r>
          <w:rPr>
            <w:webHidden/>
          </w:rPr>
          <w:fldChar w:fldCharType="begin"/>
        </w:r>
        <w:r>
          <w:rPr>
            <w:webHidden/>
          </w:rPr>
          <w:instrText xml:space="preserve"> PAGEREF _Toc28340205 \h </w:instrText>
        </w:r>
        <w:r>
          <w:rPr>
            <w:webHidden/>
          </w:rPr>
        </w:r>
        <w:r>
          <w:rPr>
            <w:webHidden/>
          </w:rPr>
          <w:fldChar w:fldCharType="separate"/>
        </w:r>
        <w:r>
          <w:rPr>
            <w:webHidden/>
          </w:rPr>
          <w:t>25</w:t>
        </w:r>
        <w:r>
          <w:rPr>
            <w:webHidden/>
          </w:rPr>
          <w:fldChar w:fldCharType="end"/>
        </w:r>
      </w:hyperlink>
    </w:p>
    <w:p w14:paraId="2069D1EE" w14:textId="36D7B8A2" w:rsidR="003F7650" w:rsidRDefault="003F7650">
      <w:pPr>
        <w:pStyle w:val="TOC2"/>
        <w:rPr>
          <w:rFonts w:asciiTheme="minorHAnsi" w:eastAsiaTheme="minorEastAsia" w:hAnsiTheme="minorHAnsi" w:cstheme="minorBidi"/>
          <w:sz w:val="22"/>
          <w:szCs w:val="22"/>
          <w:lang w:eastAsia="en-AU"/>
        </w:rPr>
      </w:pPr>
      <w:hyperlink w:anchor="_Toc28340206" w:history="1">
        <w:r w:rsidRPr="00581144">
          <w:rPr>
            <w:rStyle w:val="Hyperlink"/>
          </w:rPr>
          <w:t>Forensic mental health services</w:t>
        </w:r>
        <w:r>
          <w:rPr>
            <w:webHidden/>
          </w:rPr>
          <w:tab/>
        </w:r>
        <w:r>
          <w:rPr>
            <w:webHidden/>
          </w:rPr>
          <w:fldChar w:fldCharType="begin"/>
        </w:r>
        <w:r>
          <w:rPr>
            <w:webHidden/>
          </w:rPr>
          <w:instrText xml:space="preserve"> PAGEREF _Toc28340206 \h </w:instrText>
        </w:r>
        <w:r>
          <w:rPr>
            <w:webHidden/>
          </w:rPr>
        </w:r>
        <w:r>
          <w:rPr>
            <w:webHidden/>
          </w:rPr>
          <w:fldChar w:fldCharType="separate"/>
        </w:r>
        <w:r>
          <w:rPr>
            <w:webHidden/>
          </w:rPr>
          <w:t>26</w:t>
        </w:r>
        <w:r>
          <w:rPr>
            <w:webHidden/>
          </w:rPr>
          <w:fldChar w:fldCharType="end"/>
        </w:r>
      </w:hyperlink>
    </w:p>
    <w:p w14:paraId="16A7622B" w14:textId="62086853" w:rsidR="003F7650" w:rsidRDefault="003F7650">
      <w:pPr>
        <w:pStyle w:val="TOC2"/>
        <w:rPr>
          <w:rFonts w:asciiTheme="minorHAnsi" w:eastAsiaTheme="minorEastAsia" w:hAnsiTheme="minorHAnsi" w:cstheme="minorBidi"/>
          <w:sz w:val="22"/>
          <w:szCs w:val="22"/>
          <w:lang w:eastAsia="en-AU"/>
        </w:rPr>
      </w:pPr>
      <w:hyperlink w:anchor="_Toc28340207" w:history="1">
        <w:r w:rsidRPr="00581144">
          <w:rPr>
            <w:rStyle w:val="Hyperlink"/>
          </w:rPr>
          <w:t>Seclusion and restraint</w:t>
        </w:r>
        <w:r>
          <w:rPr>
            <w:webHidden/>
          </w:rPr>
          <w:tab/>
        </w:r>
        <w:r>
          <w:rPr>
            <w:webHidden/>
          </w:rPr>
          <w:fldChar w:fldCharType="begin"/>
        </w:r>
        <w:r>
          <w:rPr>
            <w:webHidden/>
          </w:rPr>
          <w:instrText xml:space="preserve"> PAGEREF _Toc28340207 \h </w:instrText>
        </w:r>
        <w:r>
          <w:rPr>
            <w:webHidden/>
          </w:rPr>
        </w:r>
        <w:r>
          <w:rPr>
            <w:webHidden/>
          </w:rPr>
          <w:fldChar w:fldCharType="separate"/>
        </w:r>
        <w:r>
          <w:rPr>
            <w:webHidden/>
          </w:rPr>
          <w:t>26</w:t>
        </w:r>
        <w:r>
          <w:rPr>
            <w:webHidden/>
          </w:rPr>
          <w:fldChar w:fldCharType="end"/>
        </w:r>
      </w:hyperlink>
    </w:p>
    <w:p w14:paraId="2E6DC2C5" w14:textId="2D3FC0A9" w:rsidR="003F7650" w:rsidRDefault="003F7650">
      <w:pPr>
        <w:pStyle w:val="TOC2"/>
        <w:rPr>
          <w:rFonts w:asciiTheme="minorHAnsi" w:eastAsiaTheme="minorEastAsia" w:hAnsiTheme="minorHAnsi" w:cstheme="minorBidi"/>
          <w:sz w:val="22"/>
          <w:szCs w:val="22"/>
          <w:lang w:eastAsia="en-AU"/>
        </w:rPr>
      </w:pPr>
      <w:hyperlink w:anchor="_Toc28340208" w:history="1">
        <w:r w:rsidRPr="00581144">
          <w:rPr>
            <w:rStyle w:val="Hyperlink"/>
          </w:rPr>
          <w:t>Physical health</w:t>
        </w:r>
        <w:r>
          <w:rPr>
            <w:webHidden/>
          </w:rPr>
          <w:tab/>
        </w:r>
        <w:r>
          <w:rPr>
            <w:webHidden/>
          </w:rPr>
          <w:fldChar w:fldCharType="begin"/>
        </w:r>
        <w:r>
          <w:rPr>
            <w:webHidden/>
          </w:rPr>
          <w:instrText xml:space="preserve"> PAGEREF _Toc28340208 \h </w:instrText>
        </w:r>
        <w:r>
          <w:rPr>
            <w:webHidden/>
          </w:rPr>
        </w:r>
        <w:r>
          <w:rPr>
            <w:webHidden/>
          </w:rPr>
          <w:fldChar w:fldCharType="separate"/>
        </w:r>
        <w:r>
          <w:rPr>
            <w:webHidden/>
          </w:rPr>
          <w:t>26</w:t>
        </w:r>
        <w:r>
          <w:rPr>
            <w:webHidden/>
          </w:rPr>
          <w:fldChar w:fldCharType="end"/>
        </w:r>
      </w:hyperlink>
    </w:p>
    <w:p w14:paraId="43D5CD6B" w14:textId="2A9706FB" w:rsidR="003F7650" w:rsidRDefault="003F7650">
      <w:pPr>
        <w:pStyle w:val="TOC1"/>
        <w:rPr>
          <w:rFonts w:asciiTheme="minorHAnsi" w:eastAsiaTheme="minorEastAsia" w:hAnsiTheme="minorHAnsi" w:cstheme="minorBidi"/>
          <w:b w:val="0"/>
          <w:sz w:val="22"/>
          <w:szCs w:val="22"/>
          <w:lang w:eastAsia="en-AU"/>
        </w:rPr>
      </w:pPr>
      <w:hyperlink w:anchor="_Toc28340209" w:history="1">
        <w:r w:rsidRPr="00581144">
          <w:rPr>
            <w:rStyle w:val="Hyperlink"/>
          </w:rPr>
          <w:t>Appendix 1: 10YP outcomes and indicators framework</w:t>
        </w:r>
        <w:r>
          <w:rPr>
            <w:webHidden/>
          </w:rPr>
          <w:tab/>
        </w:r>
        <w:r>
          <w:rPr>
            <w:webHidden/>
          </w:rPr>
          <w:fldChar w:fldCharType="begin"/>
        </w:r>
        <w:r>
          <w:rPr>
            <w:webHidden/>
          </w:rPr>
          <w:instrText xml:space="preserve"> PAGEREF _Toc28340209 \h </w:instrText>
        </w:r>
        <w:r>
          <w:rPr>
            <w:webHidden/>
          </w:rPr>
        </w:r>
        <w:r>
          <w:rPr>
            <w:webHidden/>
          </w:rPr>
          <w:fldChar w:fldCharType="separate"/>
        </w:r>
        <w:r>
          <w:rPr>
            <w:webHidden/>
          </w:rPr>
          <w:t>27</w:t>
        </w:r>
        <w:r>
          <w:rPr>
            <w:webHidden/>
          </w:rPr>
          <w:fldChar w:fldCharType="end"/>
        </w:r>
      </w:hyperlink>
    </w:p>
    <w:p w14:paraId="7C365124" w14:textId="488408DC" w:rsidR="003F7650" w:rsidRDefault="003F7650">
      <w:pPr>
        <w:pStyle w:val="TOC2"/>
        <w:rPr>
          <w:rFonts w:asciiTheme="minorHAnsi" w:eastAsiaTheme="minorEastAsia" w:hAnsiTheme="minorHAnsi" w:cstheme="minorBidi"/>
          <w:sz w:val="22"/>
          <w:szCs w:val="22"/>
          <w:lang w:eastAsia="en-AU"/>
        </w:rPr>
      </w:pPr>
      <w:hyperlink w:anchor="_Toc28340210" w:history="1">
        <w:r w:rsidRPr="00581144">
          <w:rPr>
            <w:rStyle w:val="Hyperlink"/>
          </w:rPr>
          <w:t>Additional measures</w:t>
        </w:r>
        <w:r>
          <w:rPr>
            <w:webHidden/>
          </w:rPr>
          <w:tab/>
        </w:r>
        <w:r>
          <w:rPr>
            <w:webHidden/>
          </w:rPr>
          <w:fldChar w:fldCharType="begin"/>
        </w:r>
        <w:r>
          <w:rPr>
            <w:webHidden/>
          </w:rPr>
          <w:instrText xml:space="preserve"> PAGEREF _Toc28340210 \h </w:instrText>
        </w:r>
        <w:r>
          <w:rPr>
            <w:webHidden/>
          </w:rPr>
        </w:r>
        <w:r>
          <w:rPr>
            <w:webHidden/>
          </w:rPr>
          <w:fldChar w:fldCharType="separate"/>
        </w:r>
        <w:r>
          <w:rPr>
            <w:webHidden/>
          </w:rPr>
          <w:t>27</w:t>
        </w:r>
        <w:r>
          <w:rPr>
            <w:webHidden/>
          </w:rPr>
          <w:fldChar w:fldCharType="end"/>
        </w:r>
      </w:hyperlink>
    </w:p>
    <w:p w14:paraId="4AD3D906" w14:textId="319FDA12" w:rsidR="003F7650" w:rsidRDefault="003F7650">
      <w:pPr>
        <w:pStyle w:val="TOC1"/>
        <w:rPr>
          <w:rFonts w:asciiTheme="minorHAnsi" w:eastAsiaTheme="minorEastAsia" w:hAnsiTheme="minorHAnsi" w:cstheme="minorBidi"/>
          <w:b w:val="0"/>
          <w:sz w:val="22"/>
          <w:szCs w:val="22"/>
          <w:lang w:eastAsia="en-AU"/>
        </w:rPr>
      </w:pPr>
      <w:hyperlink w:anchor="_Toc28340211" w:history="1">
        <w:r w:rsidRPr="00581144">
          <w:rPr>
            <w:rStyle w:val="Hyperlink"/>
          </w:rPr>
          <w:t>Appendix 2: Public mental health service data</w:t>
        </w:r>
        <w:r>
          <w:rPr>
            <w:webHidden/>
          </w:rPr>
          <w:tab/>
        </w:r>
        <w:r>
          <w:rPr>
            <w:webHidden/>
          </w:rPr>
          <w:fldChar w:fldCharType="begin"/>
        </w:r>
        <w:r>
          <w:rPr>
            <w:webHidden/>
          </w:rPr>
          <w:instrText xml:space="preserve"> PAGEREF _Toc28340211 \h </w:instrText>
        </w:r>
        <w:r>
          <w:rPr>
            <w:webHidden/>
          </w:rPr>
        </w:r>
        <w:r>
          <w:rPr>
            <w:webHidden/>
          </w:rPr>
          <w:fldChar w:fldCharType="separate"/>
        </w:r>
        <w:r>
          <w:rPr>
            <w:webHidden/>
          </w:rPr>
          <w:t>31</w:t>
        </w:r>
        <w:r>
          <w:rPr>
            <w:webHidden/>
          </w:rPr>
          <w:fldChar w:fldCharType="end"/>
        </w:r>
      </w:hyperlink>
    </w:p>
    <w:p w14:paraId="3C399A44" w14:textId="1DDE4484" w:rsidR="003F7650" w:rsidRDefault="003F7650">
      <w:pPr>
        <w:pStyle w:val="TOC1"/>
        <w:rPr>
          <w:rFonts w:asciiTheme="minorHAnsi" w:eastAsiaTheme="minorEastAsia" w:hAnsiTheme="minorHAnsi" w:cstheme="minorBidi"/>
          <w:b w:val="0"/>
          <w:sz w:val="22"/>
          <w:szCs w:val="22"/>
          <w:lang w:eastAsia="en-AU"/>
        </w:rPr>
      </w:pPr>
      <w:hyperlink w:anchor="_Toc28340212" w:history="1">
        <w:r w:rsidRPr="00581144">
          <w:rPr>
            <w:rStyle w:val="Hyperlink"/>
          </w:rPr>
          <w:t>Appendix 3: Victoria’s public mental health system</w:t>
        </w:r>
        <w:r>
          <w:rPr>
            <w:webHidden/>
          </w:rPr>
          <w:tab/>
        </w:r>
        <w:r>
          <w:rPr>
            <w:webHidden/>
          </w:rPr>
          <w:fldChar w:fldCharType="begin"/>
        </w:r>
        <w:r>
          <w:rPr>
            <w:webHidden/>
          </w:rPr>
          <w:instrText xml:space="preserve"> PAGEREF _Toc28340212 \h </w:instrText>
        </w:r>
        <w:r>
          <w:rPr>
            <w:webHidden/>
          </w:rPr>
        </w:r>
        <w:r>
          <w:rPr>
            <w:webHidden/>
          </w:rPr>
          <w:fldChar w:fldCharType="separate"/>
        </w:r>
        <w:r>
          <w:rPr>
            <w:webHidden/>
          </w:rPr>
          <w:t>43</w:t>
        </w:r>
        <w:r>
          <w:rPr>
            <w:webHidden/>
          </w:rPr>
          <w:fldChar w:fldCharType="end"/>
        </w:r>
      </w:hyperlink>
    </w:p>
    <w:p w14:paraId="08DFE970" w14:textId="66B0616B" w:rsidR="003F7650" w:rsidRDefault="003F7650">
      <w:pPr>
        <w:pStyle w:val="TOC2"/>
        <w:rPr>
          <w:rFonts w:asciiTheme="minorHAnsi" w:eastAsiaTheme="minorEastAsia" w:hAnsiTheme="minorHAnsi" w:cstheme="minorBidi"/>
          <w:sz w:val="22"/>
          <w:szCs w:val="22"/>
          <w:lang w:eastAsia="en-AU"/>
        </w:rPr>
      </w:pPr>
      <w:hyperlink w:anchor="_Toc28340213" w:history="1">
        <w:r w:rsidRPr="00581144">
          <w:rPr>
            <w:rStyle w:val="Hyperlink"/>
          </w:rPr>
          <w:t>Area-based clinical services</w:t>
        </w:r>
        <w:r>
          <w:rPr>
            <w:webHidden/>
          </w:rPr>
          <w:tab/>
        </w:r>
        <w:r>
          <w:rPr>
            <w:webHidden/>
          </w:rPr>
          <w:fldChar w:fldCharType="begin"/>
        </w:r>
        <w:r>
          <w:rPr>
            <w:webHidden/>
          </w:rPr>
          <w:instrText xml:space="preserve"> PAGEREF _Toc28340213 \h </w:instrText>
        </w:r>
        <w:r>
          <w:rPr>
            <w:webHidden/>
          </w:rPr>
        </w:r>
        <w:r>
          <w:rPr>
            <w:webHidden/>
          </w:rPr>
          <w:fldChar w:fldCharType="separate"/>
        </w:r>
        <w:r>
          <w:rPr>
            <w:webHidden/>
          </w:rPr>
          <w:t>43</w:t>
        </w:r>
        <w:r>
          <w:rPr>
            <w:webHidden/>
          </w:rPr>
          <w:fldChar w:fldCharType="end"/>
        </w:r>
      </w:hyperlink>
    </w:p>
    <w:p w14:paraId="110B3326" w14:textId="7E8437F5" w:rsidR="003F7650" w:rsidRDefault="003F7650">
      <w:pPr>
        <w:pStyle w:val="TOC2"/>
        <w:rPr>
          <w:rFonts w:asciiTheme="minorHAnsi" w:eastAsiaTheme="minorEastAsia" w:hAnsiTheme="minorHAnsi" w:cstheme="minorBidi"/>
          <w:sz w:val="22"/>
          <w:szCs w:val="22"/>
          <w:lang w:eastAsia="en-AU"/>
        </w:rPr>
      </w:pPr>
      <w:hyperlink w:anchor="_Toc28340214" w:history="1">
        <w:r w:rsidRPr="00581144">
          <w:rPr>
            <w:rStyle w:val="Hyperlink"/>
          </w:rPr>
          <w:t>Statewide specialist services</w:t>
        </w:r>
        <w:r>
          <w:rPr>
            <w:webHidden/>
          </w:rPr>
          <w:tab/>
        </w:r>
        <w:r>
          <w:rPr>
            <w:webHidden/>
          </w:rPr>
          <w:fldChar w:fldCharType="begin"/>
        </w:r>
        <w:r>
          <w:rPr>
            <w:webHidden/>
          </w:rPr>
          <w:instrText xml:space="preserve"> PAGEREF _Toc28340214 \h </w:instrText>
        </w:r>
        <w:r>
          <w:rPr>
            <w:webHidden/>
          </w:rPr>
        </w:r>
        <w:r>
          <w:rPr>
            <w:webHidden/>
          </w:rPr>
          <w:fldChar w:fldCharType="separate"/>
        </w:r>
        <w:r>
          <w:rPr>
            <w:webHidden/>
          </w:rPr>
          <w:t>43</w:t>
        </w:r>
        <w:r>
          <w:rPr>
            <w:webHidden/>
          </w:rPr>
          <w:fldChar w:fldCharType="end"/>
        </w:r>
      </w:hyperlink>
    </w:p>
    <w:p w14:paraId="75B5FAE3" w14:textId="7A6C801C" w:rsidR="003F7650" w:rsidRDefault="003F7650">
      <w:pPr>
        <w:pStyle w:val="TOC2"/>
        <w:rPr>
          <w:rFonts w:asciiTheme="minorHAnsi" w:eastAsiaTheme="minorEastAsia" w:hAnsiTheme="minorHAnsi" w:cstheme="minorBidi"/>
          <w:sz w:val="22"/>
          <w:szCs w:val="22"/>
          <w:lang w:eastAsia="en-AU"/>
        </w:rPr>
      </w:pPr>
      <w:hyperlink w:anchor="_Toc28340215" w:history="1">
        <w:r w:rsidRPr="00581144">
          <w:rPr>
            <w:rStyle w:val="Hyperlink"/>
            <w:lang w:eastAsia="en-AU"/>
          </w:rPr>
          <w:t>Mental health community support services</w:t>
        </w:r>
        <w:r>
          <w:rPr>
            <w:webHidden/>
          </w:rPr>
          <w:tab/>
        </w:r>
        <w:r>
          <w:rPr>
            <w:webHidden/>
          </w:rPr>
          <w:fldChar w:fldCharType="begin"/>
        </w:r>
        <w:r>
          <w:rPr>
            <w:webHidden/>
          </w:rPr>
          <w:instrText xml:space="preserve"> PAGEREF _Toc28340215 \h </w:instrText>
        </w:r>
        <w:r>
          <w:rPr>
            <w:webHidden/>
          </w:rPr>
        </w:r>
        <w:r>
          <w:rPr>
            <w:webHidden/>
          </w:rPr>
          <w:fldChar w:fldCharType="separate"/>
        </w:r>
        <w:r>
          <w:rPr>
            <w:webHidden/>
          </w:rPr>
          <w:t>44</w:t>
        </w:r>
        <w:r>
          <w:rPr>
            <w:webHidden/>
          </w:rPr>
          <w:fldChar w:fldCharType="end"/>
        </w:r>
      </w:hyperlink>
    </w:p>
    <w:p w14:paraId="6166DE9C" w14:textId="5D689A3A" w:rsidR="003F7650" w:rsidRDefault="003F7650">
      <w:pPr>
        <w:pStyle w:val="TOC1"/>
        <w:rPr>
          <w:rFonts w:asciiTheme="minorHAnsi" w:eastAsiaTheme="minorEastAsia" w:hAnsiTheme="minorHAnsi" w:cstheme="minorBidi"/>
          <w:b w:val="0"/>
          <w:sz w:val="22"/>
          <w:szCs w:val="22"/>
          <w:lang w:eastAsia="en-AU"/>
        </w:rPr>
      </w:pPr>
      <w:hyperlink w:anchor="_Toc28340216" w:history="1">
        <w:r w:rsidRPr="00581144">
          <w:rPr>
            <w:rStyle w:val="Hyperlink"/>
          </w:rPr>
          <w:t>Abbreviations used in this report</w:t>
        </w:r>
        <w:r>
          <w:rPr>
            <w:webHidden/>
          </w:rPr>
          <w:tab/>
        </w:r>
        <w:r>
          <w:rPr>
            <w:webHidden/>
          </w:rPr>
          <w:fldChar w:fldCharType="begin"/>
        </w:r>
        <w:r>
          <w:rPr>
            <w:webHidden/>
          </w:rPr>
          <w:instrText xml:space="preserve"> PAGEREF _Toc28340216 \h </w:instrText>
        </w:r>
        <w:r>
          <w:rPr>
            <w:webHidden/>
          </w:rPr>
        </w:r>
        <w:r>
          <w:rPr>
            <w:webHidden/>
          </w:rPr>
          <w:fldChar w:fldCharType="separate"/>
        </w:r>
        <w:r>
          <w:rPr>
            <w:webHidden/>
          </w:rPr>
          <w:t>45</w:t>
        </w:r>
        <w:r>
          <w:rPr>
            <w:webHidden/>
          </w:rPr>
          <w:fldChar w:fldCharType="end"/>
        </w:r>
      </w:hyperlink>
    </w:p>
    <w:p w14:paraId="4276E229" w14:textId="58C8B727" w:rsidR="003F7650" w:rsidRDefault="003F7650">
      <w:pPr>
        <w:pStyle w:val="TOC1"/>
        <w:rPr>
          <w:rFonts w:asciiTheme="minorHAnsi" w:eastAsiaTheme="minorEastAsia" w:hAnsiTheme="minorHAnsi" w:cstheme="minorBidi"/>
          <w:b w:val="0"/>
          <w:sz w:val="22"/>
          <w:szCs w:val="22"/>
          <w:lang w:eastAsia="en-AU"/>
        </w:rPr>
      </w:pPr>
      <w:hyperlink w:anchor="_Toc28340217" w:history="1">
        <w:r w:rsidRPr="00581144">
          <w:rPr>
            <w:rStyle w:val="Hyperlink"/>
          </w:rPr>
          <w:t>Endnotes</w:t>
        </w:r>
        <w:r>
          <w:rPr>
            <w:webHidden/>
          </w:rPr>
          <w:tab/>
        </w:r>
        <w:r>
          <w:rPr>
            <w:webHidden/>
          </w:rPr>
          <w:fldChar w:fldCharType="begin"/>
        </w:r>
        <w:r>
          <w:rPr>
            <w:webHidden/>
          </w:rPr>
          <w:instrText xml:space="preserve"> PAGEREF _Toc28340217 \h </w:instrText>
        </w:r>
        <w:r>
          <w:rPr>
            <w:webHidden/>
          </w:rPr>
        </w:r>
        <w:r>
          <w:rPr>
            <w:webHidden/>
          </w:rPr>
          <w:fldChar w:fldCharType="separate"/>
        </w:r>
        <w:r>
          <w:rPr>
            <w:webHidden/>
          </w:rPr>
          <w:t>46</w:t>
        </w:r>
        <w:r>
          <w:rPr>
            <w:webHidden/>
          </w:rPr>
          <w:fldChar w:fldCharType="end"/>
        </w:r>
      </w:hyperlink>
    </w:p>
    <w:p w14:paraId="4D2204C7" w14:textId="62033551" w:rsidR="003E2E12" w:rsidRPr="009F0C73" w:rsidRDefault="00E15DA9" w:rsidP="00213772">
      <w:pPr>
        <w:pStyle w:val="TOC2"/>
        <w:rPr>
          <w:noProof w:val="0"/>
        </w:rPr>
      </w:pPr>
      <w:r w:rsidRPr="009F0C73">
        <w:rPr>
          <w:noProof w:val="0"/>
        </w:rPr>
        <w:fldChar w:fldCharType="end"/>
      </w:r>
    </w:p>
    <w:p w14:paraId="38BCE87C" w14:textId="07915047" w:rsidR="00E30414" w:rsidRPr="009F0C73" w:rsidRDefault="003E2E12" w:rsidP="00143E87">
      <w:pPr>
        <w:pStyle w:val="Heading1"/>
      </w:pPr>
      <w:r w:rsidRPr="009F0C73">
        <w:br w:type="page"/>
      </w:r>
      <w:bookmarkStart w:id="2" w:name="_Toc28340177"/>
      <w:r w:rsidR="00425F9A" w:rsidRPr="009F0C73">
        <w:lastRenderedPageBreak/>
        <w:t>Secretary’s foreword</w:t>
      </w:r>
      <w:bookmarkEnd w:id="2"/>
    </w:p>
    <w:p w14:paraId="0BD54AE2" w14:textId="77777777" w:rsidR="007B1263" w:rsidRDefault="007B1263" w:rsidP="007B1263">
      <w:pPr>
        <w:pStyle w:val="DHHSbody"/>
      </w:pPr>
      <w:bookmarkStart w:id="3" w:name="Secretary’s_foreword_"/>
      <w:bookmarkEnd w:id="3"/>
      <w:r>
        <w:t xml:space="preserve">I am pleased to present our second </w:t>
      </w:r>
      <w:r w:rsidRPr="003F7650">
        <w:rPr>
          <w:i/>
        </w:rPr>
        <w:t>Victoria’s mental health services annual report</w:t>
      </w:r>
      <w:r>
        <w:t>, reflecting the Victorian Government’s commitment to increased accountability and transparency.</w:t>
      </w:r>
    </w:p>
    <w:p w14:paraId="10A6826B" w14:textId="77777777" w:rsidR="007B1263" w:rsidRDefault="007B1263" w:rsidP="007B1263">
      <w:pPr>
        <w:pStyle w:val="DHHSbody"/>
      </w:pPr>
      <w:r>
        <w:t xml:space="preserve">It has been two years since </w:t>
      </w:r>
      <w:r w:rsidRPr="003F7650">
        <w:rPr>
          <w:i/>
        </w:rPr>
        <w:t>Victoria’s 10-year mental health plan</w:t>
      </w:r>
      <w:r>
        <w:t xml:space="preserve"> was released. Since then, we have implemented a range of initiatives to improve mental health outcomes for all Victorians, including at-risk groups such as lesbian, gay, bisexual, transgender and intersex (LGBTI) Victorians. Our report provides an update on these initiatives, including work to reduce suicide through Hospital Outreach Post-suicidal Engagement (HOPE) programs and place-based trials of suicide prevention approaches. We are also working to make Victoria’s mental health services safer for consumers and staff.</w:t>
      </w:r>
    </w:p>
    <w:p w14:paraId="5EE5ECD4" w14:textId="77777777" w:rsidR="007B1263" w:rsidRDefault="007B1263" w:rsidP="007B1263">
      <w:pPr>
        <w:pStyle w:val="DHHSbody"/>
      </w:pPr>
      <w:r>
        <w:t>Additional funding in the 2017–18 State Budget means that we will better meet community needs through expanded hospital and community services and better access to allied health clinicians. Specialist services such as forensic mental health have also expanded, enabling earlier intervention when people are at risk of entering the criminal justice system and better support for those with serious mental illness within the prison system. At the same time, the rollout of the National Disability Insurance Scheme is transforming the way many Victorians with a psychosocial disability receive long-term support.</w:t>
      </w:r>
    </w:p>
    <w:p w14:paraId="73BB25A3" w14:textId="3C67DDF4" w:rsidR="007B1263" w:rsidRDefault="007B1263" w:rsidP="007B1263">
      <w:pPr>
        <w:pStyle w:val="DHHSbody"/>
      </w:pPr>
      <w:r>
        <w:t>We continue to develop and expand our mental health outcomes framework to understand more about the mental health of all Victorians. The framework also helps us understand the impact of our specialist services for Victorians experiencing</w:t>
      </w:r>
      <w:r w:rsidR="00F178FC">
        <w:t xml:space="preserve"> </w:t>
      </w:r>
      <w:r>
        <w:t>serious mental illness. I am pleased that, for the first time, we are reporting the results of the ‘Your Experience of Service’ (YES) survey. These results enable us to reflect on, and respond to, consumers’ service experiences and integrate what we learn into our policy, program and service reform.</w:t>
      </w:r>
    </w:p>
    <w:p w14:paraId="6D9FC996" w14:textId="77777777" w:rsidR="007B1263" w:rsidRDefault="007B1263" w:rsidP="007B1263">
      <w:pPr>
        <w:pStyle w:val="DHHSbody"/>
      </w:pPr>
      <w:r>
        <w:t>These changes are important, but we know there is still much work to do to ensure Victorians who need our specialist mental health services receive them in the right place and at the right time. Rebuilding the mental health system will take time.</w:t>
      </w:r>
    </w:p>
    <w:p w14:paraId="26056493" w14:textId="77777777" w:rsidR="007B1263" w:rsidRDefault="007B1263" w:rsidP="007B1263">
      <w:pPr>
        <w:pStyle w:val="DHHSbody"/>
      </w:pPr>
      <w:r>
        <w:t>I would like to thank the Mental Health Expert Taskforce and its reference groups for their advice and contributions during the year. I especially thank all our contributors for sharing their deeply personal accounts of hope, resilience and recovery. They’ve highlighted to me the importance of connections to community and having a strong network to rely on, as well as relationships of trust and of feeling safe, respected and included in decisions. I am heartened by the different ways our services are working together to make a positive difference in people’s lives.</w:t>
      </w:r>
    </w:p>
    <w:p w14:paraId="652CD9B5" w14:textId="77777777" w:rsidR="007B1263" w:rsidRPr="007B1263" w:rsidRDefault="007B1263" w:rsidP="007B1263">
      <w:pPr>
        <w:pStyle w:val="DHHSbodynospace"/>
        <w:rPr>
          <w:b/>
          <w:bCs/>
        </w:rPr>
      </w:pPr>
      <w:r w:rsidRPr="007B1263">
        <w:rPr>
          <w:b/>
          <w:bCs/>
        </w:rPr>
        <w:t xml:space="preserve">Kym Peake </w:t>
      </w:r>
    </w:p>
    <w:p w14:paraId="0FAB5D16" w14:textId="3B1664FC" w:rsidR="007B1263" w:rsidRPr="007B1263" w:rsidRDefault="007B1263" w:rsidP="007B1263">
      <w:pPr>
        <w:pStyle w:val="DHHSbodynospace"/>
        <w:rPr>
          <w:b/>
          <w:bCs/>
        </w:rPr>
      </w:pPr>
      <w:r w:rsidRPr="007B1263">
        <w:rPr>
          <w:b/>
          <w:bCs/>
        </w:rPr>
        <w:t>Secretary</w:t>
      </w:r>
    </w:p>
    <w:p w14:paraId="3C1ECA91" w14:textId="77777777" w:rsidR="007B1263" w:rsidRPr="007B1263" w:rsidRDefault="007B1263" w:rsidP="007B1263">
      <w:pPr>
        <w:pStyle w:val="DHHSbodynospace"/>
        <w:rPr>
          <w:b/>
          <w:bCs/>
        </w:rPr>
      </w:pPr>
      <w:r w:rsidRPr="007B1263">
        <w:rPr>
          <w:b/>
          <w:bCs/>
        </w:rPr>
        <w:t>Department of Health and Human Services</w:t>
      </w:r>
    </w:p>
    <w:p w14:paraId="467A5CEB" w14:textId="77777777" w:rsidR="007B1263" w:rsidRDefault="007B1263">
      <w:pPr>
        <w:rPr>
          <w:rFonts w:ascii="Arial" w:eastAsia="Times" w:hAnsi="Arial"/>
        </w:rPr>
      </w:pPr>
      <w:r>
        <w:br w:type="page"/>
      </w:r>
    </w:p>
    <w:p w14:paraId="3B446796" w14:textId="7E543913" w:rsidR="007B1263" w:rsidRDefault="00891681" w:rsidP="00891681">
      <w:pPr>
        <w:pStyle w:val="Heading1"/>
      </w:pPr>
      <w:bookmarkStart w:id="4" w:name="_Toc28340178"/>
      <w:r>
        <w:lastRenderedPageBreak/>
        <w:t>The year at a glance</w:t>
      </w:r>
      <w:bookmarkEnd w:id="4"/>
    </w:p>
    <w:p w14:paraId="6A824F72" w14:textId="465052FC" w:rsidR="00473F72" w:rsidRDefault="00473F72" w:rsidP="00473F72">
      <w:pPr>
        <w:pStyle w:val="Heading2"/>
      </w:pPr>
      <w:bookmarkStart w:id="5" w:name="_Toc28340179"/>
      <w:r>
        <w:t xml:space="preserve">Key </w:t>
      </w:r>
      <w:r w:rsidR="00AA58E7">
        <w:t>statistics</w:t>
      </w:r>
      <w:bookmarkEnd w:id="5"/>
    </w:p>
    <w:p w14:paraId="2D03B50F" w14:textId="62838496" w:rsidR="007B1263" w:rsidRDefault="007B1263" w:rsidP="007B1263">
      <w:pPr>
        <w:pStyle w:val="DHHSbody"/>
      </w:pPr>
      <w:r>
        <w:t>66,445</w:t>
      </w:r>
      <w:r w:rsidR="00891681">
        <w:t xml:space="preserve"> </w:t>
      </w:r>
      <w:r>
        <w:t>registered clients</w:t>
      </w:r>
    </w:p>
    <w:p w14:paraId="487E8C79" w14:textId="2CD3C352" w:rsidR="007B1263" w:rsidRDefault="007B1263" w:rsidP="007B1263">
      <w:pPr>
        <w:pStyle w:val="DHHSbody"/>
      </w:pPr>
      <w:r>
        <w:t>10,723</w:t>
      </w:r>
      <w:r w:rsidR="00747FC9">
        <w:t xml:space="preserve"> </w:t>
      </w:r>
      <w:r>
        <w:t>child and adolescent clients</w:t>
      </w:r>
    </w:p>
    <w:p w14:paraId="5E0177C7" w14:textId="3335755D" w:rsidR="007B1263" w:rsidRDefault="007B1263" w:rsidP="007B1263">
      <w:pPr>
        <w:pStyle w:val="DHHSbody"/>
      </w:pPr>
      <w:r>
        <w:t>51,735</w:t>
      </w:r>
      <w:r w:rsidR="00747FC9">
        <w:t xml:space="preserve"> </w:t>
      </w:r>
      <w:r>
        <w:t>adult clients</w:t>
      </w:r>
    </w:p>
    <w:p w14:paraId="65ADEC2D" w14:textId="60E53DC6" w:rsidR="007B1263" w:rsidRDefault="007B1263" w:rsidP="007B1263">
      <w:pPr>
        <w:pStyle w:val="DHHSbody"/>
      </w:pPr>
      <w:r>
        <w:t>7,396</w:t>
      </w:r>
      <w:r w:rsidR="00747FC9">
        <w:t xml:space="preserve"> </w:t>
      </w:r>
      <w:r>
        <w:t>aged clients</w:t>
      </w:r>
    </w:p>
    <w:p w14:paraId="5A434A3A" w14:textId="77777777" w:rsidR="00473F72" w:rsidRDefault="007B1263" w:rsidP="00473F72">
      <w:pPr>
        <w:pStyle w:val="DHHSbody"/>
      </w:pPr>
      <w:r>
        <w:t>75</w:t>
      </w:r>
      <w:r w:rsidR="00473F72">
        <w:t>1</w:t>
      </w:r>
      <w:r w:rsidR="00473F72" w:rsidRPr="00473F72">
        <w:t xml:space="preserve"> </w:t>
      </w:r>
      <w:r w:rsidR="00473F72">
        <w:t>forensic clients</w:t>
      </w:r>
    </w:p>
    <w:p w14:paraId="4C4CF3D9" w14:textId="3EC3027D" w:rsidR="00473F72" w:rsidRDefault="00473F72" w:rsidP="00473F72">
      <w:pPr>
        <w:pStyle w:val="DHHSbody"/>
      </w:pPr>
      <w:r>
        <w:t>1,817 specialist clients</w:t>
      </w:r>
    </w:p>
    <w:p w14:paraId="00BDC893" w14:textId="23377580" w:rsidR="007B1263" w:rsidRDefault="007B1263" w:rsidP="007B1263">
      <w:pPr>
        <w:pStyle w:val="DHHSbody"/>
      </w:pPr>
      <w:r>
        <w:t>36.6%</w:t>
      </w:r>
      <w:r w:rsidR="00747FC9">
        <w:t xml:space="preserve"> </w:t>
      </w:r>
      <w:r>
        <w:t>new clients</w:t>
      </w:r>
    </w:p>
    <w:p w14:paraId="119E6285" w14:textId="180F94D8" w:rsidR="007B1263" w:rsidRDefault="007B1263" w:rsidP="007B1263">
      <w:pPr>
        <w:pStyle w:val="DHHSbody"/>
      </w:pPr>
      <w:r>
        <w:t>11,337</w:t>
      </w:r>
      <w:r w:rsidR="00747FC9">
        <w:t xml:space="preserve"> </w:t>
      </w:r>
      <w:r>
        <w:t>Mental Health Community Support Services clients</w:t>
      </w:r>
    </w:p>
    <w:p w14:paraId="72981B43" w14:textId="7BFA120E" w:rsidR="007B1263" w:rsidRDefault="007B1263" w:rsidP="007B1263">
      <w:pPr>
        <w:pStyle w:val="DHHSbody"/>
      </w:pPr>
      <w:r>
        <w:t>$1.26 billion</w:t>
      </w:r>
      <w:r w:rsidR="00747FC9">
        <w:t xml:space="preserve"> </w:t>
      </w:r>
      <w:r>
        <w:t>clinical services</w:t>
      </w:r>
    </w:p>
    <w:p w14:paraId="677570E7" w14:textId="2F4B736F" w:rsidR="007B1263" w:rsidRDefault="007B1263" w:rsidP="007B1263">
      <w:pPr>
        <w:pStyle w:val="DHHSbody"/>
      </w:pPr>
      <w:r>
        <w:t>$125 million</w:t>
      </w:r>
      <w:r w:rsidR="00747FC9">
        <w:t xml:space="preserve"> </w:t>
      </w:r>
      <w:r>
        <w:t>Mental Health Community Support Services</w:t>
      </w:r>
    </w:p>
    <w:p w14:paraId="305D0F0B" w14:textId="77777777" w:rsidR="009539B5" w:rsidRDefault="009539B5">
      <w:pPr>
        <w:sectPr w:rsidR="009539B5" w:rsidSect="009539B5">
          <w:pgSz w:w="11910" w:h="16840"/>
          <w:pgMar w:top="1701" w:right="1304" w:bottom="1134" w:left="1304" w:header="720" w:footer="720" w:gutter="0"/>
          <w:pgNumType w:fmt="lowerRoman"/>
          <w:cols w:space="720"/>
        </w:sectPr>
      </w:pPr>
    </w:p>
    <w:p w14:paraId="7FA06E8B" w14:textId="28D6BD07" w:rsidR="007B1263" w:rsidRDefault="007B1263" w:rsidP="00891681">
      <w:pPr>
        <w:pStyle w:val="Heading1"/>
      </w:pPr>
      <w:bookmarkStart w:id="6" w:name="_Toc28340180"/>
      <w:r>
        <w:lastRenderedPageBreak/>
        <w:t>1.</w:t>
      </w:r>
      <w:r>
        <w:tab/>
      </w:r>
      <w:r w:rsidR="00891681">
        <w:t xml:space="preserve">Progressing </w:t>
      </w:r>
      <w:r>
        <w:t>V</w:t>
      </w:r>
      <w:r w:rsidR="00891681">
        <w:t>ictoria’s 10-year mental health plan</w:t>
      </w:r>
      <w:bookmarkEnd w:id="6"/>
    </w:p>
    <w:p w14:paraId="48BDC4C7" w14:textId="77777777" w:rsidR="007B1263" w:rsidRDefault="007B1263" w:rsidP="007B1263">
      <w:pPr>
        <w:pStyle w:val="DHHSbody"/>
      </w:pPr>
      <w:r w:rsidRPr="003F7650">
        <w:rPr>
          <w:i/>
        </w:rPr>
        <w:t>Victoria’s 10-year mental health plan</w:t>
      </w:r>
      <w:r>
        <w:t>, released in November 2015, outlines the government’s long-term aim to achieve better outcomes for Victorians with mental illness, their families and carers.</w:t>
      </w:r>
    </w:p>
    <w:p w14:paraId="3332F0EB" w14:textId="77777777" w:rsidR="007B1263" w:rsidRDefault="007B1263" w:rsidP="007B1263">
      <w:pPr>
        <w:pStyle w:val="DHHSbody"/>
      </w:pPr>
      <w:r>
        <w:t>Our goal is that all Victorians experience their best possible health, including mental health. We want to create a healthier, fairer and more inclusive society. That means good mental health for everyone, particularly people who are disadvantaged and vulnerable. We want people living with mental illness to receive the same respect and have the same opportunities as everyone else.</w:t>
      </w:r>
    </w:p>
    <w:p w14:paraId="4C1259AF" w14:textId="1B1A8A07" w:rsidR="007B1263" w:rsidRDefault="007B1263" w:rsidP="007B1263">
      <w:pPr>
        <w:pStyle w:val="DHHSbody"/>
      </w:pPr>
      <w:r>
        <w:t xml:space="preserve">The Mental Health Expert Taskforce guides implementation of the </w:t>
      </w:r>
      <w:r w:rsidRPr="003F7650">
        <w:rPr>
          <w:i/>
        </w:rPr>
        <w:t>10-year mental health plan</w:t>
      </w:r>
      <w:r>
        <w:t xml:space="preserve"> and advises the Minister for Mental Health on reform priorities and effective monitoring</w:t>
      </w:r>
      <w:r w:rsidR="00747FC9">
        <w:t xml:space="preserve"> </w:t>
      </w:r>
      <w:r>
        <w:t>of the plan’s outcomes. Monitoring progress is important. In 2015–16 we developed and</w:t>
      </w:r>
      <w:r w:rsidR="00747FC9">
        <w:t xml:space="preserve"> </w:t>
      </w:r>
      <w:r>
        <w:t>published an outcomes framework to measure our progress and better understand the impact of our programs and services on people’s lives (see Table 1).</w:t>
      </w:r>
    </w:p>
    <w:p w14:paraId="72A4F785" w14:textId="527226E3" w:rsidR="007B1263" w:rsidRDefault="007B1263" w:rsidP="007B1263">
      <w:pPr>
        <w:pStyle w:val="DHHSbody"/>
      </w:pPr>
      <w:r>
        <w:t>Our framework brings together information about the mental health of all Victorians from a range</w:t>
      </w:r>
      <w:r w:rsidR="00747FC9">
        <w:t xml:space="preserve"> </w:t>
      </w:r>
      <w:r>
        <w:t>of sources including Victorian population health surveys and national mental health-related surveys. It also includes a range of information relating to people who receive treatment, care and support from specialist mental health services.</w:t>
      </w:r>
    </w:p>
    <w:p w14:paraId="45D1302C" w14:textId="4F223715" w:rsidR="007B1263" w:rsidRDefault="007B1263" w:rsidP="007B1263">
      <w:pPr>
        <w:pStyle w:val="DHHSbody"/>
      </w:pPr>
      <w:r>
        <w:t>Over the past year we have expanded the framework based on input from Victorian clinicians, consumers, carers and leading mental health researchers. To help us build a better understanding of what we are doing well and what we need to do differently, we have incorporated results from the statewide ‘Your Experience</w:t>
      </w:r>
      <w:r w:rsidR="00747FC9">
        <w:t xml:space="preserve"> </w:t>
      </w:r>
      <w:r>
        <w:t>of Service’ (YES) survey and information on compulsory treatment duration.</w:t>
      </w:r>
    </w:p>
    <w:p w14:paraId="0531EA38" w14:textId="6AC800CF" w:rsidR="007B1263" w:rsidRDefault="007B1263" w:rsidP="007B1263">
      <w:pPr>
        <w:pStyle w:val="DHHSbody"/>
      </w:pPr>
      <w:r>
        <w:t>We will continue to build the framework as more data becomes available, to provide further information about mental health outcomes for Victorians. We are also developing an evaluation framework to evaluate individual initiatives under the plan.</w:t>
      </w:r>
    </w:p>
    <w:tbl>
      <w:tblPr>
        <w:tblStyle w:val="TableGrid"/>
        <w:tblW w:w="0" w:type="auto"/>
        <w:tblLook w:val="04A0" w:firstRow="1" w:lastRow="0" w:firstColumn="1" w:lastColumn="0" w:noHBand="0" w:noVBand="1"/>
      </w:tblPr>
      <w:tblGrid>
        <w:gridCol w:w="9184"/>
      </w:tblGrid>
      <w:tr w:rsidR="00E73FF0" w14:paraId="7B3F503E" w14:textId="77777777" w:rsidTr="00E73FF0">
        <w:tc>
          <w:tcPr>
            <w:tcW w:w="9288" w:type="dxa"/>
          </w:tcPr>
          <w:p w14:paraId="5FF95503" w14:textId="4356864E" w:rsidR="00E73FF0" w:rsidRDefault="00E73FF0" w:rsidP="00F178FC">
            <w:pPr>
              <w:pStyle w:val="DHHSbody"/>
            </w:pPr>
            <w:r w:rsidRPr="00473F72">
              <w:t>During 201</w:t>
            </w:r>
            <w:r w:rsidR="00F178FC">
              <w:t>6–</w:t>
            </w:r>
            <w:r w:rsidRPr="00473F72">
              <w:t>17 the Mental Health Expert</w:t>
            </w:r>
            <w:r>
              <w:t xml:space="preserve"> </w:t>
            </w:r>
            <w:r w:rsidRPr="00473F72">
              <w:t>Taskforce has provided expert advice on</w:t>
            </w:r>
            <w:r>
              <w:t xml:space="preserve"> </w:t>
            </w:r>
            <w:r w:rsidRPr="00473F72">
              <w:t>the implementation of suicide prevention</w:t>
            </w:r>
            <w:r>
              <w:t xml:space="preserve"> </w:t>
            </w:r>
            <w:r w:rsidRPr="00473F72">
              <w:t>initiatives, approaches to child and youth</w:t>
            </w:r>
            <w:r>
              <w:t xml:space="preserve"> </w:t>
            </w:r>
            <w:r w:rsidRPr="00473F72">
              <w:t>mental health, planning of workforce</w:t>
            </w:r>
            <w:r w:rsidR="00F178FC">
              <w:t xml:space="preserve"> </w:t>
            </w:r>
            <w:r w:rsidRPr="00473F72">
              <w:t>initiatives including the Centre for</w:t>
            </w:r>
            <w:r>
              <w:t xml:space="preserve"> </w:t>
            </w:r>
            <w:r w:rsidRPr="00473F72">
              <w:t>Workforce Development, the development</w:t>
            </w:r>
            <w:r>
              <w:t xml:space="preserve"> </w:t>
            </w:r>
            <w:r w:rsidRPr="00473F72">
              <w:t>of an Aboriginal social and emotional</w:t>
            </w:r>
            <w:r>
              <w:t xml:space="preserve"> </w:t>
            </w:r>
            <w:r w:rsidRPr="00473F72">
              <w:t>wellbeing framework and the development</w:t>
            </w:r>
            <w:r>
              <w:t xml:space="preserve"> </w:t>
            </w:r>
            <w:r w:rsidRPr="00473F72">
              <w:t>of additional indicators measuring</w:t>
            </w:r>
            <w:r>
              <w:t xml:space="preserve"> </w:t>
            </w:r>
            <w:r w:rsidRPr="00473F72">
              <w:t xml:space="preserve">progress under </w:t>
            </w:r>
            <w:r w:rsidRPr="00E73FF0">
              <w:rPr>
                <w:i/>
                <w:iCs/>
              </w:rPr>
              <w:t>Victoria’s 10-year mental health plan</w:t>
            </w:r>
            <w:r w:rsidRPr="00473F72">
              <w:t>.</w:t>
            </w:r>
            <w:r>
              <w:t xml:space="preserve"> </w:t>
            </w:r>
          </w:p>
        </w:tc>
      </w:tr>
    </w:tbl>
    <w:p w14:paraId="0B883EDF" w14:textId="6C0508FC" w:rsidR="007B1263" w:rsidRDefault="007B1263" w:rsidP="00F468CD">
      <w:pPr>
        <w:pStyle w:val="DHHStablecaption"/>
      </w:pPr>
      <w:r>
        <w:t>Table 1: Victoria’s 10-year mental health plan – outcomes</w:t>
      </w:r>
    </w:p>
    <w:p w14:paraId="0EAB9B9B" w14:textId="0B203531" w:rsidR="00F468CD" w:rsidRDefault="001132C4" w:rsidP="001132C4">
      <w:pPr>
        <w:pStyle w:val="DHHStabletext"/>
      </w:pPr>
      <w:r>
        <w:t>Vision: A</w:t>
      </w:r>
      <w:r w:rsidRPr="001132C4">
        <w:t xml:space="preserve">ll </w:t>
      </w:r>
      <w:r>
        <w:t>V</w:t>
      </w:r>
      <w:r w:rsidRPr="001132C4">
        <w:t>ictorians experience their best possible health, including mental health</w:t>
      </w:r>
    </w:p>
    <w:tbl>
      <w:tblPr>
        <w:tblStyle w:val="TableGrid"/>
        <w:tblW w:w="0" w:type="auto"/>
        <w:tblLook w:val="04A0" w:firstRow="1" w:lastRow="0" w:firstColumn="1" w:lastColumn="0" w:noHBand="0" w:noVBand="1"/>
      </w:tblPr>
      <w:tblGrid>
        <w:gridCol w:w="2137"/>
        <w:gridCol w:w="7043"/>
      </w:tblGrid>
      <w:tr w:rsidR="001132C4" w14:paraId="53943EF7" w14:textId="77777777" w:rsidTr="001132C4">
        <w:trPr>
          <w:tblHeader/>
        </w:trPr>
        <w:tc>
          <w:tcPr>
            <w:tcW w:w="2137" w:type="dxa"/>
          </w:tcPr>
          <w:p w14:paraId="03D61201" w14:textId="3083AF49" w:rsidR="001132C4" w:rsidRDefault="001132C4" w:rsidP="001132C4">
            <w:pPr>
              <w:pStyle w:val="DHHStablecolhead"/>
            </w:pPr>
            <w:r w:rsidRPr="00F468CD">
              <w:t>Domains</w:t>
            </w:r>
          </w:p>
        </w:tc>
        <w:tc>
          <w:tcPr>
            <w:tcW w:w="7043" w:type="dxa"/>
          </w:tcPr>
          <w:p w14:paraId="467D64E3" w14:textId="46E8489A" w:rsidR="001132C4" w:rsidRDefault="001132C4" w:rsidP="001132C4">
            <w:pPr>
              <w:pStyle w:val="DHHStablecolhead"/>
            </w:pPr>
            <w:r w:rsidRPr="00F468CD">
              <w:t>Outcomes</w:t>
            </w:r>
          </w:p>
        </w:tc>
      </w:tr>
      <w:tr w:rsidR="001132C4" w14:paraId="0B0A198B" w14:textId="77777777" w:rsidTr="001132C4">
        <w:tc>
          <w:tcPr>
            <w:tcW w:w="2137" w:type="dxa"/>
          </w:tcPr>
          <w:p w14:paraId="79407626" w14:textId="6B1D5CB7" w:rsidR="001132C4" w:rsidRDefault="001132C4" w:rsidP="001132C4">
            <w:pPr>
              <w:pStyle w:val="DHHStabletext"/>
            </w:pPr>
            <w:r w:rsidRPr="00F468CD">
              <w:t>Victorians have good mental health and wellbeing</w:t>
            </w:r>
          </w:p>
        </w:tc>
        <w:tc>
          <w:tcPr>
            <w:tcW w:w="7043" w:type="dxa"/>
          </w:tcPr>
          <w:p w14:paraId="607AC3ED" w14:textId="77777777" w:rsidR="001132C4" w:rsidRPr="00F468CD" w:rsidRDefault="001132C4" w:rsidP="001132C4">
            <w:pPr>
              <w:pStyle w:val="DHHStabletext"/>
              <w:numPr>
                <w:ilvl w:val="0"/>
                <w:numId w:val="46"/>
              </w:numPr>
              <w:ind w:left="552"/>
            </w:pPr>
            <w:r w:rsidRPr="00F468CD">
              <w:t>Victorians have good mental health and wellbeing at all ages and stages of life</w:t>
            </w:r>
          </w:p>
          <w:p w14:paraId="60BB4738" w14:textId="77777777" w:rsidR="001132C4" w:rsidRPr="00F468CD" w:rsidRDefault="001132C4" w:rsidP="001132C4">
            <w:pPr>
              <w:pStyle w:val="DHHStabletext"/>
              <w:numPr>
                <w:ilvl w:val="0"/>
                <w:numId w:val="46"/>
              </w:numPr>
              <w:ind w:left="552"/>
            </w:pPr>
            <w:r w:rsidRPr="00F468CD">
              <w:t>The gap in mental health and wellbeing for at-risk groups is reduced</w:t>
            </w:r>
          </w:p>
          <w:p w14:paraId="0BA80D4F" w14:textId="4C360A42" w:rsidR="001132C4" w:rsidRDefault="001132C4" w:rsidP="001132C4">
            <w:pPr>
              <w:pStyle w:val="DHHStabletext"/>
              <w:numPr>
                <w:ilvl w:val="0"/>
                <w:numId w:val="46"/>
              </w:numPr>
              <w:ind w:left="552"/>
            </w:pPr>
            <w:r w:rsidRPr="00F468CD">
              <w:t>The gap in mental health and wellbeing for Aboriginal Victorians is reduced</w:t>
            </w:r>
          </w:p>
          <w:p w14:paraId="390189A4" w14:textId="49133AA2" w:rsidR="001132C4" w:rsidRDefault="001132C4" w:rsidP="001132C4">
            <w:pPr>
              <w:pStyle w:val="DHHStabletext"/>
              <w:numPr>
                <w:ilvl w:val="0"/>
                <w:numId w:val="46"/>
              </w:numPr>
              <w:ind w:left="552"/>
            </w:pPr>
            <w:r w:rsidRPr="00F468CD">
              <w:t>The rate of suicide is reduced</w:t>
            </w:r>
          </w:p>
        </w:tc>
      </w:tr>
      <w:tr w:rsidR="001132C4" w14:paraId="4FFCCC5F" w14:textId="77777777" w:rsidTr="001132C4">
        <w:tc>
          <w:tcPr>
            <w:tcW w:w="2137" w:type="dxa"/>
          </w:tcPr>
          <w:p w14:paraId="1D82AF7B" w14:textId="01BD35C4" w:rsidR="001132C4" w:rsidRDefault="001132C4" w:rsidP="001132C4">
            <w:pPr>
              <w:pStyle w:val="DHHStabletext"/>
            </w:pPr>
            <w:r w:rsidRPr="00F468CD">
              <w:t xml:space="preserve">Victorians promote mental health for all </w:t>
            </w:r>
            <w:r w:rsidRPr="00F468CD">
              <w:lastRenderedPageBreak/>
              <w:t>ages and stages of life</w:t>
            </w:r>
          </w:p>
        </w:tc>
        <w:tc>
          <w:tcPr>
            <w:tcW w:w="7043" w:type="dxa"/>
          </w:tcPr>
          <w:p w14:paraId="52C45CAB" w14:textId="77777777" w:rsidR="001132C4" w:rsidRPr="00F468CD" w:rsidRDefault="001132C4" w:rsidP="001132C4">
            <w:pPr>
              <w:pStyle w:val="DHHStabletext"/>
              <w:numPr>
                <w:ilvl w:val="0"/>
                <w:numId w:val="46"/>
              </w:numPr>
              <w:ind w:left="552"/>
            </w:pPr>
            <w:r w:rsidRPr="00F468CD">
              <w:lastRenderedPageBreak/>
              <w:t>Victorians with mental illness have good physical health and wellbeing</w:t>
            </w:r>
          </w:p>
          <w:p w14:paraId="3992CE30" w14:textId="5223FC5D" w:rsidR="001132C4" w:rsidRDefault="001132C4" w:rsidP="001132C4">
            <w:pPr>
              <w:pStyle w:val="DHHStabletext"/>
              <w:numPr>
                <w:ilvl w:val="0"/>
                <w:numId w:val="46"/>
              </w:numPr>
              <w:ind w:left="552"/>
            </w:pPr>
            <w:r w:rsidRPr="00F468CD">
              <w:lastRenderedPageBreak/>
              <w:t>Victorians with mental illness are supported to protect and promote health</w:t>
            </w:r>
          </w:p>
        </w:tc>
      </w:tr>
      <w:tr w:rsidR="001132C4" w14:paraId="5F76B16A" w14:textId="77777777" w:rsidTr="001132C4">
        <w:tc>
          <w:tcPr>
            <w:tcW w:w="2137" w:type="dxa"/>
          </w:tcPr>
          <w:p w14:paraId="3039368C" w14:textId="49957060" w:rsidR="001132C4" w:rsidRDefault="001132C4" w:rsidP="001132C4">
            <w:pPr>
              <w:pStyle w:val="DHHStabletext"/>
            </w:pPr>
            <w:r w:rsidRPr="00F468CD">
              <w:lastRenderedPageBreak/>
              <w:t>Victorians with mental illness live fulfilling lives of their choosing, with or without symptoms of mental illness</w:t>
            </w:r>
          </w:p>
        </w:tc>
        <w:tc>
          <w:tcPr>
            <w:tcW w:w="7043" w:type="dxa"/>
          </w:tcPr>
          <w:p w14:paraId="0504DEA2" w14:textId="77777777" w:rsidR="001132C4" w:rsidRPr="00F468CD" w:rsidRDefault="001132C4" w:rsidP="001132C4">
            <w:pPr>
              <w:pStyle w:val="DHHStabletext"/>
              <w:numPr>
                <w:ilvl w:val="0"/>
                <w:numId w:val="46"/>
              </w:numPr>
              <w:ind w:left="552"/>
            </w:pPr>
            <w:r w:rsidRPr="00F468CD">
              <w:t>Victorians with mental illness participate in learning and education</w:t>
            </w:r>
          </w:p>
          <w:p w14:paraId="26DD9278" w14:textId="77777777" w:rsidR="001132C4" w:rsidRPr="00F468CD" w:rsidRDefault="001132C4" w:rsidP="001132C4">
            <w:pPr>
              <w:pStyle w:val="DHHStabletext"/>
              <w:numPr>
                <w:ilvl w:val="0"/>
                <w:numId w:val="46"/>
              </w:numPr>
              <w:ind w:left="552"/>
            </w:pPr>
            <w:r w:rsidRPr="00F468CD">
              <w:t>Victorians with mental illness participate in and contribute to the economy</w:t>
            </w:r>
          </w:p>
          <w:p w14:paraId="1D48C01D" w14:textId="77777777" w:rsidR="001132C4" w:rsidRPr="00F468CD" w:rsidRDefault="001132C4" w:rsidP="001132C4">
            <w:pPr>
              <w:pStyle w:val="DHHStabletext"/>
              <w:numPr>
                <w:ilvl w:val="0"/>
                <w:numId w:val="46"/>
              </w:numPr>
              <w:ind w:left="552"/>
            </w:pPr>
            <w:r w:rsidRPr="00F468CD">
              <w:t>Victorians with mental illness have financial security</w:t>
            </w:r>
          </w:p>
          <w:p w14:paraId="0AFEED0F" w14:textId="77777777" w:rsidR="001132C4" w:rsidRPr="00F468CD" w:rsidRDefault="001132C4" w:rsidP="001132C4">
            <w:pPr>
              <w:pStyle w:val="DHHStabletext"/>
              <w:numPr>
                <w:ilvl w:val="0"/>
                <w:numId w:val="46"/>
              </w:numPr>
              <w:ind w:left="552"/>
            </w:pPr>
            <w:r w:rsidRPr="00F468CD">
              <w:t>Victorians with mental illness are socially engaged and live in inclusive communities</w:t>
            </w:r>
          </w:p>
          <w:p w14:paraId="70D907BA" w14:textId="77777777" w:rsidR="001132C4" w:rsidRPr="00F468CD" w:rsidRDefault="001132C4" w:rsidP="001132C4">
            <w:pPr>
              <w:pStyle w:val="DHHStabletext"/>
              <w:numPr>
                <w:ilvl w:val="0"/>
                <w:numId w:val="46"/>
              </w:numPr>
              <w:ind w:left="552"/>
            </w:pPr>
            <w:r w:rsidRPr="00F468CD">
              <w:t>Victorians with mental illness live free from abuse or violence, and have reduced contact with the criminal justice system</w:t>
            </w:r>
          </w:p>
          <w:p w14:paraId="1DEE7121" w14:textId="510A5C03" w:rsidR="001132C4" w:rsidRDefault="001132C4" w:rsidP="001132C4">
            <w:pPr>
              <w:pStyle w:val="DHHStabletext"/>
              <w:numPr>
                <w:ilvl w:val="0"/>
                <w:numId w:val="46"/>
              </w:numPr>
              <w:ind w:left="552"/>
            </w:pPr>
            <w:r w:rsidRPr="00F468CD">
              <w:t>Victorians with mental illness have suitable and stable housing</w:t>
            </w:r>
          </w:p>
        </w:tc>
      </w:tr>
      <w:tr w:rsidR="001132C4" w14:paraId="6CD44D15" w14:textId="77777777" w:rsidTr="001132C4">
        <w:tc>
          <w:tcPr>
            <w:tcW w:w="2137" w:type="dxa"/>
          </w:tcPr>
          <w:p w14:paraId="678112B6" w14:textId="1578B93B" w:rsidR="001132C4" w:rsidRDefault="001132C4" w:rsidP="001132C4">
            <w:pPr>
              <w:pStyle w:val="DHHStabletext"/>
            </w:pPr>
            <w:r w:rsidRPr="00F468CD">
              <w:t>The service system is accessible, flexible and responsive to people of all ages, their families and carers, and the workforce is supported to deliver this</w:t>
            </w:r>
          </w:p>
        </w:tc>
        <w:tc>
          <w:tcPr>
            <w:tcW w:w="7043" w:type="dxa"/>
          </w:tcPr>
          <w:p w14:paraId="5366D39D" w14:textId="77777777" w:rsidR="001132C4" w:rsidRPr="00F468CD" w:rsidRDefault="001132C4" w:rsidP="001132C4">
            <w:pPr>
              <w:pStyle w:val="DHHStabletext"/>
              <w:numPr>
                <w:ilvl w:val="0"/>
                <w:numId w:val="46"/>
              </w:numPr>
              <w:ind w:left="552"/>
            </w:pPr>
            <w:r w:rsidRPr="00F468CD">
              <w:t>The treatment and support that Victorians with mental illness, their families and carers need is available in the right place at the right time</w:t>
            </w:r>
          </w:p>
          <w:p w14:paraId="2AD11D4E" w14:textId="77777777" w:rsidR="001132C4" w:rsidRPr="00F468CD" w:rsidRDefault="001132C4" w:rsidP="001132C4">
            <w:pPr>
              <w:pStyle w:val="DHHStabletext"/>
              <w:numPr>
                <w:ilvl w:val="0"/>
                <w:numId w:val="46"/>
              </w:numPr>
              <w:ind w:left="552"/>
            </w:pPr>
            <w:r w:rsidRPr="00F468CD">
              <w:t>Services are recovery-oriented, trauma-informed and family-inclusive</w:t>
            </w:r>
          </w:p>
          <w:p w14:paraId="335E0910" w14:textId="77777777" w:rsidR="001132C4" w:rsidRPr="00F468CD" w:rsidRDefault="001132C4" w:rsidP="001132C4">
            <w:pPr>
              <w:pStyle w:val="DHHStabletext"/>
              <w:numPr>
                <w:ilvl w:val="0"/>
                <w:numId w:val="46"/>
              </w:numPr>
              <w:ind w:left="552"/>
            </w:pPr>
            <w:r w:rsidRPr="00F468CD">
              <w:t>Victorians with mental illness, their families and carers are treated with respect by services</w:t>
            </w:r>
          </w:p>
          <w:p w14:paraId="5DB7BCD6" w14:textId="398E687B" w:rsidR="001132C4" w:rsidRDefault="001132C4" w:rsidP="001132C4">
            <w:pPr>
              <w:pStyle w:val="DHHStabletext"/>
              <w:numPr>
                <w:ilvl w:val="0"/>
                <w:numId w:val="46"/>
              </w:numPr>
              <w:ind w:left="552"/>
            </w:pPr>
            <w:r w:rsidRPr="00F468CD">
              <w:t>Services are safe, of high quality, offer choice and provide a positive service experience</w:t>
            </w:r>
          </w:p>
        </w:tc>
      </w:tr>
    </w:tbl>
    <w:p w14:paraId="724C3646" w14:textId="490CE4A0" w:rsidR="007B1263" w:rsidRDefault="00D9699A" w:rsidP="00D9699A">
      <w:pPr>
        <w:pStyle w:val="Heading2"/>
      </w:pPr>
      <w:bookmarkStart w:id="7" w:name="_Toc28340181"/>
      <w:r>
        <w:t>Key initiatives in</w:t>
      </w:r>
      <w:r w:rsidR="007B1263">
        <w:t xml:space="preserve"> 2016–17</w:t>
      </w:r>
      <w:bookmarkEnd w:id="7"/>
    </w:p>
    <w:p w14:paraId="70CB1ACC" w14:textId="1D986778" w:rsidR="007B1263" w:rsidRDefault="00D9699A" w:rsidP="001132C4">
      <w:pPr>
        <w:pStyle w:val="Heading3"/>
      </w:pPr>
      <w:r>
        <w:t>Preventing suicide in local communities</w:t>
      </w:r>
    </w:p>
    <w:p w14:paraId="01ECFC67" w14:textId="207A19E1" w:rsidR="00482F7B" w:rsidRPr="00482F7B" w:rsidRDefault="00482F7B" w:rsidP="00482F7B">
      <w:pPr>
        <w:pStyle w:val="DHHSbody"/>
        <w:rPr>
          <w:b/>
          <w:bCs/>
        </w:rPr>
      </w:pPr>
      <w:r w:rsidRPr="00482F7B">
        <w:rPr>
          <w:b/>
          <w:bCs/>
        </w:rPr>
        <w:t>OUTCOME: The rate of suicide is reduced.</w:t>
      </w:r>
    </w:p>
    <w:p w14:paraId="55C72AE6" w14:textId="01BB1A4F" w:rsidR="007B1263" w:rsidRDefault="007B1263" w:rsidP="007B1263">
      <w:pPr>
        <w:pStyle w:val="DHHSbody"/>
      </w:pPr>
      <w:r>
        <w:t xml:space="preserve">The </w:t>
      </w:r>
      <w:r w:rsidRPr="003F7650">
        <w:rPr>
          <w:i/>
        </w:rPr>
        <w:t>Victorian suicide prevention framework 2016–25</w:t>
      </w:r>
      <w:r>
        <w:t xml:space="preserve">, released in July 2016, is a key component of our </w:t>
      </w:r>
      <w:r w:rsidRPr="003F7650">
        <w:rPr>
          <w:i/>
        </w:rPr>
        <w:t>10-year mental health plan</w:t>
      </w:r>
      <w:r>
        <w:t>. In 2016 we lost 624 Victorians to suicide – more than double the road toll. For every suicide there are many more people – family, friends, carers, colleagues and communities – who are deeply affected. We know that suicide is complex but preventable.</w:t>
      </w:r>
    </w:p>
    <w:p w14:paraId="54C5A573" w14:textId="77777777" w:rsidR="007B1263" w:rsidRDefault="007B1263" w:rsidP="007B1263">
      <w:pPr>
        <w:pStyle w:val="DHHSbody"/>
      </w:pPr>
      <w:r>
        <w:t>We have seen a reduction in the number of suicides in Victoria (624 in 2016, compared to 654 in 2015), and remain committed to halving Victoria's suicide rate by 2025.</w:t>
      </w:r>
    </w:p>
    <w:p w14:paraId="046B87D4" w14:textId="525AD570" w:rsidR="007B1263" w:rsidRDefault="007B1263" w:rsidP="007B1263">
      <w:pPr>
        <w:pStyle w:val="DHHSbody"/>
      </w:pPr>
      <w:r>
        <w:t>Under two ﬂagship suicide prevention initiatives that began in 2016–17, we are helping vulnerable Victorians who have attempted suicide to get the intensive support they need to recover and supporting 12 Victorian communities to prevent suicide through place-based workforce training,</w:t>
      </w:r>
      <w:r w:rsidR="00482F7B">
        <w:t xml:space="preserve"> </w:t>
      </w:r>
      <w:r>
        <w:t>school-based support and mental health literacy.</w:t>
      </w:r>
    </w:p>
    <w:p w14:paraId="2C468571" w14:textId="77777777" w:rsidR="007B1263" w:rsidRDefault="007B1263" w:rsidP="007B1263">
      <w:pPr>
        <w:pStyle w:val="DHHSbody"/>
      </w:pPr>
      <w:r>
        <w:t>An important part of these initiatives is developing culturally appropriate and safe suicide prevention approaches.</w:t>
      </w:r>
    </w:p>
    <w:p w14:paraId="287A0716" w14:textId="77777777" w:rsidR="007B1263" w:rsidRDefault="007B1263" w:rsidP="007B1263">
      <w:pPr>
        <w:pStyle w:val="DHHSbody"/>
      </w:pPr>
      <w:r>
        <w:t>We will evaluate these initiatives and our learnings will inform future suicide prevention efforts across the state.</w:t>
      </w:r>
    </w:p>
    <w:p w14:paraId="68E26255" w14:textId="44604DF3" w:rsidR="007B1263" w:rsidRDefault="00482F7B" w:rsidP="001132C4">
      <w:pPr>
        <w:pStyle w:val="Heading4"/>
      </w:pPr>
      <w:r>
        <w:t>Place-based suicide prevention strategies</w:t>
      </w:r>
    </w:p>
    <w:p w14:paraId="4FE33A4F" w14:textId="77777777" w:rsidR="007B1263" w:rsidRDefault="007B1263" w:rsidP="007B1263">
      <w:pPr>
        <w:pStyle w:val="DHHSbody"/>
      </w:pPr>
      <w:r>
        <w:t>The Victorian Government is partnering with Primary Health Networks (PHNs) to support local communities to develop and implement place-based approaches to suicide prevention.</w:t>
      </w:r>
    </w:p>
    <w:p w14:paraId="5B40C3F6" w14:textId="77777777" w:rsidR="007B1263" w:rsidRDefault="007B1263" w:rsidP="007B1263">
      <w:pPr>
        <w:pStyle w:val="DHHSbody"/>
      </w:pPr>
      <w:r>
        <w:t>This joint suicide prevention effort between the department and PHNs represents an opportunity to maximise our collective effort and investment.</w:t>
      </w:r>
    </w:p>
    <w:p w14:paraId="5EAA9759" w14:textId="77777777" w:rsidR="007B1263" w:rsidRDefault="007B1263" w:rsidP="007B1263">
      <w:pPr>
        <w:pStyle w:val="DHHSbody"/>
      </w:pPr>
      <w:r>
        <w:lastRenderedPageBreak/>
        <w:t>The purpose is to take a systematic, coordinated approach to suicide prevention, with each site supported to implement proven suicide prevention initiatives.</w:t>
      </w:r>
    </w:p>
    <w:p w14:paraId="517D0926" w14:textId="77777777" w:rsidR="007B1263" w:rsidRDefault="007B1263" w:rsidP="007B1263">
      <w:pPr>
        <w:pStyle w:val="DHHSbody"/>
      </w:pPr>
      <w:r>
        <w:t>This approach brings together different parts of the community (including people with lived experience of suicide), schools, businesses,  local councils, transport, police, health services, ambulance services, community agencies and the Aboriginal community-controlled sector.</w:t>
      </w:r>
    </w:p>
    <w:p w14:paraId="32A8A360" w14:textId="52C6D777" w:rsidR="007B1263" w:rsidRDefault="007B1263" w:rsidP="007B1263">
      <w:pPr>
        <w:pStyle w:val="DHHSbody"/>
      </w:pPr>
      <w:r>
        <w:t>Together, they identify what is needed to prevent suicide and what types of initiatives will best support people in their local communities. This may include initiatives like raising awareness</w:t>
      </w:r>
      <w:r w:rsidR="00F178FC">
        <w:t xml:space="preserve"> </w:t>
      </w:r>
      <w:r>
        <w:t>of mental health issues and support services, general practitioner (GP) training, school-based programs, frontline staff training and training people with lived experience to talk about suicide in their communities.</w:t>
      </w:r>
    </w:p>
    <w:p w14:paraId="0A905DFD" w14:textId="77777777" w:rsidR="007B1263" w:rsidRDefault="007B1263" w:rsidP="007B1263">
      <w:pPr>
        <w:pStyle w:val="DHHSbody"/>
      </w:pPr>
      <w:r>
        <w:t>Place-based initiatives are being implemented across 12 Victorian locations: Mornington Peninsula/Frankston, Dandenong, Latrobe Valley, Bass Coast, Brimbank/Melton, Macedon Ranges, Whittlesea, Maroondah, Mildura, Benalla, Ballarat and the Great South Coast (see Figure 1).</w:t>
      </w:r>
    </w:p>
    <w:p w14:paraId="56FD6F17" w14:textId="77777777" w:rsidR="007B1263" w:rsidRDefault="007B1263" w:rsidP="007B1263">
      <w:pPr>
        <w:pStyle w:val="DHHSbody"/>
      </w:pPr>
      <w:r>
        <w:t>The initiatives are well underway. Each site is reviewing the particular priority groups at risk of suicide in their communities and how to best tailor prevention activities to support these groups. Local buy-in is strong and is supporting new ways of working together to prevent suicide. Training is being undertaken to build the conﬁdence of people with lived experience in talking about suicide within their local communities. GPs are also being supported to recognise and help people at risk of suicide.</w:t>
      </w:r>
    </w:p>
    <w:p w14:paraId="539BAE8E" w14:textId="77777777" w:rsidR="007B1263" w:rsidRDefault="007B1263" w:rsidP="007B1263">
      <w:pPr>
        <w:pStyle w:val="DHHSbody"/>
      </w:pPr>
      <w:r>
        <w:t>The aim of this work is to help reduce stigma and support help-seeking.</w:t>
      </w:r>
    </w:p>
    <w:p w14:paraId="6E3D40B7" w14:textId="32808FC8" w:rsidR="007B1263" w:rsidRDefault="00482F7B" w:rsidP="001132C4">
      <w:pPr>
        <w:pStyle w:val="Heading4"/>
      </w:pPr>
      <w:r>
        <w:t>Assertive outreach support</w:t>
      </w:r>
    </w:p>
    <w:p w14:paraId="7D7ADB3C" w14:textId="4054ABBB" w:rsidR="007B1263" w:rsidRDefault="007B1263" w:rsidP="007B1263">
      <w:pPr>
        <w:pStyle w:val="DHHSbody"/>
      </w:pPr>
      <w:r>
        <w:t>The Hospital Outreach Post-suicidal Engagement (HOPE) initiative is providing assertive outreach support for people leaving hospital following a suicide attempt or intentional self-harm. The program is underway in six sites: St Vincent’s Hospital; Alfred Health and Peninsula Health; Barwon Health, Geelong; Maroondah Hospital and Albury Wodonga Health, Wangaratta (see Figure1)</w:t>
      </w:r>
      <w:r w:rsidR="00EC2A02">
        <w:t xml:space="preserve"> </w:t>
      </w:r>
      <w:r>
        <w:t>to ensure people get the support they need to recover. Assertive outreach workers are working with, and providing support to, families, friends and carers of people who have attempted suicide.</w:t>
      </w:r>
    </w:p>
    <w:p w14:paraId="75AE7405" w14:textId="77777777" w:rsidR="007B1263" w:rsidRDefault="007B1263" w:rsidP="00EC2A02">
      <w:pPr>
        <w:pStyle w:val="DHHSfigurecaption"/>
      </w:pPr>
      <w:r>
        <w:t>Figure 1: Location of place-based and HOPE suicide prevention trials</w:t>
      </w:r>
    </w:p>
    <w:p w14:paraId="104521B2" w14:textId="77777777" w:rsidR="007B1263" w:rsidRDefault="007B1263" w:rsidP="007B1263">
      <w:pPr>
        <w:pStyle w:val="DHHSbody"/>
      </w:pPr>
      <w:r>
        <w:t>HOPE suicide prevention trials</w:t>
      </w:r>
    </w:p>
    <w:p w14:paraId="472A5606" w14:textId="3F8D41D1" w:rsidR="007B1263" w:rsidRDefault="007B1263" w:rsidP="00EC2A02">
      <w:pPr>
        <w:pStyle w:val="DHHSbullet1"/>
      </w:pPr>
      <w:r>
        <w:t>Albury Wodonga Health, Wangaratta</w:t>
      </w:r>
    </w:p>
    <w:p w14:paraId="3E32EC09" w14:textId="382085FF" w:rsidR="007B1263" w:rsidRDefault="007B1263" w:rsidP="00EC2A02">
      <w:pPr>
        <w:pStyle w:val="DHHSbullet1"/>
      </w:pPr>
      <w:r>
        <w:t>Alfred Health</w:t>
      </w:r>
    </w:p>
    <w:p w14:paraId="6633E908" w14:textId="5BC60508" w:rsidR="007B1263" w:rsidRDefault="007B1263" w:rsidP="00EC2A02">
      <w:pPr>
        <w:pStyle w:val="DHHSbullet1"/>
      </w:pPr>
      <w:r>
        <w:t>Barwon Health, Geelong</w:t>
      </w:r>
    </w:p>
    <w:p w14:paraId="707FCB38" w14:textId="0189EACD" w:rsidR="007B1263" w:rsidRDefault="007B1263" w:rsidP="00EC2A02">
      <w:pPr>
        <w:pStyle w:val="DHHSbullet1"/>
      </w:pPr>
      <w:r>
        <w:t>Maroondah Hospital</w:t>
      </w:r>
    </w:p>
    <w:p w14:paraId="21563117" w14:textId="0AAFC043" w:rsidR="007B1263" w:rsidRDefault="007B1263" w:rsidP="00EC2A02">
      <w:pPr>
        <w:pStyle w:val="DHHSbullet1"/>
      </w:pPr>
      <w:r>
        <w:t>Peninsula Health</w:t>
      </w:r>
    </w:p>
    <w:p w14:paraId="02A601BF" w14:textId="72A6C0F9" w:rsidR="007B1263" w:rsidRDefault="007B1263" w:rsidP="00EC2A02">
      <w:pPr>
        <w:pStyle w:val="DHHSbullet1"/>
      </w:pPr>
      <w:r>
        <w:t>St Vincent's Hospital</w:t>
      </w:r>
    </w:p>
    <w:p w14:paraId="02460CD8" w14:textId="77777777" w:rsidR="00EC2A02" w:rsidRDefault="00EC2A02" w:rsidP="00EC2A02">
      <w:pPr>
        <w:pStyle w:val="DHHSbullet1"/>
        <w:numPr>
          <w:ilvl w:val="0"/>
          <w:numId w:val="0"/>
        </w:numPr>
      </w:pPr>
    </w:p>
    <w:tbl>
      <w:tblPr>
        <w:tblStyle w:val="TableGrid"/>
        <w:tblW w:w="0" w:type="auto"/>
        <w:tblLook w:val="04A0" w:firstRow="1" w:lastRow="0" w:firstColumn="1" w:lastColumn="0" w:noHBand="0" w:noVBand="1"/>
      </w:tblPr>
      <w:tblGrid>
        <w:gridCol w:w="9184"/>
      </w:tblGrid>
      <w:tr w:rsidR="00EC2A02" w14:paraId="603FDE49" w14:textId="77777777" w:rsidTr="00EC2A02">
        <w:tc>
          <w:tcPr>
            <w:tcW w:w="9288" w:type="dxa"/>
          </w:tcPr>
          <w:p w14:paraId="08C3FF2D" w14:textId="77777777" w:rsidR="00EC2A02" w:rsidRPr="00EC2A02" w:rsidRDefault="00EC2A02" w:rsidP="00EC2A02">
            <w:pPr>
              <w:pStyle w:val="DHHSboxheading"/>
            </w:pPr>
            <w:r w:rsidRPr="00EC2A02">
              <w:t>Positive wellbeing for LGBTI Victorians</w:t>
            </w:r>
          </w:p>
          <w:p w14:paraId="6221120D" w14:textId="77777777" w:rsidR="00EC2A02" w:rsidRDefault="00EC2A02" w:rsidP="00EC2A02">
            <w:pPr>
              <w:pStyle w:val="DHHSbody"/>
            </w:pPr>
            <w:r>
              <w:t>A range of initiatives focusing on positive wellbeing for lesbian, gay, bisexual, transgender and intersex (LGBTI) communities have also been funded.</w:t>
            </w:r>
          </w:p>
          <w:p w14:paraId="29BE591C" w14:textId="77777777" w:rsidR="00EC2A02" w:rsidRDefault="00EC2A02" w:rsidP="00EC2A02">
            <w:pPr>
              <w:pStyle w:val="DHHSbody"/>
            </w:pPr>
            <w:r>
              <w:t xml:space="preserve">This includes support to key specialist agencies such as beyondblue and headspace to provide increased support, resources and counselling for people seeking help, and support for </w:t>
            </w:r>
            <w:proofErr w:type="spellStart"/>
            <w:r>
              <w:t>Kunghah</w:t>
            </w:r>
            <w:proofErr w:type="spellEnd"/>
            <w:r>
              <w:t xml:space="preserve"> – an Aboriginal and Torres Strait Islander gathering of the LGBTI community – to promote inclusion and respond to this group’s health, wellbeing and safety needs and aspirations.</w:t>
            </w:r>
          </w:p>
          <w:p w14:paraId="50DD98E8" w14:textId="54675BA9" w:rsidR="00EC2A02" w:rsidRDefault="00EC2A02" w:rsidP="00EC2A02">
            <w:pPr>
              <w:pStyle w:val="DHHSbody"/>
            </w:pPr>
            <w:r>
              <w:t xml:space="preserve">A diverse range of programs to promote the rights, mental health and wellbeing of young LGBTI Victorians are delivered under the Healthy Equal Youth initiative. The Youth Affairs Council of </w:t>
            </w:r>
            <w:r>
              <w:lastRenderedPageBreak/>
              <w:t>Victoria distributes a small grants program across Victoria, which enables locally driven initiatives to be delivered by a wide range of community organisations.</w:t>
            </w:r>
          </w:p>
        </w:tc>
      </w:tr>
    </w:tbl>
    <w:p w14:paraId="27C942A0" w14:textId="77777777" w:rsidR="007B1263" w:rsidRDefault="007B1263" w:rsidP="00EC2A02">
      <w:pPr>
        <w:pStyle w:val="DHHSbodyaftertablefigure"/>
      </w:pPr>
      <w:r>
        <w:lastRenderedPageBreak/>
        <w:t>Other initiatives underway include support for dairy farmers and their families experiencing ﬁnancial and emotional stress, including outreach support, counselling, information and linkages to other local support services.</w:t>
      </w:r>
    </w:p>
    <w:p w14:paraId="7E2ABF57" w14:textId="3343F34A" w:rsidR="007B1263" w:rsidRDefault="007B1263" w:rsidP="007B1263">
      <w:pPr>
        <w:pStyle w:val="DHHSbody"/>
      </w:pPr>
      <w:r>
        <w:t>Farming communities have been consulted</w:t>
      </w:r>
      <w:r w:rsidR="001132C4">
        <w:t xml:space="preserve"> </w:t>
      </w:r>
      <w:r>
        <w:t>to ensure the support provided meets people’s needs. Partnerships have been formed with local health services, Primary Care Partnerships, PHNs, government departments and industry and local community groups to deliver a range of innovative responses.</w:t>
      </w:r>
    </w:p>
    <w:p w14:paraId="48FB6F35" w14:textId="1C344E25" w:rsidR="007B1263" w:rsidRDefault="007B1263" w:rsidP="007B1263">
      <w:pPr>
        <w:pStyle w:val="DHHSbody"/>
      </w:pPr>
      <w:r>
        <w:t>The department is also working closely with the Coroners Prevention Unit to improve access to data on suicide.</w:t>
      </w:r>
    </w:p>
    <w:tbl>
      <w:tblPr>
        <w:tblStyle w:val="TableGrid"/>
        <w:tblW w:w="0" w:type="auto"/>
        <w:tblLook w:val="04A0" w:firstRow="1" w:lastRow="0" w:firstColumn="1" w:lastColumn="0" w:noHBand="0" w:noVBand="1"/>
      </w:tblPr>
      <w:tblGrid>
        <w:gridCol w:w="9184"/>
      </w:tblGrid>
      <w:tr w:rsidR="00EC2A02" w14:paraId="68B3D179" w14:textId="77777777" w:rsidTr="00EC2A02">
        <w:tc>
          <w:tcPr>
            <w:tcW w:w="9288" w:type="dxa"/>
          </w:tcPr>
          <w:p w14:paraId="02FB6221" w14:textId="4041A91C" w:rsidR="00EC2A02" w:rsidRPr="00EC2A02" w:rsidRDefault="00EC2A02" w:rsidP="00EC2A02">
            <w:pPr>
              <w:pStyle w:val="DHHSboxheading"/>
            </w:pPr>
            <w:r w:rsidRPr="00EC2A02">
              <w:t>Working together to prevent suicide</w:t>
            </w:r>
          </w:p>
          <w:p w14:paraId="5F90467B" w14:textId="2A89DBF1" w:rsidR="00EC2A02" w:rsidRPr="00EC2A02" w:rsidRDefault="00EC2A02" w:rsidP="00EC2A02">
            <w:pPr>
              <w:pStyle w:val="DHHSbody"/>
            </w:pPr>
            <w:r w:rsidRPr="00EC2A02">
              <w:t>Eastern Melbourne PHN and Eastern Health</w:t>
            </w:r>
            <w:r>
              <w:t xml:space="preserve"> </w:t>
            </w:r>
            <w:r w:rsidRPr="00EC2A02">
              <w:t>are working together to bring Commonwealth</w:t>
            </w:r>
            <w:r>
              <w:t xml:space="preserve"> </w:t>
            </w:r>
            <w:r w:rsidRPr="00EC2A02">
              <w:t>and state investments in suicide prevention</w:t>
            </w:r>
            <w:r>
              <w:t xml:space="preserve"> </w:t>
            </w:r>
            <w:r w:rsidRPr="00EC2A02">
              <w:t>to the community. Maroondah Hospital is</w:t>
            </w:r>
            <w:r>
              <w:t xml:space="preserve"> </w:t>
            </w:r>
            <w:r w:rsidRPr="00EC2A02">
              <w:t>supporting people who present to the hospital</w:t>
            </w:r>
            <w:r>
              <w:t xml:space="preserve"> </w:t>
            </w:r>
            <w:r w:rsidRPr="00EC2A02">
              <w:t>following a suicide attempt, and this support</w:t>
            </w:r>
            <w:r>
              <w:t xml:space="preserve"> </w:t>
            </w:r>
            <w:r w:rsidRPr="00EC2A02">
              <w:t>will extend to their famil</w:t>
            </w:r>
            <w:r w:rsidR="00ED795D">
              <w:t>i</w:t>
            </w:r>
            <w:r w:rsidRPr="00EC2A02">
              <w:t>es. Eastern Melbourne</w:t>
            </w:r>
            <w:r>
              <w:t xml:space="preserve"> </w:t>
            </w:r>
            <w:r w:rsidRPr="00EC2A02">
              <w:t>PHN is implementing place-based trials in</w:t>
            </w:r>
            <w:r>
              <w:t xml:space="preserve"> </w:t>
            </w:r>
            <w:r w:rsidRPr="00EC2A02">
              <w:t>Whittlesea and Maroondah to help local</w:t>
            </w:r>
            <w:r>
              <w:t xml:space="preserve"> </w:t>
            </w:r>
            <w:r w:rsidRPr="00EC2A02">
              <w:t>communities prevent suicide.</w:t>
            </w:r>
          </w:p>
          <w:p w14:paraId="12BFF201" w14:textId="12B3F6E2" w:rsidR="00EC2A02" w:rsidRDefault="00EC2A02" w:rsidP="00EC2A02">
            <w:pPr>
              <w:pStyle w:val="DHHSbody"/>
            </w:pPr>
            <w:r w:rsidRPr="00EC2A02">
              <w:t>A community forum was held in Maroondah</w:t>
            </w:r>
            <w:r>
              <w:t xml:space="preserve"> </w:t>
            </w:r>
            <w:r w:rsidRPr="00EC2A02">
              <w:t>in March 2017 to learn from people who have</w:t>
            </w:r>
            <w:r>
              <w:t xml:space="preserve"> </w:t>
            </w:r>
            <w:r w:rsidRPr="00EC2A02">
              <w:t>been impacted by suicide. Participants</w:t>
            </w:r>
            <w:r>
              <w:t xml:space="preserve"> </w:t>
            </w:r>
            <w:r w:rsidRPr="00EC2A02">
              <w:t>identified ideas and opportunities for improving access to services, providing appropriate support to families and the bereaved, and facilitating positive community attitudes and reducing stigma around suicide.</w:t>
            </w:r>
          </w:p>
        </w:tc>
      </w:tr>
    </w:tbl>
    <w:p w14:paraId="44D2EAC6" w14:textId="52BAD1D7" w:rsidR="007B1263" w:rsidRDefault="00D9699A" w:rsidP="001132C4">
      <w:pPr>
        <w:pStyle w:val="Heading3"/>
      </w:pPr>
      <w:r>
        <w:t>Supporting children and young people</w:t>
      </w:r>
    </w:p>
    <w:p w14:paraId="7AA330C1" w14:textId="589862B5" w:rsidR="00EC2A02" w:rsidRPr="00EC2A02" w:rsidRDefault="00EC2A02" w:rsidP="00EC2A02">
      <w:pPr>
        <w:pStyle w:val="DHHSbody"/>
        <w:rPr>
          <w:b/>
          <w:bCs/>
        </w:rPr>
      </w:pPr>
      <w:r w:rsidRPr="00EC2A02">
        <w:rPr>
          <w:b/>
          <w:bCs/>
        </w:rPr>
        <w:t>OUTCOME: Victorians have good mental health and wellbeing at all ages and stages of life</w:t>
      </w:r>
    </w:p>
    <w:p w14:paraId="05AFBCCD" w14:textId="1D12F08E" w:rsidR="007B1263" w:rsidRDefault="007B1263" w:rsidP="007B1263">
      <w:pPr>
        <w:pStyle w:val="DHHSbody"/>
      </w:pPr>
      <w:r w:rsidRPr="003F7650">
        <w:rPr>
          <w:i/>
        </w:rPr>
        <w:t>Victoria’s 10-year mental health plan</w:t>
      </w:r>
      <w:r>
        <w:t xml:space="preserve"> recognises the importance of supporting children and young people’s mental health. It includes a focus on infants, children, young people and their families.</w:t>
      </w:r>
    </w:p>
    <w:p w14:paraId="41EAC0B7" w14:textId="77777777" w:rsidR="007B1263" w:rsidRDefault="007B1263" w:rsidP="007B1263">
      <w:pPr>
        <w:pStyle w:val="DHHSbody"/>
      </w:pPr>
      <w:r>
        <w:t>We want to make sure children and their families have access to the support they need, when they need it. In 2016–17 we increased our investment in early intervention, assessment and treatment for children aged up to 12. Investments include:</w:t>
      </w:r>
    </w:p>
    <w:p w14:paraId="65F007D1" w14:textId="17950943" w:rsidR="007B1263" w:rsidRDefault="007B1263" w:rsidP="00EC2A02">
      <w:pPr>
        <w:pStyle w:val="DHHSbullet1"/>
      </w:pPr>
      <w:r>
        <w:t>funding to support the statewide rollout of the Child and Adolescent Schools Early Action (CASEA) program</w:t>
      </w:r>
    </w:p>
    <w:p w14:paraId="4468C6E0" w14:textId="163CB10E" w:rsidR="007B1263" w:rsidRDefault="007B1263" w:rsidP="00EC2A02">
      <w:pPr>
        <w:pStyle w:val="DHHSbullet1"/>
      </w:pPr>
      <w:r>
        <w:t>new funding for the Clinical Specialist Child Initiative</w:t>
      </w:r>
    </w:p>
    <w:p w14:paraId="02A25313" w14:textId="7862F559" w:rsidR="007B1263" w:rsidRDefault="007B1263" w:rsidP="00B748E8">
      <w:pPr>
        <w:pStyle w:val="DHHSbullet1"/>
        <w:ind w:right="-148"/>
      </w:pPr>
      <w:r>
        <w:t>expansion of child and adolescent mental health services (CAMHS) focusing on children aged up to 12</w:t>
      </w:r>
    </w:p>
    <w:p w14:paraId="2859AF42" w14:textId="3A7A666B" w:rsidR="007B1263" w:rsidRDefault="007B1263" w:rsidP="00EC2A02">
      <w:pPr>
        <w:pStyle w:val="DHHSbullet1"/>
      </w:pPr>
      <w:r>
        <w:t>statewide rollout of the Families where a Parent has a Mental Illness (</w:t>
      </w:r>
      <w:proofErr w:type="spellStart"/>
      <w:r>
        <w:t>FaPMI</w:t>
      </w:r>
      <w:proofErr w:type="spellEnd"/>
      <w:r>
        <w:t>) program.</w:t>
      </w:r>
    </w:p>
    <w:p w14:paraId="13A54907" w14:textId="08792E1C" w:rsidR="007B1263" w:rsidRDefault="00D9699A" w:rsidP="00EC2A02">
      <w:pPr>
        <w:pStyle w:val="Heading4"/>
      </w:pPr>
      <w:r>
        <w:t>Child and Adolescent Schools Early Action Program</w:t>
      </w:r>
    </w:p>
    <w:p w14:paraId="46EF580D" w14:textId="77777777" w:rsidR="007B1263" w:rsidRDefault="007B1263" w:rsidP="007B1263">
      <w:pPr>
        <w:pStyle w:val="DHHSbody"/>
      </w:pPr>
      <w:r>
        <w:t>The CASEA program is delivered through Victoria’s public CAMHS. It provides early identiﬁcation, assessment, community-based clinical treatment and behavioural plans for children between ﬁve and nine years of age with severe conduct disorder at Victorian government schools.</w:t>
      </w:r>
    </w:p>
    <w:p w14:paraId="4CC8FE8C" w14:textId="54BB63F3" w:rsidR="007B1263" w:rsidRPr="00D9699A" w:rsidRDefault="00D9699A" w:rsidP="001132C4">
      <w:pPr>
        <w:pStyle w:val="Heading4"/>
      </w:pPr>
      <w:r w:rsidRPr="00D9699A">
        <w:t>Clinical Specialist Child Initiative</w:t>
      </w:r>
    </w:p>
    <w:p w14:paraId="55DA29D5" w14:textId="77777777" w:rsidR="007B1263" w:rsidRDefault="007B1263" w:rsidP="007B1263">
      <w:pPr>
        <w:pStyle w:val="DHHSbody"/>
      </w:pPr>
      <w:r>
        <w:t xml:space="preserve">The Clinical Specialist Child Initiative focuses on engaging, assessing and treating children (from birth to 12 years old) with behavioural disorders linked to mental illness such as conduct disorder and its precursors, anxiety and depression. This early intervention program links children to therapeutic support </w:t>
      </w:r>
      <w:r>
        <w:lastRenderedPageBreak/>
        <w:t>through appropriate referrals and provides comprehensive treatment and care plans for children presenting with behavioural disorders.</w:t>
      </w:r>
    </w:p>
    <w:p w14:paraId="2D83BC94" w14:textId="1B3AA010" w:rsidR="007B1263" w:rsidRPr="00D9699A" w:rsidRDefault="00D9699A" w:rsidP="001132C4">
      <w:pPr>
        <w:pStyle w:val="Heading4"/>
      </w:pPr>
      <w:r w:rsidRPr="00D9699A">
        <w:t>Responding to the mental health needs of children in out-of-home care</w:t>
      </w:r>
    </w:p>
    <w:p w14:paraId="680BE20E" w14:textId="1F246D18" w:rsidR="007B1263" w:rsidRDefault="007B1263" w:rsidP="007B1263">
      <w:pPr>
        <w:pStyle w:val="DHHSbody"/>
      </w:pPr>
      <w:r>
        <w:t>As part of reforms to improve the lives of vulnerable children, young people and families in Victoria, a new Intensive Support Service (ISS)</w:t>
      </w:r>
      <w:r w:rsidR="00EC2A02">
        <w:t xml:space="preserve"> </w:t>
      </w:r>
      <w:r>
        <w:t>has been developed for young people 13–16 years old who are in, or at risk of entering, residential care. The ISS is a new approach to supporting young people and their families to develop and reach their full potential. Anglicare Victoria, in partnership with Mind Australia, is working with the Monash Health Early in Life Mental Health Service to deliver the ISS.</w:t>
      </w:r>
    </w:p>
    <w:p w14:paraId="3D3CEBD2" w14:textId="089C46D8" w:rsidR="007B1263" w:rsidRDefault="007B1263" w:rsidP="007B1263">
      <w:pPr>
        <w:pStyle w:val="DHHSbody"/>
      </w:pPr>
      <w:r>
        <w:t>The focus is on meeting the needs of individual young people who have highly complex mental health needs and challenging behaviours caused by recent or past histories of sexual, physical</w:t>
      </w:r>
      <w:r w:rsidR="00EC2A02">
        <w:t xml:space="preserve"> </w:t>
      </w:r>
      <w:r>
        <w:t>or emotional abuse, or placement disruptions. Young people will be engaged in a range of treatment and therapeutic interventions and actively assisted and supported to transition into home-based care (with parents, kinship carers or foster carers) or move directly to independent living.</w:t>
      </w:r>
    </w:p>
    <w:p w14:paraId="2144EA29" w14:textId="38AAC3F3" w:rsidR="007B1263" w:rsidRDefault="00D9699A" w:rsidP="001132C4">
      <w:pPr>
        <w:pStyle w:val="Heading3"/>
      </w:pPr>
      <w:r>
        <w:t>Meeting the mental health needs of new parents</w:t>
      </w:r>
    </w:p>
    <w:p w14:paraId="09BEBE56" w14:textId="023426A5" w:rsidR="00EC2A02" w:rsidRPr="00EC2A02" w:rsidRDefault="00EC2A02" w:rsidP="00EC2A02">
      <w:pPr>
        <w:pStyle w:val="DHHSbody"/>
        <w:rPr>
          <w:b/>
          <w:bCs/>
        </w:rPr>
      </w:pPr>
      <w:r w:rsidRPr="00EC2A02">
        <w:rPr>
          <w:b/>
          <w:bCs/>
        </w:rPr>
        <w:t>OUTCOME: Victorians have good mental health and wellbeing at all ages and stages of life</w:t>
      </w:r>
    </w:p>
    <w:p w14:paraId="0DE1DC34" w14:textId="6E568F27" w:rsidR="007B1263" w:rsidRPr="00D9699A" w:rsidRDefault="00D9699A" w:rsidP="001132C4">
      <w:pPr>
        <w:pStyle w:val="Heading4"/>
      </w:pPr>
      <w:r w:rsidRPr="00D9699A">
        <w:t>Perinatal mental health services</w:t>
      </w:r>
    </w:p>
    <w:p w14:paraId="2CC97861" w14:textId="77777777" w:rsidR="007B1263" w:rsidRDefault="007B1263" w:rsidP="007B1263">
      <w:pPr>
        <w:pStyle w:val="DHHSbody"/>
      </w:pPr>
      <w:r>
        <w:t>For some women, pregnancy and early parenting can be a time when they experience mental illness. Improving prevention, early intervention and treatment for vulnerable mothers from pregnancy through the postpartum and early infancy period is an important part of our mental health service system. Mental health services work with maternity programs to support and provide referrals to pregnant women and new mothers at risk of experiencing perinatal depression.</w:t>
      </w:r>
    </w:p>
    <w:p w14:paraId="481BF1A3" w14:textId="77777777" w:rsidR="007B1263" w:rsidRDefault="007B1263" w:rsidP="00B748E8">
      <w:pPr>
        <w:pStyle w:val="DHHSbody"/>
        <w:spacing w:after="240"/>
      </w:pPr>
      <w:r>
        <w:t>In June 2015 the Commonwealth Government stopped funding the National Perinatal Depression Initiative. The Victorian Government has provided funding for perinatal mental health to continue this important work. The Victorian Government has allocated $2.8 million for perinatal mental health programs. Existing funding for rural health services has been maintained and funding across metropolitan health services has been extended for the ﬁrst time.</w:t>
      </w:r>
    </w:p>
    <w:tbl>
      <w:tblPr>
        <w:tblStyle w:val="TableGrid"/>
        <w:tblW w:w="9450" w:type="dxa"/>
        <w:tblInd w:w="-5" w:type="dxa"/>
        <w:tblLook w:val="04A0" w:firstRow="1" w:lastRow="0" w:firstColumn="1" w:lastColumn="0" w:noHBand="0" w:noVBand="1"/>
      </w:tblPr>
      <w:tblGrid>
        <w:gridCol w:w="9450"/>
      </w:tblGrid>
      <w:tr w:rsidR="00940722" w14:paraId="08546A87" w14:textId="77777777" w:rsidTr="00B748E8">
        <w:tc>
          <w:tcPr>
            <w:tcW w:w="9450" w:type="dxa"/>
          </w:tcPr>
          <w:p w14:paraId="1D4029EA" w14:textId="77777777" w:rsidR="00940722" w:rsidRPr="00D9699A" w:rsidRDefault="00940722" w:rsidP="00940722">
            <w:pPr>
              <w:pStyle w:val="DHHSboxheading"/>
            </w:pPr>
            <w:r w:rsidRPr="00D9699A">
              <w:t>Our new Bendigo parent–infant unit</w:t>
            </w:r>
          </w:p>
          <w:p w14:paraId="4194A5F6" w14:textId="77777777" w:rsidR="00940722" w:rsidRDefault="00940722" w:rsidP="00940722">
            <w:pPr>
              <w:pStyle w:val="DHHSbody"/>
            </w:pPr>
            <w:r>
              <w:t>About 20 years ago, I heard about a ‘mother and baby’ room planned for Bendigo's existing adult psychiatric inpatient facility, but it never eventuated. This year the new Bendigo Hospital opened, and we now have a whole dedicated parent–infant unit.</w:t>
            </w:r>
          </w:p>
          <w:p w14:paraId="7EAFB1CB" w14:textId="77777777" w:rsidR="00940722" w:rsidRDefault="00940722" w:rsidP="00940722">
            <w:pPr>
              <w:pStyle w:val="DHHSbody"/>
            </w:pPr>
            <w:r>
              <w:t>Our unit treats acute mental health disorders in carers while supporting the attachment relationship between the infant and their carer, who could be a mother, father or other carer.</w:t>
            </w:r>
          </w:p>
          <w:p w14:paraId="3544BA5F" w14:textId="34D693EB" w:rsidR="00940722" w:rsidRDefault="00940722" w:rsidP="00940722">
            <w:pPr>
              <w:pStyle w:val="DHHSbody"/>
            </w:pPr>
            <w:r>
              <w:t>Our ﬁve-bed, ﬁve-cot unit is collocated within the psychiatry precinct of Bendigo Hospital, which allows for the sharing of specialist services and support. Most of our admissions are non-compulsory, which requires families to recognise and acknowledge their own mental health needs and what an inpatient admission can offer them.</w:t>
            </w:r>
          </w:p>
          <w:p w14:paraId="28AEB1A5" w14:textId="77777777" w:rsidR="00940722" w:rsidRDefault="00940722" w:rsidP="00940722">
            <w:pPr>
              <w:pStyle w:val="DHHSbody"/>
            </w:pPr>
            <w:r>
              <w:t>People can feel ambivalent or afraid of a psychiatric unit, so we invite people to come and see our unit before admission. They are always pleasantly surprised.</w:t>
            </w:r>
          </w:p>
          <w:p w14:paraId="50E1C654" w14:textId="26F55E70" w:rsidR="00940722" w:rsidRDefault="00940722" w:rsidP="00940722">
            <w:pPr>
              <w:pStyle w:val="DHHSbody"/>
            </w:pPr>
            <w:r>
              <w:t>We have not had a family visit our unit and not agree to an admission. Patients and their families say ‘Wow, I didn’t expect it to be this nice’, ‘I thought it would be more clinical, more hospital-like’, ‘This is like a fancy hotel’ and ‘Everything you need is here’. The unit offers large open spaces for safety and social connection as well as smaller private areas. Partners are welcome to stay, and siblings are encouraged to visit often.</w:t>
            </w:r>
          </w:p>
          <w:p w14:paraId="2841AE81" w14:textId="793EE5B5" w:rsidR="00940722" w:rsidRDefault="00940722" w:rsidP="00940722">
            <w:pPr>
              <w:pStyle w:val="DHHSbody"/>
            </w:pPr>
            <w:r>
              <w:lastRenderedPageBreak/>
              <w:t>A purpose-built unit to meet the needs of families in a world-class hospital in a regional area is something we are very proud of. The physical environment has a profound impact on a</w:t>
            </w:r>
            <w:r w:rsidR="008866F9">
              <w:t xml:space="preserve"> </w:t>
            </w:r>
            <w:r>
              <w:t>family’s ability to remain present and allow the therapeutic processes to improve their mental health and relationships with one another, especially their vulnerable infant.</w:t>
            </w:r>
          </w:p>
          <w:p w14:paraId="7137E4E0" w14:textId="28097368" w:rsidR="00940722" w:rsidRPr="00940722" w:rsidRDefault="00940722" w:rsidP="007B1263">
            <w:pPr>
              <w:pStyle w:val="DHHSbody"/>
            </w:pPr>
            <w:r>
              <w:t>– Monique Rosenbauer, Nurse Unit Manager, Parent–Infant Unit, Bendigo Health</w:t>
            </w:r>
          </w:p>
        </w:tc>
      </w:tr>
    </w:tbl>
    <w:p w14:paraId="782C84AE" w14:textId="02584838" w:rsidR="007B1263" w:rsidRDefault="007B1263" w:rsidP="007B1263">
      <w:pPr>
        <w:pStyle w:val="DHHSbody"/>
      </w:pPr>
    </w:p>
    <w:tbl>
      <w:tblPr>
        <w:tblStyle w:val="TableGrid"/>
        <w:tblW w:w="9450" w:type="dxa"/>
        <w:tblInd w:w="-5" w:type="dxa"/>
        <w:tblLook w:val="04A0" w:firstRow="1" w:lastRow="0" w:firstColumn="1" w:lastColumn="0" w:noHBand="0" w:noVBand="1"/>
      </w:tblPr>
      <w:tblGrid>
        <w:gridCol w:w="9450"/>
      </w:tblGrid>
      <w:tr w:rsidR="00940722" w14:paraId="6C0BF69D" w14:textId="77777777" w:rsidTr="00B748E8">
        <w:tc>
          <w:tcPr>
            <w:tcW w:w="9450" w:type="dxa"/>
          </w:tcPr>
          <w:p w14:paraId="3230F26A" w14:textId="77777777" w:rsidR="00940722" w:rsidRPr="00D9699A" w:rsidRDefault="00940722" w:rsidP="00940722">
            <w:pPr>
              <w:pStyle w:val="DHHSboxheading"/>
            </w:pPr>
            <w:r w:rsidRPr="00D9699A">
              <w:t>Supporting the Ahmadi family</w:t>
            </w:r>
          </w:p>
          <w:p w14:paraId="1AD09770" w14:textId="77777777" w:rsidR="00940722" w:rsidRDefault="00940722" w:rsidP="00940722">
            <w:pPr>
              <w:pStyle w:val="DHHSbody"/>
            </w:pPr>
            <w:r>
              <w:t>The Ahmadi family settled in Australia about ﬁve years ago, as refugees from Afghanistan.</w:t>
            </w:r>
          </w:p>
          <w:p w14:paraId="4F4E6FBD" w14:textId="77777777" w:rsidR="00940722" w:rsidRDefault="00940722" w:rsidP="00940722">
            <w:pPr>
              <w:pStyle w:val="DHHSbody"/>
            </w:pPr>
            <w:r>
              <w:t>I met the Ahmadi family when they were referred to a family support worker by their settlement support worker. The family support worker was involved in supporting the whole family, focusing on parenting and care planning, and Mr Ahmadi was separately receiving psychological care from an adult mental health community support service.</w:t>
            </w:r>
          </w:p>
          <w:p w14:paraId="0F218D84" w14:textId="77777777" w:rsidR="00940722" w:rsidRDefault="00940722" w:rsidP="00940722">
            <w:pPr>
              <w:pStyle w:val="DHHSbody"/>
            </w:pPr>
            <w:r>
              <w:t>The children were worried. Their father had been diagnosed with schizophrenia and was leaving home whenever he felt stressed. His wife would go with him. The children often saw mental health workers in their home talking about medication and thought Dad was being given medication because he was dying – nobody had explained his illness. They needed emotional support and information about what was happening to him.</w:t>
            </w:r>
          </w:p>
          <w:p w14:paraId="153EAAFE" w14:textId="78F51E2D" w:rsidR="00940722" w:rsidRDefault="00940722" w:rsidP="00940722">
            <w:pPr>
              <w:pStyle w:val="DHHSbody"/>
            </w:pPr>
            <w:r>
              <w:t xml:space="preserve">So </w:t>
            </w:r>
            <w:proofErr w:type="spellStart"/>
            <w:r>
              <w:t>FaPMI</w:t>
            </w:r>
            <w:proofErr w:type="spellEnd"/>
            <w:r>
              <w:t xml:space="preserve"> became involved in the Ahmadi family visits. Our aim was to build the mental health workers’ capacity to address the needs of all family members and help the family support worker to use resources that would explain mental illness to the children. We spoke with Mr Ahmadi about ways to explain his illness in a child-appropriate way.</w:t>
            </w:r>
          </w:p>
          <w:p w14:paraId="203281EE" w14:textId="77777777" w:rsidR="00940722" w:rsidRDefault="00940722" w:rsidP="00940722">
            <w:pPr>
              <w:pStyle w:val="DHHSbody"/>
            </w:pPr>
            <w:r>
              <w:t>The children were seen over some time so they could ask questions about their dad. During ongoing discussions using the resources provided by Children of Parents with a Mental Illness, they identiﬁed their grandparents as appropriate support people. The grandparents’ presence became a strong protective factor for the Ahmadis.</w:t>
            </w:r>
          </w:p>
          <w:p w14:paraId="4CAF4F04" w14:textId="77777777" w:rsidR="00940722" w:rsidRDefault="00940722" w:rsidP="00940722">
            <w:pPr>
              <w:pStyle w:val="DHHSbody"/>
            </w:pPr>
            <w:r>
              <w:t xml:space="preserve">The family support worker organised case conferences attended by the mental health service, the settlement worker and the </w:t>
            </w:r>
            <w:proofErr w:type="spellStart"/>
            <w:r>
              <w:t>FaPMI</w:t>
            </w:r>
            <w:proofErr w:type="spellEnd"/>
            <w:r>
              <w:t xml:space="preserve"> worker to identify the Ahmadi family’s practical needs and what available resources might assist.</w:t>
            </w:r>
          </w:p>
          <w:p w14:paraId="7C773832" w14:textId="77777777" w:rsidR="00940722" w:rsidRDefault="00940722" w:rsidP="00940722">
            <w:pPr>
              <w:pStyle w:val="DHHSbody"/>
            </w:pPr>
            <w:r>
              <w:t xml:space="preserve">The children were sleeping on the ﬂoor, so we arranged beds and desks to improve their quality of sleep and how they felt at school. Through </w:t>
            </w:r>
            <w:proofErr w:type="spellStart"/>
            <w:r>
              <w:t>FaPMI</w:t>
            </w:r>
            <w:proofErr w:type="spellEnd"/>
            <w:r>
              <w:t xml:space="preserve"> brokerage funding, they participated in family-friendly activities including bowling and visiting an indoor play area (suggested by the children so they could play while their parents enjoyed coffee).</w:t>
            </w:r>
          </w:p>
          <w:p w14:paraId="04B3DE03" w14:textId="77777777" w:rsidR="00940722" w:rsidRDefault="00940722" w:rsidP="00940722">
            <w:pPr>
              <w:pStyle w:val="DHHSbody"/>
            </w:pPr>
            <w:r>
              <w:t>Once the Ahmadis understood the system better and a family care plan was in place, they no longer needed mental health clinical case management or support from the family support worker. The community mental health worker stayed involved, and Mr Ahmadi’s GP managed his medication.</w:t>
            </w:r>
          </w:p>
          <w:p w14:paraId="027E5367" w14:textId="5C82A262" w:rsidR="00940722" w:rsidRDefault="00940722" w:rsidP="00940722">
            <w:pPr>
              <w:pStyle w:val="DHHSbody"/>
            </w:pPr>
            <w:r>
              <w:t>Sometime later, the children called their grandparents – Mr Ahmadi had relapsed and needed to return to hospital. When he was re-referred to the mental health clinic, the children rang the support worker. They said their father hadn’t been taking his medication and needed another type to help him feel better again. The doctors reviewed Mr Ahmadi’s medication and supported him with a new regimen.</w:t>
            </w:r>
          </w:p>
          <w:p w14:paraId="43523A02" w14:textId="77777777" w:rsidR="00940722" w:rsidRDefault="00940722" w:rsidP="00940722">
            <w:pPr>
              <w:pStyle w:val="DHHSbody"/>
            </w:pPr>
            <w:r>
              <w:t>He is still linked in and doing well, supported by a family that has greater capacity to recognise the need for, and source, help.</w:t>
            </w:r>
          </w:p>
          <w:p w14:paraId="23C8DE7C" w14:textId="00927526" w:rsidR="00940722" w:rsidRDefault="00940722" w:rsidP="007B1263">
            <w:pPr>
              <w:pStyle w:val="DHHSbody"/>
            </w:pPr>
            <w:r>
              <w:t xml:space="preserve">– Lisa </w:t>
            </w:r>
            <w:proofErr w:type="spellStart"/>
            <w:r>
              <w:t>Tesoriero</w:t>
            </w:r>
            <w:proofErr w:type="spellEnd"/>
            <w:r>
              <w:t xml:space="preserve">, </w:t>
            </w:r>
            <w:proofErr w:type="spellStart"/>
            <w:r>
              <w:t>FaPMI</w:t>
            </w:r>
            <w:proofErr w:type="spellEnd"/>
            <w:r>
              <w:t xml:space="preserve"> Coordinator, Monash Health</w:t>
            </w:r>
          </w:p>
        </w:tc>
      </w:tr>
    </w:tbl>
    <w:p w14:paraId="1FF219CB" w14:textId="19C29A13" w:rsidR="007B1263" w:rsidRDefault="00D9699A" w:rsidP="00D9699A">
      <w:pPr>
        <w:pStyle w:val="Heading2"/>
      </w:pPr>
      <w:bookmarkStart w:id="8" w:name="_Toc28340182"/>
      <w:r>
        <w:lastRenderedPageBreak/>
        <w:t>Improving access to services</w:t>
      </w:r>
      <w:bookmarkEnd w:id="8"/>
    </w:p>
    <w:p w14:paraId="4A333940" w14:textId="34BFDCFE" w:rsidR="00384DED" w:rsidRPr="00384DED" w:rsidRDefault="00384DED" w:rsidP="00384DED">
      <w:pPr>
        <w:pStyle w:val="DHHSbody"/>
        <w:rPr>
          <w:b/>
          <w:bCs/>
        </w:rPr>
      </w:pPr>
      <w:r w:rsidRPr="00384DED">
        <w:rPr>
          <w:b/>
          <w:bCs/>
        </w:rPr>
        <w:t>OUTCOME: The treatment and support that Victorians with mental illness, their families and carers need is available in the right place at the right time</w:t>
      </w:r>
    </w:p>
    <w:p w14:paraId="25D449CE" w14:textId="49728A5F" w:rsidR="007B1263" w:rsidRDefault="007B1263" w:rsidP="007B1263">
      <w:pPr>
        <w:pStyle w:val="DHHSbody"/>
      </w:pPr>
      <w:r>
        <w:t>Victoria’s public mental health services are under signiﬁcant pressure to meet increasing demand, particularly in our outer metropolitan growth corridors and regional areas. The number of admissions to adult acute mental inpatient services increased by three per cent in 2016–17, with increases above the state average in outer suburban growth corridors. The numbers of people presenting to emergency departments across Victoria with mental health concerns also increased in 2016–17.</w:t>
      </w:r>
    </w:p>
    <w:p w14:paraId="5C201B22" w14:textId="77777777" w:rsidR="007B1263" w:rsidRDefault="007B1263" w:rsidP="007B1263">
      <w:pPr>
        <w:pStyle w:val="DHHSbody"/>
      </w:pPr>
      <w:r>
        <w:t>Recent initiatives to address increased demand include:</w:t>
      </w:r>
    </w:p>
    <w:p w14:paraId="56BDC323" w14:textId="6BE84A2D" w:rsidR="007B1263" w:rsidRDefault="007B1263" w:rsidP="00384DED">
      <w:pPr>
        <w:pStyle w:val="DHHSbullet1"/>
      </w:pPr>
      <w:r>
        <w:t>funding more mental health beds to assist in managing critical demand</w:t>
      </w:r>
    </w:p>
    <w:p w14:paraId="48F4031C" w14:textId="0EEF77BF" w:rsidR="007B1263" w:rsidRDefault="007B1263" w:rsidP="00384DED">
      <w:pPr>
        <w:pStyle w:val="DHHSbullet1"/>
      </w:pPr>
      <w:r>
        <w:t>funding medical and allied health staff to address increased demand during weekends</w:t>
      </w:r>
    </w:p>
    <w:p w14:paraId="54282A81" w14:textId="2B9DD571" w:rsidR="007B1263" w:rsidRDefault="007B1263" w:rsidP="00384DED">
      <w:pPr>
        <w:pStyle w:val="DHHSbullet1"/>
      </w:pPr>
      <w:r>
        <w:t>establishing a new prevention and recovery centre (PARC) in Ballarat</w:t>
      </w:r>
    </w:p>
    <w:p w14:paraId="23F36ED5" w14:textId="122693B0" w:rsidR="007B1263" w:rsidRDefault="007B1263" w:rsidP="00384DED">
      <w:pPr>
        <w:pStyle w:val="DHHSbullet1"/>
      </w:pPr>
      <w:r>
        <w:t>funding to address high demand and wait times in Melbourne’s west (Mercy Werribee and Footscray) including additional support for emergency departments</w:t>
      </w:r>
    </w:p>
    <w:p w14:paraId="4CEF9E4C" w14:textId="0212D924" w:rsidR="007B1263" w:rsidRDefault="007B1263" w:rsidP="00384DED">
      <w:pPr>
        <w:pStyle w:val="DHHSbullet1lastline"/>
      </w:pPr>
      <w:r>
        <w:t>funding to grow consultation liaison psychiatry across health services.</w:t>
      </w:r>
    </w:p>
    <w:p w14:paraId="1F9896F0" w14:textId="77777777" w:rsidR="007B1263" w:rsidRDefault="007B1263" w:rsidP="007B1263">
      <w:pPr>
        <w:pStyle w:val="DHHSbody"/>
      </w:pPr>
      <w:r>
        <w:t>Taking a longer term approach, high-level design, service and infrastructure planning for Victoria’s clinical mental health system over the next 20 years was undertaken during 2016–17. Following on from this work, key system reforms and priorities are being identiﬁed for potential investment over the next ﬁve years.</w:t>
      </w:r>
    </w:p>
    <w:tbl>
      <w:tblPr>
        <w:tblStyle w:val="TableGrid"/>
        <w:tblW w:w="0" w:type="auto"/>
        <w:tblLook w:val="04A0" w:firstRow="1" w:lastRow="0" w:firstColumn="1" w:lastColumn="0" w:noHBand="0" w:noVBand="1"/>
      </w:tblPr>
      <w:tblGrid>
        <w:gridCol w:w="9184"/>
      </w:tblGrid>
      <w:tr w:rsidR="00384DED" w14:paraId="6D02E142" w14:textId="77777777" w:rsidTr="00384DED">
        <w:tc>
          <w:tcPr>
            <w:tcW w:w="9288" w:type="dxa"/>
          </w:tcPr>
          <w:p w14:paraId="47FA2014" w14:textId="77777777" w:rsidR="00384DED" w:rsidRDefault="00384DED" w:rsidP="00384DED">
            <w:pPr>
              <w:pStyle w:val="DHHSboxheading"/>
              <w:rPr>
                <w:lang w:eastAsia="en-AU"/>
              </w:rPr>
            </w:pPr>
            <w:r>
              <w:rPr>
                <w:lang w:eastAsia="en-AU"/>
              </w:rPr>
              <w:t>South West Healthcare PARC – Warrnambool</w:t>
            </w:r>
          </w:p>
          <w:p w14:paraId="7F54A31F" w14:textId="3144D336" w:rsidR="00384DED" w:rsidRPr="00384DED" w:rsidRDefault="00384DED" w:rsidP="00384DED">
            <w:pPr>
              <w:pStyle w:val="DHHSbody"/>
            </w:pPr>
            <w:r w:rsidRPr="00384DED">
              <w:t>For the first time Warrnambool will have a community-based residential mental health service providing 24/7 support and recovery care in a homelike environment. Due to open in late 2017, the new 10-bed PARC service will be run by South West Healthcare Mental Health Services in partnership with a mental health community support service. The centre will provide short-term community-based residential care for people aged over 16 with mental illness, focusing on early intervention for people who are becoming unwell and for those in the early stages of recovery from an episode of acute illness. Supporting people in their recovery goals will be a major focus of the service.</w:t>
            </w:r>
          </w:p>
        </w:tc>
      </w:tr>
    </w:tbl>
    <w:p w14:paraId="2F3898ED" w14:textId="77777777" w:rsidR="00384DED" w:rsidRDefault="00384DED" w:rsidP="007B1263">
      <w:pPr>
        <w:pStyle w:val="DHHSbody"/>
        <w:rPr>
          <w:b/>
          <w:bCs/>
        </w:rPr>
      </w:pPr>
    </w:p>
    <w:tbl>
      <w:tblPr>
        <w:tblStyle w:val="TableGrid"/>
        <w:tblW w:w="0" w:type="auto"/>
        <w:tblLook w:val="04A0" w:firstRow="1" w:lastRow="0" w:firstColumn="1" w:lastColumn="0" w:noHBand="0" w:noVBand="1"/>
      </w:tblPr>
      <w:tblGrid>
        <w:gridCol w:w="9184"/>
      </w:tblGrid>
      <w:tr w:rsidR="00384DED" w14:paraId="28F5A1BD" w14:textId="77777777" w:rsidTr="00384DED">
        <w:tc>
          <w:tcPr>
            <w:tcW w:w="9288" w:type="dxa"/>
          </w:tcPr>
          <w:p w14:paraId="78EAEC42" w14:textId="16127886" w:rsidR="00384DED" w:rsidRPr="00D9699A" w:rsidRDefault="00384DED" w:rsidP="00384DED">
            <w:pPr>
              <w:pStyle w:val="DHHSboxheading"/>
            </w:pPr>
            <w:proofErr w:type="spellStart"/>
            <w:r w:rsidRPr="00D9699A">
              <w:t>Orygen</w:t>
            </w:r>
            <w:proofErr w:type="spellEnd"/>
            <w:r w:rsidRPr="00D9699A">
              <w:t xml:space="preserve"> Youth Mental Health </w:t>
            </w:r>
            <w:r w:rsidR="00972AB0" w:rsidRPr="00D9699A">
              <w:t>clinical and research facility</w:t>
            </w:r>
          </w:p>
          <w:p w14:paraId="67769769" w14:textId="77777777" w:rsidR="00384DED" w:rsidRDefault="00384DED" w:rsidP="00384DED">
            <w:pPr>
              <w:pStyle w:val="DHHSbody"/>
            </w:pPr>
            <w:r>
              <w:t xml:space="preserve">The Victorian Government is providing $60 million to rebuild </w:t>
            </w:r>
            <w:proofErr w:type="spellStart"/>
            <w:r>
              <w:t>Orygen</w:t>
            </w:r>
            <w:proofErr w:type="spellEnd"/>
            <w:r>
              <w:t xml:space="preserve"> Youth Mental Health’s clinical and research facility in Parkville. Construction of the new facility is underway and expected to be completed in 2018–19.</w:t>
            </w:r>
          </w:p>
          <w:p w14:paraId="4B9B85AA" w14:textId="77777777" w:rsidR="00384DED" w:rsidRDefault="00384DED" w:rsidP="00384DED">
            <w:pPr>
              <w:pStyle w:val="DHHSbody"/>
            </w:pPr>
            <w:proofErr w:type="spellStart"/>
            <w:r>
              <w:t>Orygen</w:t>
            </w:r>
            <w:proofErr w:type="spellEnd"/>
            <w:r>
              <w:t>, The National Centre of Excellence in Youth Mental Health, delivers research, policy development, innovative clinical services, evidence-based training and education to ensure there is continuous improvement in the treatment and care provided to young people experiencing mental ill-health.</w:t>
            </w:r>
          </w:p>
          <w:p w14:paraId="305ADDA4" w14:textId="1138788F" w:rsidR="00384DED" w:rsidRPr="00384DED" w:rsidRDefault="00384DED" w:rsidP="007B1263">
            <w:pPr>
              <w:pStyle w:val="DHHSbody"/>
            </w:pPr>
            <w:proofErr w:type="spellStart"/>
            <w:r>
              <w:t>Orygen</w:t>
            </w:r>
            <w:proofErr w:type="spellEnd"/>
            <w:r>
              <w:t xml:space="preserve"> operates four headspace clinics across the north and west metropolitan area at Craigieburn, Glenroy, Sunshine and Werribee. headspace centres provide young people aged 12–25 with advice, assistance, treatment and support in the areas of general health, mental health, education and employment, and alcohol and other drugs. headspace was established and funded by the Commonwealth Government in 2006.</w:t>
            </w:r>
          </w:p>
        </w:tc>
      </w:tr>
    </w:tbl>
    <w:p w14:paraId="77B941B8" w14:textId="451F7070" w:rsidR="007B1263" w:rsidRDefault="00D9699A" w:rsidP="00D9699A">
      <w:pPr>
        <w:pStyle w:val="Heading2"/>
      </w:pPr>
      <w:bookmarkStart w:id="9" w:name="_Toc28340183"/>
      <w:r>
        <w:lastRenderedPageBreak/>
        <w:t>Major reforms in forensic mental health</w:t>
      </w:r>
      <w:bookmarkEnd w:id="9"/>
    </w:p>
    <w:p w14:paraId="58C4C07A" w14:textId="2BC5DB84" w:rsidR="00384DED" w:rsidRPr="00384DED" w:rsidRDefault="00384DED" w:rsidP="00384DED">
      <w:pPr>
        <w:pStyle w:val="DHHSbody"/>
        <w:rPr>
          <w:b/>
          <w:bCs/>
        </w:rPr>
      </w:pPr>
      <w:r w:rsidRPr="00384DED">
        <w:rPr>
          <w:b/>
          <w:bCs/>
        </w:rPr>
        <w:t>OUTCOME: Victorians with mental illness live free from abuse or violence, and have reduced contact with the criminal justice system</w:t>
      </w:r>
    </w:p>
    <w:p w14:paraId="419C3EDD" w14:textId="47992246" w:rsidR="007B1263" w:rsidRDefault="007B1263" w:rsidP="007B1263">
      <w:pPr>
        <w:pStyle w:val="DHHSbody"/>
      </w:pPr>
      <w:r w:rsidRPr="00384DED">
        <w:rPr>
          <w:i/>
          <w:iCs/>
        </w:rPr>
        <w:t>Victoria’s 10-year mental health plan</w:t>
      </w:r>
      <w:r>
        <w:t xml:space="preserve"> identiﬁed the critical need to better address the requirements of people involved with the justice system at all points of contact: at arrest or apprehension, in police custody, at court, on community-based corrections orders, in prison and at all transition points.</w:t>
      </w:r>
    </w:p>
    <w:p w14:paraId="22248625" w14:textId="77777777" w:rsidR="007B1263" w:rsidRDefault="007B1263" w:rsidP="007B1263">
      <w:pPr>
        <w:pStyle w:val="DHHSbody"/>
      </w:pPr>
      <w:r>
        <w:t>We know that 36.9 per cent of prisoners in Victoria have a psychiatric risk rating on arrival in prison. We want to ensure effective treatment and support is provided to these prisoners and on their return to the community. Investments in the 2017–18 State Budget have expanded mental health support for people who are in, or at risk of entering, the criminal justice system. The reforms aim to improve mental health outcomes, reduce the risk of offending or reoffending and increase community safety.</w:t>
      </w:r>
    </w:p>
    <w:p w14:paraId="6E3AF575" w14:textId="77777777" w:rsidR="007B1263" w:rsidRDefault="007B1263" w:rsidP="007B1263">
      <w:pPr>
        <w:pStyle w:val="DHHSbody"/>
      </w:pPr>
      <w:r>
        <w:t>Six new community forensic mental health programs will be introduced in community health services to provide assessment and treatment for offenders on a community corrections order with an associated mental health treatment and rehabilitation condition.</w:t>
      </w:r>
    </w:p>
    <w:p w14:paraId="58B237EC" w14:textId="5DA66267" w:rsidR="007B1263" w:rsidRDefault="007B1263" w:rsidP="007B1263">
      <w:pPr>
        <w:pStyle w:val="DHHSbody"/>
      </w:pPr>
      <w:r>
        <w:t>A new Mental Health Advice and Response Service is being established to facilitate pre-sentence referrals to mental health treatment and provide clinical advice to magistrates, including preparation of pre-sentence assessment reports and court liaison. In late 2017 a triage service response to clinical mental health information requests from Victoria Police will be introduced for high-risk individuals coming before a magistrate during after-hours bail hearings.</w:t>
      </w:r>
    </w:p>
    <w:p w14:paraId="48182B4E" w14:textId="77777777" w:rsidR="007B1263" w:rsidRDefault="007B1263" w:rsidP="007B1263">
      <w:pPr>
        <w:pStyle w:val="DHHSbody"/>
      </w:pPr>
      <w:r>
        <w:t>Reforms in youth justice will provide more mental health assessment, treatment and support through clinical in-reach for young offenders in the justice system.</w:t>
      </w:r>
    </w:p>
    <w:p w14:paraId="2029A9E6" w14:textId="77777777" w:rsidR="007B1263" w:rsidRDefault="007B1263" w:rsidP="007B1263">
      <w:pPr>
        <w:pStyle w:val="DHHSbody"/>
      </w:pPr>
      <w:r>
        <w:t>A new Forensic Youth Mental Health Service will include an early intervention problem behaviour program, and a secure youth forensic mental health unit will be established.</w:t>
      </w:r>
    </w:p>
    <w:p w14:paraId="7967ACCD" w14:textId="77777777" w:rsidR="007B1263" w:rsidRDefault="007B1263" w:rsidP="00B748E8">
      <w:pPr>
        <w:pStyle w:val="DHHSbody"/>
        <w:spacing w:after="240"/>
      </w:pPr>
      <w:r>
        <w:t>An additional 18 beds will open at Thomas Embling Hospital during 2017–18. In late 2017 Ravenhall, the new medium-security men’s prison, will open in Melbourne’s west. Ravenhall will have capacity to provide mental health services to 75 prisoners. Across Victoria, funding has been provided to support planning for more forensic mental health beds.</w:t>
      </w:r>
    </w:p>
    <w:tbl>
      <w:tblPr>
        <w:tblStyle w:val="TableGrid"/>
        <w:tblW w:w="0" w:type="auto"/>
        <w:tblLook w:val="04A0" w:firstRow="1" w:lastRow="0" w:firstColumn="1" w:lastColumn="0" w:noHBand="0" w:noVBand="1"/>
      </w:tblPr>
      <w:tblGrid>
        <w:gridCol w:w="9184"/>
      </w:tblGrid>
      <w:tr w:rsidR="00384DED" w14:paraId="7DA50A55" w14:textId="77777777" w:rsidTr="00384DED">
        <w:tc>
          <w:tcPr>
            <w:tcW w:w="9288" w:type="dxa"/>
          </w:tcPr>
          <w:p w14:paraId="76563763" w14:textId="77777777" w:rsidR="00384DED" w:rsidRPr="00D9699A" w:rsidRDefault="00384DED" w:rsidP="00384DED">
            <w:pPr>
              <w:pStyle w:val="DHHSboxheading"/>
            </w:pPr>
            <w:r w:rsidRPr="00D9699A">
              <w:t>Recovery from an eating disorder – my experience</w:t>
            </w:r>
          </w:p>
          <w:p w14:paraId="6497DB21" w14:textId="77777777" w:rsidR="00384DED" w:rsidRDefault="00384DED" w:rsidP="00384DED">
            <w:pPr>
              <w:pStyle w:val="DHHSbody"/>
            </w:pPr>
            <w:r>
              <w:t>When I was 12, something happened that made me feel like I didn’t have control over anything, including my body.</w:t>
            </w:r>
          </w:p>
          <w:p w14:paraId="30BE7F18" w14:textId="77777777" w:rsidR="00384DED" w:rsidRDefault="00384DED" w:rsidP="00384DED">
            <w:pPr>
              <w:pStyle w:val="DHHSbody"/>
            </w:pPr>
            <w:r>
              <w:t>I retreated to what I could control – food. I didn’t like my image and was trying to lose weight.</w:t>
            </w:r>
          </w:p>
          <w:p w14:paraId="171E8A19" w14:textId="77777777" w:rsidR="00384DED" w:rsidRDefault="00384DED" w:rsidP="00384DED">
            <w:pPr>
              <w:pStyle w:val="DHHSbody"/>
            </w:pPr>
            <w:r>
              <w:t>Eating made me feel guilty. It wasn’t enjoyable or satisfying and became a chore. I stopped eating lunch and breakfast. My family were around me at dinner, so I’d pick at my food or pretend I was full from snacks.</w:t>
            </w:r>
          </w:p>
          <w:p w14:paraId="09A49469" w14:textId="77777777" w:rsidR="00384DED" w:rsidRDefault="00384DED" w:rsidP="00384DED">
            <w:pPr>
              <w:pStyle w:val="DHHSbody"/>
            </w:pPr>
            <w:r>
              <w:t>It didn’t occur to me something was wrong, but looking back I was stressed and lonely.</w:t>
            </w:r>
          </w:p>
          <w:p w14:paraId="09DE43E2" w14:textId="77777777" w:rsidR="00384DED" w:rsidRDefault="00384DED" w:rsidP="00384DED">
            <w:pPr>
              <w:pStyle w:val="DHHSbody"/>
            </w:pPr>
            <w:r>
              <w:t>My friends noticed changes. They knew I wasn’t eating lunch and told the school counsellor. I felt betrayed at the time. I’m grateful now, because their actions played a big role in my recovery.</w:t>
            </w:r>
          </w:p>
          <w:p w14:paraId="2EDEF05F" w14:textId="77777777" w:rsidR="00384DED" w:rsidRDefault="00384DED" w:rsidP="00384DED">
            <w:pPr>
              <w:pStyle w:val="DHHSbody"/>
            </w:pPr>
            <w:r>
              <w:t>Reality hit when the GP I’ve known since I was little referred me to hospital. He made me realise there was a problem and I had to accept help.</w:t>
            </w:r>
          </w:p>
          <w:p w14:paraId="39B839FD" w14:textId="77777777" w:rsidR="00384DED" w:rsidRDefault="00384DED" w:rsidP="00384DED">
            <w:pPr>
              <w:pStyle w:val="DHHSbody"/>
            </w:pPr>
            <w:r>
              <w:t>I was diagnosed with anorexia nervosa after my ﬁrst day at the Royal Children’s Hospital. I was annoyed and didn’t want to be there. It was overwhelming and exhausting.</w:t>
            </w:r>
          </w:p>
          <w:p w14:paraId="5F37FB94" w14:textId="58DFE26A" w:rsidR="00384DED" w:rsidRDefault="00384DED" w:rsidP="00384DED">
            <w:pPr>
              <w:pStyle w:val="DHHSbody"/>
            </w:pPr>
            <w:r>
              <w:t>My recovery involved family-based therapy treatment. My parents controlled my eating, making me frustrated and stressed. It was our household’s main focus and put a heavy</w:t>
            </w:r>
            <w:r w:rsidR="00E4240A">
              <w:t xml:space="preserve"> </w:t>
            </w:r>
            <w:r>
              <w:t xml:space="preserve">strain on everyone. I was </w:t>
            </w:r>
            <w:r>
              <w:lastRenderedPageBreak/>
              <w:t>weighed weekly at the hospital, but not told my weight, and questioned about my previous week’s eating habits.</w:t>
            </w:r>
          </w:p>
          <w:p w14:paraId="01BB39E8" w14:textId="77777777" w:rsidR="00384DED" w:rsidRDefault="00384DED" w:rsidP="00384DED">
            <w:pPr>
              <w:pStyle w:val="DHHSbody"/>
            </w:pPr>
            <w:r>
              <w:t>Returning to school gave me something else to think about, but eating was still the major focus for me and everyone around me.</w:t>
            </w:r>
          </w:p>
          <w:p w14:paraId="785D448A" w14:textId="332A74A6" w:rsidR="00384DED" w:rsidRDefault="00384DED" w:rsidP="00384DED">
            <w:pPr>
              <w:pStyle w:val="DHHSbody"/>
            </w:pPr>
            <w:r>
              <w:t>I’d been away for so long and didn’t know what to tell my friends, so there was some distance</w:t>
            </w:r>
            <w:r w:rsidR="00E4240A">
              <w:t xml:space="preserve"> </w:t>
            </w:r>
            <w:r>
              <w:t>between us. I was supervised during school recess, drawing more attention to me. I was conscious</w:t>
            </w:r>
            <w:r w:rsidR="00E4240A">
              <w:t xml:space="preserve"> </w:t>
            </w:r>
            <w:r>
              <w:t>of when and how much I was eating. I’d not had a regular eating schedule in a long time. The student wellbeing coordinator helped.</w:t>
            </w:r>
          </w:p>
          <w:p w14:paraId="2D1B60CD" w14:textId="77777777" w:rsidR="00384DED" w:rsidRDefault="00384DED" w:rsidP="00384DED">
            <w:pPr>
              <w:pStyle w:val="DHHSbody"/>
            </w:pPr>
            <w:r>
              <w:t>More discussion about eating disorders and having teachers more aware of the triggers and symptoms would’ve helped me when I was at school. Students are often hurting or going through issues teachers can’t easily see.</w:t>
            </w:r>
          </w:p>
          <w:p w14:paraId="0E5D61AE" w14:textId="77777777" w:rsidR="00384DED" w:rsidRDefault="00384DED" w:rsidP="00384DED">
            <w:pPr>
              <w:pStyle w:val="DHHSbody"/>
            </w:pPr>
            <w:r>
              <w:t>They look to teachers to help them.</w:t>
            </w:r>
          </w:p>
          <w:p w14:paraId="3B116A26" w14:textId="41D6B8F5" w:rsidR="00384DED" w:rsidRDefault="00384DED" w:rsidP="00384DED">
            <w:pPr>
              <w:pStyle w:val="DHHSbody"/>
            </w:pPr>
            <w:r>
              <w:t>I want to tell other young people that to deal</w:t>
            </w:r>
            <w:r w:rsidR="00E4240A">
              <w:t xml:space="preserve"> </w:t>
            </w:r>
            <w:r>
              <w:t>with something, you ﬁrstly – and most importantly</w:t>
            </w:r>
            <w:r w:rsidR="00E4240A">
              <w:t xml:space="preserve"> </w:t>
            </w:r>
            <w:r>
              <w:t>– have to acknowledge you have a problem. People around you often see something before you realise. Try listening to and trusting them. They care about you.</w:t>
            </w:r>
          </w:p>
          <w:p w14:paraId="26220E18" w14:textId="77777777" w:rsidR="00384DED" w:rsidRDefault="00384DED" w:rsidP="00384DED">
            <w:pPr>
              <w:pStyle w:val="DHHSbody"/>
            </w:pPr>
            <w:r>
              <w:t>I still struggle some days, but I remind myself of the strength I’ve gained. I have a strong support network I can rely on. I don’t have to face issues alone.</w:t>
            </w:r>
          </w:p>
          <w:p w14:paraId="038383D7" w14:textId="77777777" w:rsidR="00384DED" w:rsidRDefault="00384DED" w:rsidP="00384DED">
            <w:pPr>
              <w:pStyle w:val="DHHSbody"/>
            </w:pPr>
            <w:r>
              <w:t>I’m no longer the person I was back then. I’m happier.</w:t>
            </w:r>
          </w:p>
          <w:p w14:paraId="32FF0D11" w14:textId="3A0D2207" w:rsidR="00384DED" w:rsidRDefault="00E4240A" w:rsidP="007B1263">
            <w:pPr>
              <w:pStyle w:val="DHHSbody"/>
            </w:pPr>
            <w:r>
              <w:t xml:space="preserve">– </w:t>
            </w:r>
            <w:r w:rsidR="00384DED">
              <w:t>Isla</w:t>
            </w:r>
          </w:p>
        </w:tc>
      </w:tr>
    </w:tbl>
    <w:p w14:paraId="3871B158" w14:textId="608C02D9" w:rsidR="00384DED" w:rsidRDefault="00384DED" w:rsidP="007B1263">
      <w:pPr>
        <w:pStyle w:val="DHHSbody"/>
      </w:pPr>
    </w:p>
    <w:tbl>
      <w:tblPr>
        <w:tblStyle w:val="TableGrid"/>
        <w:tblW w:w="0" w:type="auto"/>
        <w:tblLook w:val="04A0" w:firstRow="1" w:lastRow="0" w:firstColumn="1" w:lastColumn="0" w:noHBand="0" w:noVBand="1"/>
      </w:tblPr>
      <w:tblGrid>
        <w:gridCol w:w="9184"/>
      </w:tblGrid>
      <w:tr w:rsidR="00384DED" w14:paraId="03111A04" w14:textId="77777777" w:rsidTr="00384DED">
        <w:tc>
          <w:tcPr>
            <w:tcW w:w="9288" w:type="dxa"/>
          </w:tcPr>
          <w:p w14:paraId="63CF9496" w14:textId="77777777" w:rsidR="00384DED" w:rsidRPr="00D9699A" w:rsidRDefault="00384DED" w:rsidP="00384DED">
            <w:pPr>
              <w:pStyle w:val="DHHSboxheading"/>
            </w:pPr>
            <w:r>
              <w:t>M</w:t>
            </w:r>
            <w:r w:rsidRPr="00D9699A">
              <w:t>anaging my cancer treatment and depression</w:t>
            </w:r>
          </w:p>
          <w:p w14:paraId="2D842811" w14:textId="77777777" w:rsidR="00384DED" w:rsidRDefault="00384DED" w:rsidP="00384DED">
            <w:pPr>
              <w:pStyle w:val="DHHSbody"/>
            </w:pPr>
            <w:r>
              <w:t>I was out of sorts and saw my GP. With a new grandchild and a son with drug addiction who’d moved back home, I was probably stressed and run down.</w:t>
            </w:r>
          </w:p>
          <w:p w14:paraId="4201EB64" w14:textId="77777777" w:rsidR="00384DED" w:rsidRDefault="00384DED" w:rsidP="00384DED">
            <w:pPr>
              <w:pStyle w:val="DHHSbody"/>
            </w:pPr>
            <w:r>
              <w:t>My blood tests were ‘abnormal’. I was referred to the Royal Melbourne Hospital – it’s all a blur. I was feeling so sick, I had no energy to think about it. I was diagnosed with blood cancer (acute myeloid leukaemia). I remember worrying about not packing enough clothes. I had no idea I’d be in hospital the rest of that year.</w:t>
            </w:r>
          </w:p>
          <w:p w14:paraId="5EB045A6" w14:textId="77777777" w:rsidR="00384DED" w:rsidRDefault="00384DED" w:rsidP="00384DED">
            <w:pPr>
              <w:pStyle w:val="DHHSbody"/>
            </w:pPr>
            <w:r>
              <w:t>I had chemo – an ugly process of tablets, vomiting, tubes, pain and exhaustion. You feel so sick. It wasn’t successful. I needed a bone marrow transplant. Luckily, we found a donor and my transplant was in September.</w:t>
            </w:r>
          </w:p>
          <w:p w14:paraId="0C070A96" w14:textId="7CFF487C" w:rsidR="00384DED" w:rsidRDefault="00384DED" w:rsidP="00384DED">
            <w:pPr>
              <w:pStyle w:val="DHHSbody"/>
            </w:pPr>
            <w:r>
              <w:t>Finally, things looked up. It was such a relief when I went home in October. But I started vomiting and feeling sick again, and was back to hospital. The infection cleared, but I was still sick. It was one thing after another. Eventually</w:t>
            </w:r>
            <w:r w:rsidR="001F77A2">
              <w:t xml:space="preserve"> </w:t>
            </w:r>
            <w:r>
              <w:t>I was diagnosed with graft-versus-host disease. It’s very hard to treat. I really started feeling down. It was so frustrating. You’re just there, so sick and helpless, all the time. I had no control. My daughter said it was worse seeing me so upset than so physically sick.</w:t>
            </w:r>
          </w:p>
          <w:p w14:paraId="052DCA0D" w14:textId="77777777" w:rsidR="00384DED" w:rsidRDefault="00384DED" w:rsidP="00384DED">
            <w:pPr>
              <w:pStyle w:val="DHHSbody"/>
            </w:pPr>
            <w:r>
              <w:t>I was depressed in 2012 and it was awful – I was starting to worry that I’d feel like that again.</w:t>
            </w:r>
          </w:p>
          <w:p w14:paraId="48AD18FB" w14:textId="77777777" w:rsidR="00384DED" w:rsidRDefault="00384DED" w:rsidP="00384DED">
            <w:pPr>
              <w:pStyle w:val="DHHSbody"/>
            </w:pPr>
            <w:r>
              <w:t>They say you lock things up and only cope with them when you have to, like a bucket that overﬂows. My cancer treatment was going so badly. When things went okay, something else happened.</w:t>
            </w:r>
          </w:p>
          <w:p w14:paraId="33A4413B" w14:textId="77777777" w:rsidR="00384DED" w:rsidRDefault="00384DED" w:rsidP="00384DED">
            <w:pPr>
              <w:pStyle w:val="DHHSbody"/>
            </w:pPr>
            <w:r>
              <w:t>They wanted to try a new treatment, but I just couldn’t face it. I asked to see the consultation liaison psych team, who started visiting me and providing treatment for depression. They hit the nail on the head about what I was feeling. I didn’t have to pinpoint it myself. I felt I could cope with the new treatment, and I’m glad I did. It’s helped me turn the corner and start getting better.</w:t>
            </w:r>
          </w:p>
          <w:p w14:paraId="3F674B6D" w14:textId="77777777" w:rsidR="00384DED" w:rsidRDefault="00384DED" w:rsidP="00384DED">
            <w:pPr>
              <w:pStyle w:val="DHHSbody"/>
            </w:pPr>
            <w:r>
              <w:lastRenderedPageBreak/>
              <w:t>Seeing the same people every time is comforting. They’re part of the bone marrow transplant team, so I don’t have to explain everything all the time.</w:t>
            </w:r>
          </w:p>
          <w:p w14:paraId="78C56A03" w14:textId="77777777" w:rsidR="00384DED" w:rsidRDefault="00384DED" w:rsidP="00384DED">
            <w:pPr>
              <w:pStyle w:val="DHHSbody"/>
            </w:pPr>
            <w:r>
              <w:t>I still have good and bad days, but it’s deﬁnitely played a big part in getting me so close to going home.</w:t>
            </w:r>
          </w:p>
          <w:p w14:paraId="1D41DEE8" w14:textId="2D8E3A7F" w:rsidR="00384DED" w:rsidRDefault="00E4240A" w:rsidP="007B1263">
            <w:pPr>
              <w:pStyle w:val="DHHSbody"/>
            </w:pPr>
            <w:r>
              <w:t xml:space="preserve">– </w:t>
            </w:r>
            <w:r w:rsidR="00384DED">
              <w:t>Deborah</w:t>
            </w:r>
          </w:p>
        </w:tc>
      </w:tr>
    </w:tbl>
    <w:p w14:paraId="45A1ECC9" w14:textId="6BD47D0B" w:rsidR="007B1263" w:rsidRDefault="00D9699A" w:rsidP="00D9699A">
      <w:pPr>
        <w:pStyle w:val="Heading2"/>
      </w:pPr>
      <w:bookmarkStart w:id="10" w:name="_Toc28340184"/>
      <w:r>
        <w:lastRenderedPageBreak/>
        <w:t>Supporting and strengthening our mental health workforce</w:t>
      </w:r>
      <w:bookmarkEnd w:id="10"/>
    </w:p>
    <w:p w14:paraId="0512A1AC" w14:textId="6AC64D81" w:rsidR="004F0084" w:rsidRPr="004F0084" w:rsidRDefault="004F0084" w:rsidP="004F0084">
      <w:pPr>
        <w:pStyle w:val="DHHSbody"/>
        <w:rPr>
          <w:b/>
          <w:bCs/>
        </w:rPr>
      </w:pPr>
      <w:r w:rsidRPr="004F0084">
        <w:rPr>
          <w:b/>
          <w:bCs/>
        </w:rPr>
        <w:t>OUTCOME: Services are safe, of high quality, offer choice and provide a positive service experience</w:t>
      </w:r>
    </w:p>
    <w:p w14:paraId="52623AE3" w14:textId="64895F1C" w:rsidR="007B1263" w:rsidRDefault="007B1263" w:rsidP="007B1263">
      <w:pPr>
        <w:pStyle w:val="DHHSbody"/>
      </w:pPr>
      <w:r>
        <w:t xml:space="preserve">Our </w:t>
      </w:r>
      <w:r w:rsidRPr="004F0084">
        <w:rPr>
          <w:i/>
          <w:iCs/>
        </w:rPr>
        <w:t>Mental health workforce strategy</w:t>
      </w:r>
      <w:r>
        <w:t>, released in August 2016, is about supporting all workers, regardless of their role and location, to provide the best possible support, care and treatment. The strategy includes initiatives to strengthen development of Victoria’s mental health workforce.</w:t>
      </w:r>
    </w:p>
    <w:p w14:paraId="1D79FF38" w14:textId="77777777" w:rsidR="007B1263" w:rsidRDefault="007B1263" w:rsidP="007B1263">
      <w:pPr>
        <w:pStyle w:val="DHHSbody"/>
      </w:pPr>
      <w:r>
        <w:t>A new Centre for Mental Health Workforce Learning and Development will provide a central access point for mental health learning and development opportunities. It will support people working in specialist mental health services as well as other sectors (including health, human services, justice, education and local government).</w:t>
      </w:r>
    </w:p>
    <w:p w14:paraId="09EA205D" w14:textId="77777777" w:rsidR="007B1263" w:rsidRDefault="007B1263" w:rsidP="007B1263">
      <w:pPr>
        <w:pStyle w:val="DHHSbody"/>
      </w:pPr>
      <w:r>
        <w:t>The centre will provide:</w:t>
      </w:r>
    </w:p>
    <w:p w14:paraId="75E83579" w14:textId="73CD715B" w:rsidR="007B1263" w:rsidRDefault="007B1263" w:rsidP="004F0084">
      <w:pPr>
        <w:pStyle w:val="DHHSbullet1"/>
      </w:pPr>
      <w:r>
        <w:t>help to identify learning and development opportunities for mental health workers</w:t>
      </w:r>
    </w:p>
    <w:p w14:paraId="68584ACE" w14:textId="4CD6ACEF" w:rsidR="007B1263" w:rsidRDefault="007B1263" w:rsidP="004F0084">
      <w:pPr>
        <w:pStyle w:val="DHHSbullet1"/>
      </w:pPr>
      <w:r>
        <w:t>strategic advice on workforce development and career pathways for services and training organisations</w:t>
      </w:r>
    </w:p>
    <w:p w14:paraId="1E3AB7C0" w14:textId="5D36DB4C" w:rsidR="007B1263" w:rsidRDefault="007B1263" w:rsidP="004F0084">
      <w:pPr>
        <w:pStyle w:val="DHHSbullet1"/>
      </w:pPr>
      <w:r>
        <w:t>advice and support to ensure training and other workforce interventions are delivered in the right format at the right time, to be effective as possible</w:t>
      </w:r>
    </w:p>
    <w:p w14:paraId="4DA7FE57" w14:textId="207ECC2B" w:rsidR="007B1263" w:rsidRDefault="007B1263" w:rsidP="004F0084">
      <w:pPr>
        <w:pStyle w:val="DHHSbullet1"/>
      </w:pPr>
      <w:r>
        <w:t>promotion of training and events through a consolidated statewide calendar</w:t>
      </w:r>
    </w:p>
    <w:p w14:paraId="40D53549" w14:textId="1E147D97" w:rsidR="007B1263" w:rsidRDefault="007B1263" w:rsidP="004F0084">
      <w:pPr>
        <w:pStyle w:val="DHHSbullet1"/>
      </w:pPr>
      <w:r>
        <w:t>networking opportunities</w:t>
      </w:r>
    </w:p>
    <w:p w14:paraId="4E69F7A7" w14:textId="39FF326F" w:rsidR="007B1263" w:rsidRDefault="007B1263" w:rsidP="004F0084">
      <w:pPr>
        <w:pStyle w:val="DHHSbullet1lastline"/>
      </w:pPr>
      <w:r>
        <w:t>access to evidence and other practice support tools and resources.</w:t>
      </w:r>
    </w:p>
    <w:p w14:paraId="524E9C1B" w14:textId="77777777" w:rsidR="007B1263" w:rsidRDefault="007B1263" w:rsidP="00B748E8">
      <w:pPr>
        <w:pStyle w:val="DHHSbody"/>
        <w:spacing w:after="240"/>
      </w:pPr>
      <w:r>
        <w:t>The centre will also provide consultancy services in speciﬁc areas of need such as supporting the lived experience workforce, consumer and carer engagement, trauma-informed practice and managing complexity.</w:t>
      </w:r>
    </w:p>
    <w:tbl>
      <w:tblPr>
        <w:tblStyle w:val="TableGrid"/>
        <w:tblW w:w="0" w:type="auto"/>
        <w:tblLook w:val="04A0" w:firstRow="1" w:lastRow="0" w:firstColumn="1" w:lastColumn="0" w:noHBand="0" w:noVBand="1"/>
      </w:tblPr>
      <w:tblGrid>
        <w:gridCol w:w="9184"/>
      </w:tblGrid>
      <w:tr w:rsidR="004F0084" w14:paraId="06FAAAD9" w14:textId="77777777" w:rsidTr="004F0084">
        <w:tc>
          <w:tcPr>
            <w:tcW w:w="9288" w:type="dxa"/>
          </w:tcPr>
          <w:p w14:paraId="130F5C29" w14:textId="77777777" w:rsidR="004F0084" w:rsidRPr="00D9699A" w:rsidRDefault="004F0084" w:rsidP="004F0084">
            <w:pPr>
              <w:pStyle w:val="DHHSboxheading"/>
            </w:pPr>
            <w:r w:rsidRPr="00D9699A">
              <w:t>Hello Open Minds</w:t>
            </w:r>
          </w:p>
          <w:p w14:paraId="4F4F577A" w14:textId="77777777" w:rsidR="004F0084" w:rsidRDefault="004F0084" w:rsidP="004F0084">
            <w:pPr>
              <w:pStyle w:val="DHHSbody"/>
            </w:pPr>
            <w:r>
              <w:t>Attracting and retaining a skilled and sustainable workforce is a vital part of Victoria’s mental health workforce strategy.</w:t>
            </w:r>
          </w:p>
          <w:p w14:paraId="31DBC135" w14:textId="77777777" w:rsidR="004F0084" w:rsidRDefault="004F0084" w:rsidP="004F0084">
            <w:pPr>
              <w:pStyle w:val="DHHSbody"/>
            </w:pPr>
            <w:r>
              <w:t>Developed in 2017, our Hello Open Minds campaign focuses on recovery as a shared process. It shares the many positive aspects of working in mental health and the realities of what these roles require, including a strong skills base and an open mind.</w:t>
            </w:r>
          </w:p>
          <w:p w14:paraId="568FD895" w14:textId="77777777" w:rsidR="004F0084" w:rsidRDefault="004F0084" w:rsidP="004F0084">
            <w:pPr>
              <w:pStyle w:val="DHHSbody"/>
            </w:pPr>
            <w:r>
              <w:t>Videos featuring mental health workers and consumers appeared across digital advertising, social media and a dedicated website for those interested in a career in mental health.</w:t>
            </w:r>
          </w:p>
          <w:p w14:paraId="6774AD29" w14:textId="77777777" w:rsidR="004F0084" w:rsidRDefault="004F0084" w:rsidP="004F0084">
            <w:pPr>
              <w:pStyle w:val="DHHSbody"/>
            </w:pPr>
            <w:proofErr w:type="spellStart"/>
            <w:r>
              <w:t>Breeanna</w:t>
            </w:r>
            <w:proofErr w:type="spellEnd"/>
            <w:r>
              <w:t>, a mental health worker, puts it this way:</w:t>
            </w:r>
          </w:p>
          <w:p w14:paraId="0223E05B" w14:textId="77777777" w:rsidR="004F0084" w:rsidRDefault="004F0084" w:rsidP="004F0084">
            <w:pPr>
              <w:pStyle w:val="DHHSbody"/>
            </w:pPr>
            <w:r>
              <w:t>‘Being collaborative is vital for the consumer’s mental health recovery. It not only helps them to become more independent and have a positive internal narrative, but also ensures a longer term, more sustainable recovery and approach to other difﬁculties that come up in life.’</w:t>
            </w:r>
          </w:p>
          <w:p w14:paraId="3562AA19" w14:textId="77777777" w:rsidR="004F0084" w:rsidRDefault="004F0084" w:rsidP="004F0084">
            <w:pPr>
              <w:pStyle w:val="DHHSbody"/>
            </w:pPr>
            <w:r>
              <w:t>‘It’s incredibly important to have an open mind, be curious and allow the individual to describe their own interpretation and perspective. I ﬁnd mental health to be an incredibly meaningful career.’</w:t>
            </w:r>
          </w:p>
          <w:p w14:paraId="754F86FE" w14:textId="7CA77097" w:rsidR="004F0084" w:rsidRDefault="004F0084" w:rsidP="007B1263">
            <w:pPr>
              <w:pStyle w:val="DHHSbody"/>
            </w:pPr>
            <w:r>
              <w:lastRenderedPageBreak/>
              <w:t>The videos and a range of campaign resources can be found at &lt;www.helloopenminds.vic.gov.au&gt;.</w:t>
            </w:r>
          </w:p>
        </w:tc>
      </w:tr>
    </w:tbl>
    <w:p w14:paraId="7B890DE9" w14:textId="4E42316E" w:rsidR="007B1263" w:rsidRDefault="00D9699A" w:rsidP="00D9699A">
      <w:pPr>
        <w:pStyle w:val="Heading2"/>
      </w:pPr>
      <w:bookmarkStart w:id="11" w:name="_Toc28340185"/>
      <w:r>
        <w:lastRenderedPageBreak/>
        <w:t>Aboriginal social and emotional wellbeing</w:t>
      </w:r>
      <w:bookmarkEnd w:id="11"/>
    </w:p>
    <w:p w14:paraId="4D21C8CD" w14:textId="4FFC37D0" w:rsidR="004F0084" w:rsidRPr="004F0084" w:rsidRDefault="004F0084" w:rsidP="004F0084">
      <w:pPr>
        <w:pStyle w:val="DHHSbody"/>
        <w:rPr>
          <w:b/>
          <w:bCs/>
        </w:rPr>
      </w:pPr>
      <w:r w:rsidRPr="004F0084">
        <w:rPr>
          <w:b/>
          <w:bCs/>
        </w:rPr>
        <w:t>OUTCOME: The gap in mental health and wellbeing for Aboriginal Victorians is reduced</w:t>
      </w:r>
    </w:p>
    <w:p w14:paraId="1D53358C" w14:textId="3E974AEA" w:rsidR="007B1263" w:rsidRDefault="007B1263" w:rsidP="007B1263">
      <w:pPr>
        <w:pStyle w:val="DHHSbody"/>
      </w:pPr>
      <w:r>
        <w:t xml:space="preserve">Our </w:t>
      </w:r>
      <w:r w:rsidRPr="004F0084">
        <w:rPr>
          <w:i/>
          <w:iCs/>
        </w:rPr>
        <w:t>10-year mental health plan</w:t>
      </w:r>
      <w:r>
        <w:t xml:space="preserve"> aims to reduce the gap in mental health and wellbeing for Aboriginal Victorians, and this is clearly articulated in the outcomes framework. We know Aboriginal Victorians experience much higher rates of psychological distress than most Victorians, and more Aboriginal children have emotional and behavioural problems when they start school.</w:t>
      </w:r>
    </w:p>
    <w:p w14:paraId="1C3A00B9" w14:textId="77777777" w:rsidR="007B1263" w:rsidRDefault="007B1263" w:rsidP="007B1263">
      <w:pPr>
        <w:pStyle w:val="DHHSbody"/>
      </w:pPr>
      <w:r>
        <w:t>National data indicates that self-harm and suicide rates are far greater than comparable rates for non-Aboriginal people.</w:t>
      </w:r>
    </w:p>
    <w:p w14:paraId="783A69E8" w14:textId="77777777" w:rsidR="007B1263" w:rsidRDefault="007B1263" w:rsidP="007B1263">
      <w:pPr>
        <w:pStyle w:val="DHHSbody"/>
      </w:pPr>
      <w:r>
        <w:t xml:space="preserve">An Aboriginal social and emotional framework has been developed under the </w:t>
      </w:r>
      <w:r w:rsidRPr="00E938F8">
        <w:rPr>
          <w:i/>
          <w:iCs/>
        </w:rPr>
        <w:t>10-year mental health plan</w:t>
      </w:r>
      <w:r>
        <w:t xml:space="preserve">. </w:t>
      </w:r>
      <w:proofErr w:type="spellStart"/>
      <w:r w:rsidRPr="004F0084">
        <w:rPr>
          <w:i/>
          <w:iCs/>
        </w:rPr>
        <w:t>Balit</w:t>
      </w:r>
      <w:proofErr w:type="spellEnd"/>
      <w:r w:rsidRPr="004F0084">
        <w:rPr>
          <w:i/>
          <w:iCs/>
        </w:rPr>
        <w:t xml:space="preserve"> </w:t>
      </w:r>
      <w:proofErr w:type="spellStart"/>
      <w:r w:rsidRPr="004F0084">
        <w:rPr>
          <w:i/>
          <w:iCs/>
        </w:rPr>
        <w:t>Murrup</w:t>
      </w:r>
      <w:proofErr w:type="spellEnd"/>
      <w:r w:rsidRPr="004F0084">
        <w:rPr>
          <w:i/>
          <w:iCs/>
        </w:rPr>
        <w:t xml:space="preserve"> – Aboriginal social and emotional wellbeing framework</w:t>
      </w:r>
      <w:r>
        <w:t xml:space="preserve"> focuses on Aboriginal healing, trauma-informed practice and recovery and, most importantly, self-determination.</w:t>
      </w:r>
    </w:p>
    <w:p w14:paraId="6F54C765" w14:textId="77777777" w:rsidR="007B1263" w:rsidRDefault="007B1263" w:rsidP="007B1263">
      <w:pPr>
        <w:pStyle w:val="DHHSbody"/>
      </w:pPr>
      <w:r>
        <w:t>It commits to action to deliver locally designed community responses and to build a more culturally responsive service system with an expanded skilled Aboriginal workforce.</w:t>
      </w:r>
    </w:p>
    <w:p w14:paraId="182B9BC1" w14:textId="472FBC79" w:rsidR="007B1263" w:rsidRDefault="007B1263" w:rsidP="007B1263">
      <w:pPr>
        <w:pStyle w:val="DHHSbody"/>
      </w:pPr>
      <w:r>
        <w:t>Initiatives supporting the strategic priorities in</w:t>
      </w:r>
      <w:r w:rsidR="004F0084">
        <w:t xml:space="preserve"> </w:t>
      </w:r>
      <w:proofErr w:type="spellStart"/>
      <w:r w:rsidRPr="004F0084">
        <w:rPr>
          <w:i/>
          <w:iCs/>
        </w:rPr>
        <w:t>Balit</w:t>
      </w:r>
      <w:proofErr w:type="spellEnd"/>
      <w:r w:rsidRPr="004F0084">
        <w:rPr>
          <w:i/>
          <w:iCs/>
        </w:rPr>
        <w:t xml:space="preserve"> </w:t>
      </w:r>
      <w:proofErr w:type="spellStart"/>
      <w:r w:rsidRPr="004F0084">
        <w:rPr>
          <w:i/>
          <w:iCs/>
        </w:rPr>
        <w:t>Murrup</w:t>
      </w:r>
      <w:proofErr w:type="spellEnd"/>
      <w:r w:rsidRPr="004F0084">
        <w:rPr>
          <w:i/>
          <w:iCs/>
        </w:rPr>
        <w:t xml:space="preserve"> </w:t>
      </w:r>
      <w:r>
        <w:t>include:</w:t>
      </w:r>
    </w:p>
    <w:p w14:paraId="5C030571" w14:textId="742ED7B4" w:rsidR="007B1263" w:rsidRDefault="007B1263" w:rsidP="004F0084">
      <w:pPr>
        <w:pStyle w:val="DHHSbullet1"/>
      </w:pPr>
      <w:r>
        <w:t>three demonstration projects to test new service models for Aboriginal Victorians with moderate to severe mental illness, trauma and other complex social support needs – each site will provide culturally responsive mental health care, treatment, counselling and care coordination</w:t>
      </w:r>
    </w:p>
    <w:p w14:paraId="7AF4A114" w14:textId="1AAE6499" w:rsidR="007B1263" w:rsidRDefault="007B1263" w:rsidP="00972AB0">
      <w:pPr>
        <w:pStyle w:val="DHHSbullet1"/>
        <w:spacing w:after="240"/>
        <w:ind w:left="288" w:hanging="288"/>
      </w:pPr>
      <w:r>
        <w:t>expanding our Aboriginal mental health and drug and alcohol workforce through a new Aboriginal mental health workforce training program – this will be supported by 15 new traineeship positions for Aboriginal Victorians in mental health services to enhance culturally appropriate care and 10 clinical mental health positions in Aboriginal community-controlled organisations.</w:t>
      </w:r>
    </w:p>
    <w:tbl>
      <w:tblPr>
        <w:tblStyle w:val="TableGrid"/>
        <w:tblW w:w="0" w:type="auto"/>
        <w:tblLook w:val="04A0" w:firstRow="1" w:lastRow="0" w:firstColumn="1" w:lastColumn="0" w:noHBand="0" w:noVBand="1"/>
      </w:tblPr>
      <w:tblGrid>
        <w:gridCol w:w="9184"/>
      </w:tblGrid>
      <w:tr w:rsidR="00E938F8" w14:paraId="39A027C4" w14:textId="77777777" w:rsidTr="00E938F8">
        <w:tc>
          <w:tcPr>
            <w:tcW w:w="9288" w:type="dxa"/>
          </w:tcPr>
          <w:p w14:paraId="354DFD1E" w14:textId="77777777" w:rsidR="00E938F8" w:rsidRDefault="00E938F8" w:rsidP="00E938F8">
            <w:pPr>
              <w:pStyle w:val="DHHSboxheading"/>
            </w:pPr>
            <w:r>
              <w:t xml:space="preserve">Healing and recovery – </w:t>
            </w:r>
            <w:proofErr w:type="spellStart"/>
            <w:r>
              <w:t>Wadamba</w:t>
            </w:r>
            <w:proofErr w:type="spellEnd"/>
            <w:r>
              <w:t xml:space="preserve"> </w:t>
            </w:r>
            <w:proofErr w:type="spellStart"/>
            <w:r>
              <w:t>Wilam</w:t>
            </w:r>
            <w:proofErr w:type="spellEnd"/>
            <w:r>
              <w:t xml:space="preserve"> (renew shelter)</w:t>
            </w:r>
          </w:p>
          <w:p w14:paraId="3109E9AF" w14:textId="688CC770" w:rsidR="00E938F8" w:rsidRDefault="00E938F8" w:rsidP="00E938F8">
            <w:pPr>
              <w:pStyle w:val="DHHSbody"/>
            </w:pPr>
            <w:r>
              <w:t>At the age of six, I suffered pretty bad child abuse and was placed in foster care through the</w:t>
            </w:r>
            <w:r w:rsidR="00174368">
              <w:t xml:space="preserve"> </w:t>
            </w:r>
            <w:r>
              <w:t>Department of Human Services. For 10 years I was moved from house to house and family to family that always ended in failure and resulted in me feeling unwanted. After many failed placements and getting over the system I eventually got independent living at age 16 where I was studying, on Centrelink and supporting myself.</w:t>
            </w:r>
          </w:p>
          <w:p w14:paraId="6456A561" w14:textId="7BCC0068" w:rsidR="00E938F8" w:rsidRDefault="00E938F8" w:rsidP="00E938F8">
            <w:pPr>
              <w:pStyle w:val="DHHSbody"/>
            </w:pPr>
            <w:r>
              <w:t>Even though I thought things would now start to work out, I had some really difﬁcult times. From age 17 I was in and out of psychiatric units every couple of months for about ﬁve years. I was diagnosed with severe depression and post-traumatic stress disorder due to my past.</w:t>
            </w:r>
          </w:p>
          <w:p w14:paraId="6B136D07" w14:textId="77777777" w:rsidR="00E938F8" w:rsidRDefault="00E938F8" w:rsidP="00E938F8">
            <w:pPr>
              <w:pStyle w:val="DHHSbody"/>
            </w:pPr>
            <w:r>
              <w:t>I started using drugs daily to block out everything that I was feeling. I had become numb and lost myself, lost interest in the things I had loved doing and had become what the system told me to be.</w:t>
            </w:r>
          </w:p>
          <w:p w14:paraId="634A89DF" w14:textId="77777777" w:rsidR="00E938F8" w:rsidRDefault="00E938F8" w:rsidP="00E938F8">
            <w:pPr>
              <w:pStyle w:val="DHHSbody"/>
            </w:pPr>
            <w:r>
              <w:t xml:space="preserve">When I ﬁrst met my </w:t>
            </w:r>
            <w:proofErr w:type="spellStart"/>
            <w:r>
              <w:t>Wadamba</w:t>
            </w:r>
            <w:proofErr w:type="spellEnd"/>
            <w:r>
              <w:t xml:space="preserve"> </w:t>
            </w:r>
            <w:proofErr w:type="spellStart"/>
            <w:r>
              <w:t>Wilam</w:t>
            </w:r>
            <w:proofErr w:type="spellEnd"/>
            <w:r>
              <w:t xml:space="preserve"> workers four years ago, I was in hospital and I was in a pretty bad state. I had given up on the system and workers but they seemed different right from the start. They weren’t all about the past and what had gone wrong; they focused on the present and the future.</w:t>
            </w:r>
          </w:p>
          <w:p w14:paraId="3D98123E" w14:textId="5C388520" w:rsidR="00E938F8" w:rsidRDefault="00E938F8" w:rsidP="00E938F8">
            <w:pPr>
              <w:pStyle w:val="DHHSbody"/>
            </w:pPr>
            <w:r>
              <w:t>They started to build me up, and my self-conﬁdence started to come back. I never felt judged or unheard. Whatever was important to me was important to them. We do a lot of goal setting and I’ve been able to achieve a lot of them, building up to bigger goals. Everything is based on me, my strengths and my abilities. We focus on what I have achieved and build up from there.</w:t>
            </w:r>
          </w:p>
          <w:p w14:paraId="0E00B363" w14:textId="77777777" w:rsidR="00E938F8" w:rsidRDefault="00E938F8" w:rsidP="00E938F8">
            <w:pPr>
              <w:pStyle w:val="DHHSbody"/>
            </w:pPr>
            <w:r>
              <w:lastRenderedPageBreak/>
              <w:t>It’s great! In the last few years I have accomplished so much and feel a whole lot better about myself. My conﬁdence still grows daily and I am sure that I can be more assertive and express my feelings better than I ever could before.</w:t>
            </w:r>
          </w:p>
          <w:p w14:paraId="4BEE8ECB" w14:textId="77777777" w:rsidR="00E938F8" w:rsidRDefault="00E938F8" w:rsidP="00E938F8">
            <w:pPr>
              <w:pStyle w:val="DHHSbody"/>
            </w:pPr>
            <w:r>
              <w:t xml:space="preserve">I am still working on myself every day, but I am feeling like the old me again – before depression, before diagnosis. Mental illness is just a small part of me. I think it’s important to remember who you are and not lose track of that. I can always rely on </w:t>
            </w:r>
            <w:proofErr w:type="spellStart"/>
            <w:r>
              <w:t>Wadamba</w:t>
            </w:r>
            <w:proofErr w:type="spellEnd"/>
            <w:r>
              <w:t xml:space="preserve"> </w:t>
            </w:r>
            <w:proofErr w:type="spellStart"/>
            <w:r>
              <w:t>Wilam</w:t>
            </w:r>
            <w:proofErr w:type="spellEnd"/>
            <w:r>
              <w:t xml:space="preserve"> for support.</w:t>
            </w:r>
          </w:p>
          <w:p w14:paraId="19E8D392" w14:textId="77777777" w:rsidR="00E938F8" w:rsidRDefault="00E938F8" w:rsidP="00E938F8">
            <w:pPr>
              <w:pStyle w:val="DHHSbody"/>
            </w:pPr>
            <w:r>
              <w:t>I’m conﬁdent I can overcome any obstacle now that I have the knowledge, conﬁdence and life skills to achieve my goals and better my future.</w:t>
            </w:r>
          </w:p>
          <w:p w14:paraId="06B3C52E" w14:textId="0D5E7CE8" w:rsidR="00E938F8" w:rsidRDefault="00E938F8" w:rsidP="00E938F8">
            <w:pPr>
              <w:pStyle w:val="DHHSbody"/>
            </w:pPr>
            <w:r>
              <w:t>– Chantelle</w:t>
            </w:r>
          </w:p>
        </w:tc>
      </w:tr>
    </w:tbl>
    <w:p w14:paraId="546CC038" w14:textId="5086E2AA" w:rsidR="007B1263" w:rsidRDefault="007B1263" w:rsidP="007B1263">
      <w:pPr>
        <w:pStyle w:val="DHHSbody"/>
      </w:pPr>
    </w:p>
    <w:tbl>
      <w:tblPr>
        <w:tblStyle w:val="TableGrid"/>
        <w:tblW w:w="0" w:type="auto"/>
        <w:tblLook w:val="04A0" w:firstRow="1" w:lastRow="0" w:firstColumn="1" w:lastColumn="0" w:noHBand="0" w:noVBand="1"/>
      </w:tblPr>
      <w:tblGrid>
        <w:gridCol w:w="9184"/>
      </w:tblGrid>
      <w:tr w:rsidR="00E938F8" w14:paraId="60DACD08" w14:textId="77777777" w:rsidTr="00E938F8">
        <w:tc>
          <w:tcPr>
            <w:tcW w:w="9288" w:type="dxa"/>
          </w:tcPr>
          <w:p w14:paraId="203959C4" w14:textId="77777777" w:rsidR="00E938F8" w:rsidRDefault="00E938F8" w:rsidP="00E938F8">
            <w:pPr>
              <w:pStyle w:val="DHHSboxheading"/>
            </w:pPr>
            <w:r>
              <w:t>Kim’s experience with the homeless outreach service</w:t>
            </w:r>
          </w:p>
          <w:p w14:paraId="53357790" w14:textId="77777777" w:rsidR="00E938F8" w:rsidRDefault="00E938F8" w:rsidP="00E938F8">
            <w:pPr>
              <w:pStyle w:val="DHHSbody"/>
            </w:pPr>
            <w:r>
              <w:t xml:space="preserve">Kim is 58 and a consumer of the Inner West Area Mental Health Service. She grew up in Eaglemont, started law and arts degrees, and enjoyed working. Despite a diagnosis of schizophrenia and an admission to </w:t>
            </w:r>
            <w:proofErr w:type="spellStart"/>
            <w:r>
              <w:t>Larundel</w:t>
            </w:r>
            <w:proofErr w:type="spellEnd"/>
            <w:r>
              <w:t xml:space="preserve"> Hospital, Kim maintained stable mental health for 20 years with private care.</w:t>
            </w:r>
          </w:p>
          <w:p w14:paraId="4538B477" w14:textId="77777777" w:rsidR="00E938F8" w:rsidRDefault="00E938F8" w:rsidP="00E938F8">
            <w:pPr>
              <w:pStyle w:val="DHHSbody"/>
            </w:pPr>
            <w:r>
              <w:t>Unfortunately, Kim’s mental health deteriorated after a lower-leg amputation due to complications related to type 2 diabetes mellitus. During this time, she experienced ﬁnancial hardship and a housing crisis, which left her homeless in a wheelchair in Melbourne’s CBD.</w:t>
            </w:r>
          </w:p>
          <w:p w14:paraId="2B701B50" w14:textId="77777777" w:rsidR="00E938F8" w:rsidRDefault="00E938F8" w:rsidP="00E938F8">
            <w:pPr>
              <w:pStyle w:val="DHHSbody"/>
            </w:pPr>
            <w:r>
              <w:t>Kim was referred to the Homeless Outreach Mental Health Service (HOMHS) in 2014. Kim was suffering from a psychotic relapse with paranoid delusions. She was highly vulnerable, using alcohol to cope with her distress. Her physical health had also deteriorated signiﬁcantly.</w:t>
            </w:r>
          </w:p>
          <w:p w14:paraId="06D49CFD" w14:textId="77777777" w:rsidR="00E938F8" w:rsidRDefault="00E938F8" w:rsidP="00E938F8">
            <w:pPr>
              <w:pStyle w:val="DHHSbody"/>
            </w:pPr>
            <w:r>
              <w:t xml:space="preserve">Kim was admitted to the Royal Melbourne Hospital, under the </w:t>
            </w:r>
            <w:r w:rsidRPr="003F7650">
              <w:rPr>
                <w:i/>
              </w:rPr>
              <w:t>Mental Health Act</w:t>
            </w:r>
            <w:r>
              <w:t>, to be treated for her schizophrenia and diabetes. Kim’s physical and mental health improved, and she was transferred to Arion PARC for ongoing rehabilitation.</w:t>
            </w:r>
          </w:p>
          <w:p w14:paraId="25974FFB" w14:textId="77777777" w:rsidR="00E938F8" w:rsidRDefault="00E938F8" w:rsidP="00E938F8">
            <w:pPr>
              <w:pStyle w:val="DHHSbody"/>
            </w:pPr>
            <w:r>
              <w:t>While there, VCAT placed Kim on an administration order to assist her with ﬁnancial planning. She soon received an offer of public housing in the Older Person’s High Rise complex in Carlton.</w:t>
            </w:r>
          </w:p>
          <w:p w14:paraId="38E42142" w14:textId="7F57F377" w:rsidR="00E938F8" w:rsidRDefault="00E938F8" w:rsidP="00E938F8">
            <w:pPr>
              <w:pStyle w:val="DHHSbody"/>
            </w:pPr>
            <w:r>
              <w:t xml:space="preserve">HOMHS supported Kim with her transition to independent living in Carlton. Kim started forming connections with a nearby church and familiarising herself with the local shops and cafes. She participates in various groups facilitated by </w:t>
            </w:r>
            <w:proofErr w:type="spellStart"/>
            <w:r>
              <w:t>CoHealth</w:t>
            </w:r>
            <w:proofErr w:type="spellEnd"/>
            <w:r>
              <w:t xml:space="preserve"> at her housing complex, which include gardening, cooking, and market shops, and attends regular coffee catch-ups.</w:t>
            </w:r>
          </w:p>
          <w:p w14:paraId="22DCA8FC" w14:textId="77777777" w:rsidR="00E938F8" w:rsidRDefault="00E938F8" w:rsidP="00E938F8">
            <w:pPr>
              <w:pStyle w:val="DHHSbody"/>
            </w:pPr>
            <w:r>
              <w:t>Kim demonstrated capacity to live independently in safe, secure and affordable housing and was successfully maintaining stable mental health.</w:t>
            </w:r>
          </w:p>
          <w:p w14:paraId="064B9462" w14:textId="77777777" w:rsidR="00E938F8" w:rsidRDefault="00E938F8" w:rsidP="00E938F8">
            <w:pPr>
              <w:pStyle w:val="DHHSbody"/>
            </w:pPr>
            <w:r>
              <w:t>She was subsequently discharged from her community treatment order. Kim transitioned from injectable treatment to oral medication, and meets with her GP to manage her mental health. Kim expressed her wish to manage her ﬁnances independently and was supported by her treating team to achieve this.</w:t>
            </w:r>
          </w:p>
          <w:p w14:paraId="1C8815FF" w14:textId="77777777" w:rsidR="00E938F8" w:rsidRDefault="00E938F8" w:rsidP="00E938F8">
            <w:pPr>
              <w:pStyle w:val="DHHSbody"/>
            </w:pPr>
            <w:r>
              <w:t>Kim says, ‘It sounds silly’ but she feels much happier with her life following the amputation of her right leg. She attributes this to securing safe and affordable housing, making connections in her local community, and receiving the support she needed from assertive community services.</w:t>
            </w:r>
          </w:p>
          <w:p w14:paraId="506F81FE" w14:textId="3E2C313B" w:rsidR="00E938F8" w:rsidRDefault="00E938F8" w:rsidP="007B1263">
            <w:pPr>
              <w:pStyle w:val="DHHSbody"/>
            </w:pPr>
            <w:r>
              <w:t>– Terry Runciman, Program Manager/Clinical Psychologist Inner West Area Mental Health Service, The Royal Melbourne Hospital</w:t>
            </w:r>
          </w:p>
        </w:tc>
      </w:tr>
    </w:tbl>
    <w:p w14:paraId="272D92E5" w14:textId="77777777" w:rsidR="00B748E8" w:rsidRDefault="00B748E8">
      <w:pPr>
        <w:rPr>
          <w:rFonts w:ascii="Arial" w:hAnsi="Arial"/>
          <w:b/>
          <w:color w:val="53565A"/>
          <w:sz w:val="28"/>
          <w:szCs w:val="28"/>
        </w:rPr>
      </w:pPr>
      <w:r>
        <w:br w:type="page"/>
      </w:r>
    </w:p>
    <w:p w14:paraId="63BBEB43" w14:textId="20CB028D" w:rsidR="007B1263" w:rsidRDefault="00933B8C" w:rsidP="00933B8C">
      <w:pPr>
        <w:pStyle w:val="Heading2"/>
      </w:pPr>
      <w:bookmarkStart w:id="12" w:name="_Toc28340186"/>
      <w:r>
        <w:lastRenderedPageBreak/>
        <w:t>Responding to homelessness</w:t>
      </w:r>
      <w:bookmarkEnd w:id="12"/>
    </w:p>
    <w:p w14:paraId="62AFF951" w14:textId="39D927D5" w:rsidR="00294AD1" w:rsidRPr="00294AD1" w:rsidRDefault="00294AD1" w:rsidP="00294AD1">
      <w:pPr>
        <w:pStyle w:val="DHHSbody"/>
        <w:rPr>
          <w:b/>
          <w:bCs/>
        </w:rPr>
      </w:pPr>
      <w:r w:rsidRPr="00294AD1">
        <w:rPr>
          <w:b/>
          <w:bCs/>
        </w:rPr>
        <w:t>OUTCOME: Victorians with mental illness have suitable and stable housing</w:t>
      </w:r>
    </w:p>
    <w:p w14:paraId="504DD69D" w14:textId="7D207EDE" w:rsidR="007B1263" w:rsidRDefault="007B1263" w:rsidP="007B1263">
      <w:pPr>
        <w:pStyle w:val="DHHSbody"/>
      </w:pPr>
      <w:r>
        <w:t>Our outcomes framework tells us that a signiﬁcant number of Victorians with a serious mental illness do not have suitable and stable housing. We also know that more than 25 per cent of people accessing homelessness services identify mental illness as a contributing factor to their homelessness, and that the longer someone is sleeping rough, the greater the impact on their mental health.</w:t>
      </w:r>
    </w:p>
    <w:p w14:paraId="552F19C7" w14:textId="77777777" w:rsidR="007B1263" w:rsidRDefault="007B1263" w:rsidP="007B1263">
      <w:pPr>
        <w:pStyle w:val="DHHSbody"/>
      </w:pPr>
      <w:r>
        <w:t>In January 2017 the Victorian Government announced Towards Home, an investment of $9.8 million to rehouse vulnerable rough sleepers in inner Melbourne and provide them with targeted supports to maintain their housing. As part of this work, a long-term, statewide rough sleeping strategy is being developed, which includes a focus on mental health.</w:t>
      </w:r>
    </w:p>
    <w:p w14:paraId="0AFCD1D8" w14:textId="77777777" w:rsidR="007B1263" w:rsidRDefault="007B1263" w:rsidP="007B1263">
      <w:pPr>
        <w:pStyle w:val="DHHSbody"/>
      </w:pPr>
      <w:r>
        <w:t>Initiatives in Towards Home include:</w:t>
      </w:r>
    </w:p>
    <w:p w14:paraId="200B0A30" w14:textId="75CA670C" w:rsidR="007B1263" w:rsidRDefault="007B1263" w:rsidP="00294AD1">
      <w:pPr>
        <w:pStyle w:val="DHHSbullet1"/>
      </w:pPr>
      <w:r>
        <w:t>access to 40 transitional housing units across Melbourne until new additional permanent housing is in place by the end of 2017</w:t>
      </w:r>
    </w:p>
    <w:p w14:paraId="6292882F" w14:textId="63E02B25" w:rsidR="007B1263" w:rsidRDefault="007B1263" w:rsidP="00294AD1">
      <w:pPr>
        <w:pStyle w:val="DHHSbullet1"/>
      </w:pPr>
      <w:r>
        <w:t>30 new modular and relocatable homes on public land in place by the end of 2017</w:t>
      </w:r>
    </w:p>
    <w:p w14:paraId="2A7F6E7C" w14:textId="2EAFAB5C" w:rsidR="007B1263" w:rsidRDefault="007B1263" w:rsidP="00972AB0">
      <w:pPr>
        <w:pStyle w:val="DHHSbullet1lastline"/>
      </w:pPr>
      <w:r>
        <w:t>case management and targeted ﬂexible support packages for 40 vulnerable rough sleepers for up to two years to help them maintain their housing.</w:t>
      </w:r>
    </w:p>
    <w:p w14:paraId="75BE44BD" w14:textId="77777777" w:rsidR="007B1263" w:rsidRDefault="007B1263" w:rsidP="007B1263">
      <w:pPr>
        <w:pStyle w:val="DHHSbody"/>
      </w:pPr>
      <w:r>
        <w:t>These ﬂexible support packages will be targeted at people living in the 30 relocatable homes and those with complex needs in a dispersed setting. This includes expanding the existing Homeless Mental Health and Housing Service in the CBD, which provides people who experience severe and enduring mental illness and a history of repeated homelessness with a pathway to better health, secure housing and increased social and economic participation.</w:t>
      </w:r>
    </w:p>
    <w:p w14:paraId="412AE716" w14:textId="57DCA1C7" w:rsidR="007B1263" w:rsidRDefault="007B1263" w:rsidP="007B1263">
      <w:pPr>
        <w:pStyle w:val="DHHSbody"/>
      </w:pPr>
      <w:r>
        <w:t>Towards Home builds on the government’s $109 million Response to Homelessness package announced in November 2016. Over ﬁve years, assistance will be provided to 19,000 people at risk of, or experiencing, homelessness, including young people, rough sleepers, veterans and people experiencing chronic homelessness.</w:t>
      </w:r>
    </w:p>
    <w:tbl>
      <w:tblPr>
        <w:tblStyle w:val="TableGrid"/>
        <w:tblW w:w="0" w:type="auto"/>
        <w:tblLook w:val="04A0" w:firstRow="1" w:lastRow="0" w:firstColumn="1" w:lastColumn="0" w:noHBand="0" w:noVBand="1"/>
      </w:tblPr>
      <w:tblGrid>
        <w:gridCol w:w="9184"/>
      </w:tblGrid>
      <w:tr w:rsidR="00C92510" w14:paraId="6B69EA74" w14:textId="77777777" w:rsidTr="00C92510">
        <w:tc>
          <w:tcPr>
            <w:tcW w:w="9288" w:type="dxa"/>
          </w:tcPr>
          <w:p w14:paraId="4AC3938E" w14:textId="77777777" w:rsidR="00C92510" w:rsidRPr="00C92510" w:rsidRDefault="00C92510" w:rsidP="00C92510">
            <w:pPr>
              <w:pStyle w:val="DHHSboxheading"/>
            </w:pPr>
            <w:r w:rsidRPr="00C92510">
              <w:t>Rough sleeping strategy</w:t>
            </w:r>
          </w:p>
          <w:p w14:paraId="72E26786" w14:textId="77777777" w:rsidR="00C92510" w:rsidRPr="00C92510" w:rsidRDefault="00C92510" w:rsidP="00C92510">
            <w:pPr>
              <w:pStyle w:val="DHHSbody"/>
            </w:pPr>
            <w:r w:rsidRPr="00C92510">
              <w:t xml:space="preserve">As part of Towards Home, Tony Nicholson, executive director of the Brotherhood of St Laurence, is providing independent expert advice about implementing Towards Home initiatives and developing a long-term, statewide rough sleeping strategy to reduce rough sleeping in Victoria. </w:t>
            </w:r>
          </w:p>
          <w:p w14:paraId="688903F6" w14:textId="251521EC" w:rsidR="00C92510" w:rsidRDefault="00C92510" w:rsidP="00C92510">
            <w:pPr>
              <w:pStyle w:val="DHHSbody"/>
            </w:pPr>
            <w:r w:rsidRPr="00C92510">
              <w:t>This builds on the work of the Rough Sleeping Response Taskforce set up in July 2016 in response to the significant rise in people sleeping rough in inner Melbourne. The taskforce, chaired by Dr Ruth Vine of Melbourne Health, is providing advice on implementation of the Towards Home and Response to Homelessness packages, and the statewide rough sleeping strategy. The taskforce is focused on developing practical solutions and systems change to better target and deliver housing and support for rough sleepers in the central city area.</w:t>
            </w:r>
          </w:p>
        </w:tc>
      </w:tr>
    </w:tbl>
    <w:p w14:paraId="42B221C3" w14:textId="580F36C1" w:rsidR="007B1263" w:rsidRDefault="00933B8C" w:rsidP="00933B8C">
      <w:pPr>
        <w:pStyle w:val="Heading2"/>
      </w:pPr>
      <w:bookmarkStart w:id="13" w:name="_Toc28340187"/>
      <w:r>
        <w:t>Supporting women who have experienced family violence</w:t>
      </w:r>
      <w:bookmarkEnd w:id="13"/>
    </w:p>
    <w:p w14:paraId="39172A59" w14:textId="5549EF03" w:rsidR="007B1263" w:rsidRPr="00C92510" w:rsidRDefault="00C92510" w:rsidP="00C92510">
      <w:pPr>
        <w:pStyle w:val="DHHSbody"/>
        <w:rPr>
          <w:b/>
          <w:bCs/>
        </w:rPr>
      </w:pPr>
      <w:r w:rsidRPr="00C92510">
        <w:rPr>
          <w:b/>
          <w:bCs/>
        </w:rPr>
        <w:t>OUTCOME: The gap in mental health and wellbeing for at-risk groups is reduced</w:t>
      </w:r>
    </w:p>
    <w:p w14:paraId="48C065CF" w14:textId="77777777" w:rsidR="007B1263" w:rsidRDefault="007B1263" w:rsidP="007B1263">
      <w:pPr>
        <w:pStyle w:val="DHHSbody"/>
      </w:pPr>
      <w:r>
        <w:t xml:space="preserve">The </w:t>
      </w:r>
      <w:proofErr w:type="spellStart"/>
      <w:r>
        <w:t>groundbreaking</w:t>
      </w:r>
      <w:proofErr w:type="spellEnd"/>
      <w:r>
        <w:t xml:space="preserve"> work of the Royal Commission into Family Violence provided practical recommendations to prevent and address family violence in Victoria, based on an examination of the current service system and best practice approaches.</w:t>
      </w:r>
    </w:p>
    <w:p w14:paraId="00AA6D77" w14:textId="2818AC62" w:rsidR="007B1263" w:rsidRDefault="007B1263" w:rsidP="007B1263">
      <w:pPr>
        <w:pStyle w:val="DHHSbody"/>
      </w:pPr>
      <w:r>
        <w:t xml:space="preserve">The Victorian Government has allocated an unprecedented $1.91 billion to implement all 227 royal commission recommendations. </w:t>
      </w:r>
      <w:r w:rsidRPr="003F7650">
        <w:rPr>
          <w:i/>
        </w:rPr>
        <w:t>Ending family violence: Victoria’s plan for change</w:t>
      </w:r>
      <w:r>
        <w:t xml:space="preserve"> and the </w:t>
      </w:r>
      <w:r w:rsidRPr="003F7650">
        <w:rPr>
          <w:i/>
        </w:rPr>
        <w:t>Family violence rolling action plan 2017–2020</w:t>
      </w:r>
      <w:r>
        <w:t xml:space="preserve"> outline how the recommendations will be delivered to promote survivor safety and build</w:t>
      </w:r>
      <w:r w:rsidR="00972AB0">
        <w:t xml:space="preserve"> </w:t>
      </w:r>
      <w:r>
        <w:t>a future where Victorians live free from family violence. This includes:</w:t>
      </w:r>
    </w:p>
    <w:p w14:paraId="25362501" w14:textId="49A3E72E" w:rsidR="007B1263" w:rsidRDefault="007B1263" w:rsidP="00C92510">
      <w:pPr>
        <w:pStyle w:val="DHHSbullet1"/>
      </w:pPr>
      <w:r>
        <w:lastRenderedPageBreak/>
        <w:t>establishing 17 Support and Safety Hubs across the state</w:t>
      </w:r>
    </w:p>
    <w:p w14:paraId="293668BD" w14:textId="0B27DE9F" w:rsidR="007B1263" w:rsidRDefault="007B1263" w:rsidP="00C92510">
      <w:pPr>
        <w:pStyle w:val="DHHSbullet1"/>
      </w:pPr>
      <w:r>
        <w:t>extending after-hours crisis support, counselling and therapy for tens of thousands of women and their children</w:t>
      </w:r>
    </w:p>
    <w:p w14:paraId="275CE3AE" w14:textId="39E568D0" w:rsidR="007B1263" w:rsidRDefault="007B1263" w:rsidP="00C92510">
      <w:pPr>
        <w:pStyle w:val="DHHSbullet1"/>
      </w:pPr>
      <w:r>
        <w:t>establishing a hospital-wide system response to identify and respond to family violence.</w:t>
      </w:r>
    </w:p>
    <w:p w14:paraId="63095EFB" w14:textId="77777777" w:rsidR="00C92510" w:rsidRPr="00933B8C" w:rsidRDefault="00C92510" w:rsidP="00C92510">
      <w:pPr>
        <w:pStyle w:val="Heading2"/>
        <w:rPr>
          <w:sz w:val="20"/>
          <w:szCs w:val="20"/>
        </w:rPr>
      </w:pPr>
      <w:bookmarkStart w:id="14" w:name="_Toc28340188"/>
      <w:r w:rsidRPr="00933B8C">
        <w:t>Supporting our consumers, their families and carers</w:t>
      </w:r>
      <w:bookmarkEnd w:id="14"/>
    </w:p>
    <w:p w14:paraId="30A978F9" w14:textId="7E34BE27" w:rsidR="00C92510" w:rsidRPr="00C92510" w:rsidRDefault="00C92510" w:rsidP="00C92510">
      <w:pPr>
        <w:pStyle w:val="DHHSbody"/>
        <w:rPr>
          <w:b/>
          <w:bCs/>
        </w:rPr>
      </w:pPr>
      <w:r w:rsidRPr="00C92510">
        <w:rPr>
          <w:b/>
          <w:bCs/>
        </w:rPr>
        <w:t>OUTCOME: The treatment and support that Victorians with mental illness, their families and carers need, is available in the right place at the right time</w:t>
      </w:r>
    </w:p>
    <w:p w14:paraId="298A8CDC" w14:textId="55581EFB" w:rsidR="007B1263" w:rsidRPr="00933B8C" w:rsidRDefault="00933B8C" w:rsidP="00C92510">
      <w:pPr>
        <w:pStyle w:val="Heading3"/>
      </w:pPr>
      <w:r w:rsidRPr="00933B8C">
        <w:t>Transition to the National Disability Insurance Scheme</w:t>
      </w:r>
    </w:p>
    <w:p w14:paraId="434AA302" w14:textId="77777777" w:rsidR="007B1263" w:rsidRDefault="007B1263" w:rsidP="007B1263">
      <w:pPr>
        <w:pStyle w:val="DHHSbody"/>
      </w:pPr>
      <w:r>
        <w:t>The National Disability Insurance Scheme (NDIS) is reshaping how psychosocial disability services are provided to many Victorians currently receiving state-funded mental health community support services (MHCSS) and those who will need this support in the future.</w:t>
      </w:r>
    </w:p>
    <w:p w14:paraId="70C496B4" w14:textId="4919D91C" w:rsidR="007B1263" w:rsidRDefault="007B1263" w:rsidP="007B1263">
      <w:pPr>
        <w:pStyle w:val="DHHSbody"/>
      </w:pPr>
      <w:r>
        <w:t>Throughout 2016–17 clients living in the North East Melbourne area, Central Highlands and Loddon began transitioning to the NDIS. This process</w:t>
      </w:r>
      <w:r w:rsidR="00C92510">
        <w:t xml:space="preserve"> </w:t>
      </w:r>
      <w:r>
        <w:t>will pick up pace in 2017–18 when a further seven areas begin the changeover.</w:t>
      </w:r>
    </w:p>
    <w:p w14:paraId="7E101B77" w14:textId="5BDCE6DC" w:rsidR="007B1263" w:rsidRDefault="007B1263" w:rsidP="007B1263">
      <w:pPr>
        <w:pStyle w:val="DHHSbody"/>
      </w:pPr>
      <w:r>
        <w:t>Many people with a psychosocial disability who have transitioned to the NDIS have had a</w:t>
      </w:r>
      <w:r w:rsidR="00C92510">
        <w:t xml:space="preserve"> </w:t>
      </w:r>
      <w:r>
        <w:t>positive experience and are receiving supports. Clients of individualised client support packages, adult residential rehabilitation services and most supported accommodation services are automatically eligible for the NDIS, provided they meet age and residency requirements. Support will continue to be provided for clients of these programs who are ineligible for the NDIS due to age and residency.</w:t>
      </w:r>
    </w:p>
    <w:p w14:paraId="4AFA8D6E" w14:textId="77777777" w:rsidR="007B1263" w:rsidRDefault="007B1263" w:rsidP="007B1263">
      <w:pPr>
        <w:pStyle w:val="DHHSbody"/>
      </w:pPr>
      <w:r>
        <w:t>The department is working closely with MHCSS providers and the National Disability Insurance Agency (NDIA) to support clients’ smooth transition. When the rollout is complete, the NDIS is expected to support approximately 15,000 Victorians with a psychosocial disability.</w:t>
      </w:r>
    </w:p>
    <w:p w14:paraId="699AF009" w14:textId="77777777" w:rsidR="007B1263" w:rsidRDefault="007B1263" w:rsidP="007B1263">
      <w:pPr>
        <w:pStyle w:val="DHHSbody"/>
      </w:pPr>
      <w:r>
        <w:t>The department provided funding during 2016–17 to VICSERV, the Victorian Mental Illness Awareness Council (VMIAC) and Tandem to support community-managed mental health organisations, people with a psychosocial disability and their carers to transition to the NDIS.</w:t>
      </w:r>
    </w:p>
    <w:p w14:paraId="77F7777C" w14:textId="77777777" w:rsidR="007B1263" w:rsidRDefault="007B1263" w:rsidP="007B1263">
      <w:pPr>
        <w:pStyle w:val="DHHSbody"/>
      </w:pPr>
      <w:r>
        <w:t>The department is working with Austin Health, St Vincent’s Hospital, Melbourne Health and the NDIA to build effective collaborative practice models between specialist clinical mental health services, the NDIA and funded providers. Learnings will be shared with Victorian health services to assist them to prepare for the NDIS. The department is also providing funding to selected health services to assist with effective NDIA partnering.</w:t>
      </w:r>
    </w:p>
    <w:p w14:paraId="53F18C44" w14:textId="1BCDE294" w:rsidR="007B1263" w:rsidRDefault="007B1263" w:rsidP="007B1263">
      <w:pPr>
        <w:pStyle w:val="DHHSbody"/>
      </w:pPr>
      <w:r>
        <w:t>The Victorian Government continues to fund a number of MHCSS programs outside the NDIS including mutual support and self-help,</w:t>
      </w:r>
      <w:r w:rsidR="00C92510">
        <w:t xml:space="preserve"> </w:t>
      </w:r>
      <w:r>
        <w:t>planned respite, youth residential rehabilitation, supported accommodation services that have a homelessness focus and Aboriginal mental health. Victorians accessing these services will remain supported to ensure their needs are met.</w:t>
      </w:r>
    </w:p>
    <w:p w14:paraId="13210494" w14:textId="64CF9231" w:rsidR="007B1263" w:rsidRDefault="00933B8C" w:rsidP="00933B8C">
      <w:pPr>
        <w:pStyle w:val="Heading2"/>
      </w:pPr>
      <w:bookmarkStart w:id="15" w:name="_Toc28340189"/>
      <w:r>
        <w:t>Supporting our consumer and carer organisations</w:t>
      </w:r>
      <w:bookmarkEnd w:id="15"/>
    </w:p>
    <w:p w14:paraId="74B966EC" w14:textId="77777777" w:rsidR="007B1263" w:rsidRDefault="007B1263" w:rsidP="007B1263">
      <w:pPr>
        <w:pStyle w:val="DHHSbody"/>
      </w:pPr>
      <w:r>
        <w:t>Mental health consumer and carer organisations are critically important in providing practical support, information, advocacy and education. They also provide a powerful voice for consumers, their families and other carers about how services may or may not be working. Working closely with the department, these organisations provide guidance on emerging and current policy issues, providing key insights into how the service system operates.</w:t>
      </w:r>
    </w:p>
    <w:p w14:paraId="07AE5EAE" w14:textId="77777777" w:rsidR="007B1263" w:rsidRDefault="007B1263" w:rsidP="007B1263">
      <w:pPr>
        <w:pStyle w:val="DHHSbody"/>
      </w:pPr>
      <w:r>
        <w:t xml:space="preserve">The department funds and works with a number of organisations including VMIAC, Tandem, </w:t>
      </w:r>
      <w:proofErr w:type="spellStart"/>
      <w:r>
        <w:t>Wellways</w:t>
      </w:r>
      <w:proofErr w:type="spellEnd"/>
      <w:r>
        <w:t>, MIND Australia, Carers Victoria, the Mental Health Foundation, Spiritual Health Victoria and a number of specialised mutual support and self-help organisations.</w:t>
      </w:r>
    </w:p>
    <w:p w14:paraId="1CDE0568" w14:textId="188575BB" w:rsidR="007B1263" w:rsidRDefault="007B1263" w:rsidP="007B1263">
      <w:pPr>
        <w:pStyle w:val="DHHSbody"/>
      </w:pPr>
      <w:r>
        <w:lastRenderedPageBreak/>
        <w:t>In 2016–17 funding was provided to VMIAC and Tandem to develop consumer and carer</w:t>
      </w:r>
      <w:r w:rsidR="00C92510">
        <w:t xml:space="preserve"> </w:t>
      </w:r>
      <w:r>
        <w:t>participation registers to draw on lived experience of living with or supporting someone with mental illness. These registers will build a network of people who are able to engage with government to inﬂuence the nature of supports and services needed to achieve better mental health outcomes.</w:t>
      </w:r>
    </w:p>
    <w:p w14:paraId="7A8BB5BA" w14:textId="186D9579" w:rsidR="007B1263" w:rsidRDefault="007B1263" w:rsidP="007B1263">
      <w:pPr>
        <w:pStyle w:val="DHHSbody"/>
      </w:pPr>
      <w:r>
        <w:t>They have also managed a small grants program to improve the mental health and wellbeing of immigrant and refugee background communities by building capacity through a range of community-led initiatives. The grants are aimed at people of all ages within ethnic communities, including those living in rural Victoria. They</w:t>
      </w:r>
      <w:r w:rsidR="00C92510">
        <w:t xml:space="preserve"> </w:t>
      </w:r>
      <w:r>
        <w:t>will focus on those experiencing or at risk of mental illness, their families and carers to better understand mental wellbeing, mental illness and the impacts of trauma. They have also received funding to provide information and support about the NDIS to assist people with a psychosocial disability to understand how to access the scheme.</w:t>
      </w:r>
    </w:p>
    <w:p w14:paraId="6BB4776A" w14:textId="77777777" w:rsidR="00891681" w:rsidRDefault="00891681">
      <w:pPr>
        <w:rPr>
          <w:rFonts w:ascii="Arial" w:eastAsia="Times" w:hAnsi="Arial"/>
        </w:rPr>
      </w:pPr>
      <w:r>
        <w:br w:type="page"/>
      </w:r>
    </w:p>
    <w:p w14:paraId="27AB86E8" w14:textId="376698C9" w:rsidR="007B1263" w:rsidRDefault="007B1263" w:rsidP="00891681">
      <w:pPr>
        <w:pStyle w:val="Heading1"/>
      </w:pPr>
      <w:bookmarkStart w:id="16" w:name="_Toc28340190"/>
      <w:r>
        <w:lastRenderedPageBreak/>
        <w:t>2.</w:t>
      </w:r>
      <w:r>
        <w:tab/>
        <w:t>M</w:t>
      </w:r>
      <w:r w:rsidR="00891681">
        <w:t>aking a difference – safety and quality in our mental health services</w:t>
      </w:r>
      <w:bookmarkEnd w:id="16"/>
    </w:p>
    <w:p w14:paraId="4B3E77DF" w14:textId="7626B62E" w:rsidR="00C92510" w:rsidRPr="00C92510" w:rsidRDefault="00C92510" w:rsidP="00C92510">
      <w:pPr>
        <w:pStyle w:val="DHHSbody"/>
        <w:rPr>
          <w:b/>
          <w:bCs/>
        </w:rPr>
      </w:pPr>
      <w:r w:rsidRPr="00C92510">
        <w:rPr>
          <w:b/>
          <w:bCs/>
        </w:rPr>
        <w:t>OUTCOME: Services are safe, of high quality, offer choice and provide a positive service experience</w:t>
      </w:r>
    </w:p>
    <w:p w14:paraId="7AC448B8" w14:textId="0CECFE79" w:rsidR="007B1263" w:rsidRDefault="007B1263" w:rsidP="007B1263">
      <w:pPr>
        <w:pStyle w:val="DHHSbody"/>
      </w:pPr>
      <w:r>
        <w:t>We are working with our mental health services to make sure they are safe places for consumers, families, carers, staff and visitors. Consumers</w:t>
      </w:r>
      <w:r w:rsidR="00972AB0">
        <w:t xml:space="preserve"> </w:t>
      </w:r>
      <w:r>
        <w:t>have told us how important it is to feel safe during an inpatient admission and that use of restrictive interventions such as seclusion or restraint can be harmful and delay recovery.</w:t>
      </w:r>
    </w:p>
    <w:p w14:paraId="5726AB29" w14:textId="77777777" w:rsidR="007B1263" w:rsidRDefault="007B1263" w:rsidP="007B1263">
      <w:pPr>
        <w:pStyle w:val="DHHSbody"/>
      </w:pPr>
      <w:r>
        <w:t>We report on these practices in our outcomes framework, with a goal of reducing them wherever possible.</w:t>
      </w:r>
    </w:p>
    <w:p w14:paraId="52FC7458" w14:textId="58089545" w:rsidR="007B1263" w:rsidRDefault="00933B8C" w:rsidP="00933B8C">
      <w:pPr>
        <w:pStyle w:val="Heading2"/>
      </w:pPr>
      <w:bookmarkStart w:id="17" w:name="_Toc28340191"/>
      <w:r>
        <w:t>Safer Care Victoria</w:t>
      </w:r>
      <w:bookmarkEnd w:id="17"/>
    </w:p>
    <w:p w14:paraId="3A0841BE" w14:textId="77777777" w:rsidR="007B1263" w:rsidRDefault="007B1263" w:rsidP="007B1263">
      <w:pPr>
        <w:pStyle w:val="DHHSbody"/>
      </w:pPr>
      <w:r>
        <w:t>Supporting health services to provide safe, high-quality care to patients, every time, everywhere is a goal of Safer Care Victoria. Safer Care Victoria oversees and monitors standards of care provided and partners with consumers and their families, clinicians and health services to support the continuous improvement of healthcare.</w:t>
      </w:r>
    </w:p>
    <w:p w14:paraId="69CED8EF" w14:textId="77777777" w:rsidR="007B1263" w:rsidRDefault="007B1263" w:rsidP="007B1263">
      <w:pPr>
        <w:pStyle w:val="DHHSbody"/>
      </w:pPr>
      <w:r>
        <w:t xml:space="preserve">Safer Care Victoria was established in January 2017 in response to recommendations within the report </w:t>
      </w:r>
      <w:r w:rsidRPr="003F7650">
        <w:rPr>
          <w:i/>
        </w:rPr>
        <w:t>Targeting zero: supporting the Victorian hospital system to eliminate avoidable harm and strengthen quality of care</w:t>
      </w:r>
      <w:r>
        <w:t>.</w:t>
      </w:r>
    </w:p>
    <w:p w14:paraId="7AA69E35" w14:textId="296E38A7" w:rsidR="007B1263" w:rsidRDefault="007B1263" w:rsidP="007B1263">
      <w:pPr>
        <w:pStyle w:val="DHHSbody"/>
      </w:pPr>
      <w:r>
        <w:t>Targeting zero includes a number of recommendations speciﬁc to clinical networks, which are being revitalised to better meet</w:t>
      </w:r>
      <w:r w:rsidR="00933B8C">
        <w:t xml:space="preserve"> </w:t>
      </w:r>
      <w:r>
        <w:t>the changing needs of consumers and health services. A Mental Health Clinical Network will be established during 2017–18 to drive quality and safety across our mental health service system and improve consumer outcomes and experience. The network will provide advice and</w:t>
      </w:r>
      <w:r w:rsidR="00972AB0">
        <w:t xml:space="preserve"> </w:t>
      </w:r>
      <w:r>
        <w:t>expert knowledge directly into Safer Care Victoria and the broader Department of Health and Human Services. It will focus on improving quality and safety through service and system-level approaches to decreasing practice variation</w:t>
      </w:r>
      <w:r w:rsidR="00933B8C">
        <w:t xml:space="preserve"> </w:t>
      </w:r>
      <w:r>
        <w:t>and supporting evidence-based practice.</w:t>
      </w:r>
    </w:p>
    <w:p w14:paraId="1A7A6DDF" w14:textId="30D5A9A2" w:rsidR="007B1263" w:rsidRDefault="00933B8C" w:rsidP="00933B8C">
      <w:pPr>
        <w:pStyle w:val="Heading2"/>
      </w:pPr>
      <w:bookmarkStart w:id="18" w:name="_Toc28340192"/>
      <w:r>
        <w:t>Victorian Agency for Health Information</w:t>
      </w:r>
      <w:bookmarkEnd w:id="18"/>
    </w:p>
    <w:p w14:paraId="5765149C" w14:textId="797904B4" w:rsidR="007B1263" w:rsidRDefault="007B1263" w:rsidP="007B1263">
      <w:pPr>
        <w:pStyle w:val="DHHSbody"/>
      </w:pPr>
      <w:r>
        <w:t>The Victorian Agency for Health Information was established in 2017. It analyses and shares information across Victoria’s public healthcare</w:t>
      </w:r>
      <w:r w:rsidR="00C92510">
        <w:t xml:space="preserve"> </w:t>
      </w:r>
      <w:r>
        <w:t>system to provide an accurate picture of hospital and health service performance.</w:t>
      </w:r>
    </w:p>
    <w:p w14:paraId="035F29BF" w14:textId="1B215758" w:rsidR="007B1263" w:rsidRDefault="007B1263" w:rsidP="007B1263">
      <w:pPr>
        <w:pStyle w:val="DHHSbody"/>
      </w:pPr>
      <w:r>
        <w:t>The agency’s role is to ensure data and information on the performance of Victoria’s public healthcare system is readily available to health service boards, chief executives, lead</w:t>
      </w:r>
      <w:r w:rsidR="00C92510">
        <w:t xml:space="preserve"> </w:t>
      </w:r>
      <w:r>
        <w:t>clinicians, the Department of Health and Human Services, Safer Care Victoria, other government agencies, the public and researchers.</w:t>
      </w:r>
    </w:p>
    <w:p w14:paraId="19E8A47E" w14:textId="22F81B0A" w:rsidR="007B1263" w:rsidRDefault="007B1263" w:rsidP="007B1263">
      <w:pPr>
        <w:pStyle w:val="DHHSbody"/>
      </w:pPr>
      <w:r>
        <w:t>The agency measures and monitors indicators of quality care and outcomes for patients for the</w:t>
      </w:r>
      <w:r w:rsidR="00C92510">
        <w:t xml:space="preserve"> </w:t>
      </w:r>
      <w:r>
        <w:t>purpose of public reporting, oversight and clinical improvement. It will:</w:t>
      </w:r>
    </w:p>
    <w:p w14:paraId="0CFB40EE" w14:textId="07720347" w:rsidR="007B1263" w:rsidRDefault="007B1263" w:rsidP="00C92510">
      <w:pPr>
        <w:pStyle w:val="DHHSbullet1"/>
      </w:pPr>
      <w:r>
        <w:t>collect, analyse and share data so the community and health services are better informed about health service performance</w:t>
      </w:r>
    </w:p>
    <w:p w14:paraId="1DF6A50F" w14:textId="2DE61FD5" w:rsidR="007B1263" w:rsidRDefault="007B1263" w:rsidP="00C92510">
      <w:pPr>
        <w:pStyle w:val="DHHSbullet1"/>
      </w:pPr>
      <w:r>
        <w:t>provide health service boards, executives and clinicians with the information they need to best serve their communities</w:t>
      </w:r>
    </w:p>
    <w:p w14:paraId="1A26E593" w14:textId="2B372B69" w:rsidR="007B1263" w:rsidRDefault="007B1263" w:rsidP="00C92510">
      <w:pPr>
        <w:pStyle w:val="DHHSbullet1"/>
      </w:pPr>
      <w:r>
        <w:t>provide patients and carers with meaningful and useful information about care in their local area</w:t>
      </w:r>
    </w:p>
    <w:p w14:paraId="614209EC" w14:textId="6F020D64" w:rsidR="007B1263" w:rsidRDefault="007B1263" w:rsidP="00C92510">
      <w:pPr>
        <w:pStyle w:val="DHHSbullet1"/>
      </w:pPr>
      <w:r>
        <w:t>improve researchers’ access to data so they can create evidence to inform better, safer care.</w:t>
      </w:r>
    </w:p>
    <w:p w14:paraId="5DBB404D" w14:textId="3E34ABD9" w:rsidR="007B1263" w:rsidRDefault="00933B8C" w:rsidP="00933B8C">
      <w:pPr>
        <w:pStyle w:val="Heading2"/>
      </w:pPr>
      <w:bookmarkStart w:id="19" w:name="_Toc28340193"/>
      <w:r>
        <w:lastRenderedPageBreak/>
        <w:t>Victoria’s Chief Psychiatrist</w:t>
      </w:r>
      <w:bookmarkEnd w:id="19"/>
    </w:p>
    <w:p w14:paraId="2CBC3DA9" w14:textId="428F4CBB" w:rsidR="007B1263" w:rsidRDefault="007B1263" w:rsidP="007B1263">
      <w:pPr>
        <w:pStyle w:val="DHHSbody"/>
      </w:pPr>
      <w:r>
        <w:t>Victoria’s Chief Psychiatrist is responsible for overseeing system-wide continuous improvement in the quality and safety of public clinical mental health services, and for promoting the rights</w:t>
      </w:r>
      <w:r w:rsidR="00972AB0">
        <w:t xml:space="preserve"> </w:t>
      </w:r>
      <w:r>
        <w:t>of people receiving treatment in public mental health services.</w:t>
      </w:r>
    </w:p>
    <w:p w14:paraId="4C96490C" w14:textId="77777777" w:rsidR="007B1263" w:rsidRDefault="007B1263" w:rsidP="007B1263">
      <w:pPr>
        <w:pStyle w:val="DHHSbody"/>
      </w:pPr>
      <w:r>
        <w:t>The Chief Psychiatrist provides clinical leadership through expert advice, training, education and published guidelines. The Chief Psychiatrist monitors service provision and may conduct investigations, clinical audits or clinical service reviews to improve patient safety and wellbeing.</w:t>
      </w:r>
    </w:p>
    <w:p w14:paraId="3C7D243B" w14:textId="77777777" w:rsidR="007B1263" w:rsidRDefault="007B1263" w:rsidP="007B1263">
      <w:pPr>
        <w:pStyle w:val="DHHSbody"/>
      </w:pPr>
      <w:r>
        <w:t>In 2016–17 the Ofﬁce of the Chief Psychiatrist undertook a number of investigations and clinical service reviews. These included formal investigations under the Mental Health Act relating to services with high clinical risks identiﬁed through scheduled visits of the Chief Mental Health Nurse, following serious incidents in inpatient units or in response to allegations of staff misconduct.</w:t>
      </w:r>
    </w:p>
    <w:p w14:paraId="1AAEC8BE" w14:textId="00E33E2D" w:rsidR="007B1263" w:rsidRDefault="007B1263" w:rsidP="007B1263">
      <w:pPr>
        <w:pStyle w:val="DHHSbody"/>
      </w:pPr>
      <w:r>
        <w:t>The Ofﬁce of the Chief Psychiatrist also led a number of clinical service reviews at the request of mental health services to give clear guidance in efforts to ensure the safest and highest quality mental health treatment. A unique feature of the investigations and review projects undertaken</w:t>
      </w:r>
      <w:r w:rsidR="00972AB0">
        <w:t xml:space="preserve"> </w:t>
      </w:r>
      <w:r>
        <w:t>is the extensive follow-up support provided to services to assist in achieving practice and</w:t>
      </w:r>
      <w:r w:rsidR="00972AB0">
        <w:t xml:space="preserve"> </w:t>
      </w:r>
      <w:r>
        <w:t>cultural change. This collaborative approach is highly valued by services and encourages service leaders to work with the department to undertake continuous and meaningful improvement.</w:t>
      </w:r>
    </w:p>
    <w:p w14:paraId="7057A3BD" w14:textId="01CAE837" w:rsidR="007B1263" w:rsidRDefault="00933B8C" w:rsidP="00933B8C">
      <w:pPr>
        <w:pStyle w:val="Heading2"/>
      </w:pPr>
      <w:bookmarkStart w:id="20" w:name="_Toc28340194"/>
      <w:r>
        <w:t>Reducing restrictive practices</w:t>
      </w:r>
      <w:bookmarkEnd w:id="20"/>
    </w:p>
    <w:p w14:paraId="6D317C4C" w14:textId="77777777" w:rsidR="007B1263" w:rsidRDefault="007B1263" w:rsidP="007B1263">
      <w:pPr>
        <w:pStyle w:val="DHHSbody"/>
      </w:pPr>
      <w:r>
        <w:t>Reducing seclusion in clinical mental health services is a national safety priority. Seclusion involves a person being conﬁned alone in a room or area from which it is not within their control to leave. Bodily restraint, including physical and mechanical restraint, involves methods that prevent a person having free movement of their limbs.</w:t>
      </w:r>
    </w:p>
    <w:p w14:paraId="59A1D600" w14:textId="2A5CA853" w:rsidR="007B1263" w:rsidRDefault="007B1263" w:rsidP="007B1263">
      <w:pPr>
        <w:pStyle w:val="DHHSbody"/>
      </w:pPr>
      <w:r>
        <w:t>Bodily restraint and seclusion may only be used after all reasonable and less restrictive</w:t>
      </w:r>
      <w:r w:rsidR="0048156D">
        <w:t xml:space="preserve"> </w:t>
      </w:r>
      <w:r>
        <w:t>options have been tried or considered and have been found to be unsuitable. We know that for consumers who are secluded or restrained, this can cause reactivation of previous trauma.</w:t>
      </w:r>
    </w:p>
    <w:p w14:paraId="309B93DE" w14:textId="77777777" w:rsidR="007B1263" w:rsidRDefault="007B1263" w:rsidP="007B1263">
      <w:pPr>
        <w:pStyle w:val="DHHSbody"/>
      </w:pPr>
      <w:r>
        <w:t>After a number of years of steadily falling seclusion rates, the rate increased in 2015–16  and 2016–17. The drivers for this change are not clear, but an increased focus on more rigorous reporting of episodes of seclusion and restraint may have played a part. Rates of bodily restraint decreased signiﬁcantly during 2016–17. Further detail on the use of restrictive interventions is contained in section 3 of this report.</w:t>
      </w:r>
    </w:p>
    <w:p w14:paraId="06ED937B" w14:textId="5121D65D" w:rsidR="007B1263" w:rsidRDefault="00933B8C" w:rsidP="00933B8C">
      <w:pPr>
        <w:pStyle w:val="Heading2"/>
      </w:pPr>
      <w:bookmarkStart w:id="21" w:name="_Toc28340195"/>
      <w:r>
        <w:t>Statewide rollout of Safewards</w:t>
      </w:r>
      <w:bookmarkEnd w:id="21"/>
    </w:p>
    <w:p w14:paraId="18862FAC" w14:textId="34234FED" w:rsidR="007B1263" w:rsidRDefault="007B1263" w:rsidP="007B1263">
      <w:pPr>
        <w:pStyle w:val="DHHSbody"/>
      </w:pPr>
      <w:r>
        <w:t>Our Safewards program is one of a range of initiatives focused on consumer and staff safety. Building on earlier work, statewide implementation began in 2016–17 in acute inpatient units. Safewards provides a model of</w:t>
      </w:r>
      <w:r w:rsidR="0048156D">
        <w:t xml:space="preserve"> </w:t>
      </w:r>
      <w:r>
        <w:t>engagement and practical options to enable staff and consumers to address conﬂict behaviours together. One aim of the Safewards model is to reduce the use of seclusion and restraint.</w:t>
      </w:r>
    </w:p>
    <w:p w14:paraId="6EDF9101" w14:textId="77777777" w:rsidR="007B1263" w:rsidRDefault="007B1263" w:rsidP="007B1263">
      <w:pPr>
        <w:pStyle w:val="DHHSbody"/>
      </w:pPr>
      <w:r>
        <w:t>Safewards can improve the quality of interactions between staff and consumers, as well as enhance the support consumers provide to each other, resulting in better experiences of care and improving the safety and wellbeing of consumers and staff.</w:t>
      </w:r>
    </w:p>
    <w:p w14:paraId="2AD02E1F" w14:textId="180D61DC" w:rsidR="007B1263" w:rsidRDefault="007B1263" w:rsidP="007B1263">
      <w:pPr>
        <w:pStyle w:val="DHHSbody"/>
      </w:pPr>
      <w:r>
        <w:t>In 2016–17 the Ofﬁce of the Chief Mental Health Nurse established a Safewards team to assist services to implement Safewards. Over the next four years the team will provide training,</w:t>
      </w:r>
      <w:r w:rsidR="0048156D">
        <w:t xml:space="preserve"> </w:t>
      </w:r>
      <w:r>
        <w:t>mentorship and guidance to services to support implementation and embed the model into practice.</w:t>
      </w:r>
    </w:p>
    <w:p w14:paraId="0F86175C" w14:textId="77777777" w:rsidR="007B1263" w:rsidRDefault="007B1263" w:rsidP="007B1263">
      <w:pPr>
        <w:pStyle w:val="DHHSbody"/>
      </w:pPr>
      <w:r>
        <w:t>A pilot program has also been established to trial Safewards in a medical unit at Peninsula Health. Planning is underway to extend the trial to nine emergency departments and a further nine acute medical units across the state.</w:t>
      </w:r>
    </w:p>
    <w:p w14:paraId="263ACB76" w14:textId="77777777" w:rsidR="007B1263" w:rsidRDefault="007B1263" w:rsidP="00972AB0">
      <w:pPr>
        <w:pStyle w:val="DHHSbody"/>
        <w:spacing w:after="240"/>
      </w:pPr>
      <w:r>
        <w:lastRenderedPageBreak/>
        <w:t>Victorian Safewards information and training resources are available on the Department of Health and Human Services website at &lt;https:// www2.health.vic.gov.au/mental-health/practice- and-service-quality/safety/</w:t>
      </w:r>
      <w:proofErr w:type="spellStart"/>
      <w:r>
        <w:t>safewards</w:t>
      </w:r>
      <w:proofErr w:type="spellEnd"/>
      <w:r>
        <w:t>&gt;.</w:t>
      </w:r>
    </w:p>
    <w:tbl>
      <w:tblPr>
        <w:tblStyle w:val="TableGrid"/>
        <w:tblW w:w="0" w:type="auto"/>
        <w:tblLook w:val="04A0" w:firstRow="1" w:lastRow="0" w:firstColumn="1" w:lastColumn="0" w:noHBand="0" w:noVBand="1"/>
      </w:tblPr>
      <w:tblGrid>
        <w:gridCol w:w="9184"/>
      </w:tblGrid>
      <w:tr w:rsidR="0048156D" w14:paraId="75457473" w14:textId="77777777" w:rsidTr="0048156D">
        <w:tc>
          <w:tcPr>
            <w:tcW w:w="9288" w:type="dxa"/>
          </w:tcPr>
          <w:p w14:paraId="1B81DF02" w14:textId="77777777" w:rsidR="0048156D" w:rsidRPr="00933B8C" w:rsidRDefault="0048156D" w:rsidP="0048156D">
            <w:pPr>
              <w:pStyle w:val="DHHSboxheading"/>
            </w:pPr>
            <w:r w:rsidRPr="00933B8C">
              <w:t>Safewards gives us hope</w:t>
            </w:r>
          </w:p>
          <w:p w14:paraId="605517BB" w14:textId="77777777" w:rsidR="0048156D" w:rsidRDefault="0048156D" w:rsidP="0048156D">
            <w:pPr>
              <w:pStyle w:val="DHHSbody"/>
            </w:pPr>
            <w:r>
              <w:t>Safewards is being rolled out to inpatient mental health units across the state, including adult, adolescent, aged and secure units. The rollout incorporates comprehensive staff training, engagement with consumers, implementation support and resources, and evaluation.</w:t>
            </w:r>
          </w:p>
          <w:p w14:paraId="3B7C5021" w14:textId="77777777" w:rsidR="0048156D" w:rsidRDefault="0048156D" w:rsidP="0048156D">
            <w:pPr>
              <w:pStyle w:val="DHHSbody"/>
            </w:pPr>
            <w:r>
              <w:t>Hope can be one of the ﬁrst casualties of mental illness, so ﬁnding and holding onto hope is an important part of recovery. In Safewards, we know that hope can be most powerful when it comes from our peers – that is, people who’ve had a similar experience to ourselves. Safewards tells us that this kind of hope does more than aid recovery – it can also be an effective way to reduce conﬂict and increase safety in mental health services.</w:t>
            </w:r>
          </w:p>
          <w:p w14:paraId="2B1ACABF" w14:textId="77777777" w:rsidR="0048156D" w:rsidRDefault="0048156D" w:rsidP="0048156D">
            <w:pPr>
              <w:pStyle w:val="DHHSbody"/>
            </w:pPr>
            <w:r>
              <w:t>One of the Safewards interventions, called Discharge Messages, is all about growing hope through mutual support. It starts with creating a large mural of a tree in each mental health inpatient unit.</w:t>
            </w:r>
          </w:p>
          <w:p w14:paraId="3DE0C32D" w14:textId="77777777" w:rsidR="0048156D" w:rsidRDefault="0048156D" w:rsidP="0048156D">
            <w:pPr>
              <w:pStyle w:val="DHHSbody"/>
            </w:pPr>
            <w:r>
              <w:t>Consumers are invited to grow the tree by adding a leaf or ﬂower that includes their own message of hope for other consumers to read. The messages grow over time and become a resource for all consumers who stay on the unit. Across Victoria, consumers and staff at different hospitals have been working together to create beautiful trees that inspire hope.</w:t>
            </w:r>
          </w:p>
          <w:p w14:paraId="0358807A" w14:textId="5935B882" w:rsidR="0048156D" w:rsidRDefault="0048156D" w:rsidP="007B1263">
            <w:pPr>
              <w:pStyle w:val="DHHSbody"/>
            </w:pPr>
            <w:r>
              <w:t>In a parallel process, Safewards has been inviting staff from inpatient units to complete their own leaves of hope that are passed on to staff at other services. The Safewards team shares these messages with staff when they attend Safewards training. These messages have been powerful motivators for staff and services to embrace the value of Safewards.</w:t>
            </w:r>
          </w:p>
        </w:tc>
      </w:tr>
    </w:tbl>
    <w:p w14:paraId="22D8D804" w14:textId="1FD2CEFA" w:rsidR="007B1263" w:rsidRDefault="00933B8C" w:rsidP="00933B8C">
      <w:pPr>
        <w:pStyle w:val="Heading2"/>
      </w:pPr>
      <w:bookmarkStart w:id="22" w:name="_Toc28340196"/>
      <w:r>
        <w:t>Listening to consumers</w:t>
      </w:r>
      <w:bookmarkEnd w:id="22"/>
    </w:p>
    <w:p w14:paraId="24773290" w14:textId="355B5F35" w:rsidR="0048156D" w:rsidRPr="0048156D" w:rsidRDefault="0048156D" w:rsidP="0048156D">
      <w:pPr>
        <w:pStyle w:val="DHHSbody"/>
        <w:rPr>
          <w:b/>
          <w:bCs/>
        </w:rPr>
      </w:pPr>
      <w:r w:rsidRPr="0048156D">
        <w:rPr>
          <w:b/>
          <w:bCs/>
        </w:rPr>
        <w:t>OUTCOME: Victorians with mental illness, their families and carers are treated with respect by services</w:t>
      </w:r>
    </w:p>
    <w:p w14:paraId="73E3D8B5" w14:textId="00D2724A" w:rsidR="007B1263" w:rsidRDefault="007B1263" w:rsidP="0048156D">
      <w:pPr>
        <w:pStyle w:val="DHHSbody"/>
      </w:pPr>
      <w:r>
        <w:t>Listening and responding to the experiences of people who use our public mental health services is a fundamental part of identifying what is working well and what needs improving.</w:t>
      </w:r>
    </w:p>
    <w:p w14:paraId="6A5C7985" w14:textId="0DCEE575" w:rsidR="007B1263" w:rsidRDefault="007B1263" w:rsidP="007B1263">
      <w:pPr>
        <w:pStyle w:val="DHHSbody"/>
      </w:pPr>
      <w:r>
        <w:t>The YES survey is an important tool for understanding how people experience our public clinical mental health services and our</w:t>
      </w:r>
      <w:r w:rsidR="00933B8C">
        <w:t xml:space="preserve"> </w:t>
      </w:r>
      <w:r>
        <w:t>MHCSS. YES captures information about people’s experience of care, including the development</w:t>
      </w:r>
      <w:r w:rsidR="00933B8C">
        <w:t xml:space="preserve"> </w:t>
      </w:r>
      <w:r>
        <w:t>of care plans and how the service supports their ability to manage their day-to-day lives.</w:t>
      </w:r>
    </w:p>
    <w:p w14:paraId="63A9AD0B" w14:textId="62FFB007" w:rsidR="007B1263" w:rsidRDefault="007B1263" w:rsidP="007B1263">
      <w:pPr>
        <w:pStyle w:val="DHHSbody"/>
      </w:pPr>
      <w:r>
        <w:t>The survey was ﬁrst carried out between March and May 2016, and the second survey took place in the same period this year. An annual</w:t>
      </w:r>
      <w:r w:rsidR="00933B8C">
        <w:t xml:space="preserve"> </w:t>
      </w:r>
      <w:r>
        <w:t>approach allows services to measure and monitor experience over time and to assess whether actions and changes implemented at services are improving the quality of consumers’ experiences.</w:t>
      </w:r>
    </w:p>
    <w:p w14:paraId="3EFF28DD" w14:textId="10B4EAE9" w:rsidR="007B1263" w:rsidRDefault="007B1263" w:rsidP="007B1263">
      <w:pPr>
        <w:pStyle w:val="DHHSbody"/>
      </w:pPr>
      <w:r>
        <w:t>The data from YES used in this report focuses on clinical mental health services including</w:t>
      </w:r>
      <w:r w:rsidR="00972AB0">
        <w:t xml:space="preserve"> </w:t>
      </w:r>
      <w:r>
        <w:t>inpatient and community services. A total of 2,170 surveys were completed in 2017. The results show that many consumers had positive experiences, although there is scope for improvement in a number of areas. About two-thirds of people</w:t>
      </w:r>
      <w:r w:rsidR="00972AB0">
        <w:t xml:space="preserve"> </w:t>
      </w:r>
      <w:r>
        <w:t>(65.1 per cent) rated their experience of care with a service in the last three months as very good or excellent. Eighty-eight per cent of consumers reported that their individuality and values were usually or always respected.</w:t>
      </w:r>
    </w:p>
    <w:p w14:paraId="7DFA0BB4" w14:textId="50A0EC64" w:rsidR="007B1263" w:rsidRDefault="007B1263" w:rsidP="007B1263">
      <w:pPr>
        <w:pStyle w:val="DHHSbody"/>
      </w:pPr>
      <w:r>
        <w:t>A statistical analysis was undertaken to better understand what drives positive experiences of clinical services. The single largest factor driving a positive overall experience was staff showing respect for your feelings. ‘Feeling respected’ was in turn inﬂuenced by feeling</w:t>
      </w:r>
      <w:r w:rsidR="00933B8C">
        <w:t xml:space="preserve"> </w:t>
      </w:r>
      <w:r>
        <w:t xml:space="preserve">welcome, staff making an effort to see you </w:t>
      </w:r>
      <w:r>
        <w:lastRenderedPageBreak/>
        <w:t>when you wanted, staff showing hopefulness for the future, respect for individual values and feeling safe (see Figure 2).</w:t>
      </w:r>
    </w:p>
    <w:p w14:paraId="223E57E1" w14:textId="77777777" w:rsidR="007B1263" w:rsidRDefault="007B1263" w:rsidP="0048156D">
      <w:pPr>
        <w:pStyle w:val="DHHSfigurecaption"/>
      </w:pPr>
      <w:r>
        <w:t>Figure 2: Most important drivers of a positive overall experience, based on YES survey data, 2016</w:t>
      </w:r>
    </w:p>
    <w:p w14:paraId="0AE2ED41" w14:textId="2CF64ECE" w:rsidR="0048156D" w:rsidRPr="0048156D" w:rsidRDefault="0048156D" w:rsidP="0048156D">
      <w:pPr>
        <w:pStyle w:val="DHHSbullet1"/>
        <w:rPr>
          <w:rFonts w:ascii="Trebuchet MS" w:hAnsi="Trebuchet MS"/>
        </w:rPr>
      </w:pPr>
      <w:r w:rsidRPr="0048156D">
        <w:t>Staff showing</w:t>
      </w:r>
      <w:r w:rsidRPr="0048156D">
        <w:rPr>
          <w:rFonts w:ascii="Trebuchet MS" w:hAnsi="Trebuchet MS"/>
        </w:rPr>
        <w:t xml:space="preserve"> </w:t>
      </w:r>
      <w:r w:rsidRPr="0048156D">
        <w:t>respect for</w:t>
      </w:r>
      <w:r w:rsidRPr="0048156D">
        <w:rPr>
          <w:spacing w:val="-41"/>
        </w:rPr>
        <w:t xml:space="preserve"> </w:t>
      </w:r>
      <w:r w:rsidRPr="0048156D">
        <w:t>feelings</w:t>
      </w:r>
    </w:p>
    <w:p w14:paraId="6A1D65D7" w14:textId="632111F0" w:rsidR="0048156D" w:rsidRPr="0048156D" w:rsidRDefault="0048156D" w:rsidP="0048156D">
      <w:pPr>
        <w:pStyle w:val="DHHSbullet1"/>
      </w:pPr>
      <w:r w:rsidRPr="0048156D">
        <w:t xml:space="preserve">Feeling welcome at the service </w:t>
      </w:r>
    </w:p>
    <w:p w14:paraId="388E4361" w14:textId="645782E6" w:rsidR="0048156D" w:rsidRPr="0048156D" w:rsidRDefault="0048156D" w:rsidP="0048156D">
      <w:pPr>
        <w:pStyle w:val="DHHSbullet1"/>
      </w:pPr>
      <w:r w:rsidRPr="0048156D">
        <w:t>Believing</w:t>
      </w:r>
      <w:r w:rsidRPr="0048156D">
        <w:rPr>
          <w:spacing w:val="-15"/>
        </w:rPr>
        <w:t xml:space="preserve"> </w:t>
      </w:r>
      <w:r w:rsidRPr="0048156D">
        <w:t>that</w:t>
      </w:r>
      <w:r w:rsidRPr="0048156D">
        <w:rPr>
          <w:spacing w:val="-15"/>
        </w:rPr>
        <w:t xml:space="preserve"> </w:t>
      </w:r>
      <w:r w:rsidRPr="0048156D">
        <w:t>you</w:t>
      </w:r>
      <w:r w:rsidRPr="0048156D">
        <w:rPr>
          <w:spacing w:val="-15"/>
        </w:rPr>
        <w:t xml:space="preserve"> </w:t>
      </w:r>
      <w:r w:rsidRPr="0048156D">
        <w:t>would receive</w:t>
      </w:r>
      <w:r w:rsidRPr="0048156D">
        <w:rPr>
          <w:spacing w:val="-22"/>
        </w:rPr>
        <w:t xml:space="preserve"> </w:t>
      </w:r>
      <w:r w:rsidRPr="0048156D">
        <w:t>fair</w:t>
      </w:r>
      <w:r w:rsidRPr="0048156D">
        <w:rPr>
          <w:spacing w:val="-22"/>
        </w:rPr>
        <w:t xml:space="preserve"> </w:t>
      </w:r>
      <w:r w:rsidRPr="0048156D">
        <w:t>treatment</w:t>
      </w:r>
      <w:r w:rsidRPr="0048156D">
        <w:rPr>
          <w:spacing w:val="-22"/>
        </w:rPr>
        <w:t xml:space="preserve"> </w:t>
      </w:r>
      <w:r w:rsidRPr="0048156D">
        <w:t>if you made a complaint</w:t>
      </w:r>
    </w:p>
    <w:p w14:paraId="1D232CFF" w14:textId="0DDD8B82" w:rsidR="0048156D" w:rsidRPr="0048156D" w:rsidRDefault="0048156D" w:rsidP="0048156D">
      <w:pPr>
        <w:pStyle w:val="DHHSbullet1lastline"/>
      </w:pPr>
      <w:r w:rsidRPr="0048156D">
        <w:t>Staff making an effort to</w:t>
      </w:r>
      <w:r w:rsidRPr="0048156D">
        <w:rPr>
          <w:spacing w:val="-38"/>
        </w:rPr>
        <w:t xml:space="preserve"> </w:t>
      </w:r>
      <w:r w:rsidRPr="0048156D">
        <w:t>see</w:t>
      </w:r>
      <w:r w:rsidRPr="0048156D">
        <w:rPr>
          <w:spacing w:val="-38"/>
        </w:rPr>
        <w:t xml:space="preserve"> </w:t>
      </w:r>
      <w:r w:rsidRPr="0048156D">
        <w:t>you when</w:t>
      </w:r>
      <w:r w:rsidRPr="0048156D">
        <w:rPr>
          <w:spacing w:val="-22"/>
        </w:rPr>
        <w:t xml:space="preserve"> </w:t>
      </w:r>
      <w:r w:rsidRPr="0048156D">
        <w:t>you wanted</w:t>
      </w:r>
    </w:p>
    <w:p w14:paraId="53856114" w14:textId="746C2355" w:rsidR="00972AB0" w:rsidRDefault="00972AB0" w:rsidP="007B1263">
      <w:pPr>
        <w:pStyle w:val="DHHSbody"/>
      </w:pPr>
      <w:r>
        <w:t>&lt;end of figure&gt;</w:t>
      </w:r>
    </w:p>
    <w:p w14:paraId="0DEE4AAE" w14:textId="07A4ACC9" w:rsidR="007B1263" w:rsidRDefault="007B1263" w:rsidP="007B1263">
      <w:pPr>
        <w:pStyle w:val="DHHSbody"/>
      </w:pPr>
      <w:r>
        <w:t>These ﬁndings indicate that ensuring consumers feel respected through making them feel welcome, feel safe, accommodating their needs and showing hopefulness for their future generates</w:t>
      </w:r>
      <w:r w:rsidR="00933B8C">
        <w:t xml:space="preserve"> </w:t>
      </w:r>
      <w:r>
        <w:t>a more positive overall experience of care.</w:t>
      </w:r>
    </w:p>
    <w:tbl>
      <w:tblPr>
        <w:tblStyle w:val="TableGrid"/>
        <w:tblW w:w="0" w:type="auto"/>
        <w:tblLook w:val="04A0" w:firstRow="1" w:lastRow="0" w:firstColumn="1" w:lastColumn="0" w:noHBand="0" w:noVBand="1"/>
      </w:tblPr>
      <w:tblGrid>
        <w:gridCol w:w="9184"/>
      </w:tblGrid>
      <w:tr w:rsidR="0048156D" w14:paraId="1DF51A0C" w14:textId="77777777" w:rsidTr="0048156D">
        <w:tc>
          <w:tcPr>
            <w:tcW w:w="9288" w:type="dxa"/>
          </w:tcPr>
          <w:p w14:paraId="0BA0FCED" w14:textId="77777777" w:rsidR="0048156D" w:rsidRPr="0048156D" w:rsidRDefault="0048156D" w:rsidP="0048156D">
            <w:pPr>
              <w:pStyle w:val="DHHSboxheading"/>
            </w:pPr>
            <w:r w:rsidRPr="0048156D">
              <w:t xml:space="preserve">Using the YES survey to improve our service at </w:t>
            </w:r>
            <w:proofErr w:type="spellStart"/>
            <w:r w:rsidRPr="0048156D">
              <w:t>NorthWestern</w:t>
            </w:r>
            <w:proofErr w:type="spellEnd"/>
            <w:r w:rsidRPr="0048156D">
              <w:t xml:space="preserve"> Mental Health</w:t>
            </w:r>
          </w:p>
          <w:p w14:paraId="3A13BD48" w14:textId="77777777" w:rsidR="0048156D" w:rsidRPr="0048156D" w:rsidRDefault="0048156D" w:rsidP="0048156D">
            <w:pPr>
              <w:pStyle w:val="DHHSbody"/>
            </w:pPr>
            <w:r w:rsidRPr="0048156D">
              <w:t>The 2016 YES survey has helped strengthen consumer and carer involvement in our service. Our Continuous Improvement Committee took the lead in reviewing the survey results. They asked consumer and carers, as well as staff members, to rate each survey item according to how important the question was to them and how concerning the survey result was.</w:t>
            </w:r>
          </w:p>
          <w:p w14:paraId="1120449E" w14:textId="554073B7" w:rsidR="0048156D" w:rsidRDefault="0048156D" w:rsidP="007B1263">
            <w:pPr>
              <w:pStyle w:val="DHHSbody"/>
            </w:pPr>
            <w:r w:rsidRPr="0048156D">
              <w:t>Survey questions/results that were considered both ‘important’ and ‘concerning’ were prioritised for action. Our wonderful consumer and carer consultants developed a poster to explain these changes to our service users and staff, and to promote the 2017 YES survey. Our plan is to produce a regular poster to keep consumers, carers and staff informed of our survey results, intended actions and outcomes.</w:t>
            </w:r>
          </w:p>
        </w:tc>
      </w:tr>
    </w:tbl>
    <w:p w14:paraId="4EDF3AAC" w14:textId="3D6AA038" w:rsidR="007B1263" w:rsidRDefault="00933B8C" w:rsidP="00933B8C">
      <w:pPr>
        <w:pStyle w:val="Heading2"/>
      </w:pPr>
      <w:bookmarkStart w:id="23" w:name="_Toc28340197"/>
      <w:r>
        <w:t>Expanding our peer support workforce and programs</w:t>
      </w:r>
      <w:bookmarkEnd w:id="23"/>
    </w:p>
    <w:p w14:paraId="64DACA4C" w14:textId="77777777" w:rsidR="007B1263" w:rsidRDefault="007B1263" w:rsidP="007B1263">
      <w:pPr>
        <w:pStyle w:val="DHHSbody"/>
      </w:pPr>
      <w:r>
        <w:t>Being able to transition safely and securely from an acute inpatient service to the community is a major factor in enabling people to remain well and out of hospital settings. Peer support workers and programs are playing an increasingly important support role in our services, especially during this period of transition.</w:t>
      </w:r>
    </w:p>
    <w:p w14:paraId="388FC271" w14:textId="77777777" w:rsidR="007B1263" w:rsidRDefault="007B1263" w:rsidP="00972AB0">
      <w:pPr>
        <w:pStyle w:val="DHHSbody"/>
        <w:spacing w:after="240"/>
      </w:pPr>
      <w:r>
        <w:t>Under our Expanding Post Discharge Support Initiative, all adult mental health services received ongoing funding in 2016–17 to employ peer support workers to provide follow-up support for consumers, their families and carers following discharge from an acute inpatient service. Peer support workers contribute to effective discharge planning and provide at least three community follow-up contacts within the ﬁrst 28 days following discharge.</w:t>
      </w:r>
    </w:p>
    <w:tbl>
      <w:tblPr>
        <w:tblStyle w:val="TableGrid"/>
        <w:tblW w:w="0" w:type="auto"/>
        <w:tblLook w:val="04A0" w:firstRow="1" w:lastRow="0" w:firstColumn="1" w:lastColumn="0" w:noHBand="0" w:noVBand="1"/>
      </w:tblPr>
      <w:tblGrid>
        <w:gridCol w:w="9184"/>
      </w:tblGrid>
      <w:tr w:rsidR="0048156D" w14:paraId="1532C0AD" w14:textId="77777777" w:rsidTr="0048156D">
        <w:tc>
          <w:tcPr>
            <w:tcW w:w="9288" w:type="dxa"/>
          </w:tcPr>
          <w:p w14:paraId="744DF898" w14:textId="3D9094F1" w:rsidR="0048156D" w:rsidRPr="0048156D" w:rsidRDefault="0048156D" w:rsidP="0048156D">
            <w:pPr>
              <w:pStyle w:val="DHHSboxheading"/>
            </w:pPr>
            <w:r w:rsidRPr="0048156D">
              <w:t>Peer support for kids whose parent has a mental illness</w:t>
            </w:r>
          </w:p>
          <w:p w14:paraId="6E46E184" w14:textId="77777777" w:rsidR="0048156D" w:rsidRPr="0048156D" w:rsidRDefault="0048156D" w:rsidP="0048156D">
            <w:pPr>
              <w:pStyle w:val="DHHSbody"/>
            </w:pPr>
            <w:r w:rsidRPr="0048156D">
              <w:t xml:space="preserve">CHAMPS is a structured peer support program for children aged eight to 12 who have a parent with mental illness. The aim of CHAMPS is to provide age-appropriate information and support to the children and their families through a broad range of peer support activities such as kids clubs, school holiday programs, networking opportunities, martial arts therapy and other coping strategies. Peer support programs like CHAMPS are core to the work of the </w:t>
            </w:r>
            <w:proofErr w:type="spellStart"/>
            <w:r w:rsidRPr="0048156D">
              <w:t>FaPMI</w:t>
            </w:r>
            <w:proofErr w:type="spellEnd"/>
            <w:r w:rsidRPr="0048156D">
              <w:t xml:space="preserve"> program.</w:t>
            </w:r>
          </w:p>
          <w:p w14:paraId="7C66F786" w14:textId="6EAEB864" w:rsidR="0048156D" w:rsidRDefault="0048156D" w:rsidP="007B1263">
            <w:pPr>
              <w:pStyle w:val="DHHSbody"/>
            </w:pPr>
            <w:r w:rsidRPr="0048156D">
              <w:t xml:space="preserve">State Budget funding in 2016–17 enabled statewide coverage of the </w:t>
            </w:r>
            <w:proofErr w:type="spellStart"/>
            <w:r w:rsidRPr="0048156D">
              <w:t>FaPMI</w:t>
            </w:r>
            <w:proofErr w:type="spellEnd"/>
            <w:r w:rsidRPr="0048156D">
              <w:t xml:space="preserve"> program and opportunities for CHAMPS to be implemented across the state.</w:t>
            </w:r>
          </w:p>
        </w:tc>
      </w:tr>
    </w:tbl>
    <w:p w14:paraId="433884A0" w14:textId="6FA9D046" w:rsidR="00972AB0" w:rsidRDefault="00972AB0" w:rsidP="007B1263">
      <w:pPr>
        <w:pStyle w:val="DHHSbody"/>
      </w:pPr>
    </w:p>
    <w:p w14:paraId="60A80C35" w14:textId="77777777" w:rsidR="00972AB0" w:rsidRDefault="00972AB0">
      <w:pPr>
        <w:rPr>
          <w:rFonts w:ascii="Arial" w:eastAsia="Times" w:hAnsi="Arial"/>
        </w:rPr>
      </w:pPr>
      <w:r>
        <w:br w:type="page"/>
      </w:r>
    </w:p>
    <w:tbl>
      <w:tblPr>
        <w:tblStyle w:val="TableGrid"/>
        <w:tblW w:w="0" w:type="auto"/>
        <w:tblLook w:val="04A0" w:firstRow="1" w:lastRow="0" w:firstColumn="1" w:lastColumn="0" w:noHBand="0" w:noVBand="1"/>
      </w:tblPr>
      <w:tblGrid>
        <w:gridCol w:w="9184"/>
      </w:tblGrid>
      <w:tr w:rsidR="0048156D" w14:paraId="50C69B55" w14:textId="77777777" w:rsidTr="00972AB0">
        <w:tc>
          <w:tcPr>
            <w:tcW w:w="9184" w:type="dxa"/>
          </w:tcPr>
          <w:p w14:paraId="02AECFB5" w14:textId="77777777" w:rsidR="0048156D" w:rsidRPr="00933B8C" w:rsidRDefault="0048156D" w:rsidP="0048156D">
            <w:pPr>
              <w:pStyle w:val="DHHSboxheading"/>
            </w:pPr>
            <w:r w:rsidRPr="00933B8C">
              <w:lastRenderedPageBreak/>
              <w:t>My recovery</w:t>
            </w:r>
          </w:p>
          <w:p w14:paraId="7E48E7B7" w14:textId="48CDC2A1" w:rsidR="0048156D" w:rsidRDefault="0048156D" w:rsidP="0048156D">
            <w:pPr>
              <w:pStyle w:val="DHHSbody"/>
            </w:pPr>
            <w:r>
              <w:t>Ten years ago I was diagnosed with anxiety and depression. During the first years of my</w:t>
            </w:r>
            <w:r w:rsidR="00173ACF">
              <w:t xml:space="preserve"> </w:t>
            </w:r>
            <w:r>
              <w:t>experience, I didn’t have a clear understanding of my identity. My psychotherapist suggested I try alternative relaxing therapies. At the time I didn’t pay much attention as I wanted to be ‘fixed’ as quickly as possible.</w:t>
            </w:r>
          </w:p>
          <w:p w14:paraId="4DEE502E" w14:textId="77777777" w:rsidR="0048156D" w:rsidRDefault="0048156D" w:rsidP="0048156D">
            <w:pPr>
              <w:pStyle w:val="DHHSbody"/>
            </w:pPr>
            <w:r>
              <w:t>Later, while I was spending my life on and off medication in order for me to be productive, functional and sociable, I remembered his suggestion. I started looking online for potential meditation opportunities.</w:t>
            </w:r>
          </w:p>
          <w:p w14:paraId="31FC39E5" w14:textId="727BFF25" w:rsidR="0048156D" w:rsidRDefault="0048156D" w:rsidP="0048156D">
            <w:pPr>
              <w:pStyle w:val="DHHSbody"/>
            </w:pPr>
            <w:r>
              <w:t>Meditation became an integral part of my life. I learned how to study myself and question my thoughts and beliefs. I explored things I’d</w:t>
            </w:r>
            <w:r w:rsidR="00972AB0">
              <w:t xml:space="preserve"> </w:t>
            </w:r>
            <w:r>
              <w:t>never discussed before – love, kindness, peace. I started reading books for the first time in my life. I stopped watching TV; I started exercising. This combination gave me insight into the person I’d been ignoring for 33 years. I felt connected with everything around me.</w:t>
            </w:r>
          </w:p>
          <w:p w14:paraId="3445CDE6" w14:textId="77777777" w:rsidR="0048156D" w:rsidRDefault="0048156D" w:rsidP="0048156D">
            <w:pPr>
              <w:pStyle w:val="DHHSbody"/>
            </w:pPr>
            <w:r>
              <w:t>In the bubble of depression, and especially in Greece, I was living in darkness. Maybe there were opportunities back then, but I couldn’t see them. For the past five years I’ve created a whole new life. I have all these opportunities and possibilities and am catching up on all that lost time.</w:t>
            </w:r>
          </w:p>
          <w:p w14:paraId="74F8C3DF" w14:textId="77777777" w:rsidR="0048156D" w:rsidRDefault="0048156D" w:rsidP="0048156D">
            <w:pPr>
              <w:pStyle w:val="DHHSbody"/>
            </w:pPr>
            <w:r>
              <w:t>My recovery journey inspired me to contribute to improving people’s mental health and wellbeing by sharing my experience and the tools I used myself to create the change in me. I started working in the mental health field as a peer support worker.</w:t>
            </w:r>
          </w:p>
          <w:p w14:paraId="067F419E" w14:textId="77777777" w:rsidR="0048156D" w:rsidRDefault="0048156D" w:rsidP="0048156D">
            <w:pPr>
              <w:pStyle w:val="DHHSbody"/>
            </w:pPr>
            <w:r>
              <w:t>Gradually I developed my own self-care workshop about increasing resilience and hope and creating healthy habits to make a better life for ourselves. This program is based on my experience. I run it for people accessing mental health services, for staff as part of their professional development, and everyone interested in experiential wellbeing training. My message is that life can be hard but it is possible to live it differently with determination and readiness.</w:t>
            </w:r>
          </w:p>
          <w:p w14:paraId="5B050AC3" w14:textId="5E53A205" w:rsidR="0048156D" w:rsidRDefault="0048156D" w:rsidP="0048156D">
            <w:pPr>
              <w:pStyle w:val="DHHSbody"/>
            </w:pPr>
            <w:r>
              <w:t>I also work as a learning and development consultant at Mind Recovery College developing and delivering learning programs in mental health settings, as a mentor with beyondblue attending to the needs of at risk diverse populations and collaborate with Spiritual Health Victoria to raise awareness about spiritual care.</w:t>
            </w:r>
          </w:p>
          <w:p w14:paraId="617496B5" w14:textId="19F81BEA" w:rsidR="0048156D" w:rsidRDefault="0048156D" w:rsidP="007B1263">
            <w:pPr>
              <w:pStyle w:val="DHHSbody"/>
            </w:pPr>
            <w:r>
              <w:t>– Anton</w:t>
            </w:r>
          </w:p>
        </w:tc>
      </w:tr>
    </w:tbl>
    <w:p w14:paraId="1F4438AA" w14:textId="77777777" w:rsidR="007B1263" w:rsidRDefault="007B1263" w:rsidP="007B1263">
      <w:pPr>
        <w:pStyle w:val="DHHSbody"/>
      </w:pPr>
    </w:p>
    <w:tbl>
      <w:tblPr>
        <w:tblStyle w:val="TableGrid"/>
        <w:tblW w:w="0" w:type="auto"/>
        <w:tblLook w:val="04A0" w:firstRow="1" w:lastRow="0" w:firstColumn="1" w:lastColumn="0" w:noHBand="0" w:noVBand="1"/>
      </w:tblPr>
      <w:tblGrid>
        <w:gridCol w:w="9184"/>
      </w:tblGrid>
      <w:tr w:rsidR="001B6FDB" w14:paraId="5F4C89E0" w14:textId="77777777" w:rsidTr="001B6FDB">
        <w:tc>
          <w:tcPr>
            <w:tcW w:w="9288" w:type="dxa"/>
          </w:tcPr>
          <w:p w14:paraId="6AEBE9E7" w14:textId="0DDBB181" w:rsidR="001B6FDB" w:rsidRPr="00933B8C" w:rsidRDefault="001B6FDB" w:rsidP="001B6FDB">
            <w:pPr>
              <w:pStyle w:val="DHHSboxheading"/>
            </w:pPr>
            <w:r w:rsidRPr="00933B8C">
              <w:t xml:space="preserve">Good </w:t>
            </w:r>
            <w:r>
              <w:t>E</w:t>
            </w:r>
            <w:r w:rsidRPr="00933B8C">
              <w:t>nough Mum!</w:t>
            </w:r>
          </w:p>
          <w:p w14:paraId="777942AB" w14:textId="77777777" w:rsidR="001B6FDB" w:rsidRDefault="001B6FDB" w:rsidP="001B6FDB">
            <w:pPr>
              <w:pStyle w:val="DHHSbody"/>
            </w:pPr>
            <w:r>
              <w:t>When my eldest daughter and I were initially referred to the CHAMPS program, I was overwhelmed.</w:t>
            </w:r>
          </w:p>
          <w:p w14:paraId="01FF8ECA" w14:textId="77777777" w:rsidR="001B6FDB" w:rsidRDefault="001B6FDB" w:rsidP="001B6FDB">
            <w:pPr>
              <w:pStyle w:val="DHHSbody"/>
            </w:pPr>
            <w:r>
              <w:t>Caring for three children with a range of medical and psychological issues, as well as my own mental illness and health, we were doing the best that we could. Our communication was breaking down, everyone felt stressed and worried, and we were having less ‘good’ days and more ‘bad’ days. I felt inadequate, unsupported and alone.</w:t>
            </w:r>
          </w:p>
          <w:p w14:paraId="441587D1" w14:textId="77777777" w:rsidR="001B6FDB" w:rsidRDefault="001B6FDB" w:rsidP="001B6FDB">
            <w:pPr>
              <w:pStyle w:val="DHHSbody"/>
            </w:pPr>
            <w:r>
              <w:t>I constantly questioned if I was a good parent.</w:t>
            </w:r>
          </w:p>
          <w:p w14:paraId="09082BC2" w14:textId="77777777" w:rsidR="001B6FDB" w:rsidRDefault="001B6FDB" w:rsidP="001B6FDB">
            <w:pPr>
              <w:pStyle w:val="DHHSbody"/>
            </w:pPr>
            <w:r>
              <w:t>CHAMPS was unique from any other program that I knew of. It helped me connect to other parents, as well as to my daughter. The kids were picked up on the bus from school, and they would meet us parents at the centre. I really looked forward to having afternoon tea with my daughter and being able to check-in and focus just on her. We then would split into a parent focus group and the kids would head off to their group.</w:t>
            </w:r>
          </w:p>
          <w:p w14:paraId="198358E4" w14:textId="77777777" w:rsidR="001B6FDB" w:rsidRDefault="001B6FDB" w:rsidP="001B6FDB">
            <w:pPr>
              <w:pStyle w:val="DHHSbody"/>
            </w:pPr>
            <w:r>
              <w:t xml:space="preserve">I witnessed her connecting with other children who understood what home life is like when you have a parent with mental illness. She was guided to understand what my diagnosis meant to me and how </w:t>
            </w:r>
            <w:r>
              <w:lastRenderedPageBreak/>
              <w:t>to access help if she felt that either she or I needed support. The group leaders did an amazing job to draw her out of herself. She learned that other families are just like ours and came away with friendships and skills to help support herself.</w:t>
            </w:r>
          </w:p>
          <w:p w14:paraId="5EF5EB22" w14:textId="77777777" w:rsidR="001B6FDB" w:rsidRDefault="001B6FDB" w:rsidP="001B6FDB">
            <w:pPr>
              <w:pStyle w:val="DHHSbody"/>
            </w:pPr>
            <w:r>
              <w:t>Engaging with the facilitators and the other parents, I began to realise that parenting is hard in general and my situation isn’t unique.</w:t>
            </w:r>
          </w:p>
          <w:p w14:paraId="1B4A5C0F" w14:textId="77777777" w:rsidR="001B6FDB" w:rsidRDefault="001B6FDB" w:rsidP="001B6FDB">
            <w:pPr>
              <w:pStyle w:val="DHHSbody"/>
            </w:pPr>
            <w:r>
              <w:t>The group felt more like a parenting group who were drawn together through our experiences with mental illnesses. We were parents and grandparents, but so many times I found myself listening and thinking ‘Oh my gosh, someone else understands!’ I felt I could connect with the other group members better than a regular parenting group (which I had previously tried attending).</w:t>
            </w:r>
          </w:p>
          <w:p w14:paraId="0EBA63B9" w14:textId="77777777" w:rsidR="001B6FDB" w:rsidRDefault="001B6FDB" w:rsidP="001B6FDB">
            <w:pPr>
              <w:pStyle w:val="DHHSbody"/>
            </w:pPr>
            <w:r>
              <w:t>It was a safe space with no judgement, which was really important for some of the issues and problems we discussed.</w:t>
            </w:r>
          </w:p>
          <w:p w14:paraId="1F90737F" w14:textId="77777777" w:rsidR="001B6FDB" w:rsidRDefault="001B6FDB" w:rsidP="001B6FDB">
            <w:pPr>
              <w:pStyle w:val="DHHSbody"/>
            </w:pPr>
            <w:r>
              <w:t>CHAMPS will have a lifelong effect on my family. I now feel more conﬁdent in my parenting and more connected to my children, and I know that bad days don’t deﬁne who I am as a parent.</w:t>
            </w:r>
          </w:p>
          <w:p w14:paraId="718A3CD4" w14:textId="75B5A6E8" w:rsidR="001B6FDB" w:rsidRDefault="001B6FDB" w:rsidP="001B6FDB">
            <w:pPr>
              <w:pStyle w:val="DHHSbody"/>
            </w:pPr>
            <w:r>
              <w:t>– Kate Mason, GEM (Good Enough Mum!)</w:t>
            </w:r>
          </w:p>
        </w:tc>
      </w:tr>
    </w:tbl>
    <w:p w14:paraId="04393357" w14:textId="77777777" w:rsidR="007B1263" w:rsidRDefault="007B1263" w:rsidP="007B1263">
      <w:pPr>
        <w:pStyle w:val="DHHSbody"/>
      </w:pPr>
    </w:p>
    <w:p w14:paraId="69D2E71B" w14:textId="77777777" w:rsidR="00891681" w:rsidRDefault="00891681">
      <w:pPr>
        <w:rPr>
          <w:rFonts w:ascii="Arial" w:eastAsia="Times" w:hAnsi="Arial"/>
        </w:rPr>
      </w:pPr>
      <w:r>
        <w:br w:type="page"/>
      </w:r>
    </w:p>
    <w:p w14:paraId="6C3341A8" w14:textId="7B8CE234" w:rsidR="007B1263" w:rsidRDefault="007B1263" w:rsidP="00891681">
      <w:pPr>
        <w:pStyle w:val="Heading1"/>
      </w:pPr>
      <w:bookmarkStart w:id="24" w:name="_Toc28340198"/>
      <w:r>
        <w:lastRenderedPageBreak/>
        <w:t>3.</w:t>
      </w:r>
      <w:r>
        <w:tab/>
        <w:t>Y</w:t>
      </w:r>
      <w:r w:rsidR="00891681">
        <w:t>ear in review – public mental health services in 2016–17</w:t>
      </w:r>
      <w:bookmarkEnd w:id="24"/>
    </w:p>
    <w:p w14:paraId="056AADEA" w14:textId="2A1ADCC3" w:rsidR="007B1263" w:rsidRDefault="00891681" w:rsidP="00891681">
      <w:pPr>
        <w:pStyle w:val="Heading2"/>
      </w:pPr>
      <w:bookmarkStart w:id="25" w:name="_Toc28340199"/>
      <w:r>
        <w:t>Overview</w:t>
      </w:r>
      <w:bookmarkEnd w:id="25"/>
    </w:p>
    <w:p w14:paraId="28CA272F" w14:textId="20362406" w:rsidR="007B1263" w:rsidRDefault="007B1263" w:rsidP="007B1263">
      <w:pPr>
        <w:pStyle w:val="DHHSbody"/>
      </w:pPr>
      <w:r>
        <w:t>The data in this section of the report helps us understand who accesses our services and how, the service settings and circumstances in which treatment is provided, and whether that</w:t>
      </w:r>
      <w:r w:rsidR="00972AB0">
        <w:t xml:space="preserve"> </w:t>
      </w:r>
      <w:r>
        <w:t>treatment results in better outcomes. It also tells us about demand for, and use of, our services.</w:t>
      </w:r>
    </w:p>
    <w:p w14:paraId="432FDC68" w14:textId="18B081E4" w:rsidR="007B1263" w:rsidRDefault="007B1263" w:rsidP="007B1263">
      <w:pPr>
        <w:pStyle w:val="DHHSbody"/>
      </w:pPr>
      <w:r>
        <w:t>Key aspects of this data are incorporated  in our outcomes framework, including data about the use of compulsory treatment and restrictive interventions. Our aim is to drive</w:t>
      </w:r>
      <w:r w:rsidR="00416D8E">
        <w:t xml:space="preserve"> </w:t>
      </w:r>
      <w:r>
        <w:t>service improvement and improve community understanding of Victoria’s public mental health services.</w:t>
      </w:r>
    </w:p>
    <w:p w14:paraId="1E274B70" w14:textId="77777777" w:rsidR="007B1263" w:rsidRDefault="007B1263" w:rsidP="007B1263">
      <w:pPr>
        <w:pStyle w:val="DHHSbody"/>
      </w:pPr>
      <w:r>
        <w:t>The data shows that services, particularly inpatient services for adults, are under increasing pressure to meet demand. Hospitalisations of adults for mental illness are increasing, many services have very high occupancy levels, and people are being discharged after a relatively short time.</w:t>
      </w:r>
    </w:p>
    <w:p w14:paraId="7C978754" w14:textId="7C15E686" w:rsidR="007B1263" w:rsidRDefault="00891681" w:rsidP="007B1263">
      <w:pPr>
        <w:pStyle w:val="DHHSbody"/>
      </w:pPr>
      <w:r w:rsidRPr="00891681">
        <w:rPr>
          <w:rStyle w:val="Heading3Char"/>
        </w:rPr>
        <w:t>Who receives public mental health treatment</w:t>
      </w:r>
      <w:r w:rsidR="007B1263">
        <w:t>?</w:t>
      </w:r>
    </w:p>
    <w:p w14:paraId="3DDE176A" w14:textId="12163F3F" w:rsidR="007B1263" w:rsidRDefault="007B1263" w:rsidP="001B6FDB">
      <w:pPr>
        <w:pStyle w:val="DHHSbullet1"/>
      </w:pPr>
      <w:r>
        <w:t>66,445</w:t>
      </w:r>
      <w:r w:rsidR="00891681">
        <w:t xml:space="preserve"> </w:t>
      </w:r>
      <w:r>
        <w:t>registered clients</w:t>
      </w:r>
    </w:p>
    <w:p w14:paraId="26FEA717" w14:textId="5E8EF467" w:rsidR="007B1263" w:rsidRDefault="007B1263" w:rsidP="001B6FDB">
      <w:pPr>
        <w:pStyle w:val="DHHSbullet1"/>
      </w:pPr>
      <w:r>
        <w:t>36.6%</w:t>
      </w:r>
      <w:r w:rsidR="00891681">
        <w:t xml:space="preserve"> </w:t>
      </w:r>
      <w:r>
        <w:t>new clients</w:t>
      </w:r>
    </w:p>
    <w:p w14:paraId="04D951CE" w14:textId="7BA04E21" w:rsidR="007B1263" w:rsidRDefault="007B1263" w:rsidP="001B6FDB">
      <w:pPr>
        <w:pStyle w:val="DHHSbullet1"/>
      </w:pPr>
      <w:r>
        <w:t>1.1%</w:t>
      </w:r>
      <w:r w:rsidR="00891681">
        <w:t xml:space="preserve"> </w:t>
      </w:r>
      <w:r>
        <w:t>of population</w:t>
      </w:r>
    </w:p>
    <w:p w14:paraId="18939501" w14:textId="346EAEC7" w:rsidR="007B1263" w:rsidRDefault="007B1263" w:rsidP="001B6FDB">
      <w:pPr>
        <w:pStyle w:val="DHHSbullet1"/>
      </w:pPr>
      <w:r>
        <w:t>50.4%</w:t>
      </w:r>
      <w:r w:rsidR="00891681">
        <w:t xml:space="preserve"> </w:t>
      </w:r>
      <w:r>
        <w:t>women</w:t>
      </w:r>
    </w:p>
    <w:p w14:paraId="1B53A948" w14:textId="7F49889E" w:rsidR="007B1263" w:rsidRDefault="007B1263" w:rsidP="001B6FDB">
      <w:pPr>
        <w:pStyle w:val="DHHSbullet1"/>
      </w:pPr>
      <w:r>
        <w:t>32.6%</w:t>
      </w:r>
      <w:r w:rsidR="00891681">
        <w:t xml:space="preserve"> </w:t>
      </w:r>
      <w:r>
        <w:t>rural</w:t>
      </w:r>
    </w:p>
    <w:p w14:paraId="5302BEB3" w14:textId="1D848D09" w:rsidR="007B1263" w:rsidRDefault="007B1263" w:rsidP="001B6FDB">
      <w:pPr>
        <w:pStyle w:val="DHHSbullet1"/>
      </w:pPr>
      <w:r>
        <w:t>13.6%</w:t>
      </w:r>
      <w:r w:rsidR="00891681">
        <w:t xml:space="preserve"> </w:t>
      </w:r>
      <w:r>
        <w:t>CALD</w:t>
      </w:r>
    </w:p>
    <w:p w14:paraId="4B07D9DE" w14:textId="411223BD" w:rsidR="007B1263" w:rsidRDefault="007B1263" w:rsidP="001B6FDB">
      <w:pPr>
        <w:pStyle w:val="DHHSbullet1"/>
      </w:pPr>
      <w:r>
        <w:t>2.5%</w:t>
      </w:r>
      <w:r w:rsidR="00891681">
        <w:t xml:space="preserve"> </w:t>
      </w:r>
      <w:r>
        <w:t>Aboriginal or Torres Strait Islander</w:t>
      </w:r>
    </w:p>
    <w:p w14:paraId="3351E1EE" w14:textId="712FC69A" w:rsidR="007B1263" w:rsidRDefault="00891681" w:rsidP="00891681">
      <w:pPr>
        <w:pStyle w:val="Heading3"/>
      </w:pPr>
      <w:r>
        <w:t>How long does treatment last</w:t>
      </w:r>
      <w:r w:rsidR="007B1263">
        <w:t>?</w:t>
      </w:r>
    </w:p>
    <w:p w14:paraId="09658CE9" w14:textId="0B18F246" w:rsidR="007B1263" w:rsidRDefault="007B1263" w:rsidP="001B6FDB">
      <w:pPr>
        <w:pStyle w:val="DHHSbullet1"/>
      </w:pPr>
      <w:r>
        <w:t>53.1%</w:t>
      </w:r>
      <w:r w:rsidR="00891681">
        <w:t xml:space="preserve"> </w:t>
      </w:r>
      <w:r>
        <w:t>of adult admissions</w:t>
      </w:r>
      <w:r w:rsidR="00891681">
        <w:t xml:space="preserve"> </w:t>
      </w:r>
      <w:r>
        <w:t>had a preceding community contact</w:t>
      </w:r>
    </w:p>
    <w:p w14:paraId="65C406CB" w14:textId="2C293523" w:rsidR="007B1263" w:rsidRDefault="007B1263" w:rsidP="001B6FDB">
      <w:pPr>
        <w:pStyle w:val="DHHSbullet1"/>
      </w:pPr>
      <w:r>
        <w:t>9.5 days</w:t>
      </w:r>
      <w:r w:rsidR="00891681">
        <w:t xml:space="preserve"> </w:t>
      </w:r>
      <w:r>
        <w:t>average length of adult</w:t>
      </w:r>
      <w:r w:rsidR="00891681">
        <w:t xml:space="preserve"> </w:t>
      </w:r>
      <w:r>
        <w:t>inpatient stay (trimmed)</w:t>
      </w:r>
    </w:p>
    <w:p w14:paraId="47796CCC" w14:textId="120D6270" w:rsidR="007B1263" w:rsidRDefault="007B1263" w:rsidP="001B6FDB">
      <w:pPr>
        <w:pStyle w:val="DHHSbullet1"/>
      </w:pPr>
      <w:r>
        <w:t>79.4%</w:t>
      </w:r>
      <w:r w:rsidR="00891681">
        <w:t xml:space="preserve"> </w:t>
      </w:r>
      <w:r>
        <w:t>of adults were followed</w:t>
      </w:r>
      <w:r w:rsidR="00891681">
        <w:t xml:space="preserve"> </w:t>
      </w:r>
      <w:r>
        <w:t>up with a community mental health contact within 7 days of discharge</w:t>
      </w:r>
    </w:p>
    <w:p w14:paraId="2F74C869" w14:textId="009CFFFA" w:rsidR="007B1263" w:rsidRDefault="00891681" w:rsidP="00D9699A">
      <w:pPr>
        <w:pStyle w:val="Heading2"/>
      </w:pPr>
      <w:bookmarkStart w:id="26" w:name="_Toc28340200"/>
      <w:r>
        <w:t>How do we know if we’re making a difference in people's lives?</w:t>
      </w:r>
      <w:bookmarkEnd w:id="26"/>
    </w:p>
    <w:p w14:paraId="4B06CA4E" w14:textId="77777777" w:rsidR="001B6FDB" w:rsidRDefault="007B1263" w:rsidP="001B6FDB">
      <w:pPr>
        <w:pStyle w:val="DHHSbody"/>
      </w:pPr>
      <w:r>
        <w:t>People using services want to know how they’re going. Sharing information on outcomes is one way of doing this because it looks at how a</w:t>
      </w:r>
      <w:r w:rsidR="001B6FDB">
        <w:t xml:space="preserve"> person’s health, wellbeing and circumstances change over time. It helps consumers and clinicians to work together to map recovery journeys.</w:t>
      </w:r>
    </w:p>
    <w:p w14:paraId="5E8BEB80" w14:textId="77777777" w:rsidR="001B6FDB" w:rsidRDefault="001B6FDB" w:rsidP="001B6FDB">
      <w:pPr>
        <w:pStyle w:val="DHHSbody"/>
      </w:pPr>
      <w:r>
        <w:t>In Victoria, one of the tools used to understand consumer outcomes is the Health of the Nation Outcome Scales (</w:t>
      </w:r>
      <w:proofErr w:type="spellStart"/>
      <w:r>
        <w:t>HoNOS</w:t>
      </w:r>
      <w:proofErr w:type="spellEnd"/>
      <w:r>
        <w:t>). This information is used at the local, state and national levels to assess the effectiveness of services.</w:t>
      </w:r>
    </w:p>
    <w:p w14:paraId="6584886E" w14:textId="77777777" w:rsidR="007B1263" w:rsidRDefault="007B1263" w:rsidP="007B1263">
      <w:pPr>
        <w:pStyle w:val="DHHSbody"/>
      </w:pPr>
      <w:proofErr w:type="spellStart"/>
      <w:r>
        <w:t>HoNOS</w:t>
      </w:r>
      <w:proofErr w:type="spellEnd"/>
      <w:r>
        <w:t xml:space="preserve"> has slightly different measures for young people, adults and older people. For adults, the 12 outcome scales cover issues grouped into four areas: behaviour, symptoms, impairment and social functioning. This allows a range of issues to be considered such as problems at work or in relationships, hallucinations and physical illness.</w:t>
      </w:r>
    </w:p>
    <w:p w14:paraId="2872BEDA" w14:textId="77777777" w:rsidR="007B1263" w:rsidRDefault="007B1263" w:rsidP="007B1263">
      <w:pPr>
        <w:pStyle w:val="DHHSbody"/>
      </w:pPr>
      <w:proofErr w:type="spellStart"/>
      <w:r>
        <w:t>HoNOS</w:t>
      </w:r>
      <w:proofErr w:type="spellEnd"/>
      <w:r>
        <w:t xml:space="preserve"> measures are recorded at various points – for example, on admission and discharge. A higher </w:t>
      </w:r>
      <w:proofErr w:type="spellStart"/>
      <w:r>
        <w:t>HoNOS</w:t>
      </w:r>
      <w:proofErr w:type="spellEnd"/>
      <w:r>
        <w:t xml:space="preserve"> score means a more severe problem.</w:t>
      </w:r>
    </w:p>
    <w:p w14:paraId="72D8B64C" w14:textId="5A4E2E4F" w:rsidR="007B1263" w:rsidRDefault="007B1263" w:rsidP="007B1263">
      <w:pPr>
        <w:pStyle w:val="DHHSbody"/>
      </w:pPr>
      <w:r>
        <w:t>Our outcomes framework reports on change for consumers in the community at the end of a</w:t>
      </w:r>
      <w:r w:rsidR="001B6FDB">
        <w:t xml:space="preserve"> </w:t>
      </w:r>
      <w:r>
        <w:t>period of treatment. People require assistance for different lengths of time, but on average, people receiving clinical services in the community receive treatment for about six months.</w:t>
      </w:r>
    </w:p>
    <w:p w14:paraId="7ED67B70" w14:textId="77777777" w:rsidR="007B1263" w:rsidRDefault="007B1263" w:rsidP="007B1263">
      <w:pPr>
        <w:pStyle w:val="DHHSbody"/>
      </w:pPr>
      <w:r>
        <w:lastRenderedPageBreak/>
        <w:t>The majority of CAMHS, adult and aged clients in Victoria had stable or improved clinical outcomes in 2016–17 (see Table 2). As in physical health, we are increasingly focused on ensuring our care contributes to better outcomes for clients and their families. Forensic and specialist outcomes data applies to smaller groups of clients and shows signiﬁcant volatility. Over the past four years, the overall percentage of consumers with signiﬁcantly improved or stable outcomes by age group has been consistent (see Appendix 2).</w:t>
      </w:r>
    </w:p>
    <w:p w14:paraId="16EBA04D" w14:textId="77777777" w:rsidR="007B1263" w:rsidRDefault="007B1263" w:rsidP="001B6FDB">
      <w:pPr>
        <w:pStyle w:val="DHHStablecaption"/>
      </w:pPr>
      <w:r>
        <w:t>Table 2: Improvements in mental health outcomes, 2016–17</w:t>
      </w:r>
    </w:p>
    <w:tbl>
      <w:tblPr>
        <w:tblStyle w:val="TableGrid"/>
        <w:tblW w:w="0" w:type="auto"/>
        <w:tblLook w:val="04A0" w:firstRow="1" w:lastRow="0" w:firstColumn="1" w:lastColumn="0" w:noHBand="0" w:noVBand="1"/>
      </w:tblPr>
      <w:tblGrid>
        <w:gridCol w:w="3059"/>
        <w:gridCol w:w="3068"/>
        <w:gridCol w:w="3057"/>
      </w:tblGrid>
      <w:tr w:rsidR="001B6FDB" w14:paraId="0559C1F7" w14:textId="77777777" w:rsidTr="001B6FDB">
        <w:trPr>
          <w:tblHeader/>
        </w:trPr>
        <w:tc>
          <w:tcPr>
            <w:tcW w:w="3096" w:type="dxa"/>
          </w:tcPr>
          <w:p w14:paraId="0D47EFF5" w14:textId="3693A315" w:rsidR="001B6FDB" w:rsidRDefault="001B6FDB" w:rsidP="001B6FDB">
            <w:pPr>
              <w:pStyle w:val="DHHStablecolhead"/>
            </w:pPr>
            <w:r>
              <w:t>Service</w:t>
            </w:r>
          </w:p>
        </w:tc>
        <w:tc>
          <w:tcPr>
            <w:tcW w:w="3096" w:type="dxa"/>
          </w:tcPr>
          <w:p w14:paraId="1BCD5310" w14:textId="1DDB66B3" w:rsidR="001B6FDB" w:rsidRDefault="001B6FDB" w:rsidP="001B6FDB">
            <w:pPr>
              <w:pStyle w:val="DHHStablecolhead"/>
            </w:pPr>
            <w:r>
              <w:t>Significant improvement</w:t>
            </w:r>
          </w:p>
        </w:tc>
        <w:tc>
          <w:tcPr>
            <w:tcW w:w="3096" w:type="dxa"/>
          </w:tcPr>
          <w:p w14:paraId="2EF8441C" w14:textId="134AC0B8" w:rsidR="001B6FDB" w:rsidRDefault="001B6FDB" w:rsidP="001B6FDB">
            <w:pPr>
              <w:pStyle w:val="DHHStablecolhead"/>
            </w:pPr>
            <w:r>
              <w:t>Stable</w:t>
            </w:r>
          </w:p>
        </w:tc>
      </w:tr>
      <w:tr w:rsidR="001B6FDB" w14:paraId="111125BE" w14:textId="77777777" w:rsidTr="001B6FDB">
        <w:trPr>
          <w:tblHeader/>
        </w:trPr>
        <w:tc>
          <w:tcPr>
            <w:tcW w:w="3096" w:type="dxa"/>
          </w:tcPr>
          <w:p w14:paraId="5F72C166" w14:textId="57D6BBEC" w:rsidR="001B6FDB" w:rsidRDefault="001B6FDB" w:rsidP="001B6FDB">
            <w:pPr>
              <w:pStyle w:val="DHHStabletext"/>
            </w:pPr>
            <w:r>
              <w:t>CAMHS</w:t>
            </w:r>
          </w:p>
        </w:tc>
        <w:tc>
          <w:tcPr>
            <w:tcW w:w="3096" w:type="dxa"/>
          </w:tcPr>
          <w:p w14:paraId="50724763" w14:textId="395D3DBC" w:rsidR="001B6FDB" w:rsidRDefault="001B6FDB" w:rsidP="001B6FDB">
            <w:pPr>
              <w:pStyle w:val="DHHStabletext"/>
            </w:pPr>
            <w:r>
              <w:t>48.4%</w:t>
            </w:r>
          </w:p>
        </w:tc>
        <w:tc>
          <w:tcPr>
            <w:tcW w:w="3096" w:type="dxa"/>
          </w:tcPr>
          <w:p w14:paraId="4B2978EE" w14:textId="05E94842" w:rsidR="001B6FDB" w:rsidRDefault="001B6FDB" w:rsidP="001B6FDB">
            <w:pPr>
              <w:pStyle w:val="DHHStabletext"/>
            </w:pPr>
            <w:r>
              <w:t>42.9%</w:t>
            </w:r>
          </w:p>
        </w:tc>
      </w:tr>
      <w:tr w:rsidR="001B6FDB" w14:paraId="1CF9650F" w14:textId="77777777" w:rsidTr="001B6FDB">
        <w:tc>
          <w:tcPr>
            <w:tcW w:w="3096" w:type="dxa"/>
          </w:tcPr>
          <w:p w14:paraId="59E1B759" w14:textId="3E0E50AB" w:rsidR="001B6FDB" w:rsidRDefault="001B6FDB" w:rsidP="001B6FDB">
            <w:pPr>
              <w:pStyle w:val="DHHStabletext"/>
            </w:pPr>
            <w:r>
              <w:t>Adult</w:t>
            </w:r>
          </w:p>
        </w:tc>
        <w:tc>
          <w:tcPr>
            <w:tcW w:w="3096" w:type="dxa"/>
          </w:tcPr>
          <w:p w14:paraId="4343BC8E" w14:textId="68F9BFC7" w:rsidR="001B6FDB" w:rsidRDefault="001B6FDB" w:rsidP="001B6FDB">
            <w:pPr>
              <w:pStyle w:val="DHHStabletext"/>
            </w:pPr>
            <w:r>
              <w:t>53.2%</w:t>
            </w:r>
          </w:p>
        </w:tc>
        <w:tc>
          <w:tcPr>
            <w:tcW w:w="3096" w:type="dxa"/>
          </w:tcPr>
          <w:p w14:paraId="18A56AA8" w14:textId="74252866" w:rsidR="001B6FDB" w:rsidRDefault="001B6FDB" w:rsidP="001B6FDB">
            <w:pPr>
              <w:pStyle w:val="DHHStabletext"/>
            </w:pPr>
            <w:r>
              <w:t>37.8%</w:t>
            </w:r>
          </w:p>
        </w:tc>
      </w:tr>
      <w:tr w:rsidR="001B6FDB" w14:paraId="412CA360" w14:textId="77777777" w:rsidTr="001B6FDB">
        <w:tc>
          <w:tcPr>
            <w:tcW w:w="3096" w:type="dxa"/>
          </w:tcPr>
          <w:p w14:paraId="26A6A281" w14:textId="5BDCF5A5" w:rsidR="001B6FDB" w:rsidRDefault="001B6FDB" w:rsidP="001B6FDB">
            <w:pPr>
              <w:pStyle w:val="DHHStabletext"/>
            </w:pPr>
            <w:r>
              <w:t>Aged</w:t>
            </w:r>
          </w:p>
        </w:tc>
        <w:tc>
          <w:tcPr>
            <w:tcW w:w="3096" w:type="dxa"/>
          </w:tcPr>
          <w:p w14:paraId="61B4EF3A" w14:textId="11493D6F" w:rsidR="001B6FDB" w:rsidRDefault="001B6FDB" w:rsidP="001B6FDB">
            <w:pPr>
              <w:pStyle w:val="DHHStabletext"/>
            </w:pPr>
            <w:r>
              <w:t>54.6%</w:t>
            </w:r>
          </w:p>
        </w:tc>
        <w:tc>
          <w:tcPr>
            <w:tcW w:w="3096" w:type="dxa"/>
          </w:tcPr>
          <w:p w14:paraId="754A5F08" w14:textId="17277838" w:rsidR="001B6FDB" w:rsidRDefault="001B6FDB" w:rsidP="001B6FDB">
            <w:pPr>
              <w:pStyle w:val="DHHStabletext"/>
            </w:pPr>
            <w:r>
              <w:t>37.7%</w:t>
            </w:r>
          </w:p>
        </w:tc>
      </w:tr>
    </w:tbl>
    <w:p w14:paraId="4CED9B60" w14:textId="27BECA5E" w:rsidR="007B1263" w:rsidRDefault="00617924" w:rsidP="00617924">
      <w:pPr>
        <w:pStyle w:val="Heading2"/>
      </w:pPr>
      <w:bookmarkStart w:id="27" w:name="_Toc28340201"/>
      <w:r>
        <w:t>Who accessed our public mental health clinical services in 2016–17?</w:t>
      </w:r>
      <w:bookmarkEnd w:id="27"/>
    </w:p>
    <w:p w14:paraId="526E9EAC" w14:textId="77777777" w:rsidR="007B1263" w:rsidRDefault="007B1263" w:rsidP="007B1263">
      <w:pPr>
        <w:pStyle w:val="DHHSbody"/>
      </w:pPr>
      <w:r>
        <w:t>The majority of the 66,445 registered clients in 2016–17 were adults. Children, adolescents and older Victorians make up smaller groups. Most clients had previous contact with mental health services. Just over half (50.4 per cent) were women, while nearly 33 per cent live in rural areas. About 4,500 registered clients used both clinical and mental health community support services.</w:t>
      </w:r>
    </w:p>
    <w:p w14:paraId="78CA07E5" w14:textId="37BD9B98" w:rsidR="007B1263" w:rsidRDefault="00617924" w:rsidP="00617924">
      <w:pPr>
        <w:pStyle w:val="Heading2"/>
      </w:pPr>
      <w:bookmarkStart w:id="28" w:name="_Toc28340202"/>
      <w:r>
        <w:t>How were people referred to our clinical services in 2016–1</w:t>
      </w:r>
      <w:r w:rsidR="007B1263">
        <w:t>7?</w:t>
      </w:r>
      <w:bookmarkEnd w:id="28"/>
    </w:p>
    <w:p w14:paraId="799DCD1B" w14:textId="77777777" w:rsidR="007B1263" w:rsidRDefault="007B1263" w:rsidP="007B1263">
      <w:pPr>
        <w:pStyle w:val="DHHSbody"/>
      </w:pPr>
      <w:r>
        <w:t>Most people were referred to clinical mental health services by hospitals (including emergency departments) (43 per cent), GPs (12 per cent) or their families (eight per cent) (see Figure 3).</w:t>
      </w:r>
    </w:p>
    <w:p w14:paraId="35D27AD2" w14:textId="77777777" w:rsidR="007B1263" w:rsidRDefault="007B1263" w:rsidP="00DD577A">
      <w:pPr>
        <w:pStyle w:val="DHHSfigurecaption"/>
      </w:pPr>
      <w:r>
        <w:t>Figure 3: Source of mental health referrals, 2016–17</w:t>
      </w:r>
    </w:p>
    <w:p w14:paraId="672E9DFC" w14:textId="6EB1502D" w:rsidR="00DD577A" w:rsidRPr="00DD577A" w:rsidRDefault="00DD577A" w:rsidP="00DD577A">
      <w:pPr>
        <w:pStyle w:val="DHHSbody"/>
      </w:pPr>
      <w:r w:rsidRPr="00DD577A">
        <w:t>Acute health</w:t>
      </w:r>
      <w:r>
        <w:t xml:space="preserve"> = 21.50%</w:t>
      </w:r>
    </w:p>
    <w:p w14:paraId="026FB214" w14:textId="7F8862FA" w:rsidR="00DD577A" w:rsidRPr="00DD577A" w:rsidRDefault="00DD577A" w:rsidP="00DD577A">
      <w:pPr>
        <w:pStyle w:val="DHHSbody"/>
      </w:pPr>
      <w:r w:rsidRPr="00DD577A">
        <w:t>Emergency department</w:t>
      </w:r>
      <w:r>
        <w:t xml:space="preserve"> = 21.80%</w:t>
      </w:r>
    </w:p>
    <w:p w14:paraId="120F6177" w14:textId="028695E2" w:rsidR="00DD577A" w:rsidRPr="00DD577A" w:rsidRDefault="00DD577A" w:rsidP="00DD577A">
      <w:pPr>
        <w:pStyle w:val="DHHSbody"/>
      </w:pPr>
      <w:r w:rsidRPr="00DD577A">
        <w:t>General practitioner</w:t>
      </w:r>
      <w:r>
        <w:t xml:space="preserve"> = 11.70%</w:t>
      </w:r>
    </w:p>
    <w:p w14:paraId="731ACE8C" w14:textId="219245FA" w:rsidR="00DD577A" w:rsidRPr="00DD577A" w:rsidRDefault="00DD577A" w:rsidP="00DD577A">
      <w:pPr>
        <w:pStyle w:val="DHHSbody"/>
      </w:pPr>
      <w:r w:rsidRPr="00DD577A">
        <w:t>Family</w:t>
      </w:r>
      <w:r>
        <w:t xml:space="preserve"> = 8.00%</w:t>
      </w:r>
    </w:p>
    <w:p w14:paraId="7D150A4E" w14:textId="27C21388" w:rsidR="00DD577A" w:rsidRPr="00DD577A" w:rsidRDefault="00DD577A" w:rsidP="00DD577A">
      <w:pPr>
        <w:pStyle w:val="DHHSbody"/>
      </w:pPr>
      <w:r w:rsidRPr="00DD577A">
        <w:t>Client/self</w:t>
      </w:r>
      <w:r>
        <w:t xml:space="preserve"> = 4.60%</w:t>
      </w:r>
    </w:p>
    <w:p w14:paraId="2B395AA2" w14:textId="1438EF25" w:rsidR="00DD577A" w:rsidRPr="00DD577A" w:rsidRDefault="00DD577A" w:rsidP="00DD577A">
      <w:pPr>
        <w:pStyle w:val="DHHSbody"/>
      </w:pPr>
      <w:r w:rsidRPr="00DD577A">
        <w:t>Community health services</w:t>
      </w:r>
      <w:r>
        <w:t xml:space="preserve"> = 4.60%</w:t>
      </w:r>
    </w:p>
    <w:p w14:paraId="5256BBE9" w14:textId="720D7D84" w:rsidR="00DD577A" w:rsidRPr="00DD577A" w:rsidRDefault="00DD577A" w:rsidP="00DD577A">
      <w:pPr>
        <w:pStyle w:val="DHHSbody"/>
      </w:pPr>
      <w:r w:rsidRPr="00DD577A">
        <w:t>Police</w:t>
      </w:r>
      <w:r>
        <w:t xml:space="preserve"> = 3.60%</w:t>
      </w:r>
    </w:p>
    <w:p w14:paraId="6473C949" w14:textId="5864FB98" w:rsidR="00DD577A" w:rsidRPr="00DD577A" w:rsidRDefault="00DD577A" w:rsidP="00DD577A">
      <w:pPr>
        <w:pStyle w:val="DHHSbody"/>
      </w:pPr>
      <w:r w:rsidRPr="00DD577A">
        <w:t>Others/unknown</w:t>
      </w:r>
      <w:r>
        <w:t xml:space="preserve"> = 24.20%</w:t>
      </w:r>
    </w:p>
    <w:p w14:paraId="643EA719" w14:textId="438B5828" w:rsidR="00DD577A" w:rsidRDefault="00DD577A" w:rsidP="007B1263">
      <w:pPr>
        <w:pStyle w:val="DHHSbody"/>
      </w:pPr>
      <w:r>
        <w:t>&lt;end of figure&gt;</w:t>
      </w:r>
    </w:p>
    <w:p w14:paraId="3B29D1F8" w14:textId="673B2D1D" w:rsidR="007B1263" w:rsidRDefault="007B1263" w:rsidP="007B1263">
      <w:pPr>
        <w:pStyle w:val="DHHSbody"/>
      </w:pPr>
      <w:r>
        <w:t>There were 52,427 mental health-related emergency department presentations in 2016–17, a slight increase from 2015–16.</w:t>
      </w:r>
    </w:p>
    <w:p w14:paraId="4E68FAF9" w14:textId="77777777" w:rsidR="007B1263" w:rsidRDefault="007B1263" w:rsidP="007B1263">
      <w:pPr>
        <w:pStyle w:val="DHHSbody"/>
      </w:pPr>
      <w:r>
        <w:t>Across all age groups there were 24,314 hospitalisations in mental health acute inpatient units in 2016–17. Of these admissions, 52 per cent were compulsory.</w:t>
      </w:r>
      <w:r w:rsidRPr="00972AB0">
        <w:rPr>
          <w:vertAlign w:val="superscript"/>
        </w:rPr>
        <w:t>1</w:t>
      </w:r>
      <w:r>
        <w:t xml:space="preserve"> This has been consistent over the past three years.</w:t>
      </w:r>
    </w:p>
    <w:p w14:paraId="064698E1" w14:textId="23EF6FBD" w:rsidR="007B1263" w:rsidRDefault="00617924" w:rsidP="00617924">
      <w:pPr>
        <w:pStyle w:val="Heading2"/>
      </w:pPr>
      <w:bookmarkStart w:id="29" w:name="_Toc28340203"/>
      <w:r>
        <w:t>Child and adolescent mental health services</w:t>
      </w:r>
      <w:bookmarkEnd w:id="29"/>
    </w:p>
    <w:p w14:paraId="5281E643" w14:textId="5D894A9E" w:rsidR="007B1263" w:rsidRPr="00DD577A" w:rsidRDefault="007B1263" w:rsidP="007B1263">
      <w:pPr>
        <w:pStyle w:val="DHHSbody"/>
        <w:rPr>
          <w:b/>
          <w:bCs/>
        </w:rPr>
      </w:pPr>
      <w:r w:rsidRPr="00DD577A">
        <w:rPr>
          <w:b/>
          <w:bCs/>
        </w:rPr>
        <w:t>10,723</w:t>
      </w:r>
      <w:r w:rsidR="00617924" w:rsidRPr="00DD577A">
        <w:rPr>
          <w:b/>
          <w:bCs/>
        </w:rPr>
        <w:t xml:space="preserve"> </w:t>
      </w:r>
      <w:r w:rsidRPr="00DD577A">
        <w:rPr>
          <w:b/>
          <w:bCs/>
        </w:rPr>
        <w:t>clients</w:t>
      </w:r>
    </w:p>
    <w:p w14:paraId="339A35B5" w14:textId="0187285C" w:rsidR="007B1263" w:rsidRPr="00DD577A" w:rsidRDefault="007B1263" w:rsidP="007B1263">
      <w:pPr>
        <w:pStyle w:val="DHHSbody"/>
        <w:rPr>
          <w:b/>
          <w:bCs/>
        </w:rPr>
      </w:pPr>
      <w:r w:rsidRPr="00DD577A">
        <w:rPr>
          <w:b/>
          <w:bCs/>
        </w:rPr>
        <w:t>278,673</w:t>
      </w:r>
      <w:r w:rsidR="00617924" w:rsidRPr="00DD577A">
        <w:rPr>
          <w:b/>
          <w:bCs/>
        </w:rPr>
        <w:t xml:space="preserve"> </w:t>
      </w:r>
      <w:r w:rsidRPr="00DD577A">
        <w:rPr>
          <w:b/>
          <w:bCs/>
        </w:rPr>
        <w:t>community contacts</w:t>
      </w:r>
    </w:p>
    <w:p w14:paraId="4FFBE914" w14:textId="32FCDE56" w:rsidR="007B1263" w:rsidRPr="00DD577A" w:rsidRDefault="007B1263" w:rsidP="007B1263">
      <w:pPr>
        <w:pStyle w:val="DHHSbody"/>
        <w:rPr>
          <w:b/>
          <w:bCs/>
        </w:rPr>
      </w:pPr>
      <w:r w:rsidRPr="00DD577A">
        <w:rPr>
          <w:b/>
          <w:bCs/>
        </w:rPr>
        <w:t>1,835</w:t>
      </w:r>
      <w:r w:rsidR="00617924" w:rsidRPr="00DD577A">
        <w:rPr>
          <w:b/>
          <w:bCs/>
        </w:rPr>
        <w:t xml:space="preserve"> </w:t>
      </w:r>
      <w:r w:rsidRPr="00DD577A">
        <w:rPr>
          <w:b/>
          <w:bCs/>
        </w:rPr>
        <w:t>hospitalisations</w:t>
      </w:r>
    </w:p>
    <w:p w14:paraId="09360CF0" w14:textId="77777777" w:rsidR="007B1263" w:rsidRDefault="007B1263" w:rsidP="007B1263">
      <w:pPr>
        <w:pStyle w:val="DHHSbody"/>
      </w:pPr>
      <w:r>
        <w:lastRenderedPageBreak/>
        <w:t>Most children and young people receive clinical treatment in the community. A small proportion of children and young people in Victoria require inpatient treatment for mental illness. In 2016–17 there were 10,723 registered CAMHS clients and 1,835 CAMHS hospitalisations. Seventeen per cent of inpatient admissions to hospital were compulsory – a much lower proportion than for adults or aged persons (56.9 and 48.2 per cent respectively). Very few CAMHS clients were on a community treatment order (1.1 per cent).</w:t>
      </w:r>
    </w:p>
    <w:p w14:paraId="1D1AFB61" w14:textId="1649D085" w:rsidR="007B1263" w:rsidRDefault="007B1263" w:rsidP="007B1263">
      <w:pPr>
        <w:pStyle w:val="DHHSbody"/>
      </w:pPr>
      <w:r>
        <w:t>The 28-day readmission rate for CAMHS was</w:t>
      </w:r>
      <w:r w:rsidR="00DD577A">
        <w:t xml:space="preserve"> </w:t>
      </w:r>
      <w:r>
        <w:t>17.6 per cent in 2016–17, a small increase from the previous year. This is a relatively high rate</w:t>
      </w:r>
      <w:r w:rsidR="00972AB0">
        <w:t xml:space="preserve"> </w:t>
      </w:r>
      <w:r>
        <w:t>compared with other age groups and may reﬂect the severity of illness experienced by some young people. It may also reﬂect health service practice in relation to trialling of discharge for a child or young person.</w:t>
      </w:r>
    </w:p>
    <w:p w14:paraId="244E7C5A" w14:textId="77777777" w:rsidR="007B1263" w:rsidRDefault="007B1263" w:rsidP="007B1263">
      <w:pPr>
        <w:pStyle w:val="DHHSbody"/>
      </w:pPr>
      <w:r>
        <w:t>The trimmed average length of stay (≤ 35 days) for most CAMHS inpatients was 6.9 days, slightly less than last year. Inpatients who stayed longer than 35 days accounted for 9.6 per cent of all CAMHS bed days.</w:t>
      </w:r>
      <w:r w:rsidRPr="00972AB0">
        <w:rPr>
          <w:vertAlign w:val="superscript"/>
        </w:rPr>
        <w:t>2</w:t>
      </w:r>
    </w:p>
    <w:p w14:paraId="72054DC7" w14:textId="77777777" w:rsidR="007B1263" w:rsidRDefault="007B1263" w:rsidP="007B1263">
      <w:pPr>
        <w:pStyle w:val="DHHSbody"/>
      </w:pPr>
      <w:r>
        <w:t>Community contacts are a key part of CAMHS work. Community contacts may involve activities such as assessment and treatment, adolescent day programs or intensive outreach for young people. CAMHS teams often involve parents and siblings, as well as schools, in supporting a young person. In 2016–17 there were 278,673 community contacts, a small increase from the previous year.</w:t>
      </w:r>
    </w:p>
    <w:p w14:paraId="5085B744" w14:textId="2BB2C348" w:rsidR="007B1263" w:rsidRDefault="00617924" w:rsidP="00617924">
      <w:pPr>
        <w:pStyle w:val="Heading2"/>
      </w:pPr>
      <w:bookmarkStart w:id="30" w:name="_Toc28340204"/>
      <w:r>
        <w:t>Adult mental health services</w:t>
      </w:r>
      <w:bookmarkEnd w:id="30"/>
    </w:p>
    <w:p w14:paraId="113C403A" w14:textId="3930F29F" w:rsidR="007B1263" w:rsidRPr="00DD577A" w:rsidRDefault="007B1263" w:rsidP="007B1263">
      <w:pPr>
        <w:pStyle w:val="DHHSbody"/>
        <w:rPr>
          <w:b/>
          <w:bCs/>
        </w:rPr>
      </w:pPr>
      <w:r w:rsidRPr="00DD577A">
        <w:rPr>
          <w:b/>
          <w:bCs/>
        </w:rPr>
        <w:t>51,735</w:t>
      </w:r>
      <w:r w:rsidR="00617924" w:rsidRPr="00DD577A">
        <w:rPr>
          <w:b/>
          <w:bCs/>
        </w:rPr>
        <w:t xml:space="preserve"> </w:t>
      </w:r>
      <w:r w:rsidRPr="00DD577A">
        <w:rPr>
          <w:b/>
          <w:bCs/>
        </w:rPr>
        <w:t>clients</w:t>
      </w:r>
    </w:p>
    <w:p w14:paraId="25C26EBE" w14:textId="2BCBF4AC" w:rsidR="007B1263" w:rsidRPr="00DD577A" w:rsidRDefault="007B1263" w:rsidP="007B1263">
      <w:pPr>
        <w:pStyle w:val="DHHSbody"/>
        <w:rPr>
          <w:b/>
          <w:bCs/>
        </w:rPr>
      </w:pPr>
      <w:r w:rsidRPr="00DD577A">
        <w:rPr>
          <w:b/>
          <w:bCs/>
        </w:rPr>
        <w:t>3%</w:t>
      </w:r>
      <w:r w:rsidR="00617924" w:rsidRPr="00DD577A">
        <w:rPr>
          <w:b/>
          <w:bCs/>
        </w:rPr>
        <w:t xml:space="preserve"> </w:t>
      </w:r>
      <w:r w:rsidRPr="00DD577A">
        <w:rPr>
          <w:b/>
          <w:bCs/>
        </w:rPr>
        <w:t>increase in</w:t>
      </w:r>
      <w:r w:rsidR="00617924" w:rsidRPr="00DD577A">
        <w:rPr>
          <w:b/>
          <w:bCs/>
        </w:rPr>
        <w:t xml:space="preserve"> </w:t>
      </w:r>
      <w:r w:rsidRPr="00DD577A">
        <w:rPr>
          <w:b/>
          <w:bCs/>
        </w:rPr>
        <w:t>admissions</w:t>
      </w:r>
    </w:p>
    <w:p w14:paraId="5B865720" w14:textId="33E07014" w:rsidR="007B1263" w:rsidRDefault="00617924" w:rsidP="00617924">
      <w:pPr>
        <w:pStyle w:val="Heading3"/>
      </w:pPr>
      <w:r>
        <w:t>Inpatient services</w:t>
      </w:r>
    </w:p>
    <w:p w14:paraId="33E4F632" w14:textId="4673D4C8" w:rsidR="007B1263" w:rsidRDefault="007B1263" w:rsidP="007B1263">
      <w:pPr>
        <w:pStyle w:val="DHHSbody"/>
      </w:pPr>
      <w:r>
        <w:t>In 2016–17 there were 19,228 hospitalisations</w:t>
      </w:r>
      <w:r w:rsidR="005D3760">
        <w:t xml:space="preserve"> </w:t>
      </w:r>
      <w:r>
        <w:t>of adults for mental illness in a public hospital, continuing a pattern of steady increase since 2008. People aged 26–34 accounted for 27 per cent of admissions, with people aged 35–44, accounting for 26 per cent of admissions. The most common diagnoses were schizophrenia</w:t>
      </w:r>
      <w:r w:rsidR="00DD577A">
        <w:t xml:space="preserve"> </w:t>
      </w:r>
      <w:r>
        <w:t>and mood disorders such as depression or bipolar disorder. Fifty-seven per cent of hospitalisations were compulsory.</w:t>
      </w:r>
    </w:p>
    <w:p w14:paraId="495CE79B" w14:textId="77777777" w:rsidR="007B1263" w:rsidRDefault="007B1263" w:rsidP="007B1263">
      <w:pPr>
        <w:pStyle w:val="DHHSbody"/>
      </w:pPr>
      <w:r>
        <w:t>In the past two years (2015–16 and 2016–17) admissions increased by eight per cent and three per cent respectively, with even higher increases above the state average in outer suburban growth corridors.</w:t>
      </w:r>
    </w:p>
    <w:p w14:paraId="5D069670" w14:textId="2FD0524C" w:rsidR="007B1263" w:rsidRDefault="007B1263" w:rsidP="007B1263">
      <w:pPr>
        <w:pStyle w:val="DHHSbody"/>
      </w:pPr>
      <w:r>
        <w:t>On average, adult inpatient services continued to operate at 95 per cent occupancy throughout 2016–17. The trimmed average length of stay</w:t>
      </w:r>
      <w:r w:rsidR="00DD577A">
        <w:t xml:space="preserve"> </w:t>
      </w:r>
      <w:r>
        <w:t>(≤ 35 days) has dropped slightly over the past three years, continuing a trend from 2010–11. People who stayed longer than 35 days accounted for 10.3 per cent of all adult inpatient bed days.</w:t>
      </w:r>
    </w:p>
    <w:p w14:paraId="60C63A26" w14:textId="77777777" w:rsidR="007B1263" w:rsidRDefault="007B1263" w:rsidP="007B1263">
      <w:pPr>
        <w:pStyle w:val="DHHSbody"/>
      </w:pPr>
      <w:r>
        <w:t>About half of the people who became inpatients (53 per cent) had contact with a community service before they were admitted to hospital.</w:t>
      </w:r>
    </w:p>
    <w:p w14:paraId="2FB1C07D" w14:textId="77777777" w:rsidR="007B1263" w:rsidRDefault="007B1263" w:rsidP="007B1263">
      <w:pPr>
        <w:pStyle w:val="DHHSbody"/>
      </w:pPr>
      <w:r>
        <w:t>The post-discharge follow-up rate is high (at 79 per cent), although 14 per cent of people were readmitted within 28 days of discharge. Pressure on beds may result in shorter-than-optimal hospital stays and a higher risk of relapse and readmission.</w:t>
      </w:r>
    </w:p>
    <w:p w14:paraId="5132387A" w14:textId="3AB4B38E" w:rsidR="007B1263" w:rsidRDefault="00617924" w:rsidP="00617924">
      <w:pPr>
        <w:pStyle w:val="Heading3"/>
      </w:pPr>
      <w:r>
        <w:t>Clinical mental health services delivered in the community</w:t>
      </w:r>
    </w:p>
    <w:p w14:paraId="100A97FE" w14:textId="1554ABD6" w:rsidR="007B1263" w:rsidRDefault="007B1263" w:rsidP="007B1263">
      <w:pPr>
        <w:pStyle w:val="DHHSbody"/>
      </w:pPr>
      <w:r>
        <w:t>Community clinical services include assessment, treatment and support. Community contacts</w:t>
      </w:r>
      <w:r w:rsidR="00DD577A">
        <w:t xml:space="preserve"> </w:t>
      </w:r>
      <w:r>
        <w:t>for adults have reduced – a total of 1,188,980 community contacts were recorded during the year, down from 1,400,443 community contacts recorded in 2015–16.</w:t>
      </w:r>
      <w:r w:rsidRPr="00972AB0">
        <w:rPr>
          <w:vertAlign w:val="superscript"/>
        </w:rPr>
        <w:t xml:space="preserve">3 </w:t>
      </w:r>
      <w:r>
        <w:t>However, this is largely due to under-reporting of service contacts during the ﬁrst half of 2016–17. Fifteen per cent of adult</w:t>
      </w:r>
      <w:r w:rsidR="00DD577A">
        <w:t xml:space="preserve"> </w:t>
      </w:r>
      <w:r>
        <w:t>clients receiving treatment in the community were on community treatment orders, similar to the previous year.</w:t>
      </w:r>
    </w:p>
    <w:p w14:paraId="53DC94AF" w14:textId="128DC500" w:rsidR="007B1263" w:rsidRDefault="00617924" w:rsidP="00617924">
      <w:pPr>
        <w:pStyle w:val="Heading3"/>
      </w:pPr>
      <w:r>
        <w:lastRenderedPageBreak/>
        <w:t>Prevention and recovery care</w:t>
      </w:r>
    </w:p>
    <w:p w14:paraId="5040EB75" w14:textId="77777777" w:rsidR="007B1263" w:rsidRDefault="007B1263" w:rsidP="007B1263">
      <w:pPr>
        <w:pStyle w:val="DHHSbody"/>
      </w:pPr>
      <w:r>
        <w:t>Although they are a relatively small element of the service system, PARC services are steadily growing, with 3,402 separations in 2016–17.</w:t>
      </w:r>
    </w:p>
    <w:p w14:paraId="6595BC9F" w14:textId="77777777" w:rsidR="007B1263" w:rsidRDefault="007B1263" w:rsidP="007B1263">
      <w:pPr>
        <w:pStyle w:val="DHHSbody"/>
      </w:pPr>
      <w:r>
        <w:t>These short-term services in residential settings generally provide care for up to 28 days when a person is either becoming unwell or is in the early stages of recovery from an acute admission.</w:t>
      </w:r>
    </w:p>
    <w:p w14:paraId="3C7206CA" w14:textId="77777777" w:rsidR="007B1263" w:rsidRDefault="007B1263" w:rsidP="007B1263">
      <w:pPr>
        <w:pStyle w:val="DHHSbody"/>
      </w:pPr>
      <w:r>
        <w:t>The PARC occupancy rate was 81.5 per cent, and occupied bed days increased from 63,425 in 2015–16 to 66,354 in 2016–17. This may be due to new services (opened in 2015–16) becoming fully operational.</w:t>
      </w:r>
    </w:p>
    <w:p w14:paraId="7D7B43DA" w14:textId="7A9085A1" w:rsidR="007B1263" w:rsidRDefault="00617924" w:rsidP="00617924">
      <w:pPr>
        <w:pStyle w:val="Heading3"/>
      </w:pPr>
      <w:r>
        <w:t>Adult residential services</w:t>
      </w:r>
    </w:p>
    <w:p w14:paraId="7CE7058B" w14:textId="77777777" w:rsidR="007B1263" w:rsidRDefault="007B1263" w:rsidP="007B1263">
      <w:pPr>
        <w:pStyle w:val="DHHSbody"/>
      </w:pPr>
      <w:r>
        <w:t>Residential services provide homelike environments for people with mental illness. There were 681 separations from community care units in 2016–17, similar to the previous year. Occupancy is steady at 80 per cent.</w:t>
      </w:r>
    </w:p>
    <w:p w14:paraId="45CC8F5F" w14:textId="77777777" w:rsidR="007B1263" w:rsidRDefault="007B1263" w:rsidP="007B1263">
      <w:pPr>
        <w:pStyle w:val="DHHSbody"/>
      </w:pPr>
      <w:r>
        <w:t>There were 104,488 occupied bed days in community care units in 2016–17, again little changed from the previous year. Other specialist residential services include accommodation for people with borderline personality disorder and brain disorders.</w:t>
      </w:r>
    </w:p>
    <w:p w14:paraId="53A4FC50" w14:textId="22F66616" w:rsidR="007B1263" w:rsidRDefault="00617924" w:rsidP="00617924">
      <w:pPr>
        <w:pStyle w:val="Heading3"/>
      </w:pPr>
      <w:r>
        <w:t>Secure extended care units</w:t>
      </w:r>
    </w:p>
    <w:p w14:paraId="229A5D91" w14:textId="2CA6F1FD" w:rsidR="007B1263" w:rsidRDefault="007B1263" w:rsidP="007B1263">
      <w:pPr>
        <w:pStyle w:val="DHHSbody"/>
      </w:pPr>
      <w:r>
        <w:t>Secure extended care units provide inpatient services for people who need a high level of secure and intensive clinical treatment for severe mental illness. There were 188 separations from secure extended care units in 2016–17, a small decrease from the level of the prior two years. Occupied</w:t>
      </w:r>
      <w:r w:rsidR="00617924">
        <w:t xml:space="preserve"> </w:t>
      </w:r>
      <w:r>
        <w:t>bed days increased to 44,391 over the same period, resulting in an average occupancy rate of 92.1 per cent.</w:t>
      </w:r>
    </w:p>
    <w:p w14:paraId="17C4A4D8" w14:textId="46B7A453" w:rsidR="007B1263" w:rsidRDefault="00617924" w:rsidP="00617924">
      <w:pPr>
        <w:pStyle w:val="Heading2"/>
      </w:pPr>
      <w:bookmarkStart w:id="31" w:name="_Toc28340205"/>
      <w:r>
        <w:t>Aged persons mental health services</w:t>
      </w:r>
      <w:bookmarkEnd w:id="31"/>
    </w:p>
    <w:p w14:paraId="6DF4A57E" w14:textId="47341B48" w:rsidR="007B1263" w:rsidRDefault="00617924" w:rsidP="00617924">
      <w:pPr>
        <w:pStyle w:val="Heading3"/>
      </w:pPr>
      <w:r>
        <w:t>Aged people</w:t>
      </w:r>
    </w:p>
    <w:p w14:paraId="2845A81D" w14:textId="45C2F039" w:rsidR="007B1263" w:rsidRPr="00DD577A" w:rsidRDefault="007B1263" w:rsidP="007B1263">
      <w:pPr>
        <w:pStyle w:val="DHHSbody"/>
        <w:rPr>
          <w:b/>
          <w:bCs/>
        </w:rPr>
      </w:pPr>
      <w:r w:rsidRPr="00DD577A">
        <w:rPr>
          <w:b/>
          <w:bCs/>
        </w:rPr>
        <w:t>7,396</w:t>
      </w:r>
      <w:r w:rsidR="00617924" w:rsidRPr="00DD577A">
        <w:rPr>
          <w:b/>
          <w:bCs/>
        </w:rPr>
        <w:t xml:space="preserve"> </w:t>
      </w:r>
      <w:r w:rsidRPr="00DD577A">
        <w:rPr>
          <w:b/>
          <w:bCs/>
        </w:rPr>
        <w:t>aged clients</w:t>
      </w:r>
    </w:p>
    <w:p w14:paraId="5BC95BF3" w14:textId="5F81F617" w:rsidR="007B1263" w:rsidRPr="00DD577A" w:rsidRDefault="007B1263" w:rsidP="007B1263">
      <w:pPr>
        <w:pStyle w:val="DHHSbody"/>
        <w:rPr>
          <w:b/>
          <w:bCs/>
        </w:rPr>
      </w:pPr>
      <w:r w:rsidRPr="00DD577A">
        <w:rPr>
          <w:b/>
          <w:bCs/>
        </w:rPr>
        <w:t>168,672</w:t>
      </w:r>
      <w:r w:rsidR="00617924" w:rsidRPr="00DD577A">
        <w:rPr>
          <w:b/>
          <w:bCs/>
        </w:rPr>
        <w:t xml:space="preserve"> </w:t>
      </w:r>
      <w:r w:rsidRPr="00DD577A">
        <w:rPr>
          <w:b/>
          <w:bCs/>
        </w:rPr>
        <w:t>community contacts</w:t>
      </w:r>
    </w:p>
    <w:p w14:paraId="42DA40FD" w14:textId="586E099D" w:rsidR="007B1263" w:rsidRPr="00DD577A" w:rsidRDefault="007B1263" w:rsidP="007B1263">
      <w:pPr>
        <w:pStyle w:val="DHHSbody"/>
        <w:rPr>
          <w:b/>
          <w:bCs/>
        </w:rPr>
      </w:pPr>
      <w:r w:rsidRPr="00DD577A">
        <w:rPr>
          <w:b/>
          <w:bCs/>
        </w:rPr>
        <w:t>2,234</w:t>
      </w:r>
      <w:r w:rsidR="00617924" w:rsidRPr="00DD577A">
        <w:rPr>
          <w:b/>
          <w:bCs/>
        </w:rPr>
        <w:t xml:space="preserve"> </w:t>
      </w:r>
      <w:r w:rsidRPr="00DD577A">
        <w:rPr>
          <w:b/>
          <w:bCs/>
        </w:rPr>
        <w:t>hospitalisations</w:t>
      </w:r>
    </w:p>
    <w:p w14:paraId="49FBFB0F" w14:textId="77777777" w:rsidR="007B1263" w:rsidRDefault="007B1263" w:rsidP="007B1263">
      <w:pPr>
        <w:pStyle w:val="DHHSbody"/>
      </w:pPr>
      <w:r>
        <w:t>Over the past three years the number of registered clients accessing aged persons mental health services decreased, which may reﬂect a wider range of service options for aged clients more generally.</w:t>
      </w:r>
    </w:p>
    <w:p w14:paraId="43B2F6D4" w14:textId="73FF51FC" w:rsidR="007B1263" w:rsidRDefault="007B1263" w:rsidP="007B1263">
      <w:pPr>
        <w:pStyle w:val="DHHSbody"/>
      </w:pPr>
      <w:r>
        <w:t>In 2016–17 there were 2,234 hospitalisations of Victorians aged 65 years or older in acute</w:t>
      </w:r>
      <w:r w:rsidR="00DD577A">
        <w:t xml:space="preserve"> </w:t>
      </w:r>
      <w:r>
        <w:t>inpatient services. Fifty-four per cent of registered clients had had preadmission contact with the service. On average, aged persons inpatient</w:t>
      </w:r>
      <w:r w:rsidR="00DD577A">
        <w:t xml:space="preserve"> </w:t>
      </w:r>
      <w:r>
        <w:t>units were operating at 85.4 per cent occupancy throughout the year. Seven per cent of registered clients were readmitted to an inpatient service within 28 days of discharge. The post-discharge follow-up rate was 74.6 per cent.</w:t>
      </w:r>
    </w:p>
    <w:p w14:paraId="4DAA6126" w14:textId="77777777" w:rsidR="007B1263" w:rsidRDefault="007B1263" w:rsidP="007B1263">
      <w:pPr>
        <w:pStyle w:val="DHHSbody"/>
      </w:pPr>
      <w:r>
        <w:t>Some 48.2 per cent of admissions were compulsory, rising from 45.4 per cent in 2014–15. This may reﬂect the same level of acuity in a smaller client group. The trimmed average length of stay (≤ 35 days) for most people was 16 days, which has been relatively stable over the past three years. People who stayed more than 35 days accounted for 27 per cent of all aged persons bed days.</w:t>
      </w:r>
    </w:p>
    <w:p w14:paraId="5853EC2B" w14:textId="02945855" w:rsidR="007B1263" w:rsidRDefault="007B1263" w:rsidP="007B1263">
      <w:pPr>
        <w:pStyle w:val="DHHSbody"/>
      </w:pPr>
      <w:r>
        <w:t>Aged care residential services (hostels and nursing homes) are provided for people with high levels of persistent cognitive, emotional or</w:t>
      </w:r>
      <w:r w:rsidR="00DD577A">
        <w:t xml:space="preserve"> </w:t>
      </w:r>
      <w:r>
        <w:t>behavioural disturbance. For these services, there were 225 separations in 2016–17, and the bed occupancy rate was 87 per cent. A wider range of community-based care options has contributed to older people delaying entry into public residential aged care services, and some public facilities have closed.</w:t>
      </w:r>
    </w:p>
    <w:p w14:paraId="26981014" w14:textId="77777777" w:rsidR="007B1263" w:rsidRDefault="007B1263" w:rsidP="007B1263">
      <w:pPr>
        <w:pStyle w:val="DHHSbody"/>
      </w:pPr>
      <w:r>
        <w:lastRenderedPageBreak/>
        <w:t>There were 168,672 community contacts involving aged persons in 2016–17, a signiﬁcant decrease that may reﬂect under-reporting. Community contacts can involve assessment, treatment and intensive support.</w:t>
      </w:r>
      <w:r w:rsidRPr="00972AB0">
        <w:rPr>
          <w:vertAlign w:val="superscript"/>
        </w:rPr>
        <w:t>4</w:t>
      </w:r>
    </w:p>
    <w:p w14:paraId="496017F3" w14:textId="33E90347" w:rsidR="007B1263" w:rsidRDefault="00617924" w:rsidP="00617924">
      <w:pPr>
        <w:pStyle w:val="Heading2"/>
      </w:pPr>
      <w:bookmarkStart w:id="32" w:name="_Toc28340206"/>
      <w:r>
        <w:t>Forensic mental health services</w:t>
      </w:r>
      <w:bookmarkEnd w:id="32"/>
    </w:p>
    <w:p w14:paraId="4BB9937D" w14:textId="2320A498" w:rsidR="007B1263" w:rsidRPr="00DD577A" w:rsidRDefault="007B1263" w:rsidP="007B1263">
      <w:pPr>
        <w:pStyle w:val="DHHSbody"/>
        <w:rPr>
          <w:b/>
          <w:bCs/>
        </w:rPr>
      </w:pPr>
      <w:r w:rsidRPr="00DD577A">
        <w:rPr>
          <w:b/>
          <w:bCs/>
        </w:rPr>
        <w:t>751</w:t>
      </w:r>
      <w:r w:rsidR="00617924" w:rsidRPr="00DD577A">
        <w:rPr>
          <w:b/>
          <w:bCs/>
        </w:rPr>
        <w:t xml:space="preserve"> </w:t>
      </w:r>
      <w:r w:rsidRPr="00DD577A">
        <w:rPr>
          <w:b/>
          <w:bCs/>
        </w:rPr>
        <w:t>clients</w:t>
      </w:r>
    </w:p>
    <w:p w14:paraId="4F6C0C99" w14:textId="48CF66D0" w:rsidR="007B1263" w:rsidRPr="00DD577A" w:rsidRDefault="007B1263" w:rsidP="007B1263">
      <w:pPr>
        <w:pStyle w:val="DHHSbody"/>
        <w:rPr>
          <w:b/>
          <w:bCs/>
        </w:rPr>
      </w:pPr>
      <w:r w:rsidRPr="00DD577A">
        <w:rPr>
          <w:b/>
          <w:bCs/>
        </w:rPr>
        <w:t>17,382</w:t>
      </w:r>
      <w:r w:rsidR="00617924" w:rsidRPr="00DD577A">
        <w:rPr>
          <w:b/>
          <w:bCs/>
        </w:rPr>
        <w:t xml:space="preserve"> </w:t>
      </w:r>
      <w:r w:rsidRPr="00DD577A">
        <w:rPr>
          <w:b/>
          <w:bCs/>
        </w:rPr>
        <w:t>community contacts</w:t>
      </w:r>
    </w:p>
    <w:p w14:paraId="5CD046F7" w14:textId="77777777" w:rsidR="007B1263" w:rsidRDefault="007B1263" w:rsidP="007B1263">
      <w:pPr>
        <w:pStyle w:val="DHHSbody"/>
      </w:pPr>
      <w:r>
        <w:t>There were 751 registered forensic clients in 2016–17, a substantial increase over the previous year. This is a result of additional resourcing, which has allowed more clients to be seen.</w:t>
      </w:r>
    </w:p>
    <w:p w14:paraId="3FCA3725" w14:textId="66FFDC73" w:rsidR="007B1263" w:rsidRDefault="007B1263" w:rsidP="007B1263">
      <w:pPr>
        <w:pStyle w:val="DHHSbody"/>
      </w:pPr>
      <w:r>
        <w:t>Community contacts were steady at 17,382,</w:t>
      </w:r>
      <w:r w:rsidR="00617924">
        <w:t xml:space="preserve"> </w:t>
      </w:r>
      <w:r>
        <w:t>as were service hours to forensic clients in the community at 10,762 (from 10,597 in 2015–16).</w:t>
      </w:r>
    </w:p>
    <w:p w14:paraId="4BB24D19" w14:textId="565746DC" w:rsidR="007B1263" w:rsidRDefault="00617924" w:rsidP="00617924">
      <w:pPr>
        <w:pStyle w:val="Heading2"/>
      </w:pPr>
      <w:bookmarkStart w:id="33" w:name="_Toc28340207"/>
      <w:r>
        <w:t>Seclusion and restraint</w:t>
      </w:r>
      <w:bookmarkEnd w:id="33"/>
    </w:p>
    <w:p w14:paraId="6DD63F06" w14:textId="42C09204" w:rsidR="002A1C29" w:rsidRPr="002A1C29" w:rsidRDefault="002A1C29" w:rsidP="002A1C29">
      <w:pPr>
        <w:pStyle w:val="DHHSbody"/>
        <w:rPr>
          <w:b/>
          <w:bCs/>
        </w:rPr>
      </w:pPr>
      <w:r w:rsidRPr="002A1C29">
        <w:rPr>
          <w:b/>
          <w:bCs/>
        </w:rPr>
        <w:t>OUTCOME: Victorians with mental illness have good physical health and wellbeing</w:t>
      </w:r>
    </w:p>
    <w:p w14:paraId="12449CF0" w14:textId="7CE1646A" w:rsidR="007B1263" w:rsidRDefault="007B1263" w:rsidP="007B1263">
      <w:pPr>
        <w:pStyle w:val="DHHSbody"/>
      </w:pPr>
      <w:r>
        <w:t>After a number of years of steadily falling seclusion rates, the rate of seclusion in inpatient units increased from 9.1 per 1,000 occupied bed days in 2015–16 to 9.9 in 2016–17. An increased focus on more rigorous reporting of episodes of seclusion and restraint may have contributed to this change.</w:t>
      </w:r>
    </w:p>
    <w:p w14:paraId="6D456965" w14:textId="77777777" w:rsidR="007B1263" w:rsidRDefault="007B1263" w:rsidP="007B1263">
      <w:pPr>
        <w:pStyle w:val="DHHSbody"/>
      </w:pPr>
      <w:r>
        <w:t>Deﬁnitions and reporting requirements on restraint changed following the introduction of the 2014 Mental Health Act, making it difﬁcult to compare with data prior to that time. The rate of bodily restraint in inpatient units during 2016–17 was 19.0 per 1,000 bed days, a substantially improved result from 25.6 in the previous year.</w:t>
      </w:r>
    </w:p>
    <w:p w14:paraId="42E10F9D" w14:textId="3A86F77E" w:rsidR="007B1263" w:rsidRDefault="00617924" w:rsidP="00617924">
      <w:pPr>
        <w:pStyle w:val="Heading2"/>
      </w:pPr>
      <w:bookmarkStart w:id="34" w:name="_Toc28340208"/>
      <w:r>
        <w:t>Physical health</w:t>
      </w:r>
      <w:bookmarkEnd w:id="34"/>
    </w:p>
    <w:p w14:paraId="4F20C7E3" w14:textId="64B6C509" w:rsidR="007B1263" w:rsidRDefault="007B1263" w:rsidP="007B1263">
      <w:pPr>
        <w:pStyle w:val="DHHSbody"/>
      </w:pPr>
      <w:r>
        <w:t>People with severe mental illness have poorer physical health, shorter life expectancy, and die younger than the general population.</w:t>
      </w:r>
      <w:r w:rsidRPr="00617924">
        <w:rPr>
          <w:vertAlign w:val="superscript"/>
        </w:rPr>
        <w:t>5</w:t>
      </w:r>
    </w:p>
    <w:p w14:paraId="37A11EBD" w14:textId="77777777" w:rsidR="007B1263" w:rsidRPr="00617924" w:rsidRDefault="007B1263" w:rsidP="007B1263">
      <w:pPr>
        <w:pStyle w:val="DHHSbody"/>
        <w:rPr>
          <w:vertAlign w:val="superscript"/>
        </w:rPr>
      </w:pPr>
      <w:r>
        <w:t>Type 2 diabetes and tobacco use contribute to physical illness and early death for people with mental illness, and the proportion of registered clients accessing hospital based care with a diagnosis of diabetes or tobacco use has been reviewed over a recent six year period.</w:t>
      </w:r>
      <w:r w:rsidRPr="00617924">
        <w:rPr>
          <w:vertAlign w:val="superscript"/>
        </w:rPr>
        <w:t>6</w:t>
      </w:r>
    </w:p>
    <w:p w14:paraId="19463E89" w14:textId="0E7802EC" w:rsidR="007B1263" w:rsidRDefault="007B1263" w:rsidP="007B1263">
      <w:pPr>
        <w:pStyle w:val="DHHSbody"/>
      </w:pPr>
      <w:r>
        <w:t>We found that although six per cent of Victorian adults had ever been diagnosed with type 2 diabetes,</w:t>
      </w:r>
      <w:r w:rsidRPr="00617924">
        <w:rPr>
          <w:vertAlign w:val="superscript"/>
        </w:rPr>
        <w:t>7</w:t>
      </w:r>
      <w:r>
        <w:t xml:space="preserve"> the proportion of registered mental health clients with a recorded diagnosis of type 2 diabetes during 2015–16 was almost double at</w:t>
      </w:r>
      <w:r w:rsidR="00617924">
        <w:t xml:space="preserve"> </w:t>
      </w:r>
      <w:r>
        <w:t>10.6 per cent.</w:t>
      </w:r>
    </w:p>
    <w:p w14:paraId="5CAECA59" w14:textId="3C97B485" w:rsidR="007B1263" w:rsidRDefault="007B1263" w:rsidP="007B1263">
      <w:pPr>
        <w:pStyle w:val="DHHSbody"/>
      </w:pPr>
      <w:r>
        <w:t>In 2015–16, 33.4 per cent of registered clients of Victorian public mental health services who were hospitalised were smokers. The high proportion of young people with mental illness who smoke</w:t>
      </w:r>
      <w:r w:rsidR="00617924">
        <w:t xml:space="preserve"> </w:t>
      </w:r>
      <w:r>
        <w:t>is at odds with the general population, where considerable progress has been made.</w:t>
      </w:r>
      <w:r w:rsidRPr="00617924">
        <w:rPr>
          <w:vertAlign w:val="superscript"/>
        </w:rPr>
        <w:t>8, 9</w:t>
      </w:r>
    </w:p>
    <w:p w14:paraId="3895A069" w14:textId="0B695911" w:rsidR="007B1263" w:rsidRDefault="007B1263" w:rsidP="007B1263">
      <w:pPr>
        <w:pStyle w:val="DHHSbody"/>
      </w:pPr>
      <w:r>
        <w:t>Smoking and type 2 diabetes increase the burden of ill-health on people with mental illness, and contribute to their lower life expectancy. Chronic diseases and related risk factors are common in people using Victoria’s mental health services, and efforts are required across the health system, including public mental health services, to improve the physical health of clients receiving mental health treatment.</w:t>
      </w:r>
    </w:p>
    <w:p w14:paraId="71B791AE" w14:textId="77777777" w:rsidR="001371FD" w:rsidRDefault="00256B40" w:rsidP="00256B40">
      <w:pPr>
        <w:pStyle w:val="Heading1"/>
      </w:pPr>
      <w:bookmarkStart w:id="35" w:name="_Toc28340209"/>
      <w:r>
        <w:lastRenderedPageBreak/>
        <w:t xml:space="preserve">Appendix </w:t>
      </w:r>
      <w:r w:rsidR="007B1263">
        <w:t>1: 10YP</w:t>
      </w:r>
      <w:r>
        <w:t xml:space="preserve"> outcomes and indicators framework</w:t>
      </w:r>
      <w:bookmarkEnd w:id="35"/>
    </w:p>
    <w:p w14:paraId="480ED093" w14:textId="403517F3" w:rsidR="007B1263" w:rsidRDefault="001371FD" w:rsidP="001371FD">
      <w:pPr>
        <w:pStyle w:val="Heading2"/>
      </w:pPr>
      <w:bookmarkStart w:id="36" w:name="_Toc28340210"/>
      <w:r>
        <w:t>A</w:t>
      </w:r>
      <w:r w:rsidR="00256B40">
        <w:t>dditional measures</w:t>
      </w:r>
      <w:bookmarkEnd w:id="36"/>
    </w:p>
    <w:p w14:paraId="4DA40DCA" w14:textId="70AE7A71" w:rsidR="007E4F43" w:rsidRDefault="007B1263" w:rsidP="007E4F43">
      <w:pPr>
        <w:pStyle w:val="DHHSbody"/>
      </w:pPr>
      <w:r>
        <w:t xml:space="preserve">The suite of indicators established for the </w:t>
      </w:r>
      <w:r w:rsidRPr="002A1C29">
        <w:rPr>
          <w:i/>
          <w:iCs/>
        </w:rPr>
        <w:t>10-year mental health plan</w:t>
      </w:r>
      <w:r>
        <w:t xml:space="preserve"> outcomes framework has been expanded this year. Progress has been made in a number of areas, including physical health and respect, with new indicators for both</w:t>
      </w:r>
      <w:r w:rsidR="007E4F43">
        <w:t xml:space="preserve"> these outcomes. Although 14 indicators have been added, we are aware that we don’t have all the information we need to monitor outcomes. We will continue to grow the indicator set over time, as further valid and reliable Victorian data becomes available.</w:t>
      </w:r>
    </w:p>
    <w:p w14:paraId="29B1E496" w14:textId="77777777" w:rsidR="007E4F43" w:rsidRDefault="007E4F43" w:rsidP="007E4F43">
      <w:pPr>
        <w:pStyle w:val="DHHSbody"/>
      </w:pPr>
      <w:r>
        <w:t>Many of the outcomes are ambitious. Some focus on improved mental health and wellbeing for all Victorians, while others address aspects of our specialist mental health services for people with severe mental illness. Further indicators have been added this year for children and Aboriginal Victorians.</w:t>
      </w:r>
    </w:p>
    <w:p w14:paraId="6202A696" w14:textId="17A7A091" w:rsidR="007E4F43" w:rsidRDefault="007E4F43" w:rsidP="007E4F43">
      <w:pPr>
        <w:pStyle w:val="DHHSbody"/>
      </w:pPr>
      <w:r>
        <w:t>We have introduced new indicators this year in relation to tobacco and diabetes. Physical health and wellbeing is an example of an outcome where achieving improvements will require a range of organisations to work together. Responsibility</w:t>
      </w:r>
      <w:r w:rsidR="00613C7D">
        <w:t xml:space="preserve"> </w:t>
      </w:r>
      <w:r>
        <w:t>for physical health does not sit entirely with the department or any one organisation. All levels of the health system need to work together, with the non-government sector and the community, to improve physical health and wellbeing of people with mental illness.</w:t>
      </w:r>
    </w:p>
    <w:p w14:paraId="086CFD21" w14:textId="77777777" w:rsidR="0070191D" w:rsidRPr="0011708A" w:rsidRDefault="0070191D" w:rsidP="0070191D">
      <w:pPr>
        <w:pStyle w:val="DHHStablecaption"/>
      </w:pPr>
      <w:r w:rsidRPr="008A0593">
        <w:t>1. Victorians have good mental health and wellbeing at all ages and stages of life</w:t>
      </w:r>
    </w:p>
    <w:tbl>
      <w:tblPr>
        <w:tblStyle w:val="TableGrid"/>
        <w:tblW w:w="0" w:type="auto"/>
        <w:tblLook w:val="04A0" w:firstRow="1" w:lastRow="0" w:firstColumn="1" w:lastColumn="0" w:noHBand="0" w:noVBand="1"/>
      </w:tblPr>
      <w:tblGrid>
        <w:gridCol w:w="6646"/>
        <w:gridCol w:w="1247"/>
        <w:gridCol w:w="1291"/>
      </w:tblGrid>
      <w:tr w:rsidR="007E4F43" w:rsidRPr="009F0C73" w14:paraId="674A0789" w14:textId="77777777" w:rsidTr="007F2AAD">
        <w:trPr>
          <w:tblHeader/>
        </w:trPr>
        <w:tc>
          <w:tcPr>
            <w:tcW w:w="6646" w:type="dxa"/>
          </w:tcPr>
          <w:p w14:paraId="6CA8E4DB" w14:textId="77777777" w:rsidR="007E4F43" w:rsidRPr="009F0C73" w:rsidRDefault="007E4F43" w:rsidP="00F178FC">
            <w:pPr>
              <w:pStyle w:val="DHHStablecolhead"/>
            </w:pPr>
            <w:r w:rsidRPr="009F0C73">
              <w:t>Indicator</w:t>
            </w:r>
          </w:p>
        </w:tc>
        <w:tc>
          <w:tcPr>
            <w:tcW w:w="1247" w:type="dxa"/>
          </w:tcPr>
          <w:p w14:paraId="2660A1DE" w14:textId="77777777" w:rsidR="007E4F43" w:rsidRPr="009F0C73" w:rsidRDefault="007E4F43" w:rsidP="00F178FC">
            <w:pPr>
              <w:pStyle w:val="DHHStablecolhead"/>
            </w:pPr>
            <w:r w:rsidRPr="009F0C73">
              <w:t>Most current data</w:t>
            </w:r>
          </w:p>
        </w:tc>
        <w:tc>
          <w:tcPr>
            <w:tcW w:w="1291" w:type="dxa"/>
          </w:tcPr>
          <w:p w14:paraId="642E824F" w14:textId="77777777" w:rsidR="007E4F43" w:rsidRPr="009F0C73" w:rsidRDefault="007E4F43" w:rsidP="00F178FC">
            <w:pPr>
              <w:pStyle w:val="DHHStablecolhead"/>
            </w:pPr>
            <w:r w:rsidRPr="009F0C73">
              <w:t>Year</w:t>
            </w:r>
          </w:p>
        </w:tc>
      </w:tr>
      <w:tr w:rsidR="007E4F43" w:rsidRPr="009F0C73" w14:paraId="3C6FE32A" w14:textId="77777777" w:rsidTr="007F2AAD">
        <w:tc>
          <w:tcPr>
            <w:tcW w:w="6646" w:type="dxa"/>
          </w:tcPr>
          <w:p w14:paraId="1E0FEFC2" w14:textId="77777777" w:rsidR="007E4F43" w:rsidRPr="009F0C73" w:rsidRDefault="007E4F43" w:rsidP="00F178FC">
            <w:pPr>
              <w:pStyle w:val="DHHStabletext"/>
            </w:pPr>
            <w:r w:rsidRPr="009F0C73">
              <w:t>1.1</w:t>
            </w:r>
            <w:r>
              <w:t xml:space="preserve"> </w:t>
            </w:r>
            <w:r w:rsidRPr="009F0C73">
              <w:t>Proportion of Victorian population with high or very high psychological distress (adults)</w:t>
            </w:r>
          </w:p>
        </w:tc>
        <w:tc>
          <w:tcPr>
            <w:tcW w:w="1247" w:type="dxa"/>
          </w:tcPr>
          <w:p w14:paraId="646DA8E9" w14:textId="4ABD18BF" w:rsidR="007E4F43" w:rsidRPr="009F0C73" w:rsidRDefault="007E4F43" w:rsidP="00F178FC">
            <w:pPr>
              <w:pStyle w:val="DHHStabletext"/>
            </w:pPr>
            <w:r w:rsidRPr="009F0C73">
              <w:t>1</w:t>
            </w:r>
            <w:r>
              <w:t>7.3</w:t>
            </w:r>
            <w:r w:rsidRPr="009F0C73">
              <w:t>%</w:t>
            </w:r>
          </w:p>
        </w:tc>
        <w:tc>
          <w:tcPr>
            <w:tcW w:w="1291" w:type="dxa"/>
          </w:tcPr>
          <w:p w14:paraId="5DF5DEC4" w14:textId="0E877FE2" w:rsidR="007E4F43" w:rsidRPr="009F0C73" w:rsidRDefault="007E4F43" w:rsidP="00F178FC">
            <w:pPr>
              <w:pStyle w:val="DHHStabletext"/>
            </w:pPr>
            <w:r w:rsidRPr="009F0C73">
              <w:t>201</w:t>
            </w:r>
            <w:r>
              <w:t>5</w:t>
            </w:r>
          </w:p>
        </w:tc>
      </w:tr>
      <w:tr w:rsidR="007E4F43" w:rsidRPr="009F0C73" w14:paraId="55D518F9" w14:textId="77777777" w:rsidTr="007F2AAD">
        <w:tc>
          <w:tcPr>
            <w:tcW w:w="6646" w:type="dxa"/>
          </w:tcPr>
          <w:p w14:paraId="2B6A938E" w14:textId="77777777" w:rsidR="007E4F43" w:rsidRPr="009F0C73" w:rsidRDefault="007E4F43" w:rsidP="00F178FC">
            <w:pPr>
              <w:pStyle w:val="DHHStabletext"/>
            </w:pPr>
            <w:r w:rsidRPr="009F0C73">
              <w:t>1.2 Proportion of Victorian population receiving clinical mental healthcare</w:t>
            </w:r>
          </w:p>
        </w:tc>
        <w:tc>
          <w:tcPr>
            <w:tcW w:w="1247" w:type="dxa"/>
          </w:tcPr>
          <w:p w14:paraId="32AB8B80" w14:textId="77777777" w:rsidR="007E4F43" w:rsidRPr="009F0C73" w:rsidRDefault="007E4F43" w:rsidP="00F178FC">
            <w:pPr>
              <w:pStyle w:val="DHHStabletext"/>
            </w:pPr>
            <w:r w:rsidRPr="009F0C73">
              <w:t>1.1%</w:t>
            </w:r>
          </w:p>
        </w:tc>
        <w:tc>
          <w:tcPr>
            <w:tcW w:w="1291" w:type="dxa"/>
          </w:tcPr>
          <w:p w14:paraId="7A1369F7" w14:textId="77777777" w:rsidR="007E4F43" w:rsidRPr="009F0C73" w:rsidRDefault="007E4F43" w:rsidP="00F178FC">
            <w:pPr>
              <w:pStyle w:val="DHHStabletext"/>
            </w:pPr>
            <w:r w:rsidRPr="009F0C73">
              <w:t>2015–16</w:t>
            </w:r>
          </w:p>
        </w:tc>
      </w:tr>
      <w:tr w:rsidR="007E4F43" w:rsidRPr="009F0C73" w14:paraId="76FE115E" w14:textId="77777777" w:rsidTr="007F2AAD">
        <w:tc>
          <w:tcPr>
            <w:tcW w:w="6646" w:type="dxa"/>
          </w:tcPr>
          <w:p w14:paraId="6B2BE631" w14:textId="77777777" w:rsidR="007E4F43" w:rsidRPr="009F0C73" w:rsidRDefault="007E4F43" w:rsidP="00F178FC">
            <w:pPr>
              <w:pStyle w:val="DHHStabletext"/>
            </w:pPr>
            <w:r w:rsidRPr="009F0C73">
              <w:t>1.3 Proportion of Victorian young people with positive psychological development</w:t>
            </w:r>
            <w:r w:rsidRPr="009F0C73">
              <w:tab/>
            </w:r>
          </w:p>
        </w:tc>
        <w:tc>
          <w:tcPr>
            <w:tcW w:w="1247" w:type="dxa"/>
          </w:tcPr>
          <w:p w14:paraId="0E2AC88F" w14:textId="3483AE4F" w:rsidR="007E4F43" w:rsidRPr="009F0C73" w:rsidRDefault="007E4F43" w:rsidP="00F178FC">
            <w:pPr>
              <w:pStyle w:val="DHHStabletext"/>
            </w:pPr>
            <w:r>
              <w:t>68.8</w:t>
            </w:r>
            <w:r w:rsidRPr="009F0C73">
              <w:t>%</w:t>
            </w:r>
          </w:p>
        </w:tc>
        <w:tc>
          <w:tcPr>
            <w:tcW w:w="1291" w:type="dxa"/>
          </w:tcPr>
          <w:p w14:paraId="1A5CD903" w14:textId="638AA4D6" w:rsidR="007E4F43" w:rsidRPr="009F0C73" w:rsidRDefault="007E4F43" w:rsidP="00F178FC">
            <w:pPr>
              <w:pStyle w:val="DHHStabletext"/>
            </w:pPr>
            <w:r w:rsidRPr="009F0C73">
              <w:t>201</w:t>
            </w:r>
            <w:r w:rsidR="007F2AAD">
              <w:t>6</w:t>
            </w:r>
          </w:p>
        </w:tc>
      </w:tr>
      <w:tr w:rsidR="007E4F43" w:rsidRPr="009F0C73" w14:paraId="3FA14158" w14:textId="77777777" w:rsidTr="007F2AAD">
        <w:tc>
          <w:tcPr>
            <w:tcW w:w="6646" w:type="dxa"/>
          </w:tcPr>
          <w:p w14:paraId="0BED35B8" w14:textId="77777777" w:rsidR="007E4F43" w:rsidRPr="009F0C73" w:rsidRDefault="007E4F43" w:rsidP="00F178FC">
            <w:pPr>
              <w:pStyle w:val="DHHStabletext"/>
            </w:pPr>
            <w:r w:rsidRPr="009F0C73">
              <w:t>1.4 Proportion of Victorian older persons (65 years or older) with high or very high psychological distress</w:t>
            </w:r>
            <w:r w:rsidRPr="009F0C73">
              <w:tab/>
            </w:r>
          </w:p>
        </w:tc>
        <w:tc>
          <w:tcPr>
            <w:tcW w:w="1247" w:type="dxa"/>
          </w:tcPr>
          <w:p w14:paraId="26327CFB" w14:textId="0464E762" w:rsidR="007E4F43" w:rsidRPr="009F0C73" w:rsidRDefault="007F2AAD" w:rsidP="00F178FC">
            <w:pPr>
              <w:pStyle w:val="DHHStabletext"/>
            </w:pPr>
            <w:r>
              <w:t>10.8%</w:t>
            </w:r>
          </w:p>
        </w:tc>
        <w:tc>
          <w:tcPr>
            <w:tcW w:w="1291" w:type="dxa"/>
          </w:tcPr>
          <w:p w14:paraId="79F1784E" w14:textId="4E5C93BD" w:rsidR="007E4F43" w:rsidRPr="009F0C73" w:rsidRDefault="007F2AAD" w:rsidP="00F178FC">
            <w:pPr>
              <w:pStyle w:val="DHHStabletext"/>
            </w:pPr>
            <w:r>
              <w:t>2015</w:t>
            </w:r>
          </w:p>
        </w:tc>
      </w:tr>
      <w:tr w:rsidR="007F2AAD" w:rsidRPr="009F0C73" w14:paraId="53F91E11" w14:textId="77777777" w:rsidTr="007F2AAD">
        <w:tc>
          <w:tcPr>
            <w:tcW w:w="6646" w:type="dxa"/>
          </w:tcPr>
          <w:p w14:paraId="0A1136D0" w14:textId="3EB3D76E" w:rsidR="007F2AAD" w:rsidRPr="009F0C73" w:rsidRDefault="007F2AAD" w:rsidP="007F2AAD">
            <w:pPr>
              <w:pStyle w:val="DHHStabletext"/>
            </w:pPr>
            <w:r w:rsidRPr="009F0C73">
              <w:t>1.</w:t>
            </w:r>
            <w:r>
              <w:t>5</w:t>
            </w:r>
            <w:r w:rsidRPr="009F0C73">
              <w:t xml:space="preserve"> Proportion of </w:t>
            </w:r>
            <w:r>
              <w:t>children at school entry at high risk of clinically significant problems related to behaviour and emotional wellbeing</w:t>
            </w:r>
          </w:p>
        </w:tc>
        <w:tc>
          <w:tcPr>
            <w:tcW w:w="1247" w:type="dxa"/>
          </w:tcPr>
          <w:p w14:paraId="517078B1" w14:textId="699EF4AE" w:rsidR="007F2AAD" w:rsidRDefault="007F2AAD" w:rsidP="007F2AAD">
            <w:pPr>
              <w:pStyle w:val="DHHStabletext"/>
            </w:pPr>
            <w:r>
              <w:t>5.3</w:t>
            </w:r>
            <w:r w:rsidRPr="009F0C73">
              <w:t>%</w:t>
            </w:r>
          </w:p>
        </w:tc>
        <w:tc>
          <w:tcPr>
            <w:tcW w:w="1291" w:type="dxa"/>
          </w:tcPr>
          <w:p w14:paraId="62D301CE" w14:textId="121D940D" w:rsidR="007F2AAD" w:rsidRPr="009F0C73" w:rsidRDefault="007F2AAD" w:rsidP="007F2AAD">
            <w:pPr>
              <w:pStyle w:val="DHHStabletext"/>
            </w:pPr>
            <w:r w:rsidRPr="009F0C73">
              <w:t>201</w:t>
            </w:r>
            <w:r>
              <w:t>6</w:t>
            </w:r>
          </w:p>
        </w:tc>
      </w:tr>
    </w:tbl>
    <w:p w14:paraId="2854B44C" w14:textId="77777777" w:rsidR="007E4F43" w:rsidRPr="009F0C73" w:rsidRDefault="007E4F43" w:rsidP="007E4F43">
      <w:pPr>
        <w:pStyle w:val="DHHStablecaption"/>
      </w:pPr>
      <w:r w:rsidRPr="009F0C73">
        <w:t>2. The gap in mental health and wellbeing for at-risk groups is reduced</w:t>
      </w:r>
    </w:p>
    <w:tbl>
      <w:tblPr>
        <w:tblStyle w:val="TableGrid"/>
        <w:tblW w:w="0" w:type="auto"/>
        <w:tblLook w:val="04A0" w:firstRow="1" w:lastRow="0" w:firstColumn="1" w:lastColumn="0" w:noHBand="0" w:noVBand="1"/>
      </w:tblPr>
      <w:tblGrid>
        <w:gridCol w:w="6649"/>
        <w:gridCol w:w="1248"/>
        <w:gridCol w:w="1287"/>
      </w:tblGrid>
      <w:tr w:rsidR="007E4F43" w:rsidRPr="009F0C73" w14:paraId="6F05351C" w14:textId="77777777" w:rsidTr="00F178FC">
        <w:trPr>
          <w:tblHeader/>
        </w:trPr>
        <w:tc>
          <w:tcPr>
            <w:tcW w:w="6840" w:type="dxa"/>
          </w:tcPr>
          <w:p w14:paraId="54958D97" w14:textId="77777777" w:rsidR="007E4F43" w:rsidRPr="009F0C73" w:rsidRDefault="007E4F43" w:rsidP="00F178FC">
            <w:pPr>
              <w:pStyle w:val="DHHStablecolhead"/>
            </w:pPr>
            <w:r w:rsidRPr="009F0C73">
              <w:t>Indicator</w:t>
            </w:r>
          </w:p>
        </w:tc>
        <w:tc>
          <w:tcPr>
            <w:tcW w:w="1260" w:type="dxa"/>
          </w:tcPr>
          <w:p w14:paraId="0865CCB9" w14:textId="77777777" w:rsidR="007E4F43" w:rsidRPr="009F0C73" w:rsidRDefault="007E4F43" w:rsidP="00F178FC">
            <w:pPr>
              <w:pStyle w:val="DHHStablecolhead"/>
            </w:pPr>
            <w:r w:rsidRPr="009F0C73">
              <w:t>Most current data</w:t>
            </w:r>
          </w:p>
        </w:tc>
        <w:tc>
          <w:tcPr>
            <w:tcW w:w="1310" w:type="dxa"/>
          </w:tcPr>
          <w:p w14:paraId="446B9A24" w14:textId="77777777" w:rsidR="007E4F43" w:rsidRPr="009F0C73" w:rsidRDefault="007E4F43" w:rsidP="00F178FC">
            <w:pPr>
              <w:pStyle w:val="DHHStablecolhead"/>
            </w:pPr>
            <w:r w:rsidRPr="009F0C73">
              <w:t>Year</w:t>
            </w:r>
          </w:p>
        </w:tc>
      </w:tr>
      <w:tr w:rsidR="007E4F43" w:rsidRPr="009F0C73" w14:paraId="44DBBC00" w14:textId="77777777" w:rsidTr="00F178FC">
        <w:tc>
          <w:tcPr>
            <w:tcW w:w="6840" w:type="dxa"/>
          </w:tcPr>
          <w:p w14:paraId="35D371CD" w14:textId="77777777" w:rsidR="007E4F43" w:rsidRPr="009F0C73" w:rsidRDefault="007E4F43" w:rsidP="00F178FC">
            <w:pPr>
              <w:pStyle w:val="DHHStabletext"/>
            </w:pPr>
            <w:r w:rsidRPr="009F0C73">
              <w:t>2.1 Proportion of Victorian population who speak a language other than English at home with high or very high psychological distress (adults)</w:t>
            </w:r>
          </w:p>
        </w:tc>
        <w:tc>
          <w:tcPr>
            <w:tcW w:w="1260" w:type="dxa"/>
          </w:tcPr>
          <w:p w14:paraId="0BC19E6B" w14:textId="21D88423" w:rsidR="007E4F43" w:rsidRPr="009F0C73" w:rsidRDefault="007E4F43" w:rsidP="00F178FC">
            <w:pPr>
              <w:pStyle w:val="DHHStabletext"/>
            </w:pPr>
            <w:r w:rsidRPr="009F0C73">
              <w:t>1</w:t>
            </w:r>
            <w:r w:rsidR="00DF32B2">
              <w:t>8.0</w:t>
            </w:r>
            <w:r w:rsidRPr="009F0C73">
              <w:t>%</w:t>
            </w:r>
          </w:p>
        </w:tc>
        <w:tc>
          <w:tcPr>
            <w:tcW w:w="1310" w:type="dxa"/>
          </w:tcPr>
          <w:p w14:paraId="1DE7134A" w14:textId="04ECE0F9" w:rsidR="007E4F43" w:rsidRPr="009F0C73" w:rsidRDefault="007E4F43" w:rsidP="00F178FC">
            <w:pPr>
              <w:pStyle w:val="DHHStabletext"/>
            </w:pPr>
            <w:r w:rsidRPr="009F0C73">
              <w:t>201</w:t>
            </w:r>
            <w:r w:rsidR="00DF32B2">
              <w:t>5</w:t>
            </w:r>
          </w:p>
        </w:tc>
      </w:tr>
      <w:tr w:rsidR="007E4F43" w:rsidRPr="009F0C73" w14:paraId="62C39534" w14:textId="77777777" w:rsidTr="00F178FC">
        <w:tc>
          <w:tcPr>
            <w:tcW w:w="6840" w:type="dxa"/>
          </w:tcPr>
          <w:p w14:paraId="3CC815BB" w14:textId="77777777" w:rsidR="007E4F43" w:rsidRPr="009F0C73" w:rsidRDefault="007E4F43" w:rsidP="00F178FC">
            <w:pPr>
              <w:pStyle w:val="DHHStabletext"/>
            </w:pPr>
            <w:r w:rsidRPr="009F0C73">
              <w:t>2.2 Proportion of Victorian rural population with high or very high psychological distress (adults)</w:t>
            </w:r>
            <w:r w:rsidRPr="009F0C73">
              <w:tab/>
            </w:r>
          </w:p>
        </w:tc>
        <w:tc>
          <w:tcPr>
            <w:tcW w:w="1260" w:type="dxa"/>
          </w:tcPr>
          <w:p w14:paraId="62F67695" w14:textId="2A08CD66" w:rsidR="007E4F43" w:rsidRPr="009F0C73" w:rsidRDefault="007E4F43" w:rsidP="00F178FC">
            <w:pPr>
              <w:pStyle w:val="DHHStabletext"/>
            </w:pPr>
            <w:r w:rsidRPr="009F0C73">
              <w:t>1</w:t>
            </w:r>
            <w:r w:rsidR="00DF32B2">
              <w:t>5.9</w:t>
            </w:r>
            <w:r w:rsidRPr="009F0C73">
              <w:t>%</w:t>
            </w:r>
          </w:p>
        </w:tc>
        <w:tc>
          <w:tcPr>
            <w:tcW w:w="1310" w:type="dxa"/>
          </w:tcPr>
          <w:p w14:paraId="24300F31" w14:textId="49DE85D7" w:rsidR="007E4F43" w:rsidRPr="009F0C73" w:rsidRDefault="007E4F43" w:rsidP="00F178FC">
            <w:pPr>
              <w:pStyle w:val="DHHStabletext"/>
            </w:pPr>
            <w:r w:rsidRPr="009F0C73">
              <w:t>201</w:t>
            </w:r>
            <w:r w:rsidR="00DF32B2">
              <w:t>5</w:t>
            </w:r>
          </w:p>
        </w:tc>
      </w:tr>
    </w:tbl>
    <w:p w14:paraId="043FD3E5" w14:textId="77777777" w:rsidR="007E4F43" w:rsidRPr="009F0C73" w:rsidRDefault="007E4F43" w:rsidP="007E4F43">
      <w:pPr>
        <w:pStyle w:val="DHHStablecaption"/>
      </w:pPr>
      <w:r w:rsidRPr="009F0C73">
        <w:lastRenderedPageBreak/>
        <w:t>3. The gap in mental health and wellbeing for Aboriginal Victorians is reduced</w:t>
      </w:r>
    </w:p>
    <w:tbl>
      <w:tblPr>
        <w:tblStyle w:val="TableGrid"/>
        <w:tblW w:w="0" w:type="auto"/>
        <w:tblLook w:val="04A0" w:firstRow="1" w:lastRow="0" w:firstColumn="1" w:lastColumn="0" w:noHBand="0" w:noVBand="1"/>
      </w:tblPr>
      <w:tblGrid>
        <w:gridCol w:w="6644"/>
        <w:gridCol w:w="1248"/>
        <w:gridCol w:w="1292"/>
      </w:tblGrid>
      <w:tr w:rsidR="007E4F43" w:rsidRPr="009F0C73" w14:paraId="4291FA1B" w14:textId="77777777" w:rsidTr="007F2AAD">
        <w:trPr>
          <w:tblHeader/>
        </w:trPr>
        <w:tc>
          <w:tcPr>
            <w:tcW w:w="6644" w:type="dxa"/>
          </w:tcPr>
          <w:p w14:paraId="1FB0B02A" w14:textId="77777777" w:rsidR="007E4F43" w:rsidRPr="009F0C73" w:rsidRDefault="007E4F43" w:rsidP="00F178FC">
            <w:pPr>
              <w:pStyle w:val="DHHStablecolhead"/>
            </w:pPr>
            <w:r w:rsidRPr="009F0C73">
              <w:t>Indicator</w:t>
            </w:r>
          </w:p>
        </w:tc>
        <w:tc>
          <w:tcPr>
            <w:tcW w:w="1248" w:type="dxa"/>
          </w:tcPr>
          <w:p w14:paraId="58630908" w14:textId="77777777" w:rsidR="007E4F43" w:rsidRPr="009F0C73" w:rsidRDefault="007E4F43" w:rsidP="00F178FC">
            <w:pPr>
              <w:pStyle w:val="DHHStablecolhead"/>
            </w:pPr>
            <w:r w:rsidRPr="009F0C73">
              <w:t>Most current data</w:t>
            </w:r>
          </w:p>
        </w:tc>
        <w:tc>
          <w:tcPr>
            <w:tcW w:w="1292" w:type="dxa"/>
          </w:tcPr>
          <w:p w14:paraId="6A5E6693" w14:textId="77777777" w:rsidR="007E4F43" w:rsidRPr="009F0C73" w:rsidRDefault="007E4F43" w:rsidP="00F178FC">
            <w:pPr>
              <w:pStyle w:val="DHHStablecolhead"/>
            </w:pPr>
            <w:r w:rsidRPr="009F0C73">
              <w:t>Year</w:t>
            </w:r>
          </w:p>
        </w:tc>
      </w:tr>
      <w:tr w:rsidR="007E4F43" w:rsidRPr="009F0C73" w14:paraId="489A4E90" w14:textId="77777777" w:rsidTr="007F2AAD">
        <w:tc>
          <w:tcPr>
            <w:tcW w:w="6644" w:type="dxa"/>
          </w:tcPr>
          <w:p w14:paraId="7534BC71" w14:textId="77777777" w:rsidR="007E4F43" w:rsidRPr="009F0C73" w:rsidRDefault="007E4F43" w:rsidP="00F178FC">
            <w:pPr>
              <w:pStyle w:val="DHHStabletext"/>
            </w:pPr>
            <w:r w:rsidRPr="009F0C73">
              <w:t>3.1 Proportion of Victorian Aboriginal population who are receiving clinical mental healthcare</w:t>
            </w:r>
          </w:p>
        </w:tc>
        <w:tc>
          <w:tcPr>
            <w:tcW w:w="1248" w:type="dxa"/>
          </w:tcPr>
          <w:p w14:paraId="032E24B4" w14:textId="509CAB67" w:rsidR="007E4F43" w:rsidRPr="009F0C73" w:rsidRDefault="007E4F43" w:rsidP="00F178FC">
            <w:pPr>
              <w:pStyle w:val="DHHStabletext"/>
            </w:pPr>
            <w:r w:rsidRPr="009F0C73">
              <w:t>2.</w:t>
            </w:r>
            <w:r w:rsidR="00B6271F">
              <w:t>5</w:t>
            </w:r>
            <w:r w:rsidRPr="009F0C73">
              <w:t>%</w:t>
            </w:r>
          </w:p>
        </w:tc>
        <w:tc>
          <w:tcPr>
            <w:tcW w:w="1292" w:type="dxa"/>
          </w:tcPr>
          <w:p w14:paraId="1C42C55D" w14:textId="4C56F147" w:rsidR="007E4F43" w:rsidRPr="009F0C73" w:rsidRDefault="007E4F43" w:rsidP="00F178FC">
            <w:pPr>
              <w:pStyle w:val="DHHStabletext"/>
            </w:pPr>
            <w:r w:rsidRPr="009F0C73">
              <w:t>201</w:t>
            </w:r>
            <w:r w:rsidR="00DF32B2">
              <w:t>6</w:t>
            </w:r>
            <w:r w:rsidRPr="009F0C73">
              <w:t>–1</w:t>
            </w:r>
            <w:r w:rsidR="00DF32B2">
              <w:t>7</w:t>
            </w:r>
          </w:p>
        </w:tc>
      </w:tr>
      <w:tr w:rsidR="00B6271F" w:rsidRPr="009F0C73" w14:paraId="30745147" w14:textId="77777777" w:rsidTr="007F2AAD">
        <w:tc>
          <w:tcPr>
            <w:tcW w:w="6644" w:type="dxa"/>
          </w:tcPr>
          <w:p w14:paraId="4B9B5A25" w14:textId="0708EC4C" w:rsidR="00B6271F" w:rsidRPr="009F0C73" w:rsidRDefault="00B6271F" w:rsidP="00B6271F">
            <w:pPr>
              <w:pStyle w:val="DHHStabletext"/>
            </w:pPr>
            <w:r w:rsidRPr="009F0C73">
              <w:t>3.</w:t>
            </w:r>
            <w:r>
              <w:t>2</w:t>
            </w:r>
            <w:r w:rsidRPr="009F0C73">
              <w:t xml:space="preserve"> Proportion of Victorian Aboriginal population </w:t>
            </w:r>
            <w:r>
              <w:t>with high or very high psychological distress</w:t>
            </w:r>
          </w:p>
        </w:tc>
        <w:tc>
          <w:tcPr>
            <w:tcW w:w="1248" w:type="dxa"/>
          </w:tcPr>
          <w:p w14:paraId="21DE2DFC" w14:textId="67906C84" w:rsidR="00B6271F" w:rsidRPr="009F0C73" w:rsidRDefault="00B6271F" w:rsidP="00B6271F">
            <w:pPr>
              <w:pStyle w:val="DHHStabletext"/>
            </w:pPr>
            <w:r>
              <w:t>35</w:t>
            </w:r>
            <w:r w:rsidRPr="009F0C73">
              <w:t>.</w:t>
            </w:r>
            <w:r>
              <w:t>8</w:t>
            </w:r>
            <w:r w:rsidRPr="009F0C73">
              <w:t>%</w:t>
            </w:r>
          </w:p>
        </w:tc>
        <w:tc>
          <w:tcPr>
            <w:tcW w:w="1292" w:type="dxa"/>
          </w:tcPr>
          <w:p w14:paraId="6396EFA4" w14:textId="692657A4" w:rsidR="00B6271F" w:rsidRPr="009F0C73" w:rsidRDefault="00B6271F" w:rsidP="00B6271F">
            <w:pPr>
              <w:pStyle w:val="DHHStabletext"/>
            </w:pPr>
            <w:r w:rsidRPr="009F0C73">
              <w:t>201</w:t>
            </w:r>
            <w:r>
              <w:t>5</w:t>
            </w:r>
          </w:p>
        </w:tc>
      </w:tr>
      <w:tr w:rsidR="00B6271F" w:rsidRPr="009F0C73" w14:paraId="11E3259F" w14:textId="77777777" w:rsidTr="007F2AAD">
        <w:tc>
          <w:tcPr>
            <w:tcW w:w="6644" w:type="dxa"/>
          </w:tcPr>
          <w:p w14:paraId="136AFCD2" w14:textId="5264AE76" w:rsidR="00B6271F" w:rsidRPr="009F0C73" w:rsidRDefault="00B6271F" w:rsidP="00B6271F">
            <w:pPr>
              <w:pStyle w:val="DHHStabletext"/>
            </w:pPr>
            <w:r w:rsidRPr="009F0C73">
              <w:t xml:space="preserve">3.1 Proportion of Aboriginal </w:t>
            </w:r>
            <w:r>
              <w:t>children at school entry at high risk of clinically significant problems related to behaviour and emotional wellbeing</w:t>
            </w:r>
          </w:p>
        </w:tc>
        <w:tc>
          <w:tcPr>
            <w:tcW w:w="1248" w:type="dxa"/>
          </w:tcPr>
          <w:p w14:paraId="0A71CDCC" w14:textId="1DB0AA49" w:rsidR="00B6271F" w:rsidRPr="009F0C73" w:rsidRDefault="00B6271F" w:rsidP="00B6271F">
            <w:pPr>
              <w:pStyle w:val="DHHStabletext"/>
            </w:pPr>
            <w:r>
              <w:t>16.0</w:t>
            </w:r>
            <w:r w:rsidRPr="009F0C73">
              <w:t>%</w:t>
            </w:r>
          </w:p>
        </w:tc>
        <w:tc>
          <w:tcPr>
            <w:tcW w:w="1292" w:type="dxa"/>
          </w:tcPr>
          <w:p w14:paraId="4AF0C5DA" w14:textId="28A377B0" w:rsidR="00B6271F" w:rsidRPr="009F0C73" w:rsidRDefault="00B6271F" w:rsidP="00B6271F">
            <w:pPr>
              <w:pStyle w:val="DHHStabletext"/>
            </w:pPr>
            <w:r w:rsidRPr="009F0C73">
              <w:t>201</w:t>
            </w:r>
            <w:r>
              <w:t>6</w:t>
            </w:r>
          </w:p>
        </w:tc>
      </w:tr>
    </w:tbl>
    <w:p w14:paraId="62C4C99F" w14:textId="77777777" w:rsidR="007E4F43" w:rsidRPr="009F0C73" w:rsidRDefault="007E4F43" w:rsidP="007E4F43">
      <w:pPr>
        <w:pStyle w:val="DHHStablecaption"/>
      </w:pPr>
      <w:r w:rsidRPr="009F0C73">
        <w:t>4. The rate of suicide is reduced</w:t>
      </w:r>
    </w:p>
    <w:tbl>
      <w:tblPr>
        <w:tblStyle w:val="TableGrid"/>
        <w:tblW w:w="0" w:type="auto"/>
        <w:tblLook w:val="04A0" w:firstRow="1" w:lastRow="0" w:firstColumn="1" w:lastColumn="0" w:noHBand="0" w:noVBand="1"/>
      </w:tblPr>
      <w:tblGrid>
        <w:gridCol w:w="6648"/>
        <w:gridCol w:w="1248"/>
        <w:gridCol w:w="1288"/>
      </w:tblGrid>
      <w:tr w:rsidR="007E4F43" w:rsidRPr="009F0C73" w14:paraId="12218D7A" w14:textId="77777777" w:rsidTr="00F178FC">
        <w:trPr>
          <w:tblHeader/>
        </w:trPr>
        <w:tc>
          <w:tcPr>
            <w:tcW w:w="6840" w:type="dxa"/>
          </w:tcPr>
          <w:p w14:paraId="3277B466" w14:textId="77777777" w:rsidR="007E4F43" w:rsidRPr="009F0C73" w:rsidRDefault="007E4F43" w:rsidP="00F178FC">
            <w:pPr>
              <w:pStyle w:val="DHHStablecolhead"/>
            </w:pPr>
            <w:r w:rsidRPr="009F0C73">
              <w:t>Indicator</w:t>
            </w:r>
          </w:p>
        </w:tc>
        <w:tc>
          <w:tcPr>
            <w:tcW w:w="1260" w:type="dxa"/>
          </w:tcPr>
          <w:p w14:paraId="35508C84" w14:textId="77777777" w:rsidR="007E4F43" w:rsidRPr="009F0C73" w:rsidRDefault="007E4F43" w:rsidP="00F178FC">
            <w:pPr>
              <w:pStyle w:val="DHHStablecolhead"/>
            </w:pPr>
            <w:r w:rsidRPr="009F0C73">
              <w:t>Most current data</w:t>
            </w:r>
          </w:p>
        </w:tc>
        <w:tc>
          <w:tcPr>
            <w:tcW w:w="1310" w:type="dxa"/>
          </w:tcPr>
          <w:p w14:paraId="6E2B6729" w14:textId="77777777" w:rsidR="007E4F43" w:rsidRPr="009F0C73" w:rsidRDefault="007E4F43" w:rsidP="00F178FC">
            <w:pPr>
              <w:pStyle w:val="DHHStablecolhead"/>
            </w:pPr>
            <w:r w:rsidRPr="009F0C73">
              <w:t>Year</w:t>
            </w:r>
          </w:p>
        </w:tc>
      </w:tr>
      <w:tr w:rsidR="007E4F43" w:rsidRPr="009F0C73" w14:paraId="6E579031" w14:textId="77777777" w:rsidTr="00F178FC">
        <w:tc>
          <w:tcPr>
            <w:tcW w:w="6840" w:type="dxa"/>
          </w:tcPr>
          <w:p w14:paraId="2C3D4548" w14:textId="77777777" w:rsidR="007E4F43" w:rsidRPr="009F0C73" w:rsidRDefault="007E4F43" w:rsidP="00F178FC">
            <w:pPr>
              <w:pStyle w:val="DHHStabletext"/>
            </w:pPr>
            <w:r w:rsidRPr="009F0C73">
              <w:t>4.1 Victoria’s rate of deaths from suicide per 100,000</w:t>
            </w:r>
          </w:p>
        </w:tc>
        <w:tc>
          <w:tcPr>
            <w:tcW w:w="1260" w:type="dxa"/>
          </w:tcPr>
          <w:p w14:paraId="4597AB54" w14:textId="35D6E7A4" w:rsidR="007E4F43" w:rsidRPr="009F0C73" w:rsidRDefault="00DF32B2" w:rsidP="00F178FC">
            <w:pPr>
              <w:pStyle w:val="DHHStabletext"/>
            </w:pPr>
            <w:r>
              <w:t>9.9</w:t>
            </w:r>
          </w:p>
        </w:tc>
        <w:tc>
          <w:tcPr>
            <w:tcW w:w="1310" w:type="dxa"/>
          </w:tcPr>
          <w:p w14:paraId="66949CFD" w14:textId="4BCE0231" w:rsidR="007E4F43" w:rsidRPr="009F0C73" w:rsidRDefault="007E4F43" w:rsidP="00F178FC">
            <w:pPr>
              <w:pStyle w:val="DHHStabletext"/>
            </w:pPr>
            <w:r w:rsidRPr="009F0C73">
              <w:t>201</w:t>
            </w:r>
            <w:r w:rsidR="00DF32B2">
              <w:t>6</w:t>
            </w:r>
          </w:p>
        </w:tc>
      </w:tr>
    </w:tbl>
    <w:p w14:paraId="3043926D" w14:textId="77777777" w:rsidR="007E4F43" w:rsidRPr="009F0C73" w:rsidRDefault="007E4F43" w:rsidP="007E4F43">
      <w:pPr>
        <w:pStyle w:val="DHHStablecaption"/>
      </w:pPr>
      <w:r w:rsidRPr="009F0C73">
        <w:t>5. Victorians with mental illness have good physical health and wellbeing</w:t>
      </w:r>
    </w:p>
    <w:tbl>
      <w:tblPr>
        <w:tblStyle w:val="TableGrid"/>
        <w:tblW w:w="0" w:type="auto"/>
        <w:tblLook w:val="04A0" w:firstRow="1" w:lastRow="0" w:firstColumn="1" w:lastColumn="0" w:noHBand="0" w:noVBand="1"/>
      </w:tblPr>
      <w:tblGrid>
        <w:gridCol w:w="6644"/>
        <w:gridCol w:w="1248"/>
        <w:gridCol w:w="1292"/>
      </w:tblGrid>
      <w:tr w:rsidR="00B6271F" w:rsidRPr="009F0C73" w14:paraId="03D20A63" w14:textId="77777777" w:rsidTr="005F1B97">
        <w:trPr>
          <w:tblHeader/>
        </w:trPr>
        <w:tc>
          <w:tcPr>
            <w:tcW w:w="6644" w:type="dxa"/>
          </w:tcPr>
          <w:p w14:paraId="2A8FCFF7" w14:textId="77777777" w:rsidR="00B6271F" w:rsidRPr="009F0C73" w:rsidRDefault="00B6271F" w:rsidP="005F1B97">
            <w:pPr>
              <w:pStyle w:val="DHHStablecolhead"/>
            </w:pPr>
            <w:r w:rsidRPr="009F0C73">
              <w:t>Indicator</w:t>
            </w:r>
          </w:p>
        </w:tc>
        <w:tc>
          <w:tcPr>
            <w:tcW w:w="1248" w:type="dxa"/>
          </w:tcPr>
          <w:p w14:paraId="6A2A0FF8" w14:textId="77777777" w:rsidR="00B6271F" w:rsidRPr="009F0C73" w:rsidRDefault="00B6271F" w:rsidP="005F1B97">
            <w:pPr>
              <w:pStyle w:val="DHHStablecolhead"/>
            </w:pPr>
            <w:r w:rsidRPr="009F0C73">
              <w:t>Most current data</w:t>
            </w:r>
          </w:p>
        </w:tc>
        <w:tc>
          <w:tcPr>
            <w:tcW w:w="1292" w:type="dxa"/>
          </w:tcPr>
          <w:p w14:paraId="6AB383BE" w14:textId="77777777" w:rsidR="00B6271F" w:rsidRPr="009F0C73" w:rsidRDefault="00B6271F" w:rsidP="005F1B97">
            <w:pPr>
              <w:pStyle w:val="DHHStablecolhead"/>
            </w:pPr>
            <w:r w:rsidRPr="009F0C73">
              <w:t>Year</w:t>
            </w:r>
          </w:p>
        </w:tc>
      </w:tr>
      <w:tr w:rsidR="00B6271F" w:rsidRPr="009F0C73" w14:paraId="52994544" w14:textId="77777777" w:rsidTr="005F1B97">
        <w:tc>
          <w:tcPr>
            <w:tcW w:w="6644" w:type="dxa"/>
          </w:tcPr>
          <w:p w14:paraId="2BE51CD5" w14:textId="0460E646" w:rsidR="00B6271F" w:rsidRPr="009F0C73" w:rsidRDefault="00B6271F" w:rsidP="005F1B97">
            <w:pPr>
              <w:pStyle w:val="DHHStabletext"/>
            </w:pPr>
            <w:r>
              <w:t>5</w:t>
            </w:r>
            <w:r w:rsidRPr="009F0C73">
              <w:t xml:space="preserve">.1 Proportion of </w:t>
            </w:r>
            <w:r>
              <w:t>registered mental health clients with a tobacco use related diagnosis</w:t>
            </w:r>
          </w:p>
        </w:tc>
        <w:tc>
          <w:tcPr>
            <w:tcW w:w="1248" w:type="dxa"/>
          </w:tcPr>
          <w:p w14:paraId="0F8FD8F2" w14:textId="2716ED3F" w:rsidR="00B6271F" w:rsidRPr="009F0C73" w:rsidRDefault="00B6271F" w:rsidP="005F1B97">
            <w:pPr>
              <w:pStyle w:val="DHHStabletext"/>
            </w:pPr>
            <w:r>
              <w:t>33.4</w:t>
            </w:r>
            <w:r w:rsidRPr="009F0C73">
              <w:t>%</w:t>
            </w:r>
          </w:p>
        </w:tc>
        <w:tc>
          <w:tcPr>
            <w:tcW w:w="1292" w:type="dxa"/>
          </w:tcPr>
          <w:p w14:paraId="1C826CEB" w14:textId="6416DEF8" w:rsidR="00B6271F" w:rsidRPr="009F0C73" w:rsidRDefault="00B6271F" w:rsidP="005F1B97">
            <w:pPr>
              <w:pStyle w:val="DHHStabletext"/>
            </w:pPr>
            <w:r w:rsidRPr="009F0C73">
              <w:t>201</w:t>
            </w:r>
            <w:r>
              <w:t>5</w:t>
            </w:r>
            <w:r w:rsidRPr="009F0C73">
              <w:t>–1</w:t>
            </w:r>
            <w:r>
              <w:t>6</w:t>
            </w:r>
          </w:p>
        </w:tc>
      </w:tr>
      <w:tr w:rsidR="00B6271F" w:rsidRPr="009F0C73" w14:paraId="50B3E4AB" w14:textId="77777777" w:rsidTr="005F1B97">
        <w:tc>
          <w:tcPr>
            <w:tcW w:w="6644" w:type="dxa"/>
          </w:tcPr>
          <w:p w14:paraId="5D032FFF" w14:textId="5D49AF65" w:rsidR="00B6271F" w:rsidRPr="009F0C73" w:rsidRDefault="00B6271F" w:rsidP="00B6271F">
            <w:pPr>
              <w:pStyle w:val="DHHStabletext"/>
            </w:pPr>
            <w:r>
              <w:t>5</w:t>
            </w:r>
            <w:r w:rsidRPr="009F0C73">
              <w:t>.</w:t>
            </w:r>
            <w:r>
              <w:t>2</w:t>
            </w:r>
            <w:r w:rsidRPr="009F0C73">
              <w:t xml:space="preserve"> Proportion of </w:t>
            </w:r>
            <w:r>
              <w:t>registered mental health clients with a type 2 diabetes diagnosis</w:t>
            </w:r>
          </w:p>
        </w:tc>
        <w:tc>
          <w:tcPr>
            <w:tcW w:w="1248" w:type="dxa"/>
          </w:tcPr>
          <w:p w14:paraId="5E5531DC" w14:textId="4B13E51B" w:rsidR="00B6271F" w:rsidRPr="009F0C73" w:rsidRDefault="00B6271F" w:rsidP="00B6271F">
            <w:pPr>
              <w:pStyle w:val="DHHStabletext"/>
            </w:pPr>
            <w:r>
              <w:t>10.6</w:t>
            </w:r>
            <w:r w:rsidRPr="009F0C73">
              <w:t>%</w:t>
            </w:r>
          </w:p>
        </w:tc>
        <w:tc>
          <w:tcPr>
            <w:tcW w:w="1292" w:type="dxa"/>
          </w:tcPr>
          <w:p w14:paraId="0566B82A" w14:textId="29B92F10" w:rsidR="00B6271F" w:rsidRPr="009F0C73" w:rsidRDefault="00B6271F" w:rsidP="00B6271F">
            <w:pPr>
              <w:pStyle w:val="DHHStabletext"/>
            </w:pPr>
            <w:r w:rsidRPr="009F0C73">
              <w:t>201</w:t>
            </w:r>
            <w:r>
              <w:t>5</w:t>
            </w:r>
            <w:r w:rsidRPr="009F0C73">
              <w:t>–1</w:t>
            </w:r>
            <w:r>
              <w:t>6</w:t>
            </w:r>
          </w:p>
        </w:tc>
      </w:tr>
    </w:tbl>
    <w:p w14:paraId="2B55255C" w14:textId="77777777" w:rsidR="007E4F43" w:rsidRPr="009F0C73" w:rsidRDefault="007E4F43" w:rsidP="007E4F43">
      <w:pPr>
        <w:pStyle w:val="DHHStablecaption"/>
      </w:pPr>
      <w:r w:rsidRPr="009F0C73">
        <w:t>6. Victorians with mental illness are supported to protect and promote health</w:t>
      </w:r>
    </w:p>
    <w:p w14:paraId="7C86F204" w14:textId="77777777" w:rsidR="007E4F43" w:rsidRPr="009F0C73" w:rsidRDefault="007E4F43" w:rsidP="007E4F43">
      <w:pPr>
        <w:pStyle w:val="DHHStablecaption"/>
      </w:pPr>
      <w:r w:rsidRPr="009F0C73">
        <w:t>7. Victorians with mental illness participate in learning and education</w:t>
      </w:r>
    </w:p>
    <w:p w14:paraId="5FFF7B1D" w14:textId="77777777" w:rsidR="007E4F43" w:rsidRPr="009F0C73" w:rsidRDefault="007E4F43" w:rsidP="007E4F43">
      <w:pPr>
        <w:pStyle w:val="DHHStablecaption"/>
      </w:pPr>
      <w:r w:rsidRPr="009F0C73">
        <w:t>8. Victorians with mental illness participate in and contribute to the economy</w:t>
      </w:r>
    </w:p>
    <w:p w14:paraId="6722E485" w14:textId="77777777" w:rsidR="007E4F43" w:rsidRPr="009F0C73" w:rsidRDefault="007E4F43" w:rsidP="007E4F43">
      <w:pPr>
        <w:pStyle w:val="DHHStablecaption"/>
      </w:pPr>
      <w:r w:rsidRPr="009F0C73">
        <w:t>9. Victorians with mental illness have financial security</w:t>
      </w:r>
    </w:p>
    <w:p w14:paraId="40A5AC1E" w14:textId="77777777" w:rsidR="007E4F43" w:rsidRPr="009F0C73" w:rsidRDefault="007E4F43" w:rsidP="007E4F43">
      <w:pPr>
        <w:pStyle w:val="DHHStablecaption"/>
      </w:pPr>
      <w:r w:rsidRPr="009F0C73">
        <w:t>10. Victorians with mental illness are socially engaged and live in inclusive communities</w:t>
      </w:r>
    </w:p>
    <w:p w14:paraId="2EC8C0A8" w14:textId="77777777" w:rsidR="007E4F43" w:rsidRPr="009F0C73" w:rsidRDefault="007E4F43" w:rsidP="007E4F43">
      <w:pPr>
        <w:pStyle w:val="DHHStablecaption"/>
      </w:pPr>
      <w:r w:rsidRPr="009F0C73">
        <w:t>11. Victorians with mental illness live free from abuse or violence, and have reduced contact with the criminal justice system</w:t>
      </w:r>
    </w:p>
    <w:tbl>
      <w:tblPr>
        <w:tblStyle w:val="TableGrid"/>
        <w:tblW w:w="0" w:type="auto"/>
        <w:tblLook w:val="04A0" w:firstRow="1" w:lastRow="0" w:firstColumn="1" w:lastColumn="0" w:noHBand="0" w:noVBand="1"/>
      </w:tblPr>
      <w:tblGrid>
        <w:gridCol w:w="6646"/>
        <w:gridCol w:w="1247"/>
        <w:gridCol w:w="1291"/>
      </w:tblGrid>
      <w:tr w:rsidR="007E4F43" w:rsidRPr="009F0C73" w14:paraId="5DA0911B" w14:textId="77777777" w:rsidTr="00F178FC">
        <w:trPr>
          <w:tblHeader/>
        </w:trPr>
        <w:tc>
          <w:tcPr>
            <w:tcW w:w="6840" w:type="dxa"/>
          </w:tcPr>
          <w:p w14:paraId="6693CAFD" w14:textId="77777777" w:rsidR="007E4F43" w:rsidRPr="009F0C73" w:rsidRDefault="007E4F43" w:rsidP="00F178FC">
            <w:pPr>
              <w:pStyle w:val="DHHStablecolhead"/>
            </w:pPr>
            <w:r w:rsidRPr="009F0C73">
              <w:t>Indicator</w:t>
            </w:r>
          </w:p>
        </w:tc>
        <w:tc>
          <w:tcPr>
            <w:tcW w:w="1260" w:type="dxa"/>
          </w:tcPr>
          <w:p w14:paraId="4EDF4392" w14:textId="77777777" w:rsidR="007E4F43" w:rsidRPr="009F0C73" w:rsidRDefault="007E4F43" w:rsidP="00F178FC">
            <w:pPr>
              <w:pStyle w:val="DHHStablecolhead"/>
            </w:pPr>
            <w:r w:rsidRPr="009F0C73">
              <w:t>Most current data</w:t>
            </w:r>
          </w:p>
        </w:tc>
        <w:tc>
          <w:tcPr>
            <w:tcW w:w="1310" w:type="dxa"/>
          </w:tcPr>
          <w:p w14:paraId="663014F3" w14:textId="77777777" w:rsidR="007E4F43" w:rsidRPr="009F0C73" w:rsidRDefault="007E4F43" w:rsidP="00F178FC">
            <w:pPr>
              <w:pStyle w:val="DHHStablecolhead"/>
            </w:pPr>
            <w:r w:rsidRPr="009F0C73">
              <w:t>Year</w:t>
            </w:r>
          </w:p>
        </w:tc>
      </w:tr>
      <w:tr w:rsidR="007E4F43" w:rsidRPr="009F0C73" w14:paraId="254F5558" w14:textId="77777777" w:rsidTr="00F178FC">
        <w:tc>
          <w:tcPr>
            <w:tcW w:w="6840" w:type="dxa"/>
          </w:tcPr>
          <w:p w14:paraId="73EBA90C" w14:textId="77777777" w:rsidR="007E4F43" w:rsidRPr="009F0C73" w:rsidRDefault="007E4F43" w:rsidP="00F178FC">
            <w:pPr>
              <w:pStyle w:val="DHHStabletext"/>
            </w:pPr>
            <w:r w:rsidRPr="009F0C73">
              <w:t>11.1 Proportion of Victorian prison entrants who, at prison reception assessment, are allocated a psychiatric risk rating</w:t>
            </w:r>
          </w:p>
        </w:tc>
        <w:tc>
          <w:tcPr>
            <w:tcW w:w="1260" w:type="dxa"/>
          </w:tcPr>
          <w:p w14:paraId="32C1354F" w14:textId="2D6DC463" w:rsidR="007E4F43" w:rsidRPr="009F0C73" w:rsidRDefault="007E4F43" w:rsidP="00F178FC">
            <w:pPr>
              <w:pStyle w:val="DHHStabletext"/>
            </w:pPr>
            <w:r w:rsidRPr="009F0C73">
              <w:t>3</w:t>
            </w:r>
            <w:r w:rsidR="00DF32B2">
              <w:t>6.9</w:t>
            </w:r>
            <w:r w:rsidRPr="009F0C73">
              <w:t>%</w:t>
            </w:r>
          </w:p>
        </w:tc>
        <w:tc>
          <w:tcPr>
            <w:tcW w:w="1310" w:type="dxa"/>
          </w:tcPr>
          <w:p w14:paraId="3926EC98" w14:textId="06BB638D" w:rsidR="007E4F43" w:rsidRPr="009F0C73" w:rsidRDefault="007E4F43" w:rsidP="00F178FC">
            <w:pPr>
              <w:pStyle w:val="DHHStabletext"/>
            </w:pPr>
            <w:r w:rsidRPr="009F0C73">
              <w:t>201</w:t>
            </w:r>
            <w:r w:rsidR="00DF32B2">
              <w:t>6</w:t>
            </w:r>
            <w:r w:rsidRPr="009F0C73">
              <w:t>–1</w:t>
            </w:r>
            <w:r w:rsidR="00DF32B2">
              <w:t>7</w:t>
            </w:r>
          </w:p>
        </w:tc>
      </w:tr>
    </w:tbl>
    <w:p w14:paraId="6F89C770" w14:textId="77777777" w:rsidR="007E4F43" w:rsidRPr="009F0C73" w:rsidRDefault="007E4F43" w:rsidP="007E4F43">
      <w:pPr>
        <w:pStyle w:val="DHHStablecaption"/>
      </w:pPr>
      <w:r w:rsidRPr="009F0C73">
        <w:lastRenderedPageBreak/>
        <w:t>12. Victorians with mental illness have suitable and stable housing</w:t>
      </w:r>
    </w:p>
    <w:tbl>
      <w:tblPr>
        <w:tblStyle w:val="TableGrid"/>
        <w:tblW w:w="0" w:type="auto"/>
        <w:tblLook w:val="04A0" w:firstRow="1" w:lastRow="0" w:firstColumn="1" w:lastColumn="0" w:noHBand="0" w:noVBand="1"/>
      </w:tblPr>
      <w:tblGrid>
        <w:gridCol w:w="6644"/>
        <w:gridCol w:w="1248"/>
        <w:gridCol w:w="1292"/>
      </w:tblGrid>
      <w:tr w:rsidR="007E4F43" w:rsidRPr="009F0C73" w14:paraId="7AC6084E" w14:textId="77777777" w:rsidTr="00F178FC">
        <w:trPr>
          <w:tblHeader/>
        </w:trPr>
        <w:tc>
          <w:tcPr>
            <w:tcW w:w="6840" w:type="dxa"/>
          </w:tcPr>
          <w:p w14:paraId="13B515EA" w14:textId="77777777" w:rsidR="007E4F43" w:rsidRPr="009F0C73" w:rsidRDefault="007E4F43" w:rsidP="00F178FC">
            <w:pPr>
              <w:pStyle w:val="DHHStablecolhead"/>
            </w:pPr>
            <w:r w:rsidRPr="009F0C73">
              <w:t>Indicator</w:t>
            </w:r>
          </w:p>
        </w:tc>
        <w:tc>
          <w:tcPr>
            <w:tcW w:w="1260" w:type="dxa"/>
          </w:tcPr>
          <w:p w14:paraId="25168029" w14:textId="77777777" w:rsidR="007E4F43" w:rsidRPr="009F0C73" w:rsidRDefault="007E4F43" w:rsidP="00F178FC">
            <w:pPr>
              <w:pStyle w:val="DHHStablecolhead"/>
            </w:pPr>
            <w:r w:rsidRPr="009F0C73">
              <w:t>Most current data</w:t>
            </w:r>
          </w:p>
        </w:tc>
        <w:tc>
          <w:tcPr>
            <w:tcW w:w="1310" w:type="dxa"/>
          </w:tcPr>
          <w:p w14:paraId="6B3F69AD" w14:textId="77777777" w:rsidR="007E4F43" w:rsidRPr="009F0C73" w:rsidRDefault="007E4F43" w:rsidP="00F178FC">
            <w:pPr>
              <w:pStyle w:val="DHHStablecolhead"/>
            </w:pPr>
            <w:r w:rsidRPr="009F0C73">
              <w:t>Year</w:t>
            </w:r>
          </w:p>
        </w:tc>
      </w:tr>
      <w:tr w:rsidR="007E4F43" w:rsidRPr="009F0C73" w14:paraId="2151A270" w14:textId="77777777" w:rsidTr="00F178FC">
        <w:tc>
          <w:tcPr>
            <w:tcW w:w="6840" w:type="dxa"/>
          </w:tcPr>
          <w:p w14:paraId="1A399F49" w14:textId="77777777" w:rsidR="007E4F43" w:rsidRPr="009F0C73" w:rsidRDefault="007E4F43" w:rsidP="00F178FC">
            <w:pPr>
              <w:pStyle w:val="DHHStabletext"/>
            </w:pPr>
            <w:r w:rsidRPr="009F0C73">
              <w:t>12.1 Proportion of registered clients living in stable housing</w:t>
            </w:r>
          </w:p>
        </w:tc>
        <w:tc>
          <w:tcPr>
            <w:tcW w:w="1260" w:type="dxa"/>
          </w:tcPr>
          <w:p w14:paraId="2FA06C3E" w14:textId="77777777" w:rsidR="007E4F43" w:rsidRPr="009F0C73" w:rsidRDefault="007E4F43" w:rsidP="00F178FC">
            <w:pPr>
              <w:pStyle w:val="DHHStabletext"/>
            </w:pPr>
            <w:r w:rsidRPr="009F0C73">
              <w:t>81%</w:t>
            </w:r>
          </w:p>
        </w:tc>
        <w:tc>
          <w:tcPr>
            <w:tcW w:w="1310" w:type="dxa"/>
          </w:tcPr>
          <w:p w14:paraId="38654D42" w14:textId="1C688393" w:rsidR="007E4F43" w:rsidRPr="009F0C73" w:rsidRDefault="007E4F43" w:rsidP="00F178FC">
            <w:pPr>
              <w:pStyle w:val="DHHStabletext"/>
            </w:pPr>
            <w:r w:rsidRPr="009F0C73">
              <w:t>201</w:t>
            </w:r>
            <w:r w:rsidR="00DF32B2">
              <w:t>6</w:t>
            </w:r>
            <w:r w:rsidRPr="009F0C73">
              <w:t>–1</w:t>
            </w:r>
            <w:r w:rsidR="00DF32B2">
              <w:t>7</w:t>
            </w:r>
          </w:p>
        </w:tc>
      </w:tr>
    </w:tbl>
    <w:p w14:paraId="53D164C6" w14:textId="77777777" w:rsidR="007E4F43" w:rsidRPr="009F0C73" w:rsidRDefault="007E4F43" w:rsidP="007E4F43">
      <w:pPr>
        <w:pStyle w:val="DHHStablecaption"/>
      </w:pPr>
      <w:r w:rsidRPr="009F0C73">
        <w:t>13. The treatment and support that Victorians with mental illness, their families and carers need, is available in the right place at the right time</w:t>
      </w:r>
    </w:p>
    <w:tbl>
      <w:tblPr>
        <w:tblStyle w:val="TableGrid"/>
        <w:tblW w:w="0" w:type="auto"/>
        <w:tblLook w:val="04A0" w:firstRow="1" w:lastRow="0" w:firstColumn="1" w:lastColumn="0" w:noHBand="0" w:noVBand="1"/>
      </w:tblPr>
      <w:tblGrid>
        <w:gridCol w:w="6635"/>
        <w:gridCol w:w="1247"/>
        <w:gridCol w:w="1290"/>
      </w:tblGrid>
      <w:tr w:rsidR="007E4F43" w:rsidRPr="009F0C73" w14:paraId="1EAA99F2" w14:textId="77777777" w:rsidTr="00DF32B2">
        <w:trPr>
          <w:tblHeader/>
        </w:trPr>
        <w:tc>
          <w:tcPr>
            <w:tcW w:w="6635" w:type="dxa"/>
          </w:tcPr>
          <w:p w14:paraId="2313E1B7" w14:textId="77777777" w:rsidR="007E4F43" w:rsidRPr="009F0C73" w:rsidRDefault="007E4F43" w:rsidP="00F178FC">
            <w:pPr>
              <w:pStyle w:val="DHHStablecolhead"/>
            </w:pPr>
            <w:r w:rsidRPr="009F0C73">
              <w:t>Indicator</w:t>
            </w:r>
          </w:p>
        </w:tc>
        <w:tc>
          <w:tcPr>
            <w:tcW w:w="1247" w:type="dxa"/>
          </w:tcPr>
          <w:p w14:paraId="4CC6DE87" w14:textId="77777777" w:rsidR="007E4F43" w:rsidRPr="009F0C73" w:rsidRDefault="007E4F43" w:rsidP="00F178FC">
            <w:pPr>
              <w:pStyle w:val="DHHStablecolhead"/>
            </w:pPr>
            <w:r w:rsidRPr="009F0C73">
              <w:t>Most current data</w:t>
            </w:r>
          </w:p>
        </w:tc>
        <w:tc>
          <w:tcPr>
            <w:tcW w:w="1290" w:type="dxa"/>
          </w:tcPr>
          <w:p w14:paraId="0453D1F7" w14:textId="77777777" w:rsidR="007E4F43" w:rsidRPr="009F0C73" w:rsidRDefault="007E4F43" w:rsidP="00F178FC">
            <w:pPr>
              <w:pStyle w:val="DHHStablecolhead"/>
            </w:pPr>
            <w:r w:rsidRPr="009F0C73">
              <w:t>Year</w:t>
            </w:r>
          </w:p>
        </w:tc>
      </w:tr>
      <w:tr w:rsidR="00DF32B2" w:rsidRPr="009F0C73" w14:paraId="5EC26F7D" w14:textId="77777777" w:rsidTr="00DF32B2">
        <w:tc>
          <w:tcPr>
            <w:tcW w:w="6635" w:type="dxa"/>
          </w:tcPr>
          <w:p w14:paraId="11E088A6" w14:textId="77777777" w:rsidR="00DF32B2" w:rsidRPr="009F0C73" w:rsidRDefault="00DF32B2" w:rsidP="00DF32B2">
            <w:pPr>
              <w:pStyle w:val="DHHStabletext"/>
            </w:pPr>
            <w:r w:rsidRPr="009F0C73">
              <w:t>13.1 Rate of preadmission contact</w:t>
            </w:r>
          </w:p>
        </w:tc>
        <w:tc>
          <w:tcPr>
            <w:tcW w:w="1247" w:type="dxa"/>
          </w:tcPr>
          <w:p w14:paraId="6DE6F077" w14:textId="5FA41F08" w:rsidR="00DF32B2" w:rsidRPr="009F0C73" w:rsidRDefault="00DF32B2" w:rsidP="00DF32B2">
            <w:pPr>
              <w:pStyle w:val="DHHStabletext"/>
            </w:pPr>
            <w:r w:rsidRPr="009F0C73">
              <w:t>5</w:t>
            </w:r>
            <w:r>
              <w:t>1.8</w:t>
            </w:r>
            <w:r w:rsidRPr="009F0C73">
              <w:t>%</w:t>
            </w:r>
          </w:p>
        </w:tc>
        <w:tc>
          <w:tcPr>
            <w:tcW w:w="1290" w:type="dxa"/>
          </w:tcPr>
          <w:p w14:paraId="4FA3ECDB" w14:textId="16A82755" w:rsidR="00DF32B2" w:rsidRPr="009F0C73" w:rsidRDefault="00DF32B2" w:rsidP="00DF32B2">
            <w:pPr>
              <w:pStyle w:val="DHHStabletext"/>
            </w:pPr>
            <w:r w:rsidRPr="005D3E2D">
              <w:t>2016–17</w:t>
            </w:r>
          </w:p>
        </w:tc>
      </w:tr>
      <w:tr w:rsidR="00DF32B2" w:rsidRPr="009F0C73" w14:paraId="303F9ED3" w14:textId="77777777" w:rsidTr="00DF32B2">
        <w:tc>
          <w:tcPr>
            <w:tcW w:w="6635" w:type="dxa"/>
          </w:tcPr>
          <w:p w14:paraId="643BF7C2" w14:textId="77777777" w:rsidR="00DF32B2" w:rsidRPr="009F0C73" w:rsidRDefault="00DF32B2" w:rsidP="00DF32B2">
            <w:pPr>
              <w:pStyle w:val="DHHStabletext"/>
            </w:pPr>
            <w:r w:rsidRPr="009F0C73">
              <w:t>13.2 Rate of readmission within 28 days</w:t>
            </w:r>
            <w:r w:rsidRPr="009F0C73">
              <w:tab/>
            </w:r>
          </w:p>
        </w:tc>
        <w:tc>
          <w:tcPr>
            <w:tcW w:w="1247" w:type="dxa"/>
          </w:tcPr>
          <w:p w14:paraId="6B9CB626" w14:textId="6BCD8166" w:rsidR="00DF32B2" w:rsidRPr="009F0C73" w:rsidRDefault="00DF32B2" w:rsidP="00DF32B2">
            <w:pPr>
              <w:pStyle w:val="DHHStabletext"/>
            </w:pPr>
            <w:r w:rsidRPr="009F0C73">
              <w:t>13.</w:t>
            </w:r>
            <w:r>
              <w:t>4</w:t>
            </w:r>
            <w:r w:rsidRPr="009F0C73">
              <w:t>%</w:t>
            </w:r>
          </w:p>
        </w:tc>
        <w:tc>
          <w:tcPr>
            <w:tcW w:w="1290" w:type="dxa"/>
          </w:tcPr>
          <w:p w14:paraId="7604C67D" w14:textId="45A3B75F" w:rsidR="00DF32B2" w:rsidRPr="009F0C73" w:rsidRDefault="00DF32B2" w:rsidP="00DF32B2">
            <w:pPr>
              <w:pStyle w:val="DHHStabletext"/>
            </w:pPr>
            <w:r w:rsidRPr="005D3E2D">
              <w:t>2016–17</w:t>
            </w:r>
          </w:p>
        </w:tc>
      </w:tr>
      <w:tr w:rsidR="00DF32B2" w:rsidRPr="009F0C73" w14:paraId="247F1DF1" w14:textId="77777777" w:rsidTr="00DF32B2">
        <w:tc>
          <w:tcPr>
            <w:tcW w:w="6635" w:type="dxa"/>
          </w:tcPr>
          <w:p w14:paraId="13BCD068" w14:textId="77777777" w:rsidR="00DF32B2" w:rsidRPr="009F0C73" w:rsidRDefault="00DF32B2" w:rsidP="00DF32B2">
            <w:pPr>
              <w:pStyle w:val="DHHStabletext"/>
            </w:pPr>
            <w:r w:rsidRPr="009F0C73">
              <w:t>13.3 Rate of post-discharge follow-up</w:t>
            </w:r>
          </w:p>
        </w:tc>
        <w:tc>
          <w:tcPr>
            <w:tcW w:w="1247" w:type="dxa"/>
          </w:tcPr>
          <w:p w14:paraId="4D93F1C2" w14:textId="4EED7C80" w:rsidR="00DF32B2" w:rsidRPr="009F0C73" w:rsidRDefault="00DF32B2" w:rsidP="00DF32B2">
            <w:pPr>
              <w:pStyle w:val="DHHStabletext"/>
            </w:pPr>
            <w:r>
              <w:t>77.7</w:t>
            </w:r>
            <w:r w:rsidRPr="009F0C73">
              <w:t>%</w:t>
            </w:r>
          </w:p>
        </w:tc>
        <w:tc>
          <w:tcPr>
            <w:tcW w:w="1290" w:type="dxa"/>
          </w:tcPr>
          <w:p w14:paraId="3FAE805C" w14:textId="0EACD1EE" w:rsidR="00DF32B2" w:rsidRPr="009F0C73" w:rsidRDefault="00DF32B2" w:rsidP="00DF32B2">
            <w:pPr>
              <w:pStyle w:val="DHHStabletext"/>
            </w:pPr>
            <w:r w:rsidRPr="005D3E2D">
              <w:t>2016–17</w:t>
            </w:r>
          </w:p>
        </w:tc>
      </w:tr>
      <w:tr w:rsidR="00DF32B2" w:rsidRPr="009F0C73" w14:paraId="0E945234" w14:textId="77777777" w:rsidTr="00DF32B2">
        <w:tc>
          <w:tcPr>
            <w:tcW w:w="6635" w:type="dxa"/>
          </w:tcPr>
          <w:p w14:paraId="3BAC7C32" w14:textId="77777777" w:rsidR="00DF32B2" w:rsidRPr="009F0C73" w:rsidRDefault="00DF32B2" w:rsidP="00DF32B2">
            <w:pPr>
              <w:pStyle w:val="DHHStabletext"/>
            </w:pPr>
            <w:r w:rsidRPr="009F0C73">
              <w:t>13.4 New registered clients accessing public mental health services (no access in last five years)</w:t>
            </w:r>
          </w:p>
        </w:tc>
        <w:tc>
          <w:tcPr>
            <w:tcW w:w="1247" w:type="dxa"/>
          </w:tcPr>
          <w:p w14:paraId="6325553E" w14:textId="17AC5E52" w:rsidR="00DF32B2" w:rsidRPr="009F0C73" w:rsidRDefault="00DF32B2" w:rsidP="00DF32B2">
            <w:pPr>
              <w:pStyle w:val="DHHStabletext"/>
            </w:pPr>
            <w:r w:rsidRPr="009F0C73">
              <w:t>3</w:t>
            </w:r>
            <w:r>
              <w:t>6.6</w:t>
            </w:r>
            <w:r w:rsidRPr="009F0C73">
              <w:t>%</w:t>
            </w:r>
          </w:p>
        </w:tc>
        <w:tc>
          <w:tcPr>
            <w:tcW w:w="1290" w:type="dxa"/>
          </w:tcPr>
          <w:p w14:paraId="2A440584" w14:textId="35654129" w:rsidR="00DF32B2" w:rsidRPr="009F0C73" w:rsidRDefault="00DF32B2" w:rsidP="00DF32B2">
            <w:pPr>
              <w:pStyle w:val="DHHStabletext"/>
            </w:pPr>
            <w:r w:rsidRPr="005D3E2D">
              <w:t>2016–17</w:t>
            </w:r>
          </w:p>
        </w:tc>
      </w:tr>
      <w:tr w:rsidR="00DF32B2" w:rsidRPr="009F0C73" w14:paraId="2C8C2C9B" w14:textId="77777777" w:rsidTr="00DF32B2">
        <w:tc>
          <w:tcPr>
            <w:tcW w:w="6635" w:type="dxa"/>
          </w:tcPr>
          <w:p w14:paraId="247B1A7E" w14:textId="79E34A56" w:rsidR="00DF32B2" w:rsidRPr="009F0C73" w:rsidRDefault="00DF32B2" w:rsidP="00DF32B2">
            <w:pPr>
              <w:pStyle w:val="DHHStabletext"/>
            </w:pPr>
            <w:r>
              <w:t xml:space="preserve">13.5 </w:t>
            </w:r>
            <w:r w:rsidRPr="00DF32B2">
              <w:t>Proportion of consumers reporting the effect the service had on their ability to manage</w:t>
            </w:r>
            <w:r>
              <w:t xml:space="preserve"> </w:t>
            </w:r>
            <w:r w:rsidRPr="00DF32B2">
              <w:t>their day-to-day life was very good (28.4%) or excellent (25.2%)</w:t>
            </w:r>
          </w:p>
        </w:tc>
        <w:tc>
          <w:tcPr>
            <w:tcW w:w="1247" w:type="dxa"/>
          </w:tcPr>
          <w:p w14:paraId="21B41B7B" w14:textId="5D7EBD61" w:rsidR="00DF32B2" w:rsidRPr="009F0C73" w:rsidRDefault="00DF32B2" w:rsidP="00DF32B2">
            <w:pPr>
              <w:pStyle w:val="DHHStabletext"/>
            </w:pPr>
            <w:r>
              <w:t>53.36%</w:t>
            </w:r>
          </w:p>
        </w:tc>
        <w:tc>
          <w:tcPr>
            <w:tcW w:w="1290" w:type="dxa"/>
          </w:tcPr>
          <w:p w14:paraId="158F1102" w14:textId="52C66820" w:rsidR="00DF32B2" w:rsidRPr="005D3E2D" w:rsidRDefault="00DF32B2" w:rsidP="00DF32B2">
            <w:pPr>
              <w:pStyle w:val="DHHStabletext"/>
            </w:pPr>
            <w:r>
              <w:t>2016–17</w:t>
            </w:r>
          </w:p>
        </w:tc>
      </w:tr>
    </w:tbl>
    <w:p w14:paraId="6B223FAC" w14:textId="77777777" w:rsidR="007E4F43" w:rsidRPr="009F0C73" w:rsidRDefault="007E4F43" w:rsidP="007E4F43">
      <w:pPr>
        <w:pStyle w:val="DHHStablecaption"/>
      </w:pPr>
      <w:r w:rsidRPr="009F0C73">
        <w:t>14. Services are recovery-oriented, trauma-informed and family-inclusive</w:t>
      </w:r>
    </w:p>
    <w:tbl>
      <w:tblPr>
        <w:tblStyle w:val="TableGrid"/>
        <w:tblW w:w="0" w:type="auto"/>
        <w:tblLook w:val="04A0" w:firstRow="1" w:lastRow="0" w:firstColumn="1" w:lastColumn="0" w:noHBand="0" w:noVBand="1"/>
      </w:tblPr>
      <w:tblGrid>
        <w:gridCol w:w="6635"/>
        <w:gridCol w:w="1247"/>
        <w:gridCol w:w="1290"/>
      </w:tblGrid>
      <w:tr w:rsidR="007E4F43" w:rsidRPr="009F0C73" w14:paraId="48DA726B" w14:textId="77777777" w:rsidTr="00DF32B2">
        <w:trPr>
          <w:tblHeader/>
        </w:trPr>
        <w:tc>
          <w:tcPr>
            <w:tcW w:w="6635" w:type="dxa"/>
          </w:tcPr>
          <w:p w14:paraId="1BF19ED3" w14:textId="77777777" w:rsidR="007E4F43" w:rsidRPr="009F0C73" w:rsidRDefault="007E4F43" w:rsidP="00F178FC">
            <w:pPr>
              <w:pStyle w:val="DHHStablecolhead"/>
            </w:pPr>
            <w:r w:rsidRPr="009F0C73">
              <w:t>Indicator</w:t>
            </w:r>
          </w:p>
        </w:tc>
        <w:tc>
          <w:tcPr>
            <w:tcW w:w="1247" w:type="dxa"/>
          </w:tcPr>
          <w:p w14:paraId="1F66C984" w14:textId="77777777" w:rsidR="007E4F43" w:rsidRPr="009F0C73" w:rsidRDefault="007E4F43" w:rsidP="00F178FC">
            <w:pPr>
              <w:pStyle w:val="DHHStablecolhead"/>
            </w:pPr>
            <w:r w:rsidRPr="009F0C73">
              <w:t>Most current data</w:t>
            </w:r>
          </w:p>
        </w:tc>
        <w:tc>
          <w:tcPr>
            <w:tcW w:w="1290" w:type="dxa"/>
          </w:tcPr>
          <w:p w14:paraId="454D7DA8" w14:textId="77777777" w:rsidR="007E4F43" w:rsidRPr="009F0C73" w:rsidRDefault="007E4F43" w:rsidP="00F178FC">
            <w:pPr>
              <w:pStyle w:val="DHHStablecolhead"/>
            </w:pPr>
            <w:r w:rsidRPr="009F0C73">
              <w:t>Year</w:t>
            </w:r>
          </w:p>
        </w:tc>
      </w:tr>
      <w:tr w:rsidR="00DF32B2" w:rsidRPr="009F0C73" w14:paraId="326BD72D" w14:textId="77777777" w:rsidTr="00DF32B2">
        <w:tc>
          <w:tcPr>
            <w:tcW w:w="6635" w:type="dxa"/>
          </w:tcPr>
          <w:p w14:paraId="7F644B48" w14:textId="77777777" w:rsidR="00DF32B2" w:rsidRPr="009F0C73" w:rsidRDefault="00DF32B2" w:rsidP="00DF32B2">
            <w:pPr>
              <w:pStyle w:val="DHHStabletext"/>
            </w:pPr>
            <w:r w:rsidRPr="009F0C73">
              <w:t>14.1 Proportion of registered clients experiencing stable or improved clinical outcomes (adults)</w:t>
            </w:r>
          </w:p>
        </w:tc>
        <w:tc>
          <w:tcPr>
            <w:tcW w:w="1247" w:type="dxa"/>
          </w:tcPr>
          <w:p w14:paraId="45A9163F" w14:textId="45A20DA0" w:rsidR="00DF32B2" w:rsidRPr="009F0C73" w:rsidRDefault="00DF32B2" w:rsidP="00DF32B2">
            <w:pPr>
              <w:pStyle w:val="DHHStabletext"/>
            </w:pPr>
            <w:r w:rsidRPr="009F0C73">
              <w:t>91</w:t>
            </w:r>
            <w:r w:rsidR="00520DA7">
              <w:t>.0</w:t>
            </w:r>
            <w:r w:rsidRPr="009F0C73">
              <w:t>%</w:t>
            </w:r>
          </w:p>
        </w:tc>
        <w:tc>
          <w:tcPr>
            <w:tcW w:w="1290" w:type="dxa"/>
          </w:tcPr>
          <w:p w14:paraId="02C749EE" w14:textId="20A6B9CD" w:rsidR="00DF32B2" w:rsidRPr="009F0C73" w:rsidRDefault="00DF32B2" w:rsidP="00DF32B2">
            <w:pPr>
              <w:pStyle w:val="DHHStabletext"/>
            </w:pPr>
            <w:r w:rsidRPr="00347AE4">
              <w:t>2016–17</w:t>
            </w:r>
          </w:p>
        </w:tc>
      </w:tr>
      <w:tr w:rsidR="00DF32B2" w:rsidRPr="009F0C73" w14:paraId="3686EC15" w14:textId="77777777" w:rsidTr="00DF32B2">
        <w:tc>
          <w:tcPr>
            <w:tcW w:w="6635" w:type="dxa"/>
          </w:tcPr>
          <w:p w14:paraId="6E2A972A" w14:textId="77777777" w:rsidR="00DF32B2" w:rsidRPr="009F0C73" w:rsidRDefault="00DF32B2" w:rsidP="00DF32B2">
            <w:pPr>
              <w:pStyle w:val="DHHStabletext"/>
            </w:pPr>
            <w:r w:rsidRPr="009F0C73">
              <w:t>14.2 Proportion of registered clients experiencing stable or improved clinical outcomes (CAMHS)</w:t>
            </w:r>
          </w:p>
        </w:tc>
        <w:tc>
          <w:tcPr>
            <w:tcW w:w="1247" w:type="dxa"/>
          </w:tcPr>
          <w:p w14:paraId="72F6117A" w14:textId="5F0138CB" w:rsidR="00DF32B2" w:rsidRPr="009F0C73" w:rsidRDefault="00DF32B2" w:rsidP="00DF32B2">
            <w:pPr>
              <w:pStyle w:val="DHHStabletext"/>
            </w:pPr>
            <w:r w:rsidRPr="009F0C73">
              <w:t>91</w:t>
            </w:r>
            <w:r w:rsidR="00DB2B4B">
              <w:t>.3</w:t>
            </w:r>
            <w:r w:rsidRPr="009F0C73">
              <w:t>%</w:t>
            </w:r>
          </w:p>
        </w:tc>
        <w:tc>
          <w:tcPr>
            <w:tcW w:w="1290" w:type="dxa"/>
          </w:tcPr>
          <w:p w14:paraId="650972D3" w14:textId="3093EB11" w:rsidR="00DF32B2" w:rsidRPr="009F0C73" w:rsidRDefault="00DF32B2" w:rsidP="00DF32B2">
            <w:pPr>
              <w:pStyle w:val="DHHStabletext"/>
            </w:pPr>
            <w:r w:rsidRPr="00347AE4">
              <w:t>2016–17</w:t>
            </w:r>
          </w:p>
        </w:tc>
      </w:tr>
      <w:tr w:rsidR="00DF32B2" w:rsidRPr="009F0C73" w14:paraId="18C278AB" w14:textId="77777777" w:rsidTr="00DF32B2">
        <w:tc>
          <w:tcPr>
            <w:tcW w:w="6635" w:type="dxa"/>
          </w:tcPr>
          <w:p w14:paraId="711BBCE4" w14:textId="77777777" w:rsidR="00DF32B2" w:rsidRPr="009F0C73" w:rsidRDefault="00DF32B2" w:rsidP="00DF32B2">
            <w:pPr>
              <w:pStyle w:val="DHHStabletext"/>
            </w:pPr>
            <w:r w:rsidRPr="009F0C73">
              <w:t>14.3 Proportion of registered clients experiencing stable or improved clinical outcomes (aged persons)</w:t>
            </w:r>
          </w:p>
        </w:tc>
        <w:tc>
          <w:tcPr>
            <w:tcW w:w="1247" w:type="dxa"/>
          </w:tcPr>
          <w:p w14:paraId="502A59CF" w14:textId="25685DEB" w:rsidR="00DF32B2" w:rsidRPr="009F0C73" w:rsidRDefault="00DF32B2" w:rsidP="00DF32B2">
            <w:pPr>
              <w:pStyle w:val="DHHStabletext"/>
            </w:pPr>
            <w:r w:rsidRPr="009F0C73">
              <w:t>9</w:t>
            </w:r>
            <w:r w:rsidR="00DB2B4B">
              <w:t>2.3</w:t>
            </w:r>
            <w:r w:rsidRPr="009F0C73">
              <w:t>%</w:t>
            </w:r>
          </w:p>
        </w:tc>
        <w:tc>
          <w:tcPr>
            <w:tcW w:w="1290" w:type="dxa"/>
          </w:tcPr>
          <w:p w14:paraId="03C43218" w14:textId="62DFA4FD" w:rsidR="00DF32B2" w:rsidRPr="009F0C73" w:rsidRDefault="00DF32B2" w:rsidP="00DF32B2">
            <w:pPr>
              <w:pStyle w:val="DHHStabletext"/>
            </w:pPr>
            <w:r w:rsidRPr="00347AE4">
              <w:t>2016–17</w:t>
            </w:r>
          </w:p>
        </w:tc>
      </w:tr>
      <w:tr w:rsidR="008E0CFE" w:rsidRPr="009F0C73" w14:paraId="70433F2F" w14:textId="77777777" w:rsidTr="00DF32B2">
        <w:tc>
          <w:tcPr>
            <w:tcW w:w="6635" w:type="dxa"/>
          </w:tcPr>
          <w:p w14:paraId="7BDEA399" w14:textId="3E4A2363" w:rsidR="008E0CFE" w:rsidRPr="008E0CFE" w:rsidRDefault="008E0CFE" w:rsidP="008E0CFE">
            <w:pPr>
              <w:pStyle w:val="DHHStabletext"/>
            </w:pPr>
            <w:r w:rsidRPr="008E0CFE">
              <w:rPr>
                <w:rFonts w:eastAsia="VIC-Regular"/>
              </w:rPr>
              <w:t>14.4 Proportion of registered clients experiencing stable or improved clinical outcomes (forensic)</w:t>
            </w:r>
          </w:p>
        </w:tc>
        <w:tc>
          <w:tcPr>
            <w:tcW w:w="1247" w:type="dxa"/>
          </w:tcPr>
          <w:p w14:paraId="273727C9" w14:textId="28DDF578" w:rsidR="008E0CFE" w:rsidRPr="008E0CFE" w:rsidRDefault="008E0CFE" w:rsidP="008E0CFE">
            <w:pPr>
              <w:pStyle w:val="DHHStabletext"/>
            </w:pPr>
            <w:r w:rsidRPr="008E0CFE">
              <w:rPr>
                <w:rFonts w:eastAsia="VIC-Regular"/>
              </w:rPr>
              <w:t>78.6%</w:t>
            </w:r>
          </w:p>
        </w:tc>
        <w:tc>
          <w:tcPr>
            <w:tcW w:w="1290" w:type="dxa"/>
          </w:tcPr>
          <w:p w14:paraId="09FDFF99" w14:textId="3E9603BB" w:rsidR="008E0CFE" w:rsidRPr="008E0CFE" w:rsidRDefault="008E0CFE" w:rsidP="008E0CFE">
            <w:pPr>
              <w:pStyle w:val="DHHStabletext"/>
            </w:pPr>
            <w:r w:rsidRPr="008E0CFE">
              <w:rPr>
                <w:rFonts w:eastAsia="VIC-Regular"/>
              </w:rPr>
              <w:t>201</w:t>
            </w:r>
            <w:r>
              <w:rPr>
                <w:rFonts w:eastAsia="VIC-Regular"/>
              </w:rPr>
              <w:t>6–</w:t>
            </w:r>
            <w:r w:rsidRPr="008E0CFE">
              <w:rPr>
                <w:rFonts w:eastAsia="VIC-Regular"/>
              </w:rPr>
              <w:t>17</w:t>
            </w:r>
          </w:p>
        </w:tc>
      </w:tr>
      <w:tr w:rsidR="008E0CFE" w:rsidRPr="009F0C73" w14:paraId="7960BE8A" w14:textId="77777777" w:rsidTr="00DF32B2">
        <w:tc>
          <w:tcPr>
            <w:tcW w:w="6635" w:type="dxa"/>
          </w:tcPr>
          <w:p w14:paraId="0870A2DB" w14:textId="68A0CD6C" w:rsidR="008E0CFE" w:rsidRPr="008E0CFE" w:rsidRDefault="008E0CFE" w:rsidP="008E0CFE">
            <w:pPr>
              <w:pStyle w:val="DHHStabletext"/>
            </w:pPr>
            <w:r w:rsidRPr="008E0CFE">
              <w:rPr>
                <w:rFonts w:eastAsia="VIC-Regular"/>
              </w:rPr>
              <w:t>14.5 Proportion of registered clients experiencing stable or improved clinical outcomes</w:t>
            </w:r>
            <w:r w:rsidR="00DB2B4B">
              <w:rPr>
                <w:rFonts w:eastAsia="VIC-Regular"/>
              </w:rPr>
              <w:t xml:space="preserve"> (specialist)</w:t>
            </w:r>
          </w:p>
        </w:tc>
        <w:tc>
          <w:tcPr>
            <w:tcW w:w="1247" w:type="dxa"/>
          </w:tcPr>
          <w:p w14:paraId="64244E2C" w14:textId="5784E2B0" w:rsidR="008E0CFE" w:rsidRPr="008E0CFE" w:rsidRDefault="008E0CFE" w:rsidP="008E0CFE">
            <w:pPr>
              <w:pStyle w:val="DHHStabletext"/>
            </w:pPr>
            <w:r>
              <w:t>95.4%</w:t>
            </w:r>
          </w:p>
        </w:tc>
        <w:tc>
          <w:tcPr>
            <w:tcW w:w="1290" w:type="dxa"/>
          </w:tcPr>
          <w:p w14:paraId="5FD7EB0A" w14:textId="7FF1DABA" w:rsidR="008E0CFE" w:rsidRPr="008E0CFE" w:rsidRDefault="008E0CFE" w:rsidP="008E0CFE">
            <w:pPr>
              <w:pStyle w:val="DHHStabletext"/>
            </w:pPr>
            <w:r>
              <w:t>2016–17</w:t>
            </w:r>
          </w:p>
        </w:tc>
      </w:tr>
      <w:tr w:rsidR="008E0CFE" w:rsidRPr="009F0C73" w14:paraId="5441406A" w14:textId="77777777" w:rsidTr="00DF32B2">
        <w:tc>
          <w:tcPr>
            <w:tcW w:w="6635" w:type="dxa"/>
          </w:tcPr>
          <w:p w14:paraId="4D4E2769" w14:textId="5EA10E01" w:rsidR="008E0CFE" w:rsidRPr="008E0CFE" w:rsidRDefault="008E0CFE" w:rsidP="008E0CFE">
            <w:pPr>
              <w:pStyle w:val="DHHStabletext"/>
            </w:pPr>
            <w:r w:rsidRPr="008E0CFE">
              <w:t xml:space="preserve">14.6 </w:t>
            </w:r>
            <w:r w:rsidRPr="008E0CFE">
              <w:rPr>
                <w:rFonts w:eastAsia="VIC-Regular"/>
              </w:rPr>
              <w:t>Proportion of consumers who reported they usually (22.4%) or always (60.1%) had opportunities for family and carers to be involved in their treatment or care if they wanted</w:t>
            </w:r>
          </w:p>
        </w:tc>
        <w:tc>
          <w:tcPr>
            <w:tcW w:w="1247" w:type="dxa"/>
          </w:tcPr>
          <w:p w14:paraId="4A4AD464" w14:textId="2F178209" w:rsidR="008E0CFE" w:rsidRPr="008E0CFE" w:rsidRDefault="008E0CFE" w:rsidP="008E0CFE">
            <w:pPr>
              <w:pStyle w:val="DHHStabletext"/>
            </w:pPr>
            <w:r>
              <w:t>82.5%</w:t>
            </w:r>
          </w:p>
        </w:tc>
        <w:tc>
          <w:tcPr>
            <w:tcW w:w="1290" w:type="dxa"/>
          </w:tcPr>
          <w:p w14:paraId="33C2D3B9" w14:textId="34424D60" w:rsidR="008E0CFE" w:rsidRPr="008E0CFE" w:rsidRDefault="008E0CFE" w:rsidP="008E0CFE">
            <w:pPr>
              <w:pStyle w:val="DHHStabletext"/>
            </w:pPr>
            <w:r>
              <w:t>2016–17</w:t>
            </w:r>
          </w:p>
        </w:tc>
      </w:tr>
    </w:tbl>
    <w:p w14:paraId="779C0991" w14:textId="7BF5A570" w:rsidR="007E4F43" w:rsidRDefault="007E4F43" w:rsidP="007E4F43">
      <w:pPr>
        <w:pStyle w:val="DHHStablecaption"/>
      </w:pPr>
      <w:r w:rsidRPr="009F0C73">
        <w:t>15. Victorians with mental illness, their families and carers are treated with respect by service</w:t>
      </w:r>
      <w:r w:rsidR="00DB2B4B">
        <w:t>s</w:t>
      </w:r>
    </w:p>
    <w:tbl>
      <w:tblPr>
        <w:tblStyle w:val="TableGrid"/>
        <w:tblW w:w="0" w:type="auto"/>
        <w:tblLook w:val="04A0" w:firstRow="1" w:lastRow="0" w:firstColumn="1" w:lastColumn="0" w:noHBand="0" w:noVBand="1"/>
      </w:tblPr>
      <w:tblGrid>
        <w:gridCol w:w="6635"/>
        <w:gridCol w:w="1247"/>
        <w:gridCol w:w="1290"/>
      </w:tblGrid>
      <w:tr w:rsidR="00A6027F" w:rsidRPr="009F0C73" w14:paraId="7CC24D81" w14:textId="77777777" w:rsidTr="00F178FC">
        <w:trPr>
          <w:tblHeader/>
        </w:trPr>
        <w:tc>
          <w:tcPr>
            <w:tcW w:w="6635" w:type="dxa"/>
          </w:tcPr>
          <w:p w14:paraId="7B50334E" w14:textId="77777777" w:rsidR="00A6027F" w:rsidRPr="009F0C73" w:rsidRDefault="00A6027F" w:rsidP="00F178FC">
            <w:pPr>
              <w:pStyle w:val="DHHStablecolhead"/>
            </w:pPr>
            <w:r w:rsidRPr="009F0C73">
              <w:t>Indicator</w:t>
            </w:r>
          </w:p>
        </w:tc>
        <w:tc>
          <w:tcPr>
            <w:tcW w:w="1247" w:type="dxa"/>
          </w:tcPr>
          <w:p w14:paraId="4ECD28C7" w14:textId="77777777" w:rsidR="00A6027F" w:rsidRPr="009F0C73" w:rsidRDefault="00A6027F" w:rsidP="00F178FC">
            <w:pPr>
              <w:pStyle w:val="DHHStablecolhead"/>
            </w:pPr>
            <w:r w:rsidRPr="009F0C73">
              <w:t>Most current data</w:t>
            </w:r>
          </w:p>
        </w:tc>
        <w:tc>
          <w:tcPr>
            <w:tcW w:w="1290" w:type="dxa"/>
          </w:tcPr>
          <w:p w14:paraId="2FA2346F" w14:textId="77777777" w:rsidR="00A6027F" w:rsidRPr="009F0C73" w:rsidRDefault="00A6027F" w:rsidP="00F178FC">
            <w:pPr>
              <w:pStyle w:val="DHHStablecolhead"/>
            </w:pPr>
            <w:r w:rsidRPr="009F0C73">
              <w:t>Year</w:t>
            </w:r>
          </w:p>
        </w:tc>
      </w:tr>
      <w:tr w:rsidR="003A2D8C" w:rsidRPr="009F0C73" w14:paraId="35CAA600" w14:textId="77777777" w:rsidTr="00F178FC">
        <w:tc>
          <w:tcPr>
            <w:tcW w:w="6635" w:type="dxa"/>
          </w:tcPr>
          <w:p w14:paraId="45243D22" w14:textId="77722D35" w:rsidR="003A2D8C" w:rsidRPr="003A2D8C" w:rsidRDefault="003A2D8C" w:rsidP="003A2D8C">
            <w:pPr>
              <w:pStyle w:val="DHHStabletext"/>
            </w:pPr>
            <w:r w:rsidRPr="003A2D8C">
              <w:rPr>
                <w:rFonts w:eastAsia="VIC-Regular"/>
              </w:rPr>
              <w:t>15.1 Proportion of consumers reporting their individuality and values were usually (19.7%) or always (68.3%) respected (such as culture, faith or gender identity)</w:t>
            </w:r>
          </w:p>
        </w:tc>
        <w:tc>
          <w:tcPr>
            <w:tcW w:w="1247" w:type="dxa"/>
          </w:tcPr>
          <w:p w14:paraId="1A4A1127" w14:textId="46E8A021" w:rsidR="003A2D8C" w:rsidRPr="003A2D8C" w:rsidRDefault="003A2D8C" w:rsidP="003A2D8C">
            <w:pPr>
              <w:pStyle w:val="DHHStabletext"/>
            </w:pPr>
            <w:r>
              <w:t>88.0%</w:t>
            </w:r>
          </w:p>
        </w:tc>
        <w:tc>
          <w:tcPr>
            <w:tcW w:w="1290" w:type="dxa"/>
          </w:tcPr>
          <w:p w14:paraId="2680C9CE" w14:textId="77777777" w:rsidR="003A2D8C" w:rsidRPr="009F0C73" w:rsidRDefault="003A2D8C" w:rsidP="003A2D8C">
            <w:pPr>
              <w:pStyle w:val="DHHStabletext"/>
            </w:pPr>
            <w:r w:rsidRPr="00347AE4">
              <w:t>2016–17</w:t>
            </w:r>
          </w:p>
        </w:tc>
      </w:tr>
      <w:tr w:rsidR="003A2D8C" w:rsidRPr="009F0C73" w14:paraId="32BFEB56" w14:textId="77777777" w:rsidTr="00F178FC">
        <w:tc>
          <w:tcPr>
            <w:tcW w:w="6635" w:type="dxa"/>
          </w:tcPr>
          <w:p w14:paraId="3A4F1063" w14:textId="11D1D22F" w:rsidR="003A2D8C" w:rsidRPr="003A2D8C" w:rsidRDefault="003A2D8C" w:rsidP="003A2D8C">
            <w:pPr>
              <w:pStyle w:val="DHHStabletext"/>
            </w:pPr>
            <w:r w:rsidRPr="003A2D8C">
              <w:rPr>
                <w:rFonts w:eastAsia="VIC-Regular"/>
              </w:rPr>
              <w:lastRenderedPageBreak/>
              <w:t>15.2 Proportion of people with a mental illness reporting a care plan was usually (24.2%) or always (38.8%) developed with them that considered all their needs (such as health, living situation, age)</w:t>
            </w:r>
          </w:p>
        </w:tc>
        <w:tc>
          <w:tcPr>
            <w:tcW w:w="1247" w:type="dxa"/>
          </w:tcPr>
          <w:p w14:paraId="06347D43" w14:textId="083C0163" w:rsidR="003A2D8C" w:rsidRPr="003A2D8C" w:rsidRDefault="003A2D8C" w:rsidP="003A2D8C">
            <w:pPr>
              <w:pStyle w:val="DHHStabletext"/>
            </w:pPr>
            <w:r>
              <w:t>63.0%</w:t>
            </w:r>
          </w:p>
        </w:tc>
        <w:tc>
          <w:tcPr>
            <w:tcW w:w="1290" w:type="dxa"/>
          </w:tcPr>
          <w:p w14:paraId="26B617E8" w14:textId="77777777" w:rsidR="003A2D8C" w:rsidRPr="009F0C73" w:rsidRDefault="003A2D8C" w:rsidP="003A2D8C">
            <w:pPr>
              <w:pStyle w:val="DHHStabletext"/>
            </w:pPr>
            <w:r w:rsidRPr="00347AE4">
              <w:t>2016–17</w:t>
            </w:r>
          </w:p>
        </w:tc>
      </w:tr>
    </w:tbl>
    <w:p w14:paraId="3827EA86" w14:textId="77777777" w:rsidR="007E4F43" w:rsidRPr="009F0C73" w:rsidRDefault="007E4F43" w:rsidP="007E4F43">
      <w:pPr>
        <w:pStyle w:val="DHHStablecaption"/>
      </w:pPr>
      <w:r w:rsidRPr="009F0C73">
        <w:t>16. Services are safe, of high quality, offer choice and provide a positive service experience</w:t>
      </w:r>
    </w:p>
    <w:tbl>
      <w:tblPr>
        <w:tblStyle w:val="TableGrid"/>
        <w:tblW w:w="0" w:type="auto"/>
        <w:tblLook w:val="04A0" w:firstRow="1" w:lastRow="0" w:firstColumn="1" w:lastColumn="0" w:noHBand="0" w:noVBand="1"/>
      </w:tblPr>
      <w:tblGrid>
        <w:gridCol w:w="6635"/>
        <w:gridCol w:w="1247"/>
        <w:gridCol w:w="1290"/>
      </w:tblGrid>
      <w:tr w:rsidR="007E4F43" w:rsidRPr="009F0C73" w14:paraId="3B1E5873" w14:textId="77777777" w:rsidTr="00A6027F">
        <w:trPr>
          <w:tblHeader/>
        </w:trPr>
        <w:tc>
          <w:tcPr>
            <w:tcW w:w="6635" w:type="dxa"/>
          </w:tcPr>
          <w:p w14:paraId="6E5CF16A" w14:textId="77777777" w:rsidR="007E4F43" w:rsidRPr="009F0C73" w:rsidRDefault="007E4F43" w:rsidP="00F178FC">
            <w:pPr>
              <w:pStyle w:val="DHHStablecolhead"/>
            </w:pPr>
            <w:r w:rsidRPr="009F0C73">
              <w:t>Indicator</w:t>
            </w:r>
          </w:p>
        </w:tc>
        <w:tc>
          <w:tcPr>
            <w:tcW w:w="1247" w:type="dxa"/>
          </w:tcPr>
          <w:p w14:paraId="7EA66E6F" w14:textId="77777777" w:rsidR="007E4F43" w:rsidRPr="009F0C73" w:rsidRDefault="007E4F43" w:rsidP="00F178FC">
            <w:pPr>
              <w:pStyle w:val="DHHStablecolhead"/>
            </w:pPr>
            <w:r w:rsidRPr="009F0C73">
              <w:t>Most current data</w:t>
            </w:r>
          </w:p>
        </w:tc>
        <w:tc>
          <w:tcPr>
            <w:tcW w:w="1290" w:type="dxa"/>
          </w:tcPr>
          <w:p w14:paraId="51E78D23" w14:textId="77777777" w:rsidR="007E4F43" w:rsidRPr="009F0C73" w:rsidRDefault="007E4F43" w:rsidP="00F178FC">
            <w:pPr>
              <w:pStyle w:val="DHHStablecolhead"/>
            </w:pPr>
            <w:r w:rsidRPr="009F0C73">
              <w:t>Year</w:t>
            </w:r>
          </w:p>
        </w:tc>
      </w:tr>
      <w:tr w:rsidR="00A6027F" w:rsidRPr="009F0C73" w14:paraId="41726B93" w14:textId="77777777" w:rsidTr="00A6027F">
        <w:tc>
          <w:tcPr>
            <w:tcW w:w="6635" w:type="dxa"/>
          </w:tcPr>
          <w:p w14:paraId="1633FA5D" w14:textId="77777777" w:rsidR="00A6027F" w:rsidRPr="009F0C73" w:rsidRDefault="00A6027F" w:rsidP="00A6027F">
            <w:pPr>
              <w:pStyle w:val="DHHStabletext"/>
            </w:pPr>
            <w:r w:rsidRPr="009F0C73">
              <w:t>16.1 Rate of seclusion episodes per 1,000 occupied bed days (inpatient)</w:t>
            </w:r>
          </w:p>
        </w:tc>
        <w:tc>
          <w:tcPr>
            <w:tcW w:w="1247" w:type="dxa"/>
          </w:tcPr>
          <w:p w14:paraId="6318794E" w14:textId="4AD0277D" w:rsidR="00A6027F" w:rsidRPr="009F0C73" w:rsidRDefault="00845048" w:rsidP="00A6027F">
            <w:pPr>
              <w:pStyle w:val="DHHStabletext"/>
            </w:pPr>
            <w:r>
              <w:t>9.9</w:t>
            </w:r>
          </w:p>
        </w:tc>
        <w:tc>
          <w:tcPr>
            <w:tcW w:w="1290" w:type="dxa"/>
          </w:tcPr>
          <w:p w14:paraId="3CF29607" w14:textId="288BF475" w:rsidR="00A6027F" w:rsidRPr="009F0C73" w:rsidRDefault="00A6027F" w:rsidP="00A6027F">
            <w:pPr>
              <w:pStyle w:val="DHHStabletext"/>
            </w:pPr>
            <w:r w:rsidRPr="00837EA3">
              <w:t>2016–17</w:t>
            </w:r>
          </w:p>
        </w:tc>
      </w:tr>
      <w:tr w:rsidR="00A6027F" w:rsidRPr="009F0C73" w14:paraId="7EAC7420" w14:textId="77777777" w:rsidTr="00A6027F">
        <w:tc>
          <w:tcPr>
            <w:tcW w:w="6635" w:type="dxa"/>
          </w:tcPr>
          <w:p w14:paraId="5D95C8DB" w14:textId="77777777" w:rsidR="00A6027F" w:rsidRPr="009F0C73" w:rsidRDefault="00A6027F" w:rsidP="00A6027F">
            <w:pPr>
              <w:pStyle w:val="DHHStabletext"/>
            </w:pPr>
            <w:r w:rsidRPr="009F0C73">
              <w:t>16.2 Rate of bodily restraint episodes per 1,000 occupied bed days (inpatient)</w:t>
            </w:r>
          </w:p>
        </w:tc>
        <w:tc>
          <w:tcPr>
            <w:tcW w:w="1247" w:type="dxa"/>
          </w:tcPr>
          <w:p w14:paraId="56476D52" w14:textId="09B4A968" w:rsidR="00A6027F" w:rsidRPr="009F0C73" w:rsidRDefault="00845048" w:rsidP="00A6027F">
            <w:pPr>
              <w:pStyle w:val="DHHStabletext"/>
            </w:pPr>
            <w:r>
              <w:t>19.0</w:t>
            </w:r>
          </w:p>
        </w:tc>
        <w:tc>
          <w:tcPr>
            <w:tcW w:w="1290" w:type="dxa"/>
          </w:tcPr>
          <w:p w14:paraId="0D39D4FC" w14:textId="2A774982" w:rsidR="00A6027F" w:rsidRPr="009F0C73" w:rsidRDefault="00A6027F" w:rsidP="00A6027F">
            <w:pPr>
              <w:pStyle w:val="DHHStabletext"/>
            </w:pPr>
            <w:r w:rsidRPr="00837EA3">
              <w:t>2016–17</w:t>
            </w:r>
          </w:p>
        </w:tc>
      </w:tr>
      <w:tr w:rsidR="00A6027F" w:rsidRPr="009F0C73" w14:paraId="5F23966E" w14:textId="77777777" w:rsidTr="00A6027F">
        <w:tc>
          <w:tcPr>
            <w:tcW w:w="6635" w:type="dxa"/>
          </w:tcPr>
          <w:p w14:paraId="38EFF2C0" w14:textId="77777777" w:rsidR="00A6027F" w:rsidRPr="009F0C73" w:rsidRDefault="00A6027F" w:rsidP="00A6027F">
            <w:pPr>
              <w:pStyle w:val="DHHStabletext"/>
            </w:pPr>
            <w:r w:rsidRPr="009F0C73">
              <w:t>16.3 Proportion of community cases with client on a treatment order</w:t>
            </w:r>
          </w:p>
        </w:tc>
        <w:tc>
          <w:tcPr>
            <w:tcW w:w="1247" w:type="dxa"/>
          </w:tcPr>
          <w:p w14:paraId="684084CB" w14:textId="16E31544" w:rsidR="00A6027F" w:rsidRPr="009F0C73" w:rsidRDefault="00845048" w:rsidP="00A6027F">
            <w:pPr>
              <w:pStyle w:val="DHHStabletext"/>
            </w:pPr>
            <w:r>
              <w:t>11.0%</w:t>
            </w:r>
          </w:p>
        </w:tc>
        <w:tc>
          <w:tcPr>
            <w:tcW w:w="1290" w:type="dxa"/>
          </w:tcPr>
          <w:p w14:paraId="0E333FCF" w14:textId="1EF172C5" w:rsidR="00A6027F" w:rsidRPr="009F0C73" w:rsidRDefault="00A6027F" w:rsidP="00A6027F">
            <w:pPr>
              <w:pStyle w:val="DHHStabletext"/>
            </w:pPr>
            <w:r w:rsidRPr="00837EA3">
              <w:t>2016–17</w:t>
            </w:r>
          </w:p>
        </w:tc>
      </w:tr>
      <w:tr w:rsidR="00A6027F" w:rsidRPr="009F0C73" w14:paraId="5430FDFA" w14:textId="77777777" w:rsidTr="00A6027F">
        <w:tc>
          <w:tcPr>
            <w:tcW w:w="6635" w:type="dxa"/>
          </w:tcPr>
          <w:p w14:paraId="734ED692" w14:textId="77777777" w:rsidR="00A6027F" w:rsidRPr="00845048" w:rsidRDefault="00A6027F" w:rsidP="00845048">
            <w:pPr>
              <w:pStyle w:val="DHHStabletext"/>
            </w:pPr>
            <w:r w:rsidRPr="00845048">
              <w:t>16.4 Proportion of inpatient admissions that are compulsory</w:t>
            </w:r>
          </w:p>
        </w:tc>
        <w:tc>
          <w:tcPr>
            <w:tcW w:w="1247" w:type="dxa"/>
          </w:tcPr>
          <w:p w14:paraId="328A8C5C" w14:textId="125AE5BA" w:rsidR="00A6027F" w:rsidRPr="00845048" w:rsidRDefault="00845048" w:rsidP="00845048">
            <w:pPr>
              <w:pStyle w:val="DHHStabletext"/>
            </w:pPr>
            <w:r>
              <w:t>51.5%</w:t>
            </w:r>
          </w:p>
        </w:tc>
        <w:tc>
          <w:tcPr>
            <w:tcW w:w="1290" w:type="dxa"/>
          </w:tcPr>
          <w:p w14:paraId="08377FDD" w14:textId="588C2F2F" w:rsidR="00A6027F" w:rsidRPr="009F0C73" w:rsidRDefault="00A6027F" w:rsidP="00A6027F">
            <w:pPr>
              <w:pStyle w:val="DHHStabletext"/>
            </w:pPr>
            <w:r w:rsidRPr="00837EA3">
              <w:t>2016–17</w:t>
            </w:r>
          </w:p>
        </w:tc>
      </w:tr>
      <w:tr w:rsidR="00A6027F" w:rsidRPr="009F0C73" w14:paraId="6C58A492" w14:textId="77777777" w:rsidTr="00A6027F">
        <w:tc>
          <w:tcPr>
            <w:tcW w:w="6635" w:type="dxa"/>
          </w:tcPr>
          <w:p w14:paraId="72297483" w14:textId="19947700" w:rsidR="00A6027F" w:rsidRPr="00845048" w:rsidRDefault="00A6027F" w:rsidP="00845048">
            <w:pPr>
              <w:pStyle w:val="DHHStabletext"/>
            </w:pPr>
            <w:r w:rsidRPr="00845048">
              <w:rPr>
                <w:rFonts w:eastAsia="VIC-Regular"/>
              </w:rPr>
              <w:t>16.5 Average duration (days) of a period of compulsory treatment</w:t>
            </w:r>
          </w:p>
        </w:tc>
        <w:tc>
          <w:tcPr>
            <w:tcW w:w="1247" w:type="dxa"/>
          </w:tcPr>
          <w:p w14:paraId="3B67A8CC" w14:textId="3812B2CF" w:rsidR="00A6027F" w:rsidRPr="00845048" w:rsidRDefault="00845048" w:rsidP="00845048">
            <w:pPr>
              <w:pStyle w:val="DHHStabletext"/>
            </w:pPr>
            <w:r>
              <w:t>64.2</w:t>
            </w:r>
          </w:p>
        </w:tc>
        <w:tc>
          <w:tcPr>
            <w:tcW w:w="1290" w:type="dxa"/>
          </w:tcPr>
          <w:p w14:paraId="12C36078" w14:textId="14FB07F3" w:rsidR="00A6027F" w:rsidRPr="009F0C73" w:rsidRDefault="00A6027F" w:rsidP="00A6027F">
            <w:pPr>
              <w:pStyle w:val="DHHStabletext"/>
            </w:pPr>
            <w:r w:rsidRPr="00837EA3">
              <w:t>2016–17</w:t>
            </w:r>
          </w:p>
        </w:tc>
      </w:tr>
      <w:tr w:rsidR="00A6027F" w:rsidRPr="009F0C73" w14:paraId="29C49428" w14:textId="77777777" w:rsidTr="00A6027F">
        <w:tc>
          <w:tcPr>
            <w:tcW w:w="6635" w:type="dxa"/>
          </w:tcPr>
          <w:p w14:paraId="2E093730" w14:textId="524D86F2" w:rsidR="00A6027F" w:rsidRPr="00845048" w:rsidRDefault="00A6027F" w:rsidP="00845048">
            <w:pPr>
              <w:pStyle w:val="DHHStabletext"/>
            </w:pPr>
            <w:r w:rsidRPr="00845048">
              <w:rPr>
                <w:rFonts w:eastAsia="VIC-Regular"/>
              </w:rPr>
              <w:t>16.6 Proportion of consumers who rated their experience of care with a service in the last</w:t>
            </w:r>
            <w:r w:rsidR="00845048" w:rsidRPr="00845048">
              <w:rPr>
                <w:rFonts w:eastAsia="VIC-Regular"/>
              </w:rPr>
              <w:t xml:space="preserve"> three months as very good (28.1%) or excellent (37.1%)</w:t>
            </w:r>
          </w:p>
        </w:tc>
        <w:tc>
          <w:tcPr>
            <w:tcW w:w="1247" w:type="dxa"/>
          </w:tcPr>
          <w:p w14:paraId="32970A06" w14:textId="3FD35645" w:rsidR="00A6027F" w:rsidRPr="00845048" w:rsidRDefault="00845048" w:rsidP="00845048">
            <w:pPr>
              <w:pStyle w:val="DHHStabletext"/>
            </w:pPr>
            <w:r>
              <w:t>65.1%</w:t>
            </w:r>
          </w:p>
        </w:tc>
        <w:tc>
          <w:tcPr>
            <w:tcW w:w="1290" w:type="dxa"/>
          </w:tcPr>
          <w:p w14:paraId="67685CFF" w14:textId="7D6CC200" w:rsidR="00A6027F" w:rsidRPr="009F0C73" w:rsidRDefault="00A6027F" w:rsidP="00A6027F">
            <w:pPr>
              <w:pStyle w:val="DHHStabletext"/>
            </w:pPr>
            <w:r w:rsidRPr="00837EA3">
              <w:t>2016–17</w:t>
            </w:r>
          </w:p>
        </w:tc>
      </w:tr>
      <w:tr w:rsidR="00A6027F" w:rsidRPr="009F0C73" w14:paraId="5E72547B" w14:textId="77777777" w:rsidTr="00A6027F">
        <w:tc>
          <w:tcPr>
            <w:tcW w:w="6635" w:type="dxa"/>
          </w:tcPr>
          <w:p w14:paraId="329FBCC6" w14:textId="7E36299B" w:rsidR="00A6027F" w:rsidRPr="00845048" w:rsidRDefault="00845048" w:rsidP="00845048">
            <w:pPr>
              <w:pStyle w:val="DHHStabletext"/>
            </w:pPr>
            <w:r w:rsidRPr="00845048">
              <w:rPr>
                <w:rFonts w:eastAsia="VIC-Regular"/>
              </w:rPr>
              <w:t>16.7 Proportion of consumers reporting the effect the service had on their overall wellbeing was very good (28.4%) or excellent (27.9%)</w:t>
            </w:r>
          </w:p>
        </w:tc>
        <w:tc>
          <w:tcPr>
            <w:tcW w:w="1247" w:type="dxa"/>
          </w:tcPr>
          <w:p w14:paraId="3519CA47" w14:textId="60346A32" w:rsidR="00A6027F" w:rsidRPr="00845048" w:rsidRDefault="00845048" w:rsidP="00845048">
            <w:pPr>
              <w:pStyle w:val="DHHStabletext"/>
            </w:pPr>
            <w:r>
              <w:t>56.3%</w:t>
            </w:r>
          </w:p>
        </w:tc>
        <w:tc>
          <w:tcPr>
            <w:tcW w:w="1290" w:type="dxa"/>
          </w:tcPr>
          <w:p w14:paraId="3971D12C" w14:textId="505B7A34" w:rsidR="00A6027F" w:rsidRPr="009F0C73" w:rsidRDefault="00A6027F" w:rsidP="00A6027F">
            <w:pPr>
              <w:pStyle w:val="DHHStabletext"/>
            </w:pPr>
            <w:r w:rsidRPr="00837EA3">
              <w:t>2016–17</w:t>
            </w:r>
          </w:p>
        </w:tc>
      </w:tr>
    </w:tbl>
    <w:p w14:paraId="03C3DC8E" w14:textId="2F15B9B2" w:rsidR="004E24F2" w:rsidRPr="009C2EFA" w:rsidRDefault="004E24F2" w:rsidP="009C2EFA">
      <w:pPr>
        <w:pStyle w:val="DHHStablefigurenote"/>
      </w:pPr>
      <w:r w:rsidRPr="009C2EFA">
        <w:t>¥ The sampling approach used in the Victorian Population Health Survey changed in 2015 to include mobile phone users as well as people with landlines. Direct comparisons of this data with previous years are problematic and should not be made.</w:t>
      </w:r>
      <w:r w:rsidR="009C2EFA" w:rsidRPr="009C2EFA">
        <w:t xml:space="preserve"> </w:t>
      </w:r>
      <w:r w:rsidRPr="009C2EFA">
        <w:t>Note that some data may not sum due to rounding</w:t>
      </w:r>
    </w:p>
    <w:p w14:paraId="22313F7A" w14:textId="77777777" w:rsidR="00617924" w:rsidRDefault="00617924">
      <w:pPr>
        <w:rPr>
          <w:rFonts w:ascii="Arial" w:eastAsia="Times" w:hAnsi="Arial"/>
        </w:rPr>
      </w:pPr>
      <w:r>
        <w:br w:type="page"/>
      </w:r>
    </w:p>
    <w:p w14:paraId="6EADE95D" w14:textId="0634A998" w:rsidR="007B1263" w:rsidRDefault="00617924" w:rsidP="00617924">
      <w:pPr>
        <w:pStyle w:val="Heading1"/>
      </w:pPr>
      <w:bookmarkStart w:id="37" w:name="_Toc28340211"/>
      <w:r>
        <w:lastRenderedPageBreak/>
        <w:t xml:space="preserve">Appendix </w:t>
      </w:r>
      <w:r w:rsidR="007B1263">
        <w:t>2: P</w:t>
      </w:r>
      <w:r>
        <w:t>ublic mental health service data</w:t>
      </w:r>
      <w:bookmarkEnd w:id="37"/>
    </w:p>
    <w:p w14:paraId="281EE8F9" w14:textId="77777777" w:rsidR="007B1263" w:rsidRDefault="007B1263" w:rsidP="007B1263">
      <w:pPr>
        <w:pStyle w:val="DHHSbody"/>
      </w:pPr>
      <w:r>
        <w:t>Most of the data in this appendix is drawn from the Mental Health Client Management Information (CMI)/Operational Data Store (ODS). The CMI/ODS is a real-time reporting system that mental health service providers are constantly updating. For this reason, there may be small differences in reported data, and between annual reports for subsequent years, as the system is not static.</w:t>
      </w:r>
    </w:p>
    <w:p w14:paraId="530C197A" w14:textId="6174E531" w:rsidR="007B1263" w:rsidRDefault="007B1263" w:rsidP="007B1263">
      <w:pPr>
        <w:pStyle w:val="DHHSbody"/>
      </w:pPr>
      <w:r>
        <w:t>Other collections from which this appendix draws include the Mental Health Establishments (MHE) National Minimum Dataset and the Mental Health Community Support Services Collection. It should be noted that different data collections may use different deﬁnitions and varying inclusion and exclusion criteria and may disaggregate data in different ways.</w:t>
      </w:r>
    </w:p>
    <w:p w14:paraId="123A43C0" w14:textId="2F6A5230" w:rsidR="007B1263" w:rsidRDefault="007B1263" w:rsidP="007B1263">
      <w:pPr>
        <w:pStyle w:val="DHHSbody"/>
      </w:pPr>
      <w:r>
        <w:t>Data sourced from CMI/ODS with most recent update of: 04/08/2017.</w:t>
      </w:r>
    </w:p>
    <w:p w14:paraId="29703B90" w14:textId="77777777" w:rsidR="00FA1FEE" w:rsidRPr="009F0C73" w:rsidRDefault="00FA1FEE" w:rsidP="00FA1FEE">
      <w:pPr>
        <w:pStyle w:val="DHHStablecaption"/>
      </w:pPr>
      <w:r w:rsidRPr="009F0C73">
        <w:t>Whole population</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6"/>
        <w:gridCol w:w="1372"/>
        <w:gridCol w:w="1373"/>
        <w:gridCol w:w="1373"/>
      </w:tblGrid>
      <w:tr w:rsidR="00FA1FEE" w:rsidRPr="009F0C73" w14:paraId="5E15A3C3" w14:textId="77777777" w:rsidTr="00FA1FEE">
        <w:trPr>
          <w:tblHeader/>
        </w:trPr>
        <w:tc>
          <w:tcPr>
            <w:tcW w:w="5066" w:type="dxa"/>
          </w:tcPr>
          <w:p w14:paraId="51A9BFC7" w14:textId="77777777" w:rsidR="00FA1FEE" w:rsidRPr="009F0C73" w:rsidRDefault="00FA1FEE" w:rsidP="00FA1FEE">
            <w:pPr>
              <w:pStyle w:val="DHHStablecolhead"/>
            </w:pPr>
            <w:r w:rsidRPr="009F0C73">
              <w:t>Measure</w:t>
            </w:r>
          </w:p>
        </w:tc>
        <w:tc>
          <w:tcPr>
            <w:tcW w:w="1372" w:type="dxa"/>
          </w:tcPr>
          <w:p w14:paraId="782F2588" w14:textId="35B36E51" w:rsidR="00FA1FEE" w:rsidRPr="009F0C73" w:rsidRDefault="00FA1FEE" w:rsidP="00FA1FEE">
            <w:pPr>
              <w:pStyle w:val="DHHStablecolhead"/>
            </w:pPr>
            <w:r w:rsidRPr="009F0C73">
              <w:t>2014–15</w:t>
            </w:r>
          </w:p>
        </w:tc>
        <w:tc>
          <w:tcPr>
            <w:tcW w:w="1373" w:type="dxa"/>
          </w:tcPr>
          <w:p w14:paraId="43BFD65B" w14:textId="5BE773D9" w:rsidR="00FA1FEE" w:rsidRPr="009F0C73" w:rsidRDefault="00FA1FEE" w:rsidP="00FA1FEE">
            <w:pPr>
              <w:pStyle w:val="DHHStablecolhead"/>
            </w:pPr>
            <w:r w:rsidRPr="009F0C73">
              <w:t>2015–16</w:t>
            </w:r>
          </w:p>
        </w:tc>
        <w:tc>
          <w:tcPr>
            <w:tcW w:w="1373" w:type="dxa"/>
          </w:tcPr>
          <w:p w14:paraId="318F35F4" w14:textId="226CC24E" w:rsidR="00FA1FEE" w:rsidRPr="009F0C73" w:rsidRDefault="00FA1FEE" w:rsidP="00FA1FEE">
            <w:pPr>
              <w:pStyle w:val="DHHStablecolhead"/>
            </w:pPr>
            <w:r w:rsidRPr="009F0C73">
              <w:t>201</w:t>
            </w:r>
            <w:r>
              <w:t>6</w:t>
            </w:r>
            <w:r w:rsidRPr="009F0C73">
              <w:t>–1</w:t>
            </w:r>
            <w:r>
              <w:t>7</w:t>
            </w:r>
          </w:p>
        </w:tc>
      </w:tr>
      <w:tr w:rsidR="00FA1FEE" w:rsidRPr="009F0C73" w14:paraId="655BF24B" w14:textId="77777777" w:rsidTr="00FA1FEE">
        <w:tc>
          <w:tcPr>
            <w:tcW w:w="5066" w:type="dxa"/>
          </w:tcPr>
          <w:p w14:paraId="7F384CAC" w14:textId="2FE7CF7F" w:rsidR="00FA1FEE" w:rsidRPr="009F0C73" w:rsidRDefault="00FA1FEE" w:rsidP="000C085E">
            <w:pPr>
              <w:pStyle w:val="DHHStabletext"/>
            </w:pPr>
            <w:r w:rsidRPr="009F0C73">
              <w:t>Total estimated residential population in Victoria (based on mental health area) (</w:t>
            </w:r>
            <w:r w:rsidR="00DB2B4B">
              <w:t>‘000</w:t>
            </w:r>
            <w:r w:rsidRPr="009F0C73">
              <w:t>)</w:t>
            </w:r>
          </w:p>
        </w:tc>
        <w:tc>
          <w:tcPr>
            <w:tcW w:w="1372" w:type="dxa"/>
          </w:tcPr>
          <w:p w14:paraId="2DE264B6" w14:textId="2B4DE48B" w:rsidR="00FA1FEE" w:rsidRPr="009F0C73" w:rsidRDefault="00FA1FEE" w:rsidP="000C085E">
            <w:pPr>
              <w:pStyle w:val="DHHStabletext"/>
            </w:pPr>
            <w:r>
              <w:t>5,951</w:t>
            </w:r>
          </w:p>
        </w:tc>
        <w:tc>
          <w:tcPr>
            <w:tcW w:w="1373" w:type="dxa"/>
          </w:tcPr>
          <w:p w14:paraId="613E6844" w14:textId="3BA6E1CE" w:rsidR="00FA1FEE" w:rsidRPr="009F0C73" w:rsidRDefault="00FA1FEE" w:rsidP="000C085E">
            <w:pPr>
              <w:pStyle w:val="DHHStabletext"/>
            </w:pPr>
            <w:r>
              <w:t>6,059</w:t>
            </w:r>
          </w:p>
        </w:tc>
        <w:tc>
          <w:tcPr>
            <w:tcW w:w="1373" w:type="dxa"/>
          </w:tcPr>
          <w:p w14:paraId="3232E3DA" w14:textId="76612360" w:rsidR="00FA1FEE" w:rsidRPr="009F0C73" w:rsidRDefault="00FA1FEE" w:rsidP="000C085E">
            <w:pPr>
              <w:pStyle w:val="DHHStabletext"/>
            </w:pPr>
            <w:r w:rsidRPr="009F0C73">
              <w:t>6</w:t>
            </w:r>
            <w:r>
              <w:t>,168</w:t>
            </w:r>
          </w:p>
        </w:tc>
      </w:tr>
    </w:tbl>
    <w:p w14:paraId="136B07C2" w14:textId="77777777" w:rsidR="00FA1FEE" w:rsidRPr="009F0C73" w:rsidRDefault="00FA1FEE" w:rsidP="00FA1FEE">
      <w:pPr>
        <w:pStyle w:val="DHHStablecaption"/>
      </w:pPr>
      <w:r w:rsidRPr="009F0C73">
        <w:t>People accessing mental health services</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7"/>
        <w:gridCol w:w="1373"/>
        <w:gridCol w:w="1372"/>
        <w:gridCol w:w="1372"/>
      </w:tblGrid>
      <w:tr w:rsidR="00FA1FEE" w:rsidRPr="009F0C73" w14:paraId="6AB9610B" w14:textId="77777777" w:rsidTr="00FA1FEE">
        <w:trPr>
          <w:tblHeader/>
        </w:trPr>
        <w:tc>
          <w:tcPr>
            <w:tcW w:w="5067" w:type="dxa"/>
          </w:tcPr>
          <w:p w14:paraId="0C154F28" w14:textId="77777777" w:rsidR="00FA1FEE" w:rsidRPr="009F0C73" w:rsidRDefault="00FA1FEE" w:rsidP="00FA1FEE">
            <w:pPr>
              <w:pStyle w:val="DHHStablecolhead"/>
            </w:pPr>
            <w:r w:rsidRPr="009F0C73">
              <w:t>Measure</w:t>
            </w:r>
          </w:p>
        </w:tc>
        <w:tc>
          <w:tcPr>
            <w:tcW w:w="1373" w:type="dxa"/>
          </w:tcPr>
          <w:p w14:paraId="288A756B" w14:textId="77D76736" w:rsidR="00FA1FEE" w:rsidRPr="009F0C73" w:rsidRDefault="00FA1FEE" w:rsidP="00FA1FEE">
            <w:pPr>
              <w:pStyle w:val="DHHStablecolhead"/>
            </w:pPr>
            <w:r w:rsidRPr="009F0C73">
              <w:t>2014–15</w:t>
            </w:r>
          </w:p>
        </w:tc>
        <w:tc>
          <w:tcPr>
            <w:tcW w:w="1372" w:type="dxa"/>
          </w:tcPr>
          <w:p w14:paraId="62C75313" w14:textId="0814CA86" w:rsidR="00FA1FEE" w:rsidRPr="009F0C73" w:rsidRDefault="00FA1FEE" w:rsidP="00FA1FEE">
            <w:pPr>
              <w:pStyle w:val="DHHStablecolhead"/>
            </w:pPr>
            <w:r w:rsidRPr="009F0C73">
              <w:t>2015–16</w:t>
            </w:r>
          </w:p>
        </w:tc>
        <w:tc>
          <w:tcPr>
            <w:tcW w:w="1372" w:type="dxa"/>
          </w:tcPr>
          <w:p w14:paraId="13CAEB81" w14:textId="5135FBAF" w:rsidR="00FA1FEE" w:rsidRPr="009F0C73" w:rsidRDefault="00FA1FEE" w:rsidP="00FA1FEE">
            <w:pPr>
              <w:pStyle w:val="DHHStablecolhead"/>
            </w:pPr>
            <w:r w:rsidRPr="009F0C73">
              <w:t>201</w:t>
            </w:r>
            <w:r>
              <w:t>6</w:t>
            </w:r>
            <w:r w:rsidRPr="009F0C73">
              <w:t>–1</w:t>
            </w:r>
            <w:r>
              <w:t>7</w:t>
            </w:r>
          </w:p>
        </w:tc>
      </w:tr>
      <w:tr w:rsidR="00FA1FEE" w:rsidRPr="009F0C73" w14:paraId="6578907B" w14:textId="77777777" w:rsidTr="00FA1FEE">
        <w:tc>
          <w:tcPr>
            <w:tcW w:w="5067" w:type="dxa"/>
          </w:tcPr>
          <w:p w14:paraId="64CCD124" w14:textId="77777777" w:rsidR="00FA1FEE" w:rsidRPr="009F0C73" w:rsidRDefault="00FA1FEE" w:rsidP="00FA1FEE">
            <w:pPr>
              <w:pStyle w:val="DHHStabletext"/>
            </w:pPr>
            <w:r w:rsidRPr="009F0C73">
              <w:t>Mental health-related emergency department presentations</w:t>
            </w:r>
          </w:p>
        </w:tc>
        <w:tc>
          <w:tcPr>
            <w:tcW w:w="1373" w:type="dxa"/>
          </w:tcPr>
          <w:p w14:paraId="20802C5E" w14:textId="1B73F1E0" w:rsidR="00FA1FEE" w:rsidRPr="009F0C73" w:rsidRDefault="00FA1FEE" w:rsidP="00FA1FEE">
            <w:pPr>
              <w:pStyle w:val="DHHStabletext"/>
            </w:pPr>
            <w:r w:rsidRPr="009F0C73">
              <w:t>47,231</w:t>
            </w:r>
          </w:p>
        </w:tc>
        <w:tc>
          <w:tcPr>
            <w:tcW w:w="1372" w:type="dxa"/>
          </w:tcPr>
          <w:p w14:paraId="7032E744" w14:textId="6B100DC8" w:rsidR="00FA1FEE" w:rsidRPr="009F0C73" w:rsidRDefault="00FA1FEE" w:rsidP="00FA1FEE">
            <w:pPr>
              <w:pStyle w:val="DHHStabletext"/>
            </w:pPr>
            <w:r w:rsidRPr="009F0C73">
              <w:t>51,</w:t>
            </w:r>
            <w:r w:rsidR="00DB2B4B" w:rsidRPr="009F0C73">
              <w:t>6</w:t>
            </w:r>
            <w:r w:rsidR="00DB2B4B">
              <w:t>68</w:t>
            </w:r>
          </w:p>
        </w:tc>
        <w:tc>
          <w:tcPr>
            <w:tcW w:w="1372" w:type="dxa"/>
          </w:tcPr>
          <w:p w14:paraId="6BDF02BA" w14:textId="794AB6D0" w:rsidR="00FA1FEE" w:rsidRPr="009F0C73" w:rsidRDefault="00FA1FEE" w:rsidP="00FA1FEE">
            <w:pPr>
              <w:pStyle w:val="DHHStabletext"/>
            </w:pPr>
            <w:r>
              <w:t>52,427</w:t>
            </w:r>
          </w:p>
        </w:tc>
      </w:tr>
      <w:tr w:rsidR="00FA1FEE" w:rsidRPr="009F0C73" w14:paraId="1E9C2848" w14:textId="77777777" w:rsidTr="00FA1FEE">
        <w:tc>
          <w:tcPr>
            <w:tcW w:w="5067" w:type="dxa"/>
          </w:tcPr>
          <w:p w14:paraId="5D4BA2B6" w14:textId="77777777" w:rsidR="00FA1FEE" w:rsidRPr="009F0C73" w:rsidRDefault="00FA1FEE" w:rsidP="00FA1FEE">
            <w:pPr>
              <w:pStyle w:val="DHHStabletext"/>
            </w:pPr>
            <w:r w:rsidRPr="009F0C73">
              <w:t>Emergency department presentations that were mental health-related (%)</w:t>
            </w:r>
          </w:p>
        </w:tc>
        <w:tc>
          <w:tcPr>
            <w:tcW w:w="1373" w:type="dxa"/>
          </w:tcPr>
          <w:p w14:paraId="39AE0CC4" w14:textId="55FADB61" w:rsidR="00FA1FEE" w:rsidRPr="009F0C73" w:rsidRDefault="00FA1FEE" w:rsidP="00FA1FEE">
            <w:pPr>
              <w:pStyle w:val="DHHStabletext"/>
            </w:pPr>
            <w:r w:rsidRPr="009F0C73">
              <w:t>2.99%</w:t>
            </w:r>
          </w:p>
        </w:tc>
        <w:tc>
          <w:tcPr>
            <w:tcW w:w="1372" w:type="dxa"/>
          </w:tcPr>
          <w:p w14:paraId="652C7D37" w14:textId="13BF021D" w:rsidR="00FA1FEE" w:rsidRPr="009F0C73" w:rsidRDefault="00FA1FEE" w:rsidP="00FA1FEE">
            <w:pPr>
              <w:pStyle w:val="DHHStabletext"/>
            </w:pPr>
            <w:r w:rsidRPr="009F0C73">
              <w:t>3.14%</w:t>
            </w:r>
          </w:p>
        </w:tc>
        <w:tc>
          <w:tcPr>
            <w:tcW w:w="1372" w:type="dxa"/>
          </w:tcPr>
          <w:p w14:paraId="76CC81CA" w14:textId="338A3CB5" w:rsidR="00FA1FEE" w:rsidRPr="009F0C73" w:rsidRDefault="00FA1FEE" w:rsidP="00FA1FEE">
            <w:pPr>
              <w:pStyle w:val="DHHStabletext"/>
            </w:pPr>
            <w:r>
              <w:t>3.09%</w:t>
            </w:r>
          </w:p>
        </w:tc>
      </w:tr>
    </w:tbl>
    <w:p w14:paraId="67C21C68" w14:textId="77777777" w:rsidR="00FA1FEE" w:rsidRPr="009F0C73" w:rsidRDefault="00FA1FEE" w:rsidP="00FA1FEE">
      <w:pPr>
        <w:pStyle w:val="DHHStablecaption"/>
      </w:pPr>
      <w:r w:rsidRPr="009F0C73">
        <w:t>People accessing clinical mental health services</w:t>
      </w: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5064"/>
        <w:gridCol w:w="1374"/>
        <w:gridCol w:w="1373"/>
        <w:gridCol w:w="1373"/>
      </w:tblGrid>
      <w:tr w:rsidR="00FA1FEE" w:rsidRPr="009F0C73" w14:paraId="57A9978A" w14:textId="77777777" w:rsidTr="00FA1FEE">
        <w:trPr>
          <w:tblHeader/>
        </w:trPr>
        <w:tc>
          <w:tcPr>
            <w:tcW w:w="5064" w:type="dxa"/>
          </w:tcPr>
          <w:p w14:paraId="1CC8C236" w14:textId="77777777" w:rsidR="00FA1FEE" w:rsidRPr="009F0C73" w:rsidRDefault="00FA1FEE" w:rsidP="00FA1FEE">
            <w:pPr>
              <w:pStyle w:val="DHHStablecolhead"/>
            </w:pPr>
            <w:r w:rsidRPr="009F0C73">
              <w:t>Clients</w:t>
            </w:r>
          </w:p>
        </w:tc>
        <w:tc>
          <w:tcPr>
            <w:tcW w:w="1374" w:type="dxa"/>
          </w:tcPr>
          <w:p w14:paraId="5CCF51D4" w14:textId="6D5E98C7" w:rsidR="00FA1FEE" w:rsidRPr="009F0C73" w:rsidRDefault="00FA1FEE" w:rsidP="00FA1FEE">
            <w:pPr>
              <w:pStyle w:val="DHHStablecolhead"/>
            </w:pPr>
            <w:r w:rsidRPr="009F0C73">
              <w:t>2014–15</w:t>
            </w:r>
          </w:p>
        </w:tc>
        <w:tc>
          <w:tcPr>
            <w:tcW w:w="1373" w:type="dxa"/>
          </w:tcPr>
          <w:p w14:paraId="18832568" w14:textId="6FED779C" w:rsidR="00FA1FEE" w:rsidRPr="009F0C73" w:rsidRDefault="00FA1FEE" w:rsidP="00FA1FEE">
            <w:pPr>
              <w:pStyle w:val="DHHStablecolhead"/>
            </w:pPr>
            <w:r w:rsidRPr="009F0C73">
              <w:t>2015–16</w:t>
            </w:r>
          </w:p>
        </w:tc>
        <w:tc>
          <w:tcPr>
            <w:tcW w:w="1373" w:type="dxa"/>
          </w:tcPr>
          <w:p w14:paraId="7A3ED621" w14:textId="2A7B7D05" w:rsidR="00FA1FEE" w:rsidRPr="009F0C73" w:rsidRDefault="00FA1FEE" w:rsidP="00FA1FEE">
            <w:pPr>
              <w:pStyle w:val="DHHStablecolhead"/>
            </w:pPr>
            <w:r w:rsidRPr="009F0C73">
              <w:t>201</w:t>
            </w:r>
            <w:r>
              <w:t>6</w:t>
            </w:r>
            <w:r w:rsidRPr="009F0C73">
              <w:t>–1</w:t>
            </w:r>
            <w:r>
              <w:t>7</w:t>
            </w:r>
          </w:p>
        </w:tc>
      </w:tr>
      <w:tr w:rsidR="00FA1FEE" w:rsidRPr="009F0C73" w14:paraId="56FBC0E3" w14:textId="77777777" w:rsidTr="00FA1FEE">
        <w:tc>
          <w:tcPr>
            <w:tcW w:w="5064" w:type="dxa"/>
          </w:tcPr>
          <w:p w14:paraId="2027642C" w14:textId="77777777" w:rsidR="00FA1FEE" w:rsidRPr="009F0C73" w:rsidRDefault="00FA1FEE" w:rsidP="00FA1FEE">
            <w:pPr>
              <w:pStyle w:val="DHHStabletext"/>
            </w:pPr>
            <w:r w:rsidRPr="009F0C73">
              <w:t>Total clients accessing clinical mental health services*</w:t>
            </w:r>
          </w:p>
        </w:tc>
        <w:tc>
          <w:tcPr>
            <w:tcW w:w="1374" w:type="dxa"/>
          </w:tcPr>
          <w:p w14:paraId="223ABA10" w14:textId="61ED98E8" w:rsidR="00FA1FEE" w:rsidRPr="009F0C73" w:rsidRDefault="00FA1FEE" w:rsidP="00FA1FEE">
            <w:pPr>
              <w:pStyle w:val="DHHStabletext"/>
            </w:pPr>
            <w:r w:rsidRPr="009F0C73">
              <w:t>67,03</w:t>
            </w:r>
            <w:r w:rsidR="0023215A">
              <w:t>0</w:t>
            </w:r>
          </w:p>
        </w:tc>
        <w:tc>
          <w:tcPr>
            <w:tcW w:w="1373" w:type="dxa"/>
          </w:tcPr>
          <w:p w14:paraId="4200B5A1" w14:textId="730FE1CE" w:rsidR="00FA1FEE" w:rsidRPr="009F0C73" w:rsidRDefault="00FA1FEE" w:rsidP="00FA1FEE">
            <w:pPr>
              <w:pStyle w:val="DHHStabletext"/>
            </w:pPr>
            <w:r w:rsidRPr="009F0C73">
              <w:t>67,5</w:t>
            </w:r>
            <w:r w:rsidR="0023215A">
              <w:t>70</w:t>
            </w:r>
          </w:p>
        </w:tc>
        <w:tc>
          <w:tcPr>
            <w:tcW w:w="1373" w:type="dxa"/>
          </w:tcPr>
          <w:p w14:paraId="3044B5B5" w14:textId="78E06BB4" w:rsidR="00FA1FEE" w:rsidRPr="009F0C73" w:rsidRDefault="00FA1FEE" w:rsidP="00FA1FEE">
            <w:pPr>
              <w:pStyle w:val="DHHStabletext"/>
            </w:pPr>
            <w:r>
              <w:t>66,445</w:t>
            </w:r>
          </w:p>
        </w:tc>
      </w:tr>
      <w:tr w:rsidR="00FA1FEE" w:rsidRPr="009F0C73" w14:paraId="6E4D47DD" w14:textId="77777777" w:rsidTr="00FA1FEE">
        <w:tc>
          <w:tcPr>
            <w:tcW w:w="5064" w:type="dxa"/>
          </w:tcPr>
          <w:p w14:paraId="1323A008" w14:textId="77777777" w:rsidR="00FA1FEE" w:rsidRPr="009F0C73" w:rsidRDefault="00FA1FEE" w:rsidP="00FA1FEE">
            <w:pPr>
              <w:pStyle w:val="DHHStabletext"/>
            </w:pPr>
            <w:r w:rsidRPr="009F0C73">
              <w:t>Proportion of population receiving clinical care (%)</w:t>
            </w:r>
          </w:p>
        </w:tc>
        <w:tc>
          <w:tcPr>
            <w:tcW w:w="1374" w:type="dxa"/>
          </w:tcPr>
          <w:p w14:paraId="58BF0508" w14:textId="70F144FD" w:rsidR="00FA1FEE" w:rsidRPr="009F0C73" w:rsidRDefault="00FA1FEE" w:rsidP="00FA1FEE">
            <w:pPr>
              <w:pStyle w:val="DHHStabletext"/>
            </w:pPr>
            <w:r w:rsidRPr="009F0C73">
              <w:t>1.13%</w:t>
            </w:r>
          </w:p>
        </w:tc>
        <w:tc>
          <w:tcPr>
            <w:tcW w:w="1373" w:type="dxa"/>
          </w:tcPr>
          <w:p w14:paraId="3330F19A" w14:textId="4356A0C2" w:rsidR="00FA1FEE" w:rsidRPr="009F0C73" w:rsidRDefault="00FA1FEE" w:rsidP="00FA1FEE">
            <w:pPr>
              <w:pStyle w:val="DHHStabletext"/>
            </w:pPr>
            <w:r w:rsidRPr="009F0C73">
              <w:t>1.1</w:t>
            </w:r>
            <w:r w:rsidR="0023215A">
              <w:t>2</w:t>
            </w:r>
            <w:r w:rsidRPr="009F0C73">
              <w:t>%</w:t>
            </w:r>
          </w:p>
        </w:tc>
        <w:tc>
          <w:tcPr>
            <w:tcW w:w="1373" w:type="dxa"/>
          </w:tcPr>
          <w:p w14:paraId="77B177C9" w14:textId="65ED8DCB" w:rsidR="00FA1FEE" w:rsidRPr="009F0C73" w:rsidRDefault="00FA1FEE" w:rsidP="00FA1FEE">
            <w:pPr>
              <w:pStyle w:val="DHHStabletext"/>
            </w:pPr>
            <w:r>
              <w:t>1.08%</w:t>
            </w:r>
          </w:p>
        </w:tc>
      </w:tr>
    </w:tbl>
    <w:p w14:paraId="25CACE37" w14:textId="77777777" w:rsidR="00FA1FEE" w:rsidRPr="009F0C73" w:rsidRDefault="00FA1FEE" w:rsidP="00FA1FEE">
      <w:pPr>
        <w:pStyle w:val="DHHSbody"/>
      </w:pPr>
    </w:p>
    <w:tbl>
      <w:tblPr>
        <w:tblStyle w:val="TableGrid"/>
        <w:tblW w:w="0" w:type="auto"/>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ook w:val="04A0" w:firstRow="1" w:lastRow="0" w:firstColumn="1" w:lastColumn="0" w:noHBand="0" w:noVBand="1"/>
      </w:tblPr>
      <w:tblGrid>
        <w:gridCol w:w="3814"/>
        <w:gridCol w:w="1594"/>
        <w:gridCol w:w="1258"/>
        <w:gridCol w:w="1259"/>
        <w:gridCol w:w="1259"/>
      </w:tblGrid>
      <w:tr w:rsidR="00FA1FEE" w:rsidRPr="009F0C73" w14:paraId="71C8108A" w14:textId="77777777" w:rsidTr="00FA1FEE">
        <w:trPr>
          <w:tblHeader/>
        </w:trPr>
        <w:tc>
          <w:tcPr>
            <w:tcW w:w="3814" w:type="dxa"/>
          </w:tcPr>
          <w:p w14:paraId="7055E13B" w14:textId="77777777" w:rsidR="00FA1FEE" w:rsidRPr="009F0C73" w:rsidRDefault="00FA1FEE" w:rsidP="00FA1FEE">
            <w:pPr>
              <w:pStyle w:val="DHHStablecolhead"/>
            </w:pPr>
            <w:r w:rsidRPr="009F0C73">
              <w:t>Client location</w:t>
            </w:r>
          </w:p>
        </w:tc>
        <w:tc>
          <w:tcPr>
            <w:tcW w:w="1594" w:type="dxa"/>
          </w:tcPr>
          <w:p w14:paraId="29AE78B0" w14:textId="77777777" w:rsidR="00FA1FEE" w:rsidRPr="009F0C73" w:rsidRDefault="00FA1FEE" w:rsidP="00FA1FEE">
            <w:pPr>
              <w:pStyle w:val="DHHStablecolhead"/>
            </w:pPr>
            <w:r w:rsidRPr="009F0C73">
              <w:t>Location</w:t>
            </w:r>
          </w:p>
        </w:tc>
        <w:tc>
          <w:tcPr>
            <w:tcW w:w="1258" w:type="dxa"/>
          </w:tcPr>
          <w:p w14:paraId="2558D347" w14:textId="55C08EF7" w:rsidR="00FA1FEE" w:rsidRPr="009F0C73" w:rsidRDefault="00FA1FEE" w:rsidP="00FA1FEE">
            <w:pPr>
              <w:pStyle w:val="DHHStablecolhead"/>
            </w:pPr>
            <w:r w:rsidRPr="009F0C73">
              <w:t>2014–15</w:t>
            </w:r>
          </w:p>
        </w:tc>
        <w:tc>
          <w:tcPr>
            <w:tcW w:w="1259" w:type="dxa"/>
          </w:tcPr>
          <w:p w14:paraId="5BAE0E60" w14:textId="52A8F2FC" w:rsidR="00FA1FEE" w:rsidRPr="009F0C73" w:rsidRDefault="00FA1FEE" w:rsidP="00FA1FEE">
            <w:pPr>
              <w:pStyle w:val="DHHStablecolhead"/>
            </w:pPr>
            <w:r w:rsidRPr="009F0C73">
              <w:t>2015–16</w:t>
            </w:r>
          </w:p>
        </w:tc>
        <w:tc>
          <w:tcPr>
            <w:tcW w:w="1259" w:type="dxa"/>
          </w:tcPr>
          <w:p w14:paraId="3F6A72EF" w14:textId="7ACE59CD" w:rsidR="00FA1FEE" w:rsidRPr="009F0C73" w:rsidRDefault="00FA1FEE" w:rsidP="00FA1FEE">
            <w:pPr>
              <w:pStyle w:val="DHHStablecolhead"/>
            </w:pPr>
            <w:r w:rsidRPr="009F0C73">
              <w:t>201</w:t>
            </w:r>
            <w:r>
              <w:t>6</w:t>
            </w:r>
            <w:r w:rsidRPr="009F0C73">
              <w:t>–1</w:t>
            </w:r>
            <w:r>
              <w:t>7</w:t>
            </w:r>
          </w:p>
        </w:tc>
      </w:tr>
      <w:tr w:rsidR="00FA1FEE" w:rsidRPr="009F0C73" w14:paraId="7F318F80" w14:textId="77777777" w:rsidTr="00FA1FEE">
        <w:tc>
          <w:tcPr>
            <w:tcW w:w="3814" w:type="dxa"/>
            <w:vMerge w:val="restart"/>
          </w:tcPr>
          <w:p w14:paraId="232F768B" w14:textId="77777777" w:rsidR="00FA1FEE" w:rsidRPr="009F0C73" w:rsidRDefault="00FA1FEE" w:rsidP="00FA1FEE">
            <w:pPr>
              <w:pStyle w:val="DHHStabletext"/>
            </w:pPr>
            <w:r w:rsidRPr="009F0C73">
              <w:t>Client residential location (%)</w:t>
            </w:r>
          </w:p>
        </w:tc>
        <w:tc>
          <w:tcPr>
            <w:tcW w:w="1594" w:type="dxa"/>
          </w:tcPr>
          <w:p w14:paraId="6EE38870" w14:textId="77777777" w:rsidR="00FA1FEE" w:rsidRPr="009F0C73" w:rsidRDefault="00FA1FEE" w:rsidP="00FA1FEE">
            <w:pPr>
              <w:pStyle w:val="DHHStabletext"/>
            </w:pPr>
            <w:r w:rsidRPr="009F0C73">
              <w:t>Metro</w:t>
            </w:r>
          </w:p>
        </w:tc>
        <w:tc>
          <w:tcPr>
            <w:tcW w:w="1258" w:type="dxa"/>
          </w:tcPr>
          <w:p w14:paraId="29F617A4" w14:textId="31586593" w:rsidR="00FA1FEE" w:rsidRPr="009F0C73" w:rsidRDefault="00FA1FEE" w:rsidP="00FA1FEE">
            <w:pPr>
              <w:pStyle w:val="DHHStabletext"/>
            </w:pPr>
            <w:r w:rsidRPr="009F0C73">
              <w:t>63.0%</w:t>
            </w:r>
          </w:p>
        </w:tc>
        <w:tc>
          <w:tcPr>
            <w:tcW w:w="1259" w:type="dxa"/>
          </w:tcPr>
          <w:p w14:paraId="60F5B83B" w14:textId="273D8521" w:rsidR="00FA1FEE" w:rsidRPr="009F0C73" w:rsidRDefault="00FA1FEE" w:rsidP="00FA1FEE">
            <w:pPr>
              <w:pStyle w:val="DHHStabletext"/>
            </w:pPr>
            <w:r w:rsidRPr="009F0C73">
              <w:t>62.6%</w:t>
            </w:r>
          </w:p>
        </w:tc>
        <w:tc>
          <w:tcPr>
            <w:tcW w:w="1259" w:type="dxa"/>
          </w:tcPr>
          <w:p w14:paraId="4DA99E7A" w14:textId="06D3411E" w:rsidR="00FA1FEE" w:rsidRPr="009F0C73" w:rsidRDefault="00FA1FEE" w:rsidP="00FA1FEE">
            <w:pPr>
              <w:pStyle w:val="DHHStabletext"/>
            </w:pPr>
            <w:r>
              <w:t>64.5%</w:t>
            </w:r>
          </w:p>
        </w:tc>
      </w:tr>
      <w:tr w:rsidR="00FA1FEE" w:rsidRPr="009F0C73" w14:paraId="5D8C1341" w14:textId="77777777" w:rsidTr="00FA1FEE">
        <w:tc>
          <w:tcPr>
            <w:tcW w:w="3814" w:type="dxa"/>
            <w:vMerge/>
          </w:tcPr>
          <w:p w14:paraId="2B5B11E5" w14:textId="77777777" w:rsidR="00FA1FEE" w:rsidRPr="009F0C73" w:rsidRDefault="00FA1FEE" w:rsidP="00FA1FEE">
            <w:pPr>
              <w:pStyle w:val="DHHStabletext"/>
            </w:pPr>
          </w:p>
        </w:tc>
        <w:tc>
          <w:tcPr>
            <w:tcW w:w="1594" w:type="dxa"/>
          </w:tcPr>
          <w:p w14:paraId="5FCA4359" w14:textId="77777777" w:rsidR="00FA1FEE" w:rsidRPr="009F0C73" w:rsidRDefault="00FA1FEE" w:rsidP="00FA1FEE">
            <w:pPr>
              <w:pStyle w:val="DHHStabletext"/>
            </w:pPr>
            <w:r w:rsidRPr="009F0C73">
              <w:t>Rural</w:t>
            </w:r>
          </w:p>
        </w:tc>
        <w:tc>
          <w:tcPr>
            <w:tcW w:w="1258" w:type="dxa"/>
          </w:tcPr>
          <w:p w14:paraId="6D86A045" w14:textId="0A43C2B1" w:rsidR="00FA1FEE" w:rsidRPr="009F0C73" w:rsidRDefault="00FA1FEE" w:rsidP="00FA1FEE">
            <w:pPr>
              <w:pStyle w:val="DHHStabletext"/>
            </w:pPr>
            <w:r w:rsidRPr="009F0C73">
              <w:t>34.7%</w:t>
            </w:r>
          </w:p>
        </w:tc>
        <w:tc>
          <w:tcPr>
            <w:tcW w:w="1259" w:type="dxa"/>
          </w:tcPr>
          <w:p w14:paraId="60BF6955" w14:textId="6490B37A" w:rsidR="00FA1FEE" w:rsidRPr="009F0C73" w:rsidRDefault="00FA1FEE" w:rsidP="00FA1FEE">
            <w:pPr>
              <w:pStyle w:val="DHHStabletext"/>
            </w:pPr>
            <w:r w:rsidRPr="009F0C73">
              <w:t>34.8%</w:t>
            </w:r>
          </w:p>
        </w:tc>
        <w:tc>
          <w:tcPr>
            <w:tcW w:w="1259" w:type="dxa"/>
          </w:tcPr>
          <w:p w14:paraId="2A38BBDF" w14:textId="7352A29D" w:rsidR="00FA1FEE" w:rsidRPr="009F0C73" w:rsidRDefault="00FA1FEE" w:rsidP="00FA1FEE">
            <w:pPr>
              <w:pStyle w:val="DHHStabletext"/>
            </w:pPr>
            <w:r>
              <w:t>32.6%</w:t>
            </w:r>
          </w:p>
        </w:tc>
      </w:tr>
      <w:tr w:rsidR="00FA1FEE" w:rsidRPr="009F0C73" w14:paraId="3CA4B56C" w14:textId="77777777" w:rsidTr="00FA1FEE">
        <w:tc>
          <w:tcPr>
            <w:tcW w:w="3814" w:type="dxa"/>
            <w:vMerge/>
          </w:tcPr>
          <w:p w14:paraId="61CB9C1F" w14:textId="77777777" w:rsidR="00FA1FEE" w:rsidRPr="009F0C73" w:rsidRDefault="00FA1FEE" w:rsidP="00FA1FEE">
            <w:pPr>
              <w:pStyle w:val="DHHStabletext"/>
            </w:pPr>
          </w:p>
        </w:tc>
        <w:tc>
          <w:tcPr>
            <w:tcW w:w="1594" w:type="dxa"/>
          </w:tcPr>
          <w:p w14:paraId="5B314699" w14:textId="77777777" w:rsidR="00FA1FEE" w:rsidRPr="009F0C73" w:rsidRDefault="00FA1FEE" w:rsidP="00FA1FEE">
            <w:pPr>
              <w:pStyle w:val="DHHStabletext"/>
            </w:pPr>
            <w:r w:rsidRPr="009F0C73">
              <w:t>Unknown/other</w:t>
            </w:r>
          </w:p>
        </w:tc>
        <w:tc>
          <w:tcPr>
            <w:tcW w:w="1258" w:type="dxa"/>
          </w:tcPr>
          <w:p w14:paraId="0C6E46A8" w14:textId="6B8AF78E" w:rsidR="00FA1FEE" w:rsidRPr="009F0C73" w:rsidRDefault="00FA1FEE" w:rsidP="00FA1FEE">
            <w:pPr>
              <w:pStyle w:val="DHHStabletext"/>
            </w:pPr>
            <w:r w:rsidRPr="009F0C73">
              <w:t>2.3%</w:t>
            </w:r>
          </w:p>
        </w:tc>
        <w:tc>
          <w:tcPr>
            <w:tcW w:w="1259" w:type="dxa"/>
          </w:tcPr>
          <w:p w14:paraId="7D996428" w14:textId="4D47F5AD" w:rsidR="00FA1FEE" w:rsidRPr="009F0C73" w:rsidRDefault="00FA1FEE" w:rsidP="00FA1FEE">
            <w:pPr>
              <w:pStyle w:val="DHHStabletext"/>
            </w:pPr>
            <w:r w:rsidRPr="009F0C73">
              <w:t>2.6%</w:t>
            </w:r>
          </w:p>
        </w:tc>
        <w:tc>
          <w:tcPr>
            <w:tcW w:w="1259" w:type="dxa"/>
          </w:tcPr>
          <w:p w14:paraId="00A45D87" w14:textId="19FC9B29" w:rsidR="00FA1FEE" w:rsidRPr="009F0C73" w:rsidRDefault="00FA1FEE" w:rsidP="00FA1FEE">
            <w:pPr>
              <w:pStyle w:val="DHHStabletext"/>
            </w:pPr>
            <w:r>
              <w:t>2.9%</w:t>
            </w:r>
          </w:p>
        </w:tc>
      </w:tr>
    </w:tbl>
    <w:p w14:paraId="15D0BE9D" w14:textId="77777777" w:rsidR="00FA1FEE" w:rsidRPr="009F0C73" w:rsidRDefault="00FA1FEE" w:rsidP="00FA1FEE">
      <w:pPr>
        <w:pStyle w:val="DHHSbody"/>
        <w:sectPr w:rsidR="00FA1FEE" w:rsidRPr="009F0C73" w:rsidSect="00B748E8">
          <w:pgSz w:w="11910" w:h="16840"/>
          <w:pgMar w:top="1620" w:right="1304" w:bottom="1134" w:left="1304" w:header="720" w:footer="720" w:gutter="0"/>
          <w:pgNumType w:start="1"/>
          <w:cols w:space="720"/>
        </w:sectPr>
      </w:pPr>
    </w:p>
    <w:tbl>
      <w:tblPr>
        <w:tblpPr w:leftFromText="180" w:rightFromText="180" w:vertAnchor="text" w:horzAnchor="margin" w:tblpY="129"/>
        <w:tblW w:w="9918"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3911"/>
        <w:gridCol w:w="2324"/>
        <w:gridCol w:w="1243"/>
        <w:gridCol w:w="1243"/>
        <w:gridCol w:w="1197"/>
      </w:tblGrid>
      <w:tr w:rsidR="009C2EFA" w14:paraId="11E4BE3A" w14:textId="77777777" w:rsidTr="003F7650">
        <w:trPr>
          <w:trHeight w:val="340"/>
          <w:tblHeader/>
        </w:trPr>
        <w:tc>
          <w:tcPr>
            <w:tcW w:w="3911" w:type="dxa"/>
            <w:shd w:val="clear" w:color="auto" w:fill="auto"/>
            <w:hideMark/>
          </w:tcPr>
          <w:p w14:paraId="7A48AA4F" w14:textId="77777777" w:rsidR="009C2EFA" w:rsidRPr="009C2EFA" w:rsidRDefault="009C2EFA" w:rsidP="009C2EFA">
            <w:pPr>
              <w:pStyle w:val="DHHStablecolhead"/>
            </w:pPr>
            <w:r w:rsidRPr="009C2EFA">
              <w:lastRenderedPageBreak/>
              <w:t>Client demographics</w:t>
            </w:r>
          </w:p>
        </w:tc>
        <w:tc>
          <w:tcPr>
            <w:tcW w:w="2324" w:type="dxa"/>
            <w:shd w:val="clear" w:color="auto" w:fill="auto"/>
          </w:tcPr>
          <w:p w14:paraId="50BA9F58" w14:textId="77777777" w:rsidR="009C2EFA" w:rsidRPr="009C2EFA" w:rsidRDefault="009C2EFA" w:rsidP="009C2EFA">
            <w:pPr>
              <w:pStyle w:val="DHHStablecolhead"/>
            </w:pPr>
          </w:p>
        </w:tc>
        <w:tc>
          <w:tcPr>
            <w:tcW w:w="1243" w:type="dxa"/>
            <w:shd w:val="clear" w:color="auto" w:fill="auto"/>
            <w:hideMark/>
          </w:tcPr>
          <w:p w14:paraId="227FDC8B" w14:textId="77777777" w:rsidR="009C2EFA" w:rsidRPr="009C2EFA" w:rsidRDefault="009C2EFA" w:rsidP="009C2EFA">
            <w:pPr>
              <w:pStyle w:val="DHHStablecolhead"/>
            </w:pPr>
            <w:r w:rsidRPr="009C2EFA">
              <w:t>2014–15</w:t>
            </w:r>
          </w:p>
        </w:tc>
        <w:tc>
          <w:tcPr>
            <w:tcW w:w="1243" w:type="dxa"/>
            <w:shd w:val="clear" w:color="auto" w:fill="auto"/>
            <w:hideMark/>
          </w:tcPr>
          <w:p w14:paraId="1E3C97B7" w14:textId="77777777" w:rsidR="009C2EFA" w:rsidRPr="009C2EFA" w:rsidRDefault="009C2EFA" w:rsidP="009C2EFA">
            <w:pPr>
              <w:pStyle w:val="DHHStablecolhead"/>
            </w:pPr>
            <w:r w:rsidRPr="009C2EFA">
              <w:t>2015–16</w:t>
            </w:r>
          </w:p>
        </w:tc>
        <w:tc>
          <w:tcPr>
            <w:tcW w:w="1197" w:type="dxa"/>
            <w:shd w:val="clear" w:color="auto" w:fill="auto"/>
            <w:hideMark/>
          </w:tcPr>
          <w:p w14:paraId="15950B71" w14:textId="77777777" w:rsidR="009C2EFA" w:rsidRPr="009C2EFA" w:rsidRDefault="009C2EFA" w:rsidP="009C2EFA">
            <w:pPr>
              <w:pStyle w:val="DHHStablecolhead"/>
            </w:pPr>
            <w:r w:rsidRPr="009C2EFA">
              <w:t>2016–17</w:t>
            </w:r>
          </w:p>
        </w:tc>
      </w:tr>
      <w:tr w:rsidR="009C2EFA" w14:paraId="5192F996" w14:textId="77777777" w:rsidTr="003F7650">
        <w:trPr>
          <w:trHeight w:val="288"/>
        </w:trPr>
        <w:tc>
          <w:tcPr>
            <w:tcW w:w="3911" w:type="dxa"/>
            <w:vMerge w:val="restart"/>
            <w:hideMark/>
          </w:tcPr>
          <w:p w14:paraId="0F627830" w14:textId="77777777" w:rsidR="009C2EFA" w:rsidRPr="009C2EFA" w:rsidRDefault="009C2EFA" w:rsidP="009C2EFA">
            <w:pPr>
              <w:pStyle w:val="DHHStabletext"/>
            </w:pPr>
            <w:r w:rsidRPr="009C2EFA">
              <w:t>Gender (%)</w:t>
            </w:r>
          </w:p>
        </w:tc>
        <w:tc>
          <w:tcPr>
            <w:tcW w:w="2324" w:type="dxa"/>
            <w:hideMark/>
          </w:tcPr>
          <w:p w14:paraId="4FA976FE" w14:textId="77777777" w:rsidR="009C2EFA" w:rsidRPr="009C2EFA" w:rsidRDefault="009C2EFA" w:rsidP="009C2EFA">
            <w:pPr>
              <w:pStyle w:val="DHHStabletext"/>
            </w:pPr>
            <w:r w:rsidRPr="009C2EFA">
              <w:t>Female</w:t>
            </w:r>
          </w:p>
        </w:tc>
        <w:tc>
          <w:tcPr>
            <w:tcW w:w="1243" w:type="dxa"/>
            <w:hideMark/>
          </w:tcPr>
          <w:p w14:paraId="3346D8E6" w14:textId="77777777" w:rsidR="009C2EFA" w:rsidRPr="009C2EFA" w:rsidRDefault="009C2EFA" w:rsidP="009C2EFA">
            <w:pPr>
              <w:pStyle w:val="DHHStabletext"/>
            </w:pPr>
            <w:r w:rsidRPr="009C2EFA">
              <w:t>50.8%</w:t>
            </w:r>
          </w:p>
        </w:tc>
        <w:tc>
          <w:tcPr>
            <w:tcW w:w="1243" w:type="dxa"/>
            <w:hideMark/>
          </w:tcPr>
          <w:p w14:paraId="3FFBB53D" w14:textId="77777777" w:rsidR="009C2EFA" w:rsidRPr="009C2EFA" w:rsidRDefault="009C2EFA" w:rsidP="009C2EFA">
            <w:pPr>
              <w:pStyle w:val="DHHStabletext"/>
            </w:pPr>
            <w:r w:rsidRPr="009C2EFA">
              <w:t>50.5%</w:t>
            </w:r>
          </w:p>
        </w:tc>
        <w:tc>
          <w:tcPr>
            <w:tcW w:w="1197" w:type="dxa"/>
            <w:hideMark/>
          </w:tcPr>
          <w:p w14:paraId="3664BC27" w14:textId="77777777" w:rsidR="009C2EFA" w:rsidRPr="009C2EFA" w:rsidRDefault="009C2EFA" w:rsidP="009C2EFA">
            <w:pPr>
              <w:pStyle w:val="DHHStabletext"/>
            </w:pPr>
            <w:r w:rsidRPr="009C2EFA">
              <w:t>50.4%</w:t>
            </w:r>
          </w:p>
        </w:tc>
      </w:tr>
      <w:tr w:rsidR="009C2EFA" w14:paraId="42D12D54" w14:textId="77777777" w:rsidTr="003F7650">
        <w:trPr>
          <w:trHeight w:val="288"/>
        </w:trPr>
        <w:tc>
          <w:tcPr>
            <w:tcW w:w="3911" w:type="dxa"/>
            <w:vMerge/>
            <w:vAlign w:val="center"/>
            <w:hideMark/>
          </w:tcPr>
          <w:p w14:paraId="0E7DCC08"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0B090EE6" w14:textId="77777777" w:rsidR="009C2EFA" w:rsidRPr="009C2EFA" w:rsidRDefault="009C2EFA" w:rsidP="009C2EFA">
            <w:pPr>
              <w:pStyle w:val="DHHStabletext"/>
            </w:pPr>
            <w:r w:rsidRPr="009C2EFA">
              <w:t>Male</w:t>
            </w:r>
          </w:p>
        </w:tc>
        <w:tc>
          <w:tcPr>
            <w:tcW w:w="1243" w:type="dxa"/>
            <w:hideMark/>
          </w:tcPr>
          <w:p w14:paraId="758D45AC" w14:textId="77777777" w:rsidR="009C2EFA" w:rsidRPr="009C2EFA" w:rsidRDefault="009C2EFA" w:rsidP="009C2EFA">
            <w:pPr>
              <w:pStyle w:val="DHHStabletext"/>
            </w:pPr>
            <w:r w:rsidRPr="009C2EFA">
              <w:t>49.1%</w:t>
            </w:r>
          </w:p>
        </w:tc>
        <w:tc>
          <w:tcPr>
            <w:tcW w:w="1243" w:type="dxa"/>
            <w:hideMark/>
          </w:tcPr>
          <w:p w14:paraId="47B6D98F" w14:textId="77777777" w:rsidR="009C2EFA" w:rsidRPr="009C2EFA" w:rsidRDefault="009C2EFA" w:rsidP="009C2EFA">
            <w:pPr>
              <w:pStyle w:val="DHHStabletext"/>
            </w:pPr>
            <w:r w:rsidRPr="009C2EFA">
              <w:t>49.5%</w:t>
            </w:r>
          </w:p>
        </w:tc>
        <w:tc>
          <w:tcPr>
            <w:tcW w:w="1197" w:type="dxa"/>
            <w:hideMark/>
          </w:tcPr>
          <w:p w14:paraId="4CC52960" w14:textId="77777777" w:rsidR="009C2EFA" w:rsidRPr="009C2EFA" w:rsidRDefault="009C2EFA" w:rsidP="009C2EFA">
            <w:pPr>
              <w:pStyle w:val="DHHStabletext"/>
            </w:pPr>
            <w:r w:rsidRPr="009C2EFA">
              <w:t>49.5%</w:t>
            </w:r>
          </w:p>
        </w:tc>
      </w:tr>
      <w:tr w:rsidR="009C2EFA" w14:paraId="7B475B0E" w14:textId="77777777" w:rsidTr="003F7650">
        <w:trPr>
          <w:trHeight w:val="288"/>
        </w:trPr>
        <w:tc>
          <w:tcPr>
            <w:tcW w:w="3911" w:type="dxa"/>
            <w:vMerge/>
            <w:vAlign w:val="center"/>
            <w:hideMark/>
          </w:tcPr>
          <w:p w14:paraId="6DC4C71B"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31173D9D" w14:textId="77777777" w:rsidR="009C2EFA" w:rsidRPr="009C2EFA" w:rsidRDefault="009C2EFA" w:rsidP="009C2EFA">
            <w:pPr>
              <w:pStyle w:val="DHHStabletext"/>
            </w:pPr>
            <w:r w:rsidRPr="009C2EFA">
              <w:t>Other/unknown</w:t>
            </w:r>
          </w:p>
        </w:tc>
        <w:tc>
          <w:tcPr>
            <w:tcW w:w="1243" w:type="dxa"/>
            <w:hideMark/>
          </w:tcPr>
          <w:p w14:paraId="63A36B9A" w14:textId="77777777" w:rsidR="009C2EFA" w:rsidRPr="009C2EFA" w:rsidRDefault="009C2EFA" w:rsidP="009C2EFA">
            <w:pPr>
              <w:pStyle w:val="DHHStabletext"/>
            </w:pPr>
            <w:r w:rsidRPr="009C2EFA">
              <w:t>0.1%</w:t>
            </w:r>
          </w:p>
        </w:tc>
        <w:tc>
          <w:tcPr>
            <w:tcW w:w="1243" w:type="dxa"/>
            <w:hideMark/>
          </w:tcPr>
          <w:p w14:paraId="0F63DC4C" w14:textId="77777777" w:rsidR="009C2EFA" w:rsidRPr="009C2EFA" w:rsidRDefault="009C2EFA" w:rsidP="009C2EFA">
            <w:pPr>
              <w:pStyle w:val="DHHStabletext"/>
            </w:pPr>
            <w:r w:rsidRPr="009C2EFA">
              <w:t>0.1%</w:t>
            </w:r>
          </w:p>
        </w:tc>
        <w:tc>
          <w:tcPr>
            <w:tcW w:w="1197" w:type="dxa"/>
            <w:hideMark/>
          </w:tcPr>
          <w:p w14:paraId="050711ED" w14:textId="77777777" w:rsidR="009C2EFA" w:rsidRPr="009C2EFA" w:rsidRDefault="009C2EFA" w:rsidP="009C2EFA">
            <w:pPr>
              <w:pStyle w:val="DHHStabletext"/>
            </w:pPr>
            <w:r w:rsidRPr="009C2EFA">
              <w:t>0.1%</w:t>
            </w:r>
          </w:p>
        </w:tc>
      </w:tr>
      <w:tr w:rsidR="009C2EFA" w14:paraId="16841E8F" w14:textId="77777777" w:rsidTr="003F7650">
        <w:trPr>
          <w:trHeight w:val="288"/>
        </w:trPr>
        <w:tc>
          <w:tcPr>
            <w:tcW w:w="3911" w:type="dxa"/>
            <w:vMerge w:val="restart"/>
            <w:hideMark/>
          </w:tcPr>
          <w:p w14:paraId="7B7D1D7F" w14:textId="77777777" w:rsidR="009C2EFA" w:rsidRPr="009C2EFA" w:rsidRDefault="009C2EFA" w:rsidP="009C2EFA">
            <w:pPr>
              <w:pStyle w:val="DHHStabletext"/>
            </w:pPr>
            <w:r w:rsidRPr="009C2EFA">
              <w:t>Age group (%)</w:t>
            </w:r>
          </w:p>
        </w:tc>
        <w:tc>
          <w:tcPr>
            <w:tcW w:w="2324" w:type="dxa"/>
            <w:hideMark/>
          </w:tcPr>
          <w:p w14:paraId="09E18342" w14:textId="77777777" w:rsidR="009C2EFA" w:rsidRPr="009C2EFA" w:rsidRDefault="009C2EFA" w:rsidP="009C2EFA">
            <w:pPr>
              <w:pStyle w:val="DHHStabletext"/>
            </w:pPr>
            <w:r w:rsidRPr="009C2EFA">
              <w:t>0–4</w:t>
            </w:r>
          </w:p>
        </w:tc>
        <w:tc>
          <w:tcPr>
            <w:tcW w:w="1243" w:type="dxa"/>
            <w:hideMark/>
          </w:tcPr>
          <w:p w14:paraId="2B7520AB" w14:textId="77777777" w:rsidR="009C2EFA" w:rsidRPr="009C2EFA" w:rsidRDefault="009C2EFA" w:rsidP="009C2EFA">
            <w:pPr>
              <w:pStyle w:val="DHHStabletext"/>
            </w:pPr>
            <w:r w:rsidRPr="009C2EFA">
              <w:t>0.9%</w:t>
            </w:r>
          </w:p>
        </w:tc>
        <w:tc>
          <w:tcPr>
            <w:tcW w:w="1243" w:type="dxa"/>
            <w:hideMark/>
          </w:tcPr>
          <w:p w14:paraId="4773019C" w14:textId="77777777" w:rsidR="009C2EFA" w:rsidRPr="009C2EFA" w:rsidRDefault="009C2EFA" w:rsidP="009C2EFA">
            <w:pPr>
              <w:pStyle w:val="DHHStabletext"/>
            </w:pPr>
            <w:r w:rsidRPr="009C2EFA">
              <w:t>0.8%</w:t>
            </w:r>
          </w:p>
        </w:tc>
        <w:tc>
          <w:tcPr>
            <w:tcW w:w="1197" w:type="dxa"/>
            <w:hideMark/>
          </w:tcPr>
          <w:p w14:paraId="22118E12" w14:textId="77777777" w:rsidR="009C2EFA" w:rsidRPr="009C2EFA" w:rsidRDefault="009C2EFA" w:rsidP="009C2EFA">
            <w:pPr>
              <w:pStyle w:val="DHHStabletext"/>
            </w:pPr>
            <w:r w:rsidRPr="009C2EFA">
              <w:t>0.9%</w:t>
            </w:r>
          </w:p>
        </w:tc>
      </w:tr>
      <w:tr w:rsidR="009C2EFA" w14:paraId="5DEBEBEA" w14:textId="77777777" w:rsidTr="003F7650">
        <w:trPr>
          <w:trHeight w:val="288"/>
        </w:trPr>
        <w:tc>
          <w:tcPr>
            <w:tcW w:w="3911" w:type="dxa"/>
            <w:vMerge/>
            <w:vAlign w:val="center"/>
            <w:hideMark/>
          </w:tcPr>
          <w:p w14:paraId="65951B81"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244D0F9D" w14:textId="77777777" w:rsidR="009C2EFA" w:rsidRPr="009C2EFA" w:rsidRDefault="009C2EFA" w:rsidP="009C2EFA">
            <w:pPr>
              <w:pStyle w:val="DHHStabletext"/>
            </w:pPr>
            <w:r w:rsidRPr="009C2EFA">
              <w:t>5–14</w:t>
            </w:r>
          </w:p>
        </w:tc>
        <w:tc>
          <w:tcPr>
            <w:tcW w:w="1243" w:type="dxa"/>
            <w:hideMark/>
          </w:tcPr>
          <w:p w14:paraId="3B5CB527" w14:textId="77777777" w:rsidR="009C2EFA" w:rsidRPr="009C2EFA" w:rsidRDefault="009C2EFA" w:rsidP="009C2EFA">
            <w:pPr>
              <w:pStyle w:val="DHHStabletext"/>
            </w:pPr>
            <w:r w:rsidRPr="009C2EFA">
              <w:t>7.4%</w:t>
            </w:r>
          </w:p>
        </w:tc>
        <w:tc>
          <w:tcPr>
            <w:tcW w:w="1243" w:type="dxa"/>
            <w:hideMark/>
          </w:tcPr>
          <w:p w14:paraId="6E9E7F11" w14:textId="77777777" w:rsidR="009C2EFA" w:rsidRPr="009C2EFA" w:rsidRDefault="009C2EFA" w:rsidP="009C2EFA">
            <w:pPr>
              <w:pStyle w:val="DHHStabletext"/>
            </w:pPr>
            <w:r w:rsidRPr="009C2EFA">
              <w:t>7.5%</w:t>
            </w:r>
          </w:p>
        </w:tc>
        <w:tc>
          <w:tcPr>
            <w:tcW w:w="1197" w:type="dxa"/>
            <w:hideMark/>
          </w:tcPr>
          <w:p w14:paraId="517DB094" w14:textId="77777777" w:rsidR="009C2EFA" w:rsidRPr="009C2EFA" w:rsidRDefault="009C2EFA" w:rsidP="009C2EFA">
            <w:pPr>
              <w:pStyle w:val="DHHStabletext"/>
              <w:rPr>
                <w:sz w:val="19"/>
              </w:rPr>
            </w:pPr>
            <w:r w:rsidRPr="009C2EFA">
              <w:rPr>
                <w:sz w:val="19"/>
              </w:rPr>
              <w:t>8.2%</w:t>
            </w:r>
          </w:p>
        </w:tc>
      </w:tr>
      <w:tr w:rsidR="009C2EFA" w14:paraId="37EE0E70" w14:textId="77777777" w:rsidTr="003F7650">
        <w:trPr>
          <w:trHeight w:val="288"/>
        </w:trPr>
        <w:tc>
          <w:tcPr>
            <w:tcW w:w="3911" w:type="dxa"/>
            <w:vMerge/>
            <w:vAlign w:val="center"/>
            <w:hideMark/>
          </w:tcPr>
          <w:p w14:paraId="3EC65B28"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5AA3DDA1" w14:textId="77777777" w:rsidR="009C2EFA" w:rsidRPr="009C2EFA" w:rsidRDefault="009C2EFA" w:rsidP="009C2EFA">
            <w:pPr>
              <w:pStyle w:val="DHHStabletext"/>
            </w:pPr>
            <w:r w:rsidRPr="009C2EFA">
              <w:t>15–24</w:t>
            </w:r>
          </w:p>
        </w:tc>
        <w:tc>
          <w:tcPr>
            <w:tcW w:w="1243" w:type="dxa"/>
            <w:hideMark/>
          </w:tcPr>
          <w:p w14:paraId="5B7A49FF" w14:textId="77777777" w:rsidR="009C2EFA" w:rsidRPr="009C2EFA" w:rsidRDefault="009C2EFA" w:rsidP="009C2EFA">
            <w:pPr>
              <w:pStyle w:val="DHHStabletext"/>
            </w:pPr>
            <w:r w:rsidRPr="009C2EFA">
              <w:t>18.4%</w:t>
            </w:r>
          </w:p>
        </w:tc>
        <w:tc>
          <w:tcPr>
            <w:tcW w:w="1243" w:type="dxa"/>
            <w:hideMark/>
          </w:tcPr>
          <w:p w14:paraId="7D7593AD" w14:textId="77777777" w:rsidR="009C2EFA" w:rsidRPr="009C2EFA" w:rsidRDefault="009C2EFA" w:rsidP="009C2EFA">
            <w:pPr>
              <w:pStyle w:val="DHHStabletext"/>
            </w:pPr>
            <w:r w:rsidRPr="009C2EFA">
              <w:t>19.0%</w:t>
            </w:r>
          </w:p>
        </w:tc>
        <w:tc>
          <w:tcPr>
            <w:tcW w:w="1197" w:type="dxa"/>
            <w:hideMark/>
          </w:tcPr>
          <w:p w14:paraId="22AF3E19" w14:textId="77777777" w:rsidR="009C2EFA" w:rsidRPr="009C2EFA" w:rsidRDefault="009C2EFA" w:rsidP="009C2EFA">
            <w:pPr>
              <w:pStyle w:val="DHHStabletext"/>
            </w:pPr>
            <w:r w:rsidRPr="009C2EFA">
              <w:t>19.1%</w:t>
            </w:r>
          </w:p>
        </w:tc>
      </w:tr>
      <w:tr w:rsidR="009C2EFA" w14:paraId="75FAAB4F" w14:textId="77777777" w:rsidTr="003F7650">
        <w:trPr>
          <w:trHeight w:val="285"/>
        </w:trPr>
        <w:tc>
          <w:tcPr>
            <w:tcW w:w="3911" w:type="dxa"/>
            <w:vMerge/>
            <w:vAlign w:val="center"/>
            <w:hideMark/>
          </w:tcPr>
          <w:p w14:paraId="42ACB1DC"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6301039" w14:textId="77777777" w:rsidR="009C2EFA" w:rsidRPr="009C2EFA" w:rsidRDefault="009C2EFA" w:rsidP="009C2EFA">
            <w:pPr>
              <w:pStyle w:val="DHHStabletext"/>
            </w:pPr>
            <w:r w:rsidRPr="009C2EFA">
              <w:t>25–34</w:t>
            </w:r>
          </w:p>
        </w:tc>
        <w:tc>
          <w:tcPr>
            <w:tcW w:w="1243" w:type="dxa"/>
            <w:hideMark/>
          </w:tcPr>
          <w:p w14:paraId="2CEB499A" w14:textId="77777777" w:rsidR="009C2EFA" w:rsidRPr="009C2EFA" w:rsidRDefault="009C2EFA" w:rsidP="009C2EFA">
            <w:pPr>
              <w:pStyle w:val="DHHStabletext"/>
            </w:pPr>
            <w:r w:rsidRPr="009C2EFA">
              <w:t>17.7%</w:t>
            </w:r>
          </w:p>
        </w:tc>
        <w:tc>
          <w:tcPr>
            <w:tcW w:w="1243" w:type="dxa"/>
            <w:hideMark/>
          </w:tcPr>
          <w:p w14:paraId="59736C30" w14:textId="77777777" w:rsidR="009C2EFA" w:rsidRPr="009C2EFA" w:rsidRDefault="009C2EFA" w:rsidP="009C2EFA">
            <w:pPr>
              <w:pStyle w:val="DHHStabletext"/>
            </w:pPr>
            <w:r w:rsidRPr="009C2EFA">
              <w:t>17.8%</w:t>
            </w:r>
          </w:p>
        </w:tc>
        <w:tc>
          <w:tcPr>
            <w:tcW w:w="1197" w:type="dxa"/>
            <w:hideMark/>
          </w:tcPr>
          <w:p w14:paraId="3C0A6613" w14:textId="77777777" w:rsidR="009C2EFA" w:rsidRPr="009C2EFA" w:rsidRDefault="009C2EFA" w:rsidP="009C2EFA">
            <w:pPr>
              <w:pStyle w:val="DHHStabletext"/>
            </w:pPr>
            <w:r w:rsidRPr="009C2EFA">
              <w:t>17.9%</w:t>
            </w:r>
          </w:p>
        </w:tc>
      </w:tr>
      <w:tr w:rsidR="009C2EFA" w14:paraId="77718E9F" w14:textId="77777777" w:rsidTr="003F7650">
        <w:trPr>
          <w:trHeight w:val="285"/>
        </w:trPr>
        <w:tc>
          <w:tcPr>
            <w:tcW w:w="3911" w:type="dxa"/>
            <w:vMerge/>
            <w:vAlign w:val="center"/>
            <w:hideMark/>
          </w:tcPr>
          <w:p w14:paraId="2C8AEFAF"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6919DB52" w14:textId="77777777" w:rsidR="009C2EFA" w:rsidRPr="009C2EFA" w:rsidRDefault="009C2EFA" w:rsidP="009C2EFA">
            <w:pPr>
              <w:pStyle w:val="DHHStabletext"/>
            </w:pPr>
            <w:r w:rsidRPr="009C2EFA">
              <w:t>35–44</w:t>
            </w:r>
          </w:p>
        </w:tc>
        <w:tc>
          <w:tcPr>
            <w:tcW w:w="1243" w:type="dxa"/>
            <w:hideMark/>
          </w:tcPr>
          <w:p w14:paraId="1FFFD552" w14:textId="77777777" w:rsidR="009C2EFA" w:rsidRPr="009C2EFA" w:rsidRDefault="009C2EFA" w:rsidP="009C2EFA">
            <w:pPr>
              <w:pStyle w:val="DHHStabletext"/>
            </w:pPr>
            <w:r w:rsidRPr="009C2EFA">
              <w:t>18.6%</w:t>
            </w:r>
          </w:p>
        </w:tc>
        <w:tc>
          <w:tcPr>
            <w:tcW w:w="1243" w:type="dxa"/>
            <w:hideMark/>
          </w:tcPr>
          <w:p w14:paraId="34A78049" w14:textId="77777777" w:rsidR="009C2EFA" w:rsidRPr="009C2EFA" w:rsidRDefault="009C2EFA" w:rsidP="009C2EFA">
            <w:pPr>
              <w:pStyle w:val="DHHStabletext"/>
            </w:pPr>
            <w:r w:rsidRPr="009C2EFA">
              <w:t>18.6%</w:t>
            </w:r>
          </w:p>
        </w:tc>
        <w:tc>
          <w:tcPr>
            <w:tcW w:w="1197" w:type="dxa"/>
            <w:hideMark/>
          </w:tcPr>
          <w:p w14:paraId="18F12DAA" w14:textId="77777777" w:rsidR="009C2EFA" w:rsidRPr="009C2EFA" w:rsidRDefault="009C2EFA" w:rsidP="009C2EFA">
            <w:pPr>
              <w:pStyle w:val="DHHStabletext"/>
            </w:pPr>
            <w:r w:rsidRPr="009C2EFA">
              <w:t>18.2%</w:t>
            </w:r>
          </w:p>
        </w:tc>
      </w:tr>
      <w:tr w:rsidR="009C2EFA" w14:paraId="630877EC" w14:textId="77777777" w:rsidTr="003F7650">
        <w:trPr>
          <w:trHeight w:val="288"/>
        </w:trPr>
        <w:tc>
          <w:tcPr>
            <w:tcW w:w="3911" w:type="dxa"/>
            <w:vMerge/>
            <w:vAlign w:val="center"/>
            <w:hideMark/>
          </w:tcPr>
          <w:p w14:paraId="5A796EFC"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FA391E2" w14:textId="77777777" w:rsidR="009C2EFA" w:rsidRPr="009C2EFA" w:rsidRDefault="009C2EFA" w:rsidP="009C2EFA">
            <w:pPr>
              <w:pStyle w:val="DHHStabletext"/>
            </w:pPr>
            <w:r w:rsidRPr="009C2EFA">
              <w:t>45–54</w:t>
            </w:r>
          </w:p>
        </w:tc>
        <w:tc>
          <w:tcPr>
            <w:tcW w:w="1243" w:type="dxa"/>
            <w:hideMark/>
          </w:tcPr>
          <w:p w14:paraId="41209139" w14:textId="77777777" w:rsidR="009C2EFA" w:rsidRPr="009C2EFA" w:rsidRDefault="009C2EFA" w:rsidP="009C2EFA">
            <w:pPr>
              <w:pStyle w:val="DHHStabletext"/>
            </w:pPr>
            <w:r w:rsidRPr="009C2EFA">
              <w:t>14.3%</w:t>
            </w:r>
          </w:p>
        </w:tc>
        <w:tc>
          <w:tcPr>
            <w:tcW w:w="1243" w:type="dxa"/>
            <w:hideMark/>
          </w:tcPr>
          <w:p w14:paraId="197016F2" w14:textId="77777777" w:rsidR="009C2EFA" w:rsidRPr="009C2EFA" w:rsidRDefault="009C2EFA" w:rsidP="009C2EFA">
            <w:pPr>
              <w:pStyle w:val="DHHStabletext"/>
            </w:pPr>
            <w:r w:rsidRPr="009C2EFA">
              <w:t>14.5%</w:t>
            </w:r>
          </w:p>
        </w:tc>
        <w:tc>
          <w:tcPr>
            <w:tcW w:w="1197" w:type="dxa"/>
            <w:hideMark/>
          </w:tcPr>
          <w:p w14:paraId="7C2CF037" w14:textId="77777777" w:rsidR="009C2EFA" w:rsidRPr="009C2EFA" w:rsidRDefault="009C2EFA" w:rsidP="009C2EFA">
            <w:pPr>
              <w:pStyle w:val="DHHStabletext"/>
            </w:pPr>
            <w:r w:rsidRPr="009C2EFA">
              <w:t>14.6%</w:t>
            </w:r>
          </w:p>
        </w:tc>
      </w:tr>
      <w:tr w:rsidR="009C2EFA" w14:paraId="1AD01B96" w14:textId="77777777" w:rsidTr="003F7650">
        <w:trPr>
          <w:trHeight w:val="288"/>
        </w:trPr>
        <w:tc>
          <w:tcPr>
            <w:tcW w:w="3911" w:type="dxa"/>
            <w:vMerge/>
            <w:vAlign w:val="center"/>
            <w:hideMark/>
          </w:tcPr>
          <w:p w14:paraId="56ED8202"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0A1686E" w14:textId="77777777" w:rsidR="009C2EFA" w:rsidRPr="009C2EFA" w:rsidRDefault="009C2EFA" w:rsidP="009C2EFA">
            <w:pPr>
              <w:pStyle w:val="DHHStabletext"/>
            </w:pPr>
            <w:r w:rsidRPr="009C2EFA">
              <w:t>55–64</w:t>
            </w:r>
          </w:p>
        </w:tc>
        <w:tc>
          <w:tcPr>
            <w:tcW w:w="1243" w:type="dxa"/>
            <w:hideMark/>
          </w:tcPr>
          <w:p w14:paraId="7B303EC4" w14:textId="77777777" w:rsidR="009C2EFA" w:rsidRPr="009C2EFA" w:rsidRDefault="009C2EFA" w:rsidP="009C2EFA">
            <w:pPr>
              <w:pStyle w:val="DHHStabletext"/>
            </w:pPr>
            <w:r w:rsidRPr="009C2EFA">
              <w:t>8.6%</w:t>
            </w:r>
          </w:p>
        </w:tc>
        <w:tc>
          <w:tcPr>
            <w:tcW w:w="1243" w:type="dxa"/>
            <w:hideMark/>
          </w:tcPr>
          <w:p w14:paraId="04E4DA52" w14:textId="77777777" w:rsidR="009C2EFA" w:rsidRPr="009C2EFA" w:rsidRDefault="009C2EFA" w:rsidP="009C2EFA">
            <w:pPr>
              <w:pStyle w:val="DHHStabletext"/>
            </w:pPr>
            <w:r w:rsidRPr="009C2EFA">
              <w:t>8.7%</w:t>
            </w:r>
          </w:p>
        </w:tc>
        <w:tc>
          <w:tcPr>
            <w:tcW w:w="1197" w:type="dxa"/>
            <w:hideMark/>
          </w:tcPr>
          <w:p w14:paraId="5A982BAB" w14:textId="77777777" w:rsidR="009C2EFA" w:rsidRPr="009C2EFA" w:rsidRDefault="009C2EFA" w:rsidP="009C2EFA">
            <w:pPr>
              <w:pStyle w:val="DHHStabletext"/>
            </w:pPr>
            <w:r w:rsidRPr="009C2EFA">
              <w:t>8.8%</w:t>
            </w:r>
          </w:p>
        </w:tc>
      </w:tr>
      <w:tr w:rsidR="009C2EFA" w14:paraId="32175D6B" w14:textId="77777777" w:rsidTr="003F7650">
        <w:trPr>
          <w:trHeight w:val="288"/>
        </w:trPr>
        <w:tc>
          <w:tcPr>
            <w:tcW w:w="3911" w:type="dxa"/>
            <w:vMerge/>
            <w:vAlign w:val="center"/>
            <w:hideMark/>
          </w:tcPr>
          <w:p w14:paraId="3CBF0283"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06D03E33" w14:textId="77777777" w:rsidR="009C2EFA" w:rsidRPr="009C2EFA" w:rsidRDefault="009C2EFA" w:rsidP="009C2EFA">
            <w:pPr>
              <w:pStyle w:val="DHHStabletext"/>
            </w:pPr>
            <w:r w:rsidRPr="009C2EFA">
              <w:t>65–74</w:t>
            </w:r>
          </w:p>
        </w:tc>
        <w:tc>
          <w:tcPr>
            <w:tcW w:w="1243" w:type="dxa"/>
            <w:hideMark/>
          </w:tcPr>
          <w:p w14:paraId="7DEEDF80" w14:textId="77777777" w:rsidR="009C2EFA" w:rsidRPr="009C2EFA" w:rsidRDefault="009C2EFA" w:rsidP="009C2EFA">
            <w:pPr>
              <w:pStyle w:val="DHHStabletext"/>
            </w:pPr>
            <w:r w:rsidRPr="009C2EFA">
              <w:t>6.4%</w:t>
            </w:r>
          </w:p>
        </w:tc>
        <w:tc>
          <w:tcPr>
            <w:tcW w:w="1243" w:type="dxa"/>
            <w:hideMark/>
          </w:tcPr>
          <w:p w14:paraId="50011B73" w14:textId="77777777" w:rsidR="009C2EFA" w:rsidRPr="009C2EFA" w:rsidRDefault="009C2EFA" w:rsidP="009C2EFA">
            <w:pPr>
              <w:pStyle w:val="DHHStabletext"/>
            </w:pPr>
            <w:r w:rsidRPr="009C2EFA">
              <w:t>6.1%</w:t>
            </w:r>
          </w:p>
        </w:tc>
        <w:tc>
          <w:tcPr>
            <w:tcW w:w="1197" w:type="dxa"/>
            <w:hideMark/>
          </w:tcPr>
          <w:p w14:paraId="5586DE9F" w14:textId="77777777" w:rsidR="009C2EFA" w:rsidRPr="009C2EFA" w:rsidRDefault="009C2EFA" w:rsidP="009C2EFA">
            <w:pPr>
              <w:pStyle w:val="DHHStabletext"/>
            </w:pPr>
            <w:r w:rsidRPr="009C2EFA">
              <w:t>6.1%</w:t>
            </w:r>
          </w:p>
        </w:tc>
      </w:tr>
      <w:tr w:rsidR="009C2EFA" w14:paraId="26A7A698" w14:textId="77777777" w:rsidTr="003F7650">
        <w:trPr>
          <w:trHeight w:val="288"/>
        </w:trPr>
        <w:tc>
          <w:tcPr>
            <w:tcW w:w="3911" w:type="dxa"/>
            <w:vMerge/>
            <w:vAlign w:val="center"/>
            <w:hideMark/>
          </w:tcPr>
          <w:p w14:paraId="45679BAD"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32CC1277" w14:textId="77777777" w:rsidR="009C2EFA" w:rsidRPr="009C2EFA" w:rsidRDefault="009C2EFA" w:rsidP="009C2EFA">
            <w:pPr>
              <w:pStyle w:val="DHHStabletext"/>
            </w:pPr>
            <w:r w:rsidRPr="009C2EFA">
              <w:t>75–84</w:t>
            </w:r>
          </w:p>
        </w:tc>
        <w:tc>
          <w:tcPr>
            <w:tcW w:w="1243" w:type="dxa"/>
            <w:hideMark/>
          </w:tcPr>
          <w:p w14:paraId="59ED382B" w14:textId="77777777" w:rsidR="009C2EFA" w:rsidRPr="009C2EFA" w:rsidRDefault="009C2EFA" w:rsidP="009C2EFA">
            <w:pPr>
              <w:pStyle w:val="DHHStabletext"/>
            </w:pPr>
            <w:r w:rsidRPr="009C2EFA">
              <w:t>4.9%</w:t>
            </w:r>
          </w:p>
        </w:tc>
        <w:tc>
          <w:tcPr>
            <w:tcW w:w="1243" w:type="dxa"/>
            <w:hideMark/>
          </w:tcPr>
          <w:p w14:paraId="7C90BAC2" w14:textId="77777777" w:rsidR="009C2EFA" w:rsidRPr="009C2EFA" w:rsidRDefault="009C2EFA" w:rsidP="009C2EFA">
            <w:pPr>
              <w:pStyle w:val="DHHStabletext"/>
            </w:pPr>
            <w:r w:rsidRPr="009C2EFA">
              <w:t>4.6%</w:t>
            </w:r>
          </w:p>
        </w:tc>
        <w:tc>
          <w:tcPr>
            <w:tcW w:w="1197" w:type="dxa"/>
            <w:hideMark/>
          </w:tcPr>
          <w:p w14:paraId="5759AF51" w14:textId="77777777" w:rsidR="009C2EFA" w:rsidRPr="009C2EFA" w:rsidRDefault="009C2EFA" w:rsidP="009C2EFA">
            <w:pPr>
              <w:pStyle w:val="DHHStabletext"/>
            </w:pPr>
            <w:r w:rsidRPr="009C2EFA">
              <w:t>4.3%</w:t>
            </w:r>
          </w:p>
        </w:tc>
      </w:tr>
      <w:tr w:rsidR="009C2EFA" w14:paraId="00E5ECCA" w14:textId="77777777" w:rsidTr="003F7650">
        <w:trPr>
          <w:trHeight w:val="288"/>
        </w:trPr>
        <w:tc>
          <w:tcPr>
            <w:tcW w:w="3911" w:type="dxa"/>
            <w:vMerge/>
            <w:vAlign w:val="center"/>
            <w:hideMark/>
          </w:tcPr>
          <w:p w14:paraId="08AEEBD7"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399A49AF" w14:textId="77777777" w:rsidR="009C2EFA" w:rsidRPr="009C2EFA" w:rsidRDefault="009C2EFA" w:rsidP="009C2EFA">
            <w:pPr>
              <w:pStyle w:val="DHHStabletext"/>
            </w:pPr>
            <w:r w:rsidRPr="009C2EFA">
              <w:t>85–94</w:t>
            </w:r>
          </w:p>
        </w:tc>
        <w:tc>
          <w:tcPr>
            <w:tcW w:w="1243" w:type="dxa"/>
            <w:hideMark/>
          </w:tcPr>
          <w:p w14:paraId="6F09895A" w14:textId="77777777" w:rsidR="009C2EFA" w:rsidRPr="009C2EFA" w:rsidRDefault="009C2EFA" w:rsidP="009C2EFA">
            <w:pPr>
              <w:pStyle w:val="DHHStabletext"/>
            </w:pPr>
            <w:r w:rsidRPr="009C2EFA">
              <w:t>2.6%</w:t>
            </w:r>
          </w:p>
        </w:tc>
        <w:tc>
          <w:tcPr>
            <w:tcW w:w="1243" w:type="dxa"/>
            <w:hideMark/>
          </w:tcPr>
          <w:p w14:paraId="5BE7262C" w14:textId="77777777" w:rsidR="009C2EFA" w:rsidRPr="009C2EFA" w:rsidRDefault="009C2EFA" w:rsidP="009C2EFA">
            <w:pPr>
              <w:pStyle w:val="DHHStabletext"/>
            </w:pPr>
            <w:r w:rsidRPr="009C2EFA">
              <w:t>2.3%</w:t>
            </w:r>
          </w:p>
        </w:tc>
        <w:tc>
          <w:tcPr>
            <w:tcW w:w="1197" w:type="dxa"/>
            <w:hideMark/>
          </w:tcPr>
          <w:p w14:paraId="4DB05627" w14:textId="77777777" w:rsidR="009C2EFA" w:rsidRPr="009C2EFA" w:rsidRDefault="009C2EFA" w:rsidP="009C2EFA">
            <w:pPr>
              <w:pStyle w:val="DHHStabletext"/>
            </w:pPr>
            <w:r w:rsidRPr="009C2EFA">
              <w:t>1.9%</w:t>
            </w:r>
          </w:p>
        </w:tc>
      </w:tr>
      <w:tr w:rsidR="009C2EFA" w14:paraId="233C1DF2" w14:textId="77777777" w:rsidTr="003F7650">
        <w:trPr>
          <w:trHeight w:val="288"/>
        </w:trPr>
        <w:tc>
          <w:tcPr>
            <w:tcW w:w="3911" w:type="dxa"/>
            <w:vMerge/>
            <w:vAlign w:val="center"/>
            <w:hideMark/>
          </w:tcPr>
          <w:p w14:paraId="0FB9B3F6"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6239AF25" w14:textId="77777777" w:rsidR="009C2EFA" w:rsidRPr="009C2EFA" w:rsidRDefault="009C2EFA" w:rsidP="009C2EFA">
            <w:pPr>
              <w:pStyle w:val="DHHStabletext"/>
            </w:pPr>
            <w:r w:rsidRPr="009C2EFA">
              <w:t>95+</w:t>
            </w:r>
          </w:p>
        </w:tc>
        <w:tc>
          <w:tcPr>
            <w:tcW w:w="1243" w:type="dxa"/>
            <w:hideMark/>
          </w:tcPr>
          <w:p w14:paraId="5A010E6C" w14:textId="77777777" w:rsidR="009C2EFA" w:rsidRPr="009C2EFA" w:rsidRDefault="009C2EFA" w:rsidP="009C2EFA">
            <w:pPr>
              <w:pStyle w:val="DHHStabletext"/>
            </w:pPr>
            <w:r w:rsidRPr="009C2EFA">
              <w:t>0.2%</w:t>
            </w:r>
          </w:p>
        </w:tc>
        <w:tc>
          <w:tcPr>
            <w:tcW w:w="1243" w:type="dxa"/>
            <w:hideMark/>
          </w:tcPr>
          <w:p w14:paraId="75931DA6" w14:textId="77777777" w:rsidR="009C2EFA" w:rsidRPr="009C2EFA" w:rsidRDefault="009C2EFA" w:rsidP="009C2EFA">
            <w:pPr>
              <w:pStyle w:val="DHHStabletext"/>
            </w:pPr>
            <w:r w:rsidRPr="009C2EFA">
              <w:t>0.2%</w:t>
            </w:r>
          </w:p>
        </w:tc>
        <w:tc>
          <w:tcPr>
            <w:tcW w:w="1197" w:type="dxa"/>
            <w:hideMark/>
          </w:tcPr>
          <w:p w14:paraId="27E55008" w14:textId="77777777" w:rsidR="009C2EFA" w:rsidRPr="009C2EFA" w:rsidRDefault="009C2EFA" w:rsidP="009C2EFA">
            <w:pPr>
              <w:pStyle w:val="DHHStabletext"/>
            </w:pPr>
            <w:r w:rsidRPr="009C2EFA">
              <w:t>0.2%</w:t>
            </w:r>
          </w:p>
        </w:tc>
      </w:tr>
      <w:tr w:rsidR="009C2EFA" w14:paraId="6D34D238" w14:textId="77777777" w:rsidTr="003F7650">
        <w:trPr>
          <w:trHeight w:val="724"/>
        </w:trPr>
        <w:tc>
          <w:tcPr>
            <w:tcW w:w="3911" w:type="dxa"/>
            <w:hideMark/>
          </w:tcPr>
          <w:p w14:paraId="54559AFD" w14:textId="77777777" w:rsidR="009C2EFA" w:rsidRPr="009C2EFA" w:rsidRDefault="009C2EFA" w:rsidP="009C2EFA">
            <w:pPr>
              <w:pStyle w:val="DHHStabletext"/>
            </w:pPr>
            <w:r w:rsidRPr="009C2EFA">
              <w:t>Clients of culturally and linguistically diverse backgrounds (%)</w:t>
            </w:r>
          </w:p>
        </w:tc>
        <w:tc>
          <w:tcPr>
            <w:tcW w:w="2324" w:type="dxa"/>
          </w:tcPr>
          <w:p w14:paraId="7327C016" w14:textId="77777777" w:rsidR="009C2EFA" w:rsidRPr="009C2EFA" w:rsidRDefault="009C2EFA" w:rsidP="009C2EFA">
            <w:pPr>
              <w:pStyle w:val="DHHStabletext"/>
              <w:rPr>
                <w:rFonts w:ascii="Times New Roman"/>
              </w:rPr>
            </w:pPr>
          </w:p>
          <w:p w14:paraId="57010693" w14:textId="77777777" w:rsidR="009C2EFA" w:rsidRPr="009C2EFA" w:rsidRDefault="009C2EFA" w:rsidP="009C2EFA">
            <w:pPr>
              <w:pStyle w:val="DHHStabletext"/>
              <w:rPr>
                <w:rFonts w:ascii="Trebuchet MS"/>
              </w:rPr>
            </w:pPr>
            <w:r w:rsidRPr="009C2EFA">
              <w:t>CALD</w:t>
            </w:r>
          </w:p>
        </w:tc>
        <w:tc>
          <w:tcPr>
            <w:tcW w:w="1243" w:type="dxa"/>
          </w:tcPr>
          <w:p w14:paraId="5D661589" w14:textId="77777777" w:rsidR="009C2EFA" w:rsidRPr="009C2EFA" w:rsidRDefault="009C2EFA" w:rsidP="009C2EFA">
            <w:pPr>
              <w:pStyle w:val="DHHStabletext"/>
              <w:rPr>
                <w:rFonts w:ascii="Times New Roman"/>
                <w:sz w:val="21"/>
              </w:rPr>
            </w:pPr>
          </w:p>
          <w:p w14:paraId="30550455" w14:textId="77777777" w:rsidR="009C2EFA" w:rsidRPr="009C2EFA" w:rsidRDefault="009C2EFA" w:rsidP="009C2EFA">
            <w:pPr>
              <w:pStyle w:val="DHHStabletext"/>
              <w:rPr>
                <w:rFonts w:ascii="Trebuchet MS"/>
              </w:rPr>
            </w:pPr>
            <w:r w:rsidRPr="009C2EFA">
              <w:t>14.3%</w:t>
            </w:r>
          </w:p>
        </w:tc>
        <w:tc>
          <w:tcPr>
            <w:tcW w:w="1243" w:type="dxa"/>
          </w:tcPr>
          <w:p w14:paraId="4894095E" w14:textId="77777777" w:rsidR="009C2EFA" w:rsidRPr="009C2EFA" w:rsidRDefault="009C2EFA" w:rsidP="009C2EFA">
            <w:pPr>
              <w:pStyle w:val="DHHStabletext"/>
              <w:rPr>
                <w:rFonts w:ascii="Times New Roman"/>
                <w:sz w:val="21"/>
              </w:rPr>
            </w:pPr>
          </w:p>
          <w:p w14:paraId="723848D7" w14:textId="77777777" w:rsidR="009C2EFA" w:rsidRPr="009C2EFA" w:rsidRDefault="009C2EFA" w:rsidP="009C2EFA">
            <w:pPr>
              <w:pStyle w:val="DHHStabletext"/>
              <w:rPr>
                <w:rFonts w:ascii="Trebuchet MS"/>
              </w:rPr>
            </w:pPr>
            <w:r w:rsidRPr="009C2EFA">
              <w:t>13.9%</w:t>
            </w:r>
          </w:p>
        </w:tc>
        <w:tc>
          <w:tcPr>
            <w:tcW w:w="1197" w:type="dxa"/>
          </w:tcPr>
          <w:p w14:paraId="744F5D4F" w14:textId="77777777" w:rsidR="009C2EFA" w:rsidRPr="009C2EFA" w:rsidRDefault="009C2EFA" w:rsidP="009C2EFA">
            <w:pPr>
              <w:pStyle w:val="DHHStabletext"/>
              <w:rPr>
                <w:rFonts w:ascii="Times New Roman"/>
                <w:sz w:val="21"/>
              </w:rPr>
            </w:pPr>
          </w:p>
          <w:p w14:paraId="23BB8D9F" w14:textId="77777777" w:rsidR="009C2EFA" w:rsidRPr="009C2EFA" w:rsidRDefault="009C2EFA" w:rsidP="009C2EFA">
            <w:pPr>
              <w:pStyle w:val="DHHStabletext"/>
              <w:rPr>
                <w:rFonts w:ascii="Trebuchet MS"/>
              </w:rPr>
            </w:pPr>
            <w:r w:rsidRPr="009C2EFA">
              <w:t>13.6%</w:t>
            </w:r>
          </w:p>
        </w:tc>
      </w:tr>
      <w:tr w:rsidR="009C2EFA" w14:paraId="69D547EC" w14:textId="77777777" w:rsidTr="003F7650">
        <w:trPr>
          <w:trHeight w:val="670"/>
        </w:trPr>
        <w:tc>
          <w:tcPr>
            <w:tcW w:w="3911" w:type="dxa"/>
            <w:hideMark/>
          </w:tcPr>
          <w:p w14:paraId="1E7196CC" w14:textId="77777777" w:rsidR="009C2EFA" w:rsidRPr="009C2EFA" w:rsidRDefault="009C2EFA" w:rsidP="009C2EFA">
            <w:pPr>
              <w:pStyle w:val="DHHStabletext"/>
            </w:pPr>
            <w:r w:rsidRPr="009C2EFA">
              <w:t>Aboriginal or Torres Strait Islander status (%)</w:t>
            </w:r>
          </w:p>
        </w:tc>
        <w:tc>
          <w:tcPr>
            <w:tcW w:w="2324" w:type="dxa"/>
          </w:tcPr>
          <w:p w14:paraId="06B2CBAE" w14:textId="77777777" w:rsidR="009C2EFA" w:rsidRPr="009C2EFA" w:rsidRDefault="009C2EFA" w:rsidP="009C2EFA">
            <w:pPr>
              <w:pStyle w:val="DHHStabletext"/>
              <w:rPr>
                <w:rFonts w:ascii="Times New Roman"/>
                <w:sz w:val="17"/>
              </w:rPr>
            </w:pPr>
          </w:p>
          <w:p w14:paraId="143C9533" w14:textId="77777777" w:rsidR="009C2EFA" w:rsidRPr="009C2EFA" w:rsidRDefault="009C2EFA" w:rsidP="009C2EFA">
            <w:pPr>
              <w:pStyle w:val="DHHStabletext"/>
              <w:rPr>
                <w:rFonts w:ascii="Trebuchet MS"/>
              </w:rPr>
            </w:pPr>
            <w:r w:rsidRPr="009C2EFA">
              <w:t>Indigenous</w:t>
            </w:r>
          </w:p>
        </w:tc>
        <w:tc>
          <w:tcPr>
            <w:tcW w:w="1243" w:type="dxa"/>
          </w:tcPr>
          <w:p w14:paraId="733487D6" w14:textId="77777777" w:rsidR="009C2EFA" w:rsidRPr="009C2EFA" w:rsidRDefault="009C2EFA" w:rsidP="009C2EFA">
            <w:pPr>
              <w:pStyle w:val="DHHStabletext"/>
              <w:rPr>
                <w:rFonts w:ascii="Times New Roman"/>
                <w:sz w:val="19"/>
              </w:rPr>
            </w:pPr>
          </w:p>
          <w:p w14:paraId="414C136E" w14:textId="77777777" w:rsidR="009C2EFA" w:rsidRPr="009C2EFA" w:rsidRDefault="009C2EFA" w:rsidP="009C2EFA">
            <w:pPr>
              <w:pStyle w:val="DHHStabletext"/>
              <w:rPr>
                <w:rFonts w:ascii="Trebuchet MS"/>
              </w:rPr>
            </w:pPr>
            <w:r w:rsidRPr="009C2EFA">
              <w:t>2.3%</w:t>
            </w:r>
          </w:p>
        </w:tc>
        <w:tc>
          <w:tcPr>
            <w:tcW w:w="1243" w:type="dxa"/>
          </w:tcPr>
          <w:p w14:paraId="1E923203" w14:textId="77777777" w:rsidR="009C2EFA" w:rsidRPr="009C2EFA" w:rsidRDefault="009C2EFA" w:rsidP="009C2EFA">
            <w:pPr>
              <w:pStyle w:val="DHHStabletext"/>
              <w:rPr>
                <w:rFonts w:ascii="Times New Roman"/>
                <w:sz w:val="19"/>
              </w:rPr>
            </w:pPr>
          </w:p>
          <w:p w14:paraId="699568C4" w14:textId="77777777" w:rsidR="009C2EFA" w:rsidRPr="009C2EFA" w:rsidRDefault="009C2EFA" w:rsidP="009C2EFA">
            <w:pPr>
              <w:pStyle w:val="DHHStabletext"/>
              <w:rPr>
                <w:rFonts w:ascii="Trebuchet MS"/>
              </w:rPr>
            </w:pPr>
            <w:r w:rsidRPr="009C2EFA">
              <w:t>2.4%</w:t>
            </w:r>
          </w:p>
        </w:tc>
        <w:tc>
          <w:tcPr>
            <w:tcW w:w="1197" w:type="dxa"/>
          </w:tcPr>
          <w:p w14:paraId="23E11294" w14:textId="77777777" w:rsidR="009C2EFA" w:rsidRPr="009C2EFA" w:rsidRDefault="009C2EFA" w:rsidP="009C2EFA">
            <w:pPr>
              <w:pStyle w:val="DHHStabletext"/>
              <w:rPr>
                <w:rFonts w:ascii="Times New Roman"/>
                <w:sz w:val="19"/>
              </w:rPr>
            </w:pPr>
          </w:p>
          <w:p w14:paraId="0C927669" w14:textId="77777777" w:rsidR="009C2EFA" w:rsidRPr="009C2EFA" w:rsidRDefault="009C2EFA" w:rsidP="009C2EFA">
            <w:pPr>
              <w:pStyle w:val="DHHStabletext"/>
              <w:rPr>
                <w:rFonts w:ascii="Trebuchet MS"/>
              </w:rPr>
            </w:pPr>
            <w:r w:rsidRPr="009C2EFA">
              <w:t>2.5%</w:t>
            </w:r>
          </w:p>
        </w:tc>
      </w:tr>
      <w:tr w:rsidR="009C2EFA" w14:paraId="4E2DA0E8" w14:textId="77777777" w:rsidTr="003F7650">
        <w:trPr>
          <w:trHeight w:val="285"/>
        </w:trPr>
        <w:tc>
          <w:tcPr>
            <w:tcW w:w="3911" w:type="dxa"/>
            <w:vMerge w:val="restart"/>
            <w:hideMark/>
          </w:tcPr>
          <w:p w14:paraId="36352843" w14:textId="77777777" w:rsidR="009C2EFA" w:rsidRPr="009C2EFA" w:rsidRDefault="009C2EFA" w:rsidP="009C2EFA">
            <w:pPr>
              <w:pStyle w:val="DHHStabletext"/>
            </w:pPr>
            <w:r w:rsidRPr="009C2EFA">
              <w:t>Country of birth (top 10 non-English speaking) (%)</w:t>
            </w:r>
          </w:p>
        </w:tc>
        <w:tc>
          <w:tcPr>
            <w:tcW w:w="2324" w:type="dxa"/>
            <w:hideMark/>
          </w:tcPr>
          <w:p w14:paraId="30567206" w14:textId="77777777" w:rsidR="009C2EFA" w:rsidRPr="009C2EFA" w:rsidRDefault="009C2EFA" w:rsidP="009C2EFA">
            <w:pPr>
              <w:pStyle w:val="DHHStabletext"/>
            </w:pPr>
            <w:r w:rsidRPr="009C2EFA">
              <w:t>Italy</w:t>
            </w:r>
          </w:p>
        </w:tc>
        <w:tc>
          <w:tcPr>
            <w:tcW w:w="1243" w:type="dxa"/>
            <w:hideMark/>
          </w:tcPr>
          <w:p w14:paraId="7F61284B" w14:textId="77777777" w:rsidR="009C2EFA" w:rsidRPr="009C2EFA" w:rsidRDefault="009C2EFA" w:rsidP="009C2EFA">
            <w:pPr>
              <w:pStyle w:val="DHHStabletext"/>
            </w:pPr>
            <w:r w:rsidRPr="009C2EFA">
              <w:t>1.2%</w:t>
            </w:r>
          </w:p>
        </w:tc>
        <w:tc>
          <w:tcPr>
            <w:tcW w:w="1243" w:type="dxa"/>
            <w:hideMark/>
          </w:tcPr>
          <w:p w14:paraId="4D53B676" w14:textId="77777777" w:rsidR="009C2EFA" w:rsidRPr="009C2EFA" w:rsidRDefault="009C2EFA" w:rsidP="009C2EFA">
            <w:pPr>
              <w:pStyle w:val="DHHStabletext"/>
            </w:pPr>
            <w:r w:rsidRPr="009C2EFA">
              <w:t>1.1%</w:t>
            </w:r>
          </w:p>
        </w:tc>
        <w:tc>
          <w:tcPr>
            <w:tcW w:w="1197" w:type="dxa"/>
            <w:hideMark/>
          </w:tcPr>
          <w:p w14:paraId="1F8BB864" w14:textId="77777777" w:rsidR="009C2EFA" w:rsidRPr="009C2EFA" w:rsidRDefault="009C2EFA" w:rsidP="009C2EFA">
            <w:pPr>
              <w:pStyle w:val="DHHStabletext"/>
            </w:pPr>
            <w:r w:rsidRPr="009C2EFA">
              <w:t>1.0%</w:t>
            </w:r>
          </w:p>
        </w:tc>
      </w:tr>
      <w:tr w:rsidR="009C2EFA" w14:paraId="01108900" w14:textId="77777777" w:rsidTr="003F7650">
        <w:trPr>
          <w:trHeight w:val="288"/>
        </w:trPr>
        <w:tc>
          <w:tcPr>
            <w:tcW w:w="3911" w:type="dxa"/>
            <w:vMerge/>
            <w:vAlign w:val="center"/>
            <w:hideMark/>
          </w:tcPr>
          <w:p w14:paraId="4782B02F"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BADD4FC" w14:textId="77777777" w:rsidR="009C2EFA" w:rsidRPr="009C2EFA" w:rsidRDefault="009C2EFA" w:rsidP="009C2EFA">
            <w:pPr>
              <w:pStyle w:val="DHHStabletext"/>
            </w:pPr>
            <w:r w:rsidRPr="009C2EFA">
              <w:t>Vietnam</w:t>
            </w:r>
          </w:p>
        </w:tc>
        <w:tc>
          <w:tcPr>
            <w:tcW w:w="1243" w:type="dxa"/>
            <w:hideMark/>
          </w:tcPr>
          <w:p w14:paraId="56D0C68D" w14:textId="77777777" w:rsidR="009C2EFA" w:rsidRPr="009C2EFA" w:rsidRDefault="009C2EFA" w:rsidP="009C2EFA">
            <w:pPr>
              <w:pStyle w:val="DHHStabletext"/>
            </w:pPr>
            <w:r w:rsidRPr="009C2EFA">
              <w:t>1.0%</w:t>
            </w:r>
          </w:p>
        </w:tc>
        <w:tc>
          <w:tcPr>
            <w:tcW w:w="1243" w:type="dxa"/>
            <w:hideMark/>
          </w:tcPr>
          <w:p w14:paraId="225DE491" w14:textId="77777777" w:rsidR="009C2EFA" w:rsidRPr="009C2EFA" w:rsidRDefault="009C2EFA" w:rsidP="009C2EFA">
            <w:pPr>
              <w:pStyle w:val="DHHStabletext"/>
            </w:pPr>
            <w:r w:rsidRPr="009C2EFA">
              <w:t>0.9%</w:t>
            </w:r>
          </w:p>
        </w:tc>
        <w:tc>
          <w:tcPr>
            <w:tcW w:w="1197" w:type="dxa"/>
            <w:hideMark/>
          </w:tcPr>
          <w:p w14:paraId="0716643F" w14:textId="77777777" w:rsidR="009C2EFA" w:rsidRPr="009C2EFA" w:rsidRDefault="009C2EFA" w:rsidP="009C2EFA">
            <w:pPr>
              <w:pStyle w:val="DHHStabletext"/>
            </w:pPr>
            <w:r w:rsidRPr="009C2EFA">
              <w:t>0.8%</w:t>
            </w:r>
          </w:p>
        </w:tc>
      </w:tr>
      <w:tr w:rsidR="009C2EFA" w14:paraId="07BE8B0D" w14:textId="77777777" w:rsidTr="003F7650">
        <w:trPr>
          <w:trHeight w:val="288"/>
        </w:trPr>
        <w:tc>
          <w:tcPr>
            <w:tcW w:w="3911" w:type="dxa"/>
            <w:vMerge/>
            <w:vAlign w:val="center"/>
            <w:hideMark/>
          </w:tcPr>
          <w:p w14:paraId="72647CBE"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14128AA0" w14:textId="77777777" w:rsidR="009C2EFA" w:rsidRPr="009C2EFA" w:rsidRDefault="009C2EFA" w:rsidP="009C2EFA">
            <w:pPr>
              <w:pStyle w:val="DHHStabletext"/>
            </w:pPr>
            <w:r w:rsidRPr="009C2EFA">
              <w:t>Greece</w:t>
            </w:r>
          </w:p>
        </w:tc>
        <w:tc>
          <w:tcPr>
            <w:tcW w:w="1243" w:type="dxa"/>
            <w:hideMark/>
          </w:tcPr>
          <w:p w14:paraId="265CD60C" w14:textId="77777777" w:rsidR="009C2EFA" w:rsidRPr="009C2EFA" w:rsidRDefault="009C2EFA" w:rsidP="009C2EFA">
            <w:pPr>
              <w:pStyle w:val="DHHStabletext"/>
            </w:pPr>
            <w:r w:rsidRPr="009C2EFA">
              <w:t>0.9%</w:t>
            </w:r>
          </w:p>
        </w:tc>
        <w:tc>
          <w:tcPr>
            <w:tcW w:w="1243" w:type="dxa"/>
            <w:hideMark/>
          </w:tcPr>
          <w:p w14:paraId="528C4D7F" w14:textId="77777777" w:rsidR="009C2EFA" w:rsidRPr="009C2EFA" w:rsidRDefault="009C2EFA" w:rsidP="009C2EFA">
            <w:pPr>
              <w:pStyle w:val="DHHStabletext"/>
            </w:pPr>
            <w:r w:rsidRPr="009C2EFA">
              <w:t>0.8%</w:t>
            </w:r>
          </w:p>
        </w:tc>
        <w:tc>
          <w:tcPr>
            <w:tcW w:w="1197" w:type="dxa"/>
            <w:hideMark/>
          </w:tcPr>
          <w:p w14:paraId="6B85D162" w14:textId="77777777" w:rsidR="009C2EFA" w:rsidRPr="009C2EFA" w:rsidRDefault="009C2EFA" w:rsidP="009C2EFA">
            <w:pPr>
              <w:pStyle w:val="DHHStabletext"/>
            </w:pPr>
            <w:r w:rsidRPr="009C2EFA">
              <w:t>0.8%</w:t>
            </w:r>
          </w:p>
        </w:tc>
      </w:tr>
      <w:tr w:rsidR="009C2EFA" w14:paraId="0A745993" w14:textId="77777777" w:rsidTr="003F7650">
        <w:trPr>
          <w:trHeight w:val="288"/>
        </w:trPr>
        <w:tc>
          <w:tcPr>
            <w:tcW w:w="3911" w:type="dxa"/>
            <w:vMerge/>
            <w:vAlign w:val="center"/>
            <w:hideMark/>
          </w:tcPr>
          <w:p w14:paraId="33E91B4F"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10C97846" w14:textId="77777777" w:rsidR="009C2EFA" w:rsidRPr="009C2EFA" w:rsidRDefault="009C2EFA" w:rsidP="009C2EFA">
            <w:pPr>
              <w:pStyle w:val="DHHStabletext"/>
            </w:pPr>
            <w:r w:rsidRPr="009C2EFA">
              <w:t>India</w:t>
            </w:r>
          </w:p>
        </w:tc>
        <w:tc>
          <w:tcPr>
            <w:tcW w:w="1243" w:type="dxa"/>
            <w:hideMark/>
          </w:tcPr>
          <w:p w14:paraId="1C17CF5A" w14:textId="77777777" w:rsidR="009C2EFA" w:rsidRPr="009C2EFA" w:rsidRDefault="009C2EFA" w:rsidP="009C2EFA">
            <w:pPr>
              <w:pStyle w:val="DHHStabletext"/>
            </w:pPr>
            <w:r w:rsidRPr="009C2EFA">
              <w:t>0.7%</w:t>
            </w:r>
          </w:p>
        </w:tc>
        <w:tc>
          <w:tcPr>
            <w:tcW w:w="1243" w:type="dxa"/>
            <w:hideMark/>
          </w:tcPr>
          <w:p w14:paraId="587A72D4" w14:textId="77777777" w:rsidR="009C2EFA" w:rsidRPr="009C2EFA" w:rsidRDefault="009C2EFA" w:rsidP="009C2EFA">
            <w:pPr>
              <w:pStyle w:val="DHHStabletext"/>
            </w:pPr>
            <w:r w:rsidRPr="009C2EFA">
              <w:t>0.6%</w:t>
            </w:r>
          </w:p>
        </w:tc>
        <w:tc>
          <w:tcPr>
            <w:tcW w:w="1197" w:type="dxa"/>
            <w:hideMark/>
          </w:tcPr>
          <w:p w14:paraId="6C9425A0" w14:textId="77777777" w:rsidR="009C2EFA" w:rsidRPr="009C2EFA" w:rsidRDefault="009C2EFA" w:rsidP="009C2EFA">
            <w:pPr>
              <w:pStyle w:val="DHHStabletext"/>
            </w:pPr>
            <w:r w:rsidRPr="009C2EFA">
              <w:t>0.7%</w:t>
            </w:r>
          </w:p>
        </w:tc>
      </w:tr>
      <w:tr w:rsidR="009C2EFA" w14:paraId="19A064A8" w14:textId="77777777" w:rsidTr="003F7650">
        <w:trPr>
          <w:trHeight w:val="525"/>
        </w:trPr>
        <w:tc>
          <w:tcPr>
            <w:tcW w:w="3911" w:type="dxa"/>
            <w:vMerge/>
            <w:vAlign w:val="center"/>
            <w:hideMark/>
          </w:tcPr>
          <w:p w14:paraId="2C9D05FD"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1EFB8D7C" w14:textId="77777777" w:rsidR="009C2EFA" w:rsidRPr="009C2EFA" w:rsidRDefault="009C2EFA" w:rsidP="009C2EFA">
            <w:pPr>
              <w:pStyle w:val="DHHStabletext"/>
            </w:pPr>
            <w:r w:rsidRPr="009C2EFA">
              <w:t>China (excluding SARs and Taiwan)</w:t>
            </w:r>
          </w:p>
        </w:tc>
        <w:tc>
          <w:tcPr>
            <w:tcW w:w="1243" w:type="dxa"/>
            <w:hideMark/>
          </w:tcPr>
          <w:p w14:paraId="336F87F8" w14:textId="77777777" w:rsidR="009C2EFA" w:rsidRPr="009C2EFA" w:rsidRDefault="009C2EFA" w:rsidP="009C2EFA">
            <w:pPr>
              <w:pStyle w:val="DHHStabletext"/>
            </w:pPr>
            <w:r w:rsidRPr="009C2EFA">
              <w:t>0.5%</w:t>
            </w:r>
          </w:p>
        </w:tc>
        <w:tc>
          <w:tcPr>
            <w:tcW w:w="1243" w:type="dxa"/>
            <w:hideMark/>
          </w:tcPr>
          <w:p w14:paraId="58BFF83A" w14:textId="77777777" w:rsidR="009C2EFA" w:rsidRPr="009C2EFA" w:rsidRDefault="009C2EFA" w:rsidP="009C2EFA">
            <w:pPr>
              <w:pStyle w:val="DHHStabletext"/>
            </w:pPr>
            <w:r w:rsidRPr="009C2EFA">
              <w:t>0.6%</w:t>
            </w:r>
          </w:p>
        </w:tc>
        <w:tc>
          <w:tcPr>
            <w:tcW w:w="1197" w:type="dxa"/>
            <w:hideMark/>
          </w:tcPr>
          <w:p w14:paraId="57A2BFAE" w14:textId="77777777" w:rsidR="009C2EFA" w:rsidRPr="009C2EFA" w:rsidRDefault="009C2EFA" w:rsidP="009C2EFA">
            <w:pPr>
              <w:pStyle w:val="DHHStabletext"/>
            </w:pPr>
            <w:r w:rsidRPr="009C2EFA">
              <w:t>0.6%</w:t>
            </w:r>
          </w:p>
        </w:tc>
      </w:tr>
      <w:tr w:rsidR="009C2EFA" w14:paraId="1790D412" w14:textId="77777777" w:rsidTr="003F7650">
        <w:trPr>
          <w:trHeight w:val="285"/>
        </w:trPr>
        <w:tc>
          <w:tcPr>
            <w:tcW w:w="3911" w:type="dxa"/>
            <w:vMerge/>
            <w:vAlign w:val="center"/>
            <w:hideMark/>
          </w:tcPr>
          <w:p w14:paraId="394250D5"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4023C003" w14:textId="77777777" w:rsidR="009C2EFA" w:rsidRPr="009C2EFA" w:rsidRDefault="009C2EFA" w:rsidP="009C2EFA">
            <w:pPr>
              <w:pStyle w:val="DHHStabletext"/>
            </w:pPr>
            <w:r w:rsidRPr="009C2EFA">
              <w:t>Sri Lanka</w:t>
            </w:r>
          </w:p>
        </w:tc>
        <w:tc>
          <w:tcPr>
            <w:tcW w:w="1243" w:type="dxa"/>
            <w:hideMark/>
          </w:tcPr>
          <w:p w14:paraId="368A1B9E" w14:textId="77777777" w:rsidR="009C2EFA" w:rsidRPr="009C2EFA" w:rsidRDefault="009C2EFA" w:rsidP="009C2EFA">
            <w:pPr>
              <w:pStyle w:val="DHHStabletext"/>
            </w:pPr>
            <w:r w:rsidRPr="009C2EFA">
              <w:t>0.4%</w:t>
            </w:r>
          </w:p>
        </w:tc>
        <w:tc>
          <w:tcPr>
            <w:tcW w:w="1243" w:type="dxa"/>
            <w:hideMark/>
          </w:tcPr>
          <w:p w14:paraId="6B523EC8" w14:textId="77777777" w:rsidR="009C2EFA" w:rsidRPr="009C2EFA" w:rsidRDefault="009C2EFA" w:rsidP="009C2EFA">
            <w:pPr>
              <w:pStyle w:val="DHHStabletext"/>
            </w:pPr>
            <w:r w:rsidRPr="009C2EFA">
              <w:t>0.4%</w:t>
            </w:r>
          </w:p>
        </w:tc>
        <w:tc>
          <w:tcPr>
            <w:tcW w:w="1197" w:type="dxa"/>
            <w:hideMark/>
          </w:tcPr>
          <w:p w14:paraId="4D3F7C4F" w14:textId="77777777" w:rsidR="009C2EFA" w:rsidRPr="009C2EFA" w:rsidRDefault="009C2EFA" w:rsidP="009C2EFA">
            <w:pPr>
              <w:pStyle w:val="DHHStabletext"/>
            </w:pPr>
            <w:r w:rsidRPr="009C2EFA">
              <w:t>0.5%</w:t>
            </w:r>
          </w:p>
        </w:tc>
      </w:tr>
      <w:tr w:rsidR="009C2EFA" w14:paraId="754B4238" w14:textId="77777777" w:rsidTr="003F7650">
        <w:trPr>
          <w:trHeight w:val="285"/>
        </w:trPr>
        <w:tc>
          <w:tcPr>
            <w:tcW w:w="3911" w:type="dxa"/>
            <w:vMerge/>
            <w:vAlign w:val="center"/>
            <w:hideMark/>
          </w:tcPr>
          <w:p w14:paraId="2A246333"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50FE58E5" w14:textId="77777777" w:rsidR="009C2EFA" w:rsidRPr="009C2EFA" w:rsidRDefault="009C2EFA" w:rsidP="009C2EFA">
            <w:pPr>
              <w:pStyle w:val="DHHStabletext"/>
            </w:pPr>
            <w:r w:rsidRPr="009C2EFA">
              <w:t>Turkey</w:t>
            </w:r>
          </w:p>
        </w:tc>
        <w:tc>
          <w:tcPr>
            <w:tcW w:w="1243" w:type="dxa"/>
            <w:hideMark/>
          </w:tcPr>
          <w:p w14:paraId="48A519F7" w14:textId="77777777" w:rsidR="009C2EFA" w:rsidRPr="009C2EFA" w:rsidRDefault="009C2EFA" w:rsidP="009C2EFA">
            <w:pPr>
              <w:pStyle w:val="DHHStabletext"/>
            </w:pPr>
            <w:r w:rsidRPr="009C2EFA">
              <w:t>0.4%</w:t>
            </w:r>
          </w:p>
        </w:tc>
        <w:tc>
          <w:tcPr>
            <w:tcW w:w="1243" w:type="dxa"/>
            <w:hideMark/>
          </w:tcPr>
          <w:p w14:paraId="00E1EB3B" w14:textId="77777777" w:rsidR="009C2EFA" w:rsidRPr="009C2EFA" w:rsidRDefault="009C2EFA" w:rsidP="009C2EFA">
            <w:pPr>
              <w:pStyle w:val="DHHStabletext"/>
            </w:pPr>
            <w:r w:rsidRPr="009C2EFA">
              <w:t>0.4%</w:t>
            </w:r>
          </w:p>
        </w:tc>
        <w:tc>
          <w:tcPr>
            <w:tcW w:w="1197" w:type="dxa"/>
            <w:hideMark/>
          </w:tcPr>
          <w:p w14:paraId="7609E962" w14:textId="77777777" w:rsidR="009C2EFA" w:rsidRPr="009C2EFA" w:rsidRDefault="009C2EFA" w:rsidP="009C2EFA">
            <w:pPr>
              <w:pStyle w:val="DHHStabletext"/>
            </w:pPr>
            <w:r w:rsidRPr="009C2EFA">
              <w:t>0.4%</w:t>
            </w:r>
          </w:p>
        </w:tc>
      </w:tr>
      <w:tr w:rsidR="009C2EFA" w14:paraId="2C8CE3ED" w14:textId="77777777" w:rsidTr="003F7650">
        <w:trPr>
          <w:trHeight w:val="285"/>
        </w:trPr>
        <w:tc>
          <w:tcPr>
            <w:tcW w:w="3911" w:type="dxa"/>
            <w:vMerge/>
            <w:vAlign w:val="center"/>
            <w:hideMark/>
          </w:tcPr>
          <w:p w14:paraId="63386031"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04CF2FC4" w14:textId="77777777" w:rsidR="009C2EFA" w:rsidRPr="009C2EFA" w:rsidRDefault="009C2EFA" w:rsidP="009C2EFA">
            <w:pPr>
              <w:pStyle w:val="DHHStabletext"/>
            </w:pPr>
            <w:r w:rsidRPr="009C2EFA">
              <w:t>Philippines</w:t>
            </w:r>
          </w:p>
        </w:tc>
        <w:tc>
          <w:tcPr>
            <w:tcW w:w="1243" w:type="dxa"/>
            <w:hideMark/>
          </w:tcPr>
          <w:p w14:paraId="1B681E43" w14:textId="77777777" w:rsidR="009C2EFA" w:rsidRPr="009C2EFA" w:rsidRDefault="009C2EFA" w:rsidP="009C2EFA">
            <w:pPr>
              <w:pStyle w:val="DHHStabletext"/>
            </w:pPr>
            <w:r w:rsidRPr="009C2EFA">
              <w:t>0.4%</w:t>
            </w:r>
          </w:p>
        </w:tc>
        <w:tc>
          <w:tcPr>
            <w:tcW w:w="1243" w:type="dxa"/>
            <w:hideMark/>
          </w:tcPr>
          <w:p w14:paraId="045DC2B1" w14:textId="77777777" w:rsidR="009C2EFA" w:rsidRPr="009C2EFA" w:rsidRDefault="009C2EFA" w:rsidP="009C2EFA">
            <w:pPr>
              <w:pStyle w:val="DHHStabletext"/>
            </w:pPr>
            <w:r w:rsidRPr="009C2EFA">
              <w:t>0.4%</w:t>
            </w:r>
          </w:p>
        </w:tc>
        <w:tc>
          <w:tcPr>
            <w:tcW w:w="1197" w:type="dxa"/>
            <w:hideMark/>
          </w:tcPr>
          <w:p w14:paraId="1C02A551" w14:textId="77777777" w:rsidR="009C2EFA" w:rsidRPr="009C2EFA" w:rsidRDefault="009C2EFA" w:rsidP="009C2EFA">
            <w:pPr>
              <w:pStyle w:val="DHHStabletext"/>
            </w:pPr>
            <w:r w:rsidRPr="009C2EFA">
              <w:t>0.4%</w:t>
            </w:r>
          </w:p>
        </w:tc>
      </w:tr>
      <w:tr w:rsidR="009C2EFA" w14:paraId="2AC46FF2" w14:textId="77777777" w:rsidTr="003F7650">
        <w:trPr>
          <w:trHeight w:val="285"/>
        </w:trPr>
        <w:tc>
          <w:tcPr>
            <w:tcW w:w="3911" w:type="dxa"/>
            <w:vMerge/>
            <w:vAlign w:val="center"/>
            <w:hideMark/>
          </w:tcPr>
          <w:p w14:paraId="3410CA39"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032ABF5B" w14:textId="77777777" w:rsidR="009C2EFA" w:rsidRPr="009C2EFA" w:rsidRDefault="009C2EFA" w:rsidP="009C2EFA">
            <w:pPr>
              <w:pStyle w:val="DHHStabletext"/>
            </w:pPr>
            <w:r w:rsidRPr="009C2EFA">
              <w:t>Iran</w:t>
            </w:r>
          </w:p>
        </w:tc>
        <w:tc>
          <w:tcPr>
            <w:tcW w:w="1243" w:type="dxa"/>
            <w:hideMark/>
          </w:tcPr>
          <w:p w14:paraId="19FBC6F3" w14:textId="77777777" w:rsidR="009C2EFA" w:rsidRPr="009C2EFA" w:rsidRDefault="009C2EFA" w:rsidP="009C2EFA">
            <w:pPr>
              <w:pStyle w:val="DHHStabletext"/>
            </w:pPr>
            <w:r w:rsidRPr="009C2EFA">
              <w:t>0.4%</w:t>
            </w:r>
          </w:p>
        </w:tc>
        <w:tc>
          <w:tcPr>
            <w:tcW w:w="1243" w:type="dxa"/>
            <w:hideMark/>
          </w:tcPr>
          <w:p w14:paraId="6B0C174B" w14:textId="77777777" w:rsidR="009C2EFA" w:rsidRPr="009C2EFA" w:rsidRDefault="009C2EFA" w:rsidP="009C2EFA">
            <w:pPr>
              <w:pStyle w:val="DHHStabletext"/>
            </w:pPr>
            <w:r w:rsidRPr="009C2EFA">
              <w:t>0.4%</w:t>
            </w:r>
          </w:p>
        </w:tc>
        <w:tc>
          <w:tcPr>
            <w:tcW w:w="1197" w:type="dxa"/>
            <w:hideMark/>
          </w:tcPr>
          <w:p w14:paraId="49E67FDF" w14:textId="77777777" w:rsidR="009C2EFA" w:rsidRPr="009C2EFA" w:rsidRDefault="009C2EFA" w:rsidP="009C2EFA">
            <w:pPr>
              <w:pStyle w:val="DHHStabletext"/>
            </w:pPr>
            <w:r w:rsidRPr="009C2EFA">
              <w:t>0.4%</w:t>
            </w:r>
          </w:p>
        </w:tc>
      </w:tr>
      <w:tr w:rsidR="009C2EFA" w14:paraId="06655D38" w14:textId="77777777" w:rsidTr="003F7650">
        <w:trPr>
          <w:trHeight w:val="285"/>
        </w:trPr>
        <w:tc>
          <w:tcPr>
            <w:tcW w:w="3911" w:type="dxa"/>
            <w:vMerge/>
            <w:vAlign w:val="center"/>
            <w:hideMark/>
          </w:tcPr>
          <w:p w14:paraId="4D0759E6"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2E10B53B" w14:textId="77777777" w:rsidR="009C2EFA" w:rsidRPr="009C2EFA" w:rsidRDefault="009C2EFA" w:rsidP="009C2EFA">
            <w:pPr>
              <w:pStyle w:val="DHHStabletext"/>
            </w:pPr>
            <w:r w:rsidRPr="009C2EFA">
              <w:t>Germany</w:t>
            </w:r>
          </w:p>
        </w:tc>
        <w:tc>
          <w:tcPr>
            <w:tcW w:w="1243" w:type="dxa"/>
            <w:hideMark/>
          </w:tcPr>
          <w:p w14:paraId="520568C2" w14:textId="77777777" w:rsidR="009C2EFA" w:rsidRPr="009C2EFA" w:rsidRDefault="009C2EFA" w:rsidP="009C2EFA">
            <w:pPr>
              <w:pStyle w:val="DHHStabletext"/>
            </w:pPr>
            <w:r w:rsidRPr="009C2EFA">
              <w:t>0.4%</w:t>
            </w:r>
          </w:p>
        </w:tc>
        <w:tc>
          <w:tcPr>
            <w:tcW w:w="1243" w:type="dxa"/>
            <w:hideMark/>
          </w:tcPr>
          <w:p w14:paraId="3490A987" w14:textId="77777777" w:rsidR="009C2EFA" w:rsidRPr="009C2EFA" w:rsidRDefault="009C2EFA" w:rsidP="009C2EFA">
            <w:pPr>
              <w:pStyle w:val="DHHStabletext"/>
            </w:pPr>
            <w:r w:rsidRPr="009C2EFA">
              <w:t>0.4%</w:t>
            </w:r>
          </w:p>
        </w:tc>
        <w:tc>
          <w:tcPr>
            <w:tcW w:w="1197" w:type="dxa"/>
            <w:hideMark/>
          </w:tcPr>
          <w:p w14:paraId="2CC46BB9" w14:textId="77777777" w:rsidR="009C2EFA" w:rsidRPr="009C2EFA" w:rsidRDefault="009C2EFA" w:rsidP="009C2EFA">
            <w:pPr>
              <w:pStyle w:val="DHHStabletext"/>
            </w:pPr>
            <w:r w:rsidRPr="009C2EFA">
              <w:t>0.3%</w:t>
            </w:r>
          </w:p>
        </w:tc>
      </w:tr>
      <w:tr w:rsidR="009C2EFA" w14:paraId="636490AE" w14:textId="77777777" w:rsidTr="003F7650">
        <w:trPr>
          <w:trHeight w:val="288"/>
        </w:trPr>
        <w:tc>
          <w:tcPr>
            <w:tcW w:w="3911" w:type="dxa"/>
            <w:vMerge w:val="restart"/>
            <w:hideMark/>
          </w:tcPr>
          <w:p w14:paraId="79B5EBFB" w14:textId="77777777" w:rsidR="009C2EFA" w:rsidRPr="009C2EFA" w:rsidRDefault="009C2EFA" w:rsidP="009C2EFA">
            <w:pPr>
              <w:pStyle w:val="DHHStabletext"/>
            </w:pPr>
            <w:r w:rsidRPr="009C2EFA">
              <w:t>Preferred language other than English (top 10) (%)</w:t>
            </w:r>
          </w:p>
        </w:tc>
        <w:tc>
          <w:tcPr>
            <w:tcW w:w="2324" w:type="dxa"/>
            <w:hideMark/>
          </w:tcPr>
          <w:p w14:paraId="532AF6B1" w14:textId="77777777" w:rsidR="009C2EFA" w:rsidRPr="009C2EFA" w:rsidRDefault="009C2EFA" w:rsidP="009C2EFA">
            <w:pPr>
              <w:pStyle w:val="DHHStabletext"/>
            </w:pPr>
            <w:r w:rsidRPr="009C2EFA">
              <w:t>Italian</w:t>
            </w:r>
          </w:p>
        </w:tc>
        <w:tc>
          <w:tcPr>
            <w:tcW w:w="1243" w:type="dxa"/>
            <w:hideMark/>
          </w:tcPr>
          <w:p w14:paraId="3246BD8B" w14:textId="77777777" w:rsidR="009C2EFA" w:rsidRPr="009C2EFA" w:rsidRDefault="009C2EFA" w:rsidP="009C2EFA">
            <w:pPr>
              <w:pStyle w:val="DHHStabletext"/>
            </w:pPr>
            <w:r w:rsidRPr="009C2EFA">
              <w:t>0.7%</w:t>
            </w:r>
          </w:p>
        </w:tc>
        <w:tc>
          <w:tcPr>
            <w:tcW w:w="1243" w:type="dxa"/>
            <w:hideMark/>
          </w:tcPr>
          <w:p w14:paraId="5EE23DC8" w14:textId="77777777" w:rsidR="009C2EFA" w:rsidRPr="009C2EFA" w:rsidRDefault="009C2EFA" w:rsidP="009C2EFA">
            <w:pPr>
              <w:pStyle w:val="DHHStabletext"/>
            </w:pPr>
            <w:r w:rsidRPr="009C2EFA">
              <w:t>0.6%</w:t>
            </w:r>
          </w:p>
        </w:tc>
        <w:tc>
          <w:tcPr>
            <w:tcW w:w="1197" w:type="dxa"/>
            <w:hideMark/>
          </w:tcPr>
          <w:p w14:paraId="28691C04" w14:textId="77777777" w:rsidR="009C2EFA" w:rsidRPr="009C2EFA" w:rsidRDefault="009C2EFA" w:rsidP="009C2EFA">
            <w:pPr>
              <w:pStyle w:val="DHHStabletext"/>
            </w:pPr>
            <w:r w:rsidRPr="009C2EFA">
              <w:t>0.5%</w:t>
            </w:r>
          </w:p>
        </w:tc>
      </w:tr>
      <w:tr w:rsidR="009C2EFA" w14:paraId="55829257" w14:textId="77777777" w:rsidTr="003F7650">
        <w:trPr>
          <w:trHeight w:val="285"/>
        </w:trPr>
        <w:tc>
          <w:tcPr>
            <w:tcW w:w="3911" w:type="dxa"/>
            <w:vMerge/>
            <w:vAlign w:val="center"/>
            <w:hideMark/>
          </w:tcPr>
          <w:p w14:paraId="240F4B23"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9C25514" w14:textId="77777777" w:rsidR="009C2EFA" w:rsidRPr="009C2EFA" w:rsidRDefault="009C2EFA" w:rsidP="009C2EFA">
            <w:pPr>
              <w:pStyle w:val="DHHStabletext"/>
            </w:pPr>
            <w:r w:rsidRPr="009C2EFA">
              <w:t>Vietnamese</w:t>
            </w:r>
          </w:p>
        </w:tc>
        <w:tc>
          <w:tcPr>
            <w:tcW w:w="1243" w:type="dxa"/>
            <w:hideMark/>
          </w:tcPr>
          <w:p w14:paraId="2F46D887" w14:textId="77777777" w:rsidR="009C2EFA" w:rsidRPr="009C2EFA" w:rsidRDefault="009C2EFA" w:rsidP="009C2EFA">
            <w:pPr>
              <w:pStyle w:val="DHHStabletext"/>
            </w:pPr>
            <w:r w:rsidRPr="009C2EFA">
              <w:t>0.6%</w:t>
            </w:r>
          </w:p>
        </w:tc>
        <w:tc>
          <w:tcPr>
            <w:tcW w:w="1243" w:type="dxa"/>
            <w:hideMark/>
          </w:tcPr>
          <w:p w14:paraId="4BED7B0C" w14:textId="77777777" w:rsidR="009C2EFA" w:rsidRPr="009C2EFA" w:rsidRDefault="009C2EFA" w:rsidP="009C2EFA">
            <w:pPr>
              <w:pStyle w:val="DHHStabletext"/>
            </w:pPr>
            <w:r w:rsidRPr="009C2EFA">
              <w:t>0.6%</w:t>
            </w:r>
          </w:p>
        </w:tc>
        <w:tc>
          <w:tcPr>
            <w:tcW w:w="1197" w:type="dxa"/>
            <w:hideMark/>
          </w:tcPr>
          <w:p w14:paraId="70966A8D" w14:textId="77777777" w:rsidR="009C2EFA" w:rsidRPr="009C2EFA" w:rsidRDefault="009C2EFA" w:rsidP="009C2EFA">
            <w:pPr>
              <w:pStyle w:val="DHHStabletext"/>
            </w:pPr>
            <w:r w:rsidRPr="009C2EFA">
              <w:t>0.5%</w:t>
            </w:r>
          </w:p>
        </w:tc>
      </w:tr>
      <w:tr w:rsidR="009C2EFA" w14:paraId="17E9ADA8" w14:textId="77777777" w:rsidTr="003F7650">
        <w:trPr>
          <w:trHeight w:val="285"/>
        </w:trPr>
        <w:tc>
          <w:tcPr>
            <w:tcW w:w="3911" w:type="dxa"/>
            <w:vMerge/>
            <w:vAlign w:val="center"/>
            <w:hideMark/>
          </w:tcPr>
          <w:p w14:paraId="0D34FBD6"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44ADE741" w14:textId="77777777" w:rsidR="009C2EFA" w:rsidRPr="009C2EFA" w:rsidRDefault="009C2EFA" w:rsidP="009C2EFA">
            <w:pPr>
              <w:pStyle w:val="DHHStabletext"/>
            </w:pPr>
            <w:r w:rsidRPr="009C2EFA">
              <w:t>Greek</w:t>
            </w:r>
          </w:p>
        </w:tc>
        <w:tc>
          <w:tcPr>
            <w:tcW w:w="1243" w:type="dxa"/>
            <w:hideMark/>
          </w:tcPr>
          <w:p w14:paraId="5E8D9063" w14:textId="77777777" w:rsidR="009C2EFA" w:rsidRPr="009C2EFA" w:rsidRDefault="009C2EFA" w:rsidP="009C2EFA">
            <w:pPr>
              <w:pStyle w:val="DHHStabletext"/>
            </w:pPr>
            <w:r w:rsidRPr="009C2EFA">
              <w:t>0.6%</w:t>
            </w:r>
          </w:p>
        </w:tc>
        <w:tc>
          <w:tcPr>
            <w:tcW w:w="1243" w:type="dxa"/>
            <w:hideMark/>
          </w:tcPr>
          <w:p w14:paraId="77E915C1" w14:textId="77777777" w:rsidR="009C2EFA" w:rsidRPr="009C2EFA" w:rsidRDefault="009C2EFA" w:rsidP="009C2EFA">
            <w:pPr>
              <w:pStyle w:val="DHHStabletext"/>
            </w:pPr>
            <w:r w:rsidRPr="009C2EFA">
              <w:t>0.5%</w:t>
            </w:r>
          </w:p>
        </w:tc>
        <w:tc>
          <w:tcPr>
            <w:tcW w:w="1197" w:type="dxa"/>
            <w:hideMark/>
          </w:tcPr>
          <w:p w14:paraId="43F48D9E" w14:textId="77777777" w:rsidR="009C2EFA" w:rsidRPr="009C2EFA" w:rsidRDefault="009C2EFA" w:rsidP="009C2EFA">
            <w:pPr>
              <w:pStyle w:val="DHHStabletext"/>
            </w:pPr>
            <w:r w:rsidRPr="009C2EFA">
              <w:t>0.4%</w:t>
            </w:r>
          </w:p>
        </w:tc>
      </w:tr>
      <w:tr w:rsidR="009C2EFA" w14:paraId="1F01F1FE" w14:textId="77777777" w:rsidTr="003F7650">
        <w:trPr>
          <w:trHeight w:val="288"/>
        </w:trPr>
        <w:tc>
          <w:tcPr>
            <w:tcW w:w="3911" w:type="dxa"/>
            <w:vMerge/>
            <w:vAlign w:val="center"/>
            <w:hideMark/>
          </w:tcPr>
          <w:p w14:paraId="7AB7D5E7"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995F0E1" w14:textId="77777777" w:rsidR="009C2EFA" w:rsidRPr="009C2EFA" w:rsidRDefault="009C2EFA" w:rsidP="009C2EFA">
            <w:pPr>
              <w:pStyle w:val="DHHStabletext"/>
            </w:pPr>
            <w:r w:rsidRPr="009C2EFA">
              <w:t>Arabic</w:t>
            </w:r>
          </w:p>
        </w:tc>
        <w:tc>
          <w:tcPr>
            <w:tcW w:w="1243" w:type="dxa"/>
            <w:hideMark/>
          </w:tcPr>
          <w:p w14:paraId="0846F296" w14:textId="77777777" w:rsidR="009C2EFA" w:rsidRPr="009C2EFA" w:rsidRDefault="009C2EFA" w:rsidP="009C2EFA">
            <w:pPr>
              <w:pStyle w:val="DHHStabletext"/>
            </w:pPr>
            <w:r w:rsidRPr="009C2EFA">
              <w:t>0.4%</w:t>
            </w:r>
          </w:p>
        </w:tc>
        <w:tc>
          <w:tcPr>
            <w:tcW w:w="1243" w:type="dxa"/>
            <w:hideMark/>
          </w:tcPr>
          <w:p w14:paraId="24D507EF" w14:textId="77777777" w:rsidR="009C2EFA" w:rsidRPr="009C2EFA" w:rsidRDefault="009C2EFA" w:rsidP="009C2EFA">
            <w:pPr>
              <w:pStyle w:val="DHHStabletext"/>
            </w:pPr>
            <w:r w:rsidRPr="009C2EFA">
              <w:t>0.3%</w:t>
            </w:r>
          </w:p>
        </w:tc>
        <w:tc>
          <w:tcPr>
            <w:tcW w:w="1197" w:type="dxa"/>
            <w:hideMark/>
          </w:tcPr>
          <w:p w14:paraId="1B9E3272" w14:textId="77777777" w:rsidR="009C2EFA" w:rsidRPr="009C2EFA" w:rsidRDefault="009C2EFA" w:rsidP="009C2EFA">
            <w:pPr>
              <w:pStyle w:val="DHHStabletext"/>
            </w:pPr>
            <w:r w:rsidRPr="009C2EFA">
              <w:t>0.3%</w:t>
            </w:r>
          </w:p>
        </w:tc>
      </w:tr>
      <w:tr w:rsidR="009C2EFA" w14:paraId="63D7FEA8" w14:textId="77777777" w:rsidTr="003F7650">
        <w:trPr>
          <w:trHeight w:val="285"/>
        </w:trPr>
        <w:tc>
          <w:tcPr>
            <w:tcW w:w="3911" w:type="dxa"/>
            <w:vMerge/>
            <w:vAlign w:val="center"/>
            <w:hideMark/>
          </w:tcPr>
          <w:p w14:paraId="28AD680E"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1F7D9F34" w14:textId="77777777" w:rsidR="009C2EFA" w:rsidRPr="009C2EFA" w:rsidRDefault="009C2EFA" w:rsidP="009C2EFA">
            <w:pPr>
              <w:pStyle w:val="DHHStabletext"/>
            </w:pPr>
            <w:r w:rsidRPr="009C2EFA">
              <w:t>Mandarin</w:t>
            </w:r>
          </w:p>
        </w:tc>
        <w:tc>
          <w:tcPr>
            <w:tcW w:w="1243" w:type="dxa"/>
            <w:hideMark/>
          </w:tcPr>
          <w:p w14:paraId="3151579F" w14:textId="77777777" w:rsidR="009C2EFA" w:rsidRPr="009C2EFA" w:rsidRDefault="009C2EFA" w:rsidP="009C2EFA">
            <w:pPr>
              <w:pStyle w:val="DHHStabletext"/>
            </w:pPr>
            <w:r w:rsidRPr="009C2EFA">
              <w:t>0.3%</w:t>
            </w:r>
          </w:p>
        </w:tc>
        <w:tc>
          <w:tcPr>
            <w:tcW w:w="1243" w:type="dxa"/>
            <w:hideMark/>
          </w:tcPr>
          <w:p w14:paraId="189B3E6A" w14:textId="77777777" w:rsidR="009C2EFA" w:rsidRPr="009C2EFA" w:rsidRDefault="009C2EFA" w:rsidP="009C2EFA">
            <w:pPr>
              <w:pStyle w:val="DHHStabletext"/>
            </w:pPr>
            <w:r w:rsidRPr="009C2EFA">
              <w:t>0.3%</w:t>
            </w:r>
          </w:p>
        </w:tc>
        <w:tc>
          <w:tcPr>
            <w:tcW w:w="1197" w:type="dxa"/>
            <w:hideMark/>
          </w:tcPr>
          <w:p w14:paraId="16B61F35" w14:textId="77777777" w:rsidR="009C2EFA" w:rsidRPr="009C2EFA" w:rsidRDefault="009C2EFA" w:rsidP="009C2EFA">
            <w:pPr>
              <w:pStyle w:val="DHHStabletext"/>
            </w:pPr>
            <w:r w:rsidRPr="009C2EFA">
              <w:t>0.3%</w:t>
            </w:r>
          </w:p>
        </w:tc>
      </w:tr>
      <w:tr w:rsidR="009C2EFA" w14:paraId="50B802DD" w14:textId="77777777" w:rsidTr="003F7650">
        <w:trPr>
          <w:trHeight w:val="285"/>
        </w:trPr>
        <w:tc>
          <w:tcPr>
            <w:tcW w:w="3911" w:type="dxa"/>
            <w:vMerge/>
            <w:vAlign w:val="center"/>
            <w:hideMark/>
          </w:tcPr>
          <w:p w14:paraId="70515B07" w14:textId="77777777" w:rsidR="009C2EFA" w:rsidRPr="009C2EFA" w:rsidRDefault="009C2EFA" w:rsidP="009C2EFA">
            <w:pPr>
              <w:pStyle w:val="DHHStabletext"/>
              <w:rPr>
                <w:rFonts w:ascii="Trebuchet MS" w:eastAsia="Trebuchet MS" w:hAnsi="Trebuchet MS" w:cs="Trebuchet MS"/>
                <w:szCs w:val="22"/>
                <w:lang w:val="en-US"/>
              </w:rPr>
            </w:pPr>
          </w:p>
        </w:tc>
        <w:tc>
          <w:tcPr>
            <w:tcW w:w="2324" w:type="dxa"/>
            <w:hideMark/>
          </w:tcPr>
          <w:p w14:paraId="7C1E203D" w14:textId="77777777" w:rsidR="009C2EFA" w:rsidRPr="009C2EFA" w:rsidRDefault="009C2EFA" w:rsidP="009C2EFA">
            <w:pPr>
              <w:pStyle w:val="DHHStabletext"/>
            </w:pPr>
            <w:r w:rsidRPr="009C2EFA">
              <w:t>Persian (excluding Dari)</w:t>
            </w:r>
          </w:p>
        </w:tc>
        <w:tc>
          <w:tcPr>
            <w:tcW w:w="1243" w:type="dxa"/>
            <w:hideMark/>
          </w:tcPr>
          <w:p w14:paraId="2AC7B860" w14:textId="77777777" w:rsidR="009C2EFA" w:rsidRPr="009C2EFA" w:rsidRDefault="009C2EFA" w:rsidP="009C2EFA">
            <w:pPr>
              <w:pStyle w:val="DHHStabletext"/>
            </w:pPr>
            <w:r w:rsidRPr="009C2EFA">
              <w:t>0.2%</w:t>
            </w:r>
          </w:p>
        </w:tc>
        <w:tc>
          <w:tcPr>
            <w:tcW w:w="1243" w:type="dxa"/>
            <w:hideMark/>
          </w:tcPr>
          <w:p w14:paraId="4AF90A39" w14:textId="77777777" w:rsidR="009C2EFA" w:rsidRPr="009C2EFA" w:rsidRDefault="009C2EFA" w:rsidP="009C2EFA">
            <w:pPr>
              <w:pStyle w:val="DHHStabletext"/>
            </w:pPr>
            <w:r w:rsidRPr="009C2EFA">
              <w:t>0.2%</w:t>
            </w:r>
          </w:p>
        </w:tc>
        <w:tc>
          <w:tcPr>
            <w:tcW w:w="1197" w:type="dxa"/>
            <w:hideMark/>
          </w:tcPr>
          <w:p w14:paraId="4F0A1442" w14:textId="77777777" w:rsidR="009C2EFA" w:rsidRPr="009C2EFA" w:rsidRDefault="009C2EFA" w:rsidP="009C2EFA">
            <w:pPr>
              <w:pStyle w:val="DHHStabletext"/>
            </w:pPr>
            <w:r w:rsidRPr="009C2EFA">
              <w:t>0.2%</w:t>
            </w:r>
          </w:p>
        </w:tc>
      </w:tr>
      <w:tr w:rsidR="009C2EFA" w14:paraId="47FC87D1" w14:textId="77777777" w:rsidTr="003F7650">
        <w:trPr>
          <w:trHeight w:val="285"/>
        </w:trPr>
        <w:tc>
          <w:tcPr>
            <w:tcW w:w="3911" w:type="dxa"/>
            <w:vMerge/>
            <w:vAlign w:val="center"/>
            <w:hideMark/>
          </w:tcPr>
          <w:p w14:paraId="3E52BECA" w14:textId="77777777" w:rsidR="009C2EFA" w:rsidRDefault="009C2EFA" w:rsidP="009C2EFA">
            <w:pPr>
              <w:pStyle w:val="DHHStabletext"/>
              <w:rPr>
                <w:rFonts w:ascii="Trebuchet MS" w:eastAsia="Trebuchet MS" w:hAnsi="Trebuchet MS" w:cs="Trebuchet MS"/>
                <w:szCs w:val="22"/>
                <w:lang w:val="en-US"/>
              </w:rPr>
            </w:pPr>
          </w:p>
        </w:tc>
        <w:tc>
          <w:tcPr>
            <w:tcW w:w="2324" w:type="dxa"/>
            <w:hideMark/>
          </w:tcPr>
          <w:p w14:paraId="076E1172" w14:textId="77777777" w:rsidR="009C2EFA" w:rsidRDefault="009C2EFA" w:rsidP="009C2EFA">
            <w:pPr>
              <w:pStyle w:val="DHHStabletext"/>
            </w:pPr>
            <w:r>
              <w:rPr>
                <w:w w:val="110"/>
              </w:rPr>
              <w:t>Turkish</w:t>
            </w:r>
          </w:p>
        </w:tc>
        <w:tc>
          <w:tcPr>
            <w:tcW w:w="1243" w:type="dxa"/>
            <w:hideMark/>
          </w:tcPr>
          <w:p w14:paraId="249FEF86" w14:textId="77777777" w:rsidR="009C2EFA" w:rsidRDefault="009C2EFA" w:rsidP="009C2EFA">
            <w:pPr>
              <w:pStyle w:val="DHHStabletext"/>
            </w:pPr>
            <w:r>
              <w:rPr>
                <w:w w:val="110"/>
              </w:rPr>
              <w:t>0.2%</w:t>
            </w:r>
          </w:p>
        </w:tc>
        <w:tc>
          <w:tcPr>
            <w:tcW w:w="1243" w:type="dxa"/>
            <w:hideMark/>
          </w:tcPr>
          <w:p w14:paraId="26B4A87F" w14:textId="77777777" w:rsidR="009C2EFA" w:rsidRDefault="009C2EFA" w:rsidP="009C2EFA">
            <w:pPr>
              <w:pStyle w:val="DHHStabletext"/>
            </w:pPr>
            <w:r>
              <w:rPr>
                <w:w w:val="110"/>
              </w:rPr>
              <w:t>0.2%</w:t>
            </w:r>
          </w:p>
        </w:tc>
        <w:tc>
          <w:tcPr>
            <w:tcW w:w="1197" w:type="dxa"/>
            <w:hideMark/>
          </w:tcPr>
          <w:p w14:paraId="7BB0C82E" w14:textId="77777777" w:rsidR="009C2EFA" w:rsidRDefault="009C2EFA" w:rsidP="009C2EFA">
            <w:pPr>
              <w:pStyle w:val="DHHStabletext"/>
            </w:pPr>
            <w:r>
              <w:rPr>
                <w:w w:val="110"/>
              </w:rPr>
              <w:t>0.2%</w:t>
            </w:r>
          </w:p>
        </w:tc>
      </w:tr>
      <w:tr w:rsidR="009C2EFA" w14:paraId="2A702381" w14:textId="77777777" w:rsidTr="003F7650">
        <w:trPr>
          <w:trHeight w:val="285"/>
        </w:trPr>
        <w:tc>
          <w:tcPr>
            <w:tcW w:w="3911" w:type="dxa"/>
            <w:vMerge/>
            <w:vAlign w:val="center"/>
            <w:hideMark/>
          </w:tcPr>
          <w:p w14:paraId="3DF3478D" w14:textId="77777777" w:rsidR="009C2EFA" w:rsidRDefault="009C2EFA" w:rsidP="009C2EFA">
            <w:pPr>
              <w:pStyle w:val="DHHStabletext"/>
              <w:rPr>
                <w:rFonts w:ascii="Trebuchet MS" w:eastAsia="Trebuchet MS" w:hAnsi="Trebuchet MS" w:cs="Trebuchet MS"/>
                <w:szCs w:val="22"/>
                <w:lang w:val="en-US"/>
              </w:rPr>
            </w:pPr>
          </w:p>
        </w:tc>
        <w:tc>
          <w:tcPr>
            <w:tcW w:w="2324" w:type="dxa"/>
            <w:hideMark/>
          </w:tcPr>
          <w:p w14:paraId="390CB1E8" w14:textId="77777777" w:rsidR="009C2EFA" w:rsidRPr="009C2EFA" w:rsidRDefault="009C2EFA" w:rsidP="009C2EFA">
            <w:pPr>
              <w:pStyle w:val="DHHStabletext"/>
            </w:pPr>
            <w:r w:rsidRPr="009C2EFA">
              <w:t>Macedonian</w:t>
            </w:r>
          </w:p>
        </w:tc>
        <w:tc>
          <w:tcPr>
            <w:tcW w:w="1243" w:type="dxa"/>
            <w:hideMark/>
          </w:tcPr>
          <w:p w14:paraId="3711E846" w14:textId="77777777" w:rsidR="009C2EFA" w:rsidRPr="009C2EFA" w:rsidRDefault="009C2EFA" w:rsidP="009C2EFA">
            <w:pPr>
              <w:pStyle w:val="DHHStabletext"/>
            </w:pPr>
            <w:r w:rsidRPr="009C2EFA">
              <w:t>0.1%</w:t>
            </w:r>
          </w:p>
        </w:tc>
        <w:tc>
          <w:tcPr>
            <w:tcW w:w="1243" w:type="dxa"/>
            <w:hideMark/>
          </w:tcPr>
          <w:p w14:paraId="45089AD9" w14:textId="77777777" w:rsidR="009C2EFA" w:rsidRPr="009C2EFA" w:rsidRDefault="009C2EFA" w:rsidP="009C2EFA">
            <w:pPr>
              <w:pStyle w:val="DHHStabletext"/>
            </w:pPr>
            <w:r w:rsidRPr="009C2EFA">
              <w:t>0.1%</w:t>
            </w:r>
          </w:p>
        </w:tc>
        <w:tc>
          <w:tcPr>
            <w:tcW w:w="1197" w:type="dxa"/>
            <w:hideMark/>
          </w:tcPr>
          <w:p w14:paraId="7629535E" w14:textId="77777777" w:rsidR="009C2EFA" w:rsidRPr="009C2EFA" w:rsidRDefault="009C2EFA" w:rsidP="009C2EFA">
            <w:pPr>
              <w:pStyle w:val="DHHStabletext"/>
            </w:pPr>
            <w:r w:rsidRPr="009C2EFA">
              <w:t>0.1%</w:t>
            </w:r>
          </w:p>
        </w:tc>
      </w:tr>
      <w:tr w:rsidR="009C2EFA" w14:paraId="3A802073" w14:textId="77777777" w:rsidTr="003F7650">
        <w:trPr>
          <w:trHeight w:val="288"/>
        </w:trPr>
        <w:tc>
          <w:tcPr>
            <w:tcW w:w="3911" w:type="dxa"/>
            <w:vMerge/>
            <w:vAlign w:val="center"/>
            <w:hideMark/>
          </w:tcPr>
          <w:p w14:paraId="2B0EC423" w14:textId="77777777" w:rsidR="009C2EFA" w:rsidRDefault="009C2EFA" w:rsidP="009C2EFA">
            <w:pPr>
              <w:pStyle w:val="DHHStabletext"/>
              <w:rPr>
                <w:rFonts w:ascii="Trebuchet MS" w:eastAsia="Trebuchet MS" w:hAnsi="Trebuchet MS" w:cs="Trebuchet MS"/>
                <w:szCs w:val="22"/>
                <w:lang w:val="en-US"/>
              </w:rPr>
            </w:pPr>
          </w:p>
        </w:tc>
        <w:tc>
          <w:tcPr>
            <w:tcW w:w="2324" w:type="dxa"/>
            <w:hideMark/>
          </w:tcPr>
          <w:p w14:paraId="708735FF" w14:textId="77777777" w:rsidR="009C2EFA" w:rsidRPr="009C2EFA" w:rsidRDefault="009C2EFA" w:rsidP="009C2EFA">
            <w:pPr>
              <w:pStyle w:val="DHHStabletext"/>
            </w:pPr>
            <w:r w:rsidRPr="009C2EFA">
              <w:t>Cantonese</w:t>
            </w:r>
          </w:p>
        </w:tc>
        <w:tc>
          <w:tcPr>
            <w:tcW w:w="1243" w:type="dxa"/>
            <w:hideMark/>
          </w:tcPr>
          <w:p w14:paraId="0E2F7C30" w14:textId="77777777" w:rsidR="009C2EFA" w:rsidRPr="009C2EFA" w:rsidRDefault="009C2EFA" w:rsidP="009C2EFA">
            <w:pPr>
              <w:pStyle w:val="DHHStabletext"/>
            </w:pPr>
            <w:r w:rsidRPr="009C2EFA">
              <w:t>0.2%</w:t>
            </w:r>
          </w:p>
        </w:tc>
        <w:tc>
          <w:tcPr>
            <w:tcW w:w="1243" w:type="dxa"/>
            <w:hideMark/>
          </w:tcPr>
          <w:p w14:paraId="4EBBFD5A" w14:textId="77777777" w:rsidR="009C2EFA" w:rsidRPr="009C2EFA" w:rsidRDefault="009C2EFA" w:rsidP="009C2EFA">
            <w:pPr>
              <w:pStyle w:val="DHHStabletext"/>
            </w:pPr>
            <w:r w:rsidRPr="009C2EFA">
              <w:t>0.2%</w:t>
            </w:r>
          </w:p>
        </w:tc>
        <w:tc>
          <w:tcPr>
            <w:tcW w:w="1197" w:type="dxa"/>
            <w:hideMark/>
          </w:tcPr>
          <w:p w14:paraId="1CF33D37" w14:textId="77777777" w:rsidR="009C2EFA" w:rsidRPr="009C2EFA" w:rsidRDefault="009C2EFA" w:rsidP="009C2EFA">
            <w:pPr>
              <w:pStyle w:val="DHHStabletext"/>
            </w:pPr>
            <w:r w:rsidRPr="009C2EFA">
              <w:t>0.1%</w:t>
            </w:r>
          </w:p>
        </w:tc>
      </w:tr>
      <w:tr w:rsidR="009C2EFA" w14:paraId="6919BA07" w14:textId="77777777" w:rsidTr="003F7650">
        <w:trPr>
          <w:trHeight w:val="288"/>
        </w:trPr>
        <w:tc>
          <w:tcPr>
            <w:tcW w:w="3911" w:type="dxa"/>
            <w:vMerge/>
            <w:vAlign w:val="center"/>
            <w:hideMark/>
          </w:tcPr>
          <w:p w14:paraId="6069C1D4" w14:textId="77777777" w:rsidR="009C2EFA" w:rsidRDefault="009C2EFA" w:rsidP="009C2EFA">
            <w:pPr>
              <w:pStyle w:val="DHHStabletext"/>
              <w:rPr>
                <w:rFonts w:ascii="Trebuchet MS" w:eastAsia="Trebuchet MS" w:hAnsi="Trebuchet MS" w:cs="Trebuchet MS"/>
                <w:szCs w:val="22"/>
                <w:lang w:val="en-US"/>
              </w:rPr>
            </w:pPr>
          </w:p>
        </w:tc>
        <w:tc>
          <w:tcPr>
            <w:tcW w:w="2324" w:type="dxa"/>
            <w:hideMark/>
          </w:tcPr>
          <w:p w14:paraId="543DCAFD" w14:textId="77777777" w:rsidR="009C2EFA" w:rsidRPr="009C2EFA" w:rsidRDefault="009C2EFA" w:rsidP="009C2EFA">
            <w:pPr>
              <w:pStyle w:val="DHHStabletext"/>
            </w:pPr>
            <w:r w:rsidRPr="009C2EFA">
              <w:t>Croatian</w:t>
            </w:r>
          </w:p>
        </w:tc>
        <w:tc>
          <w:tcPr>
            <w:tcW w:w="1243" w:type="dxa"/>
            <w:hideMark/>
          </w:tcPr>
          <w:p w14:paraId="61A1381B" w14:textId="77777777" w:rsidR="009C2EFA" w:rsidRPr="009C2EFA" w:rsidRDefault="009C2EFA" w:rsidP="009C2EFA">
            <w:pPr>
              <w:pStyle w:val="DHHStabletext"/>
            </w:pPr>
            <w:r w:rsidRPr="009C2EFA">
              <w:t>0.2%</w:t>
            </w:r>
          </w:p>
        </w:tc>
        <w:tc>
          <w:tcPr>
            <w:tcW w:w="1243" w:type="dxa"/>
            <w:hideMark/>
          </w:tcPr>
          <w:p w14:paraId="00F248BE" w14:textId="77777777" w:rsidR="009C2EFA" w:rsidRPr="009C2EFA" w:rsidRDefault="009C2EFA" w:rsidP="009C2EFA">
            <w:pPr>
              <w:pStyle w:val="DHHStabletext"/>
            </w:pPr>
            <w:r w:rsidRPr="009C2EFA">
              <w:t>0.1%</w:t>
            </w:r>
          </w:p>
        </w:tc>
        <w:tc>
          <w:tcPr>
            <w:tcW w:w="1197" w:type="dxa"/>
            <w:hideMark/>
          </w:tcPr>
          <w:p w14:paraId="69DD47D6" w14:textId="77777777" w:rsidR="009C2EFA" w:rsidRPr="009C2EFA" w:rsidRDefault="009C2EFA" w:rsidP="009C2EFA">
            <w:pPr>
              <w:pStyle w:val="DHHStabletext"/>
            </w:pPr>
            <w:r w:rsidRPr="009C2EFA">
              <w:t>0.1%</w:t>
            </w:r>
          </w:p>
        </w:tc>
      </w:tr>
    </w:tbl>
    <w:p w14:paraId="6970822F" w14:textId="77777777" w:rsidR="00AE0126" w:rsidRDefault="00AE0126"/>
    <w:p w14:paraId="05827ED7" w14:textId="77777777" w:rsidR="004E24F2" w:rsidRDefault="004E24F2" w:rsidP="00985332">
      <w:pPr>
        <w:pStyle w:val="DHHSbody"/>
      </w:pPr>
    </w:p>
    <w:tbl>
      <w:tblPr>
        <w:tblpPr w:leftFromText="180" w:rightFromText="180" w:horzAnchor="margin" w:tblpY="216"/>
        <w:tblW w:w="9936"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3203"/>
        <w:gridCol w:w="3047"/>
        <w:gridCol w:w="1244"/>
        <w:gridCol w:w="1244"/>
        <w:gridCol w:w="1198"/>
      </w:tblGrid>
      <w:tr w:rsidR="004E24F2" w14:paraId="1D6D663A" w14:textId="77777777" w:rsidTr="003F7650">
        <w:trPr>
          <w:trHeight w:val="340"/>
          <w:tblHeader/>
        </w:trPr>
        <w:tc>
          <w:tcPr>
            <w:tcW w:w="3203" w:type="dxa"/>
            <w:shd w:val="clear" w:color="auto" w:fill="auto"/>
            <w:hideMark/>
          </w:tcPr>
          <w:p w14:paraId="2ED2276E" w14:textId="77777777" w:rsidR="004E24F2" w:rsidRDefault="004E24F2" w:rsidP="00DF7F88">
            <w:pPr>
              <w:pStyle w:val="DHHStablecolhead"/>
              <w:rPr>
                <w:rFonts w:ascii="Trebuchet MS"/>
              </w:rPr>
            </w:pPr>
            <w:r>
              <w:rPr>
                <w:w w:val="105"/>
              </w:rPr>
              <w:lastRenderedPageBreak/>
              <w:t>Treatment</w:t>
            </w:r>
          </w:p>
        </w:tc>
        <w:tc>
          <w:tcPr>
            <w:tcW w:w="3047" w:type="dxa"/>
            <w:shd w:val="clear" w:color="auto" w:fill="auto"/>
          </w:tcPr>
          <w:p w14:paraId="4F3F73D6" w14:textId="2625271C" w:rsidR="004E24F2" w:rsidRDefault="00EE31F2" w:rsidP="00EE31F2">
            <w:pPr>
              <w:pStyle w:val="DHHStablecolhead"/>
            </w:pPr>
            <w:r w:rsidRPr="00EE31F2">
              <w:t>Measure</w:t>
            </w:r>
          </w:p>
        </w:tc>
        <w:tc>
          <w:tcPr>
            <w:tcW w:w="1244" w:type="dxa"/>
            <w:shd w:val="clear" w:color="auto" w:fill="auto"/>
            <w:hideMark/>
          </w:tcPr>
          <w:p w14:paraId="504BC084" w14:textId="77777777" w:rsidR="004E24F2" w:rsidRDefault="004E24F2" w:rsidP="00DF7F88">
            <w:pPr>
              <w:pStyle w:val="DHHStablecolhead"/>
              <w:rPr>
                <w:rFonts w:ascii="Trebuchet MS"/>
              </w:rPr>
            </w:pPr>
            <w:r>
              <w:t>2014–15</w:t>
            </w:r>
          </w:p>
        </w:tc>
        <w:tc>
          <w:tcPr>
            <w:tcW w:w="1244" w:type="dxa"/>
            <w:shd w:val="clear" w:color="auto" w:fill="auto"/>
            <w:hideMark/>
          </w:tcPr>
          <w:p w14:paraId="052577C0" w14:textId="77777777" w:rsidR="004E24F2" w:rsidRDefault="004E24F2" w:rsidP="00DF7F88">
            <w:pPr>
              <w:pStyle w:val="DHHStablecolhead"/>
            </w:pPr>
            <w:r>
              <w:t>2015–16</w:t>
            </w:r>
          </w:p>
        </w:tc>
        <w:tc>
          <w:tcPr>
            <w:tcW w:w="1198" w:type="dxa"/>
            <w:shd w:val="clear" w:color="auto" w:fill="auto"/>
            <w:hideMark/>
          </w:tcPr>
          <w:p w14:paraId="096FB487" w14:textId="77777777" w:rsidR="004E24F2" w:rsidRDefault="004E24F2" w:rsidP="00DF7F88">
            <w:pPr>
              <w:pStyle w:val="DHHStablecolhead"/>
            </w:pPr>
            <w:r>
              <w:t>2016–17</w:t>
            </w:r>
          </w:p>
        </w:tc>
      </w:tr>
      <w:tr w:rsidR="004E24F2" w14:paraId="2BFC4FAD" w14:textId="77777777" w:rsidTr="003F7650">
        <w:trPr>
          <w:trHeight w:val="335"/>
        </w:trPr>
        <w:tc>
          <w:tcPr>
            <w:tcW w:w="3203" w:type="dxa"/>
            <w:vMerge w:val="restart"/>
            <w:hideMark/>
          </w:tcPr>
          <w:p w14:paraId="08F787FB" w14:textId="77777777" w:rsidR="004E24F2" w:rsidRPr="008A08FD" w:rsidRDefault="004E24F2" w:rsidP="008A08FD">
            <w:pPr>
              <w:pStyle w:val="DHHStabletext"/>
            </w:pPr>
            <w:r w:rsidRPr="008A08FD">
              <w:t>Total clients accessing clinical mental health services**#</w:t>
            </w:r>
          </w:p>
        </w:tc>
        <w:tc>
          <w:tcPr>
            <w:tcW w:w="3047" w:type="dxa"/>
            <w:hideMark/>
          </w:tcPr>
          <w:p w14:paraId="1B28518C" w14:textId="77777777" w:rsidR="004E24F2" w:rsidRPr="008A08FD" w:rsidRDefault="004E24F2" w:rsidP="008A08FD">
            <w:pPr>
              <w:pStyle w:val="DHHStabletext"/>
            </w:pPr>
            <w:r w:rsidRPr="008A08FD">
              <w:t>Adult</w:t>
            </w:r>
          </w:p>
        </w:tc>
        <w:tc>
          <w:tcPr>
            <w:tcW w:w="1244" w:type="dxa"/>
            <w:hideMark/>
          </w:tcPr>
          <w:p w14:paraId="74CD2586" w14:textId="77777777" w:rsidR="004E24F2" w:rsidRPr="008A08FD" w:rsidRDefault="004E24F2" w:rsidP="008A08FD">
            <w:pPr>
              <w:pStyle w:val="DHHStabletext"/>
            </w:pPr>
            <w:r w:rsidRPr="008A08FD">
              <w:t>51,972</w:t>
            </w:r>
          </w:p>
        </w:tc>
        <w:tc>
          <w:tcPr>
            <w:tcW w:w="1244" w:type="dxa"/>
            <w:hideMark/>
          </w:tcPr>
          <w:p w14:paraId="7D257253" w14:textId="77777777" w:rsidR="004E24F2" w:rsidRPr="008A08FD" w:rsidRDefault="004E24F2" w:rsidP="008A08FD">
            <w:pPr>
              <w:pStyle w:val="DHHStabletext"/>
            </w:pPr>
            <w:r w:rsidRPr="008A08FD">
              <w:t>52,724</w:t>
            </w:r>
          </w:p>
        </w:tc>
        <w:tc>
          <w:tcPr>
            <w:tcW w:w="1198" w:type="dxa"/>
            <w:hideMark/>
          </w:tcPr>
          <w:p w14:paraId="209FC2AE" w14:textId="77777777" w:rsidR="004E24F2" w:rsidRPr="008A08FD" w:rsidRDefault="004E24F2" w:rsidP="008A08FD">
            <w:pPr>
              <w:pStyle w:val="DHHStabletext"/>
            </w:pPr>
            <w:r w:rsidRPr="008A08FD">
              <w:t>51,735</w:t>
            </w:r>
          </w:p>
        </w:tc>
      </w:tr>
      <w:tr w:rsidR="004E24F2" w14:paraId="6FAA7852" w14:textId="77777777" w:rsidTr="003F7650">
        <w:trPr>
          <w:trHeight w:val="330"/>
        </w:trPr>
        <w:tc>
          <w:tcPr>
            <w:tcW w:w="3203" w:type="dxa"/>
            <w:vMerge/>
            <w:vAlign w:val="center"/>
            <w:hideMark/>
          </w:tcPr>
          <w:p w14:paraId="098957BF" w14:textId="77777777" w:rsidR="004E24F2" w:rsidRPr="008A08FD" w:rsidRDefault="004E24F2" w:rsidP="008A08FD">
            <w:pPr>
              <w:pStyle w:val="DHHStabletext"/>
              <w:rPr>
                <w:rFonts w:eastAsia="Trebuchet MS"/>
              </w:rPr>
            </w:pPr>
          </w:p>
        </w:tc>
        <w:tc>
          <w:tcPr>
            <w:tcW w:w="3047" w:type="dxa"/>
            <w:hideMark/>
          </w:tcPr>
          <w:p w14:paraId="74F80131" w14:textId="77777777" w:rsidR="004E24F2" w:rsidRPr="008A08FD" w:rsidRDefault="004E24F2" w:rsidP="008A08FD">
            <w:pPr>
              <w:pStyle w:val="DHHStabletext"/>
            </w:pPr>
            <w:r w:rsidRPr="008A08FD">
              <w:t>Aged</w:t>
            </w:r>
          </w:p>
        </w:tc>
        <w:tc>
          <w:tcPr>
            <w:tcW w:w="1244" w:type="dxa"/>
            <w:hideMark/>
          </w:tcPr>
          <w:p w14:paraId="6952A797" w14:textId="77777777" w:rsidR="004E24F2" w:rsidRPr="008A08FD" w:rsidRDefault="004E24F2" w:rsidP="008A08FD">
            <w:pPr>
              <w:pStyle w:val="DHHStabletext"/>
            </w:pPr>
            <w:r w:rsidRPr="008A08FD">
              <w:t>8,489</w:t>
            </w:r>
          </w:p>
        </w:tc>
        <w:tc>
          <w:tcPr>
            <w:tcW w:w="1244" w:type="dxa"/>
            <w:hideMark/>
          </w:tcPr>
          <w:p w14:paraId="22F43030" w14:textId="77777777" w:rsidR="004E24F2" w:rsidRPr="008A08FD" w:rsidRDefault="004E24F2" w:rsidP="008A08FD">
            <w:pPr>
              <w:pStyle w:val="DHHStabletext"/>
            </w:pPr>
            <w:r w:rsidRPr="008A08FD">
              <w:t>8,077</w:t>
            </w:r>
          </w:p>
        </w:tc>
        <w:tc>
          <w:tcPr>
            <w:tcW w:w="1198" w:type="dxa"/>
            <w:hideMark/>
          </w:tcPr>
          <w:p w14:paraId="0CE95D3C" w14:textId="77777777" w:rsidR="004E24F2" w:rsidRPr="008A08FD" w:rsidRDefault="004E24F2" w:rsidP="008A08FD">
            <w:pPr>
              <w:pStyle w:val="DHHStabletext"/>
            </w:pPr>
            <w:r w:rsidRPr="008A08FD">
              <w:t>7,396</w:t>
            </w:r>
          </w:p>
        </w:tc>
      </w:tr>
      <w:tr w:rsidR="004E24F2" w14:paraId="68666502" w14:textId="77777777" w:rsidTr="003F7650">
        <w:trPr>
          <w:trHeight w:val="330"/>
        </w:trPr>
        <w:tc>
          <w:tcPr>
            <w:tcW w:w="3203" w:type="dxa"/>
            <w:vMerge/>
            <w:vAlign w:val="center"/>
            <w:hideMark/>
          </w:tcPr>
          <w:p w14:paraId="79D6E476" w14:textId="77777777" w:rsidR="004E24F2" w:rsidRPr="008A08FD" w:rsidRDefault="004E24F2" w:rsidP="008A08FD">
            <w:pPr>
              <w:pStyle w:val="DHHStabletext"/>
              <w:rPr>
                <w:rFonts w:eastAsia="Trebuchet MS"/>
              </w:rPr>
            </w:pPr>
          </w:p>
        </w:tc>
        <w:tc>
          <w:tcPr>
            <w:tcW w:w="3047" w:type="dxa"/>
            <w:hideMark/>
          </w:tcPr>
          <w:p w14:paraId="44077AAD" w14:textId="77777777" w:rsidR="004E24F2" w:rsidRPr="008A08FD" w:rsidRDefault="004E24F2" w:rsidP="008A08FD">
            <w:pPr>
              <w:pStyle w:val="DHHStabletext"/>
            </w:pPr>
            <w:r w:rsidRPr="008A08FD">
              <w:t>CAMHS</w:t>
            </w:r>
          </w:p>
        </w:tc>
        <w:tc>
          <w:tcPr>
            <w:tcW w:w="1244" w:type="dxa"/>
            <w:hideMark/>
          </w:tcPr>
          <w:p w14:paraId="6DFA29C5" w14:textId="77777777" w:rsidR="004E24F2" w:rsidRPr="008A08FD" w:rsidRDefault="004E24F2" w:rsidP="008A08FD">
            <w:pPr>
              <w:pStyle w:val="DHHStabletext"/>
            </w:pPr>
            <w:r w:rsidRPr="008A08FD">
              <w:t>10,251</w:t>
            </w:r>
          </w:p>
        </w:tc>
        <w:tc>
          <w:tcPr>
            <w:tcW w:w="1244" w:type="dxa"/>
            <w:hideMark/>
          </w:tcPr>
          <w:p w14:paraId="31214C20" w14:textId="77777777" w:rsidR="004E24F2" w:rsidRPr="008A08FD" w:rsidRDefault="004E24F2" w:rsidP="008A08FD">
            <w:pPr>
              <w:pStyle w:val="DHHStabletext"/>
            </w:pPr>
            <w:r w:rsidRPr="008A08FD">
              <w:t>10,456</w:t>
            </w:r>
          </w:p>
        </w:tc>
        <w:tc>
          <w:tcPr>
            <w:tcW w:w="1198" w:type="dxa"/>
            <w:hideMark/>
          </w:tcPr>
          <w:p w14:paraId="65722E48" w14:textId="77777777" w:rsidR="004E24F2" w:rsidRPr="008A08FD" w:rsidRDefault="004E24F2" w:rsidP="008A08FD">
            <w:pPr>
              <w:pStyle w:val="DHHStabletext"/>
            </w:pPr>
            <w:r w:rsidRPr="008A08FD">
              <w:t>10,723</w:t>
            </w:r>
          </w:p>
        </w:tc>
      </w:tr>
      <w:tr w:rsidR="004E24F2" w14:paraId="295658EE" w14:textId="77777777" w:rsidTr="003F7650">
        <w:trPr>
          <w:trHeight w:val="330"/>
        </w:trPr>
        <w:tc>
          <w:tcPr>
            <w:tcW w:w="3203" w:type="dxa"/>
            <w:vMerge/>
            <w:vAlign w:val="center"/>
            <w:hideMark/>
          </w:tcPr>
          <w:p w14:paraId="3B3DEA4C" w14:textId="77777777" w:rsidR="004E24F2" w:rsidRPr="008A08FD" w:rsidRDefault="004E24F2" w:rsidP="008A08FD">
            <w:pPr>
              <w:pStyle w:val="DHHStabletext"/>
              <w:rPr>
                <w:rFonts w:eastAsia="Trebuchet MS"/>
              </w:rPr>
            </w:pPr>
          </w:p>
        </w:tc>
        <w:tc>
          <w:tcPr>
            <w:tcW w:w="3047" w:type="dxa"/>
            <w:hideMark/>
          </w:tcPr>
          <w:p w14:paraId="51524704" w14:textId="77777777" w:rsidR="004E24F2" w:rsidRPr="008A08FD" w:rsidRDefault="004E24F2" w:rsidP="008A08FD">
            <w:pPr>
              <w:pStyle w:val="DHHStabletext"/>
            </w:pPr>
            <w:r w:rsidRPr="008A08FD">
              <w:t>Forensic</w:t>
            </w:r>
          </w:p>
        </w:tc>
        <w:tc>
          <w:tcPr>
            <w:tcW w:w="1244" w:type="dxa"/>
            <w:hideMark/>
          </w:tcPr>
          <w:p w14:paraId="5C7B4363" w14:textId="77777777" w:rsidR="004E24F2" w:rsidRPr="008A08FD" w:rsidRDefault="004E24F2" w:rsidP="008A08FD">
            <w:pPr>
              <w:pStyle w:val="DHHStabletext"/>
            </w:pPr>
            <w:r w:rsidRPr="008A08FD">
              <w:t>684</w:t>
            </w:r>
          </w:p>
        </w:tc>
        <w:tc>
          <w:tcPr>
            <w:tcW w:w="1244" w:type="dxa"/>
            <w:hideMark/>
          </w:tcPr>
          <w:p w14:paraId="7FD50C1F" w14:textId="77777777" w:rsidR="004E24F2" w:rsidRPr="008A08FD" w:rsidRDefault="004E24F2" w:rsidP="008A08FD">
            <w:pPr>
              <w:pStyle w:val="DHHStabletext"/>
            </w:pPr>
            <w:r w:rsidRPr="008A08FD">
              <w:t>700</w:t>
            </w:r>
          </w:p>
        </w:tc>
        <w:tc>
          <w:tcPr>
            <w:tcW w:w="1198" w:type="dxa"/>
            <w:hideMark/>
          </w:tcPr>
          <w:p w14:paraId="2B3EF554" w14:textId="77777777" w:rsidR="004E24F2" w:rsidRPr="008A08FD" w:rsidRDefault="004E24F2" w:rsidP="008A08FD">
            <w:pPr>
              <w:pStyle w:val="DHHStabletext"/>
            </w:pPr>
            <w:r w:rsidRPr="008A08FD">
              <w:t>751</w:t>
            </w:r>
          </w:p>
        </w:tc>
      </w:tr>
      <w:tr w:rsidR="004E24F2" w14:paraId="2084A7FC" w14:textId="77777777" w:rsidTr="003F7650">
        <w:trPr>
          <w:trHeight w:val="330"/>
        </w:trPr>
        <w:tc>
          <w:tcPr>
            <w:tcW w:w="3203" w:type="dxa"/>
            <w:vMerge/>
            <w:vAlign w:val="center"/>
            <w:hideMark/>
          </w:tcPr>
          <w:p w14:paraId="709E6BE3" w14:textId="77777777" w:rsidR="004E24F2" w:rsidRPr="008A08FD" w:rsidRDefault="004E24F2" w:rsidP="008A08FD">
            <w:pPr>
              <w:pStyle w:val="DHHStabletext"/>
              <w:rPr>
                <w:rFonts w:eastAsia="Trebuchet MS"/>
              </w:rPr>
            </w:pPr>
          </w:p>
        </w:tc>
        <w:tc>
          <w:tcPr>
            <w:tcW w:w="3047" w:type="dxa"/>
            <w:hideMark/>
          </w:tcPr>
          <w:p w14:paraId="089DE3F8" w14:textId="77777777" w:rsidR="004E24F2" w:rsidRPr="008A08FD" w:rsidRDefault="004E24F2" w:rsidP="008A08FD">
            <w:pPr>
              <w:pStyle w:val="DHHStabletext"/>
            </w:pPr>
            <w:r w:rsidRPr="008A08FD">
              <w:t>Specialist</w:t>
            </w:r>
          </w:p>
        </w:tc>
        <w:tc>
          <w:tcPr>
            <w:tcW w:w="1244" w:type="dxa"/>
            <w:hideMark/>
          </w:tcPr>
          <w:p w14:paraId="2C3F685A" w14:textId="77777777" w:rsidR="004E24F2" w:rsidRPr="008A08FD" w:rsidRDefault="004E24F2" w:rsidP="008A08FD">
            <w:pPr>
              <w:pStyle w:val="DHHStabletext"/>
            </w:pPr>
            <w:r w:rsidRPr="008A08FD">
              <w:t>1,593</w:t>
            </w:r>
          </w:p>
        </w:tc>
        <w:tc>
          <w:tcPr>
            <w:tcW w:w="1244" w:type="dxa"/>
            <w:hideMark/>
          </w:tcPr>
          <w:p w14:paraId="17931492" w14:textId="77777777" w:rsidR="004E24F2" w:rsidRPr="008A08FD" w:rsidRDefault="004E24F2" w:rsidP="008A08FD">
            <w:pPr>
              <w:pStyle w:val="DHHStabletext"/>
            </w:pPr>
            <w:r w:rsidRPr="008A08FD">
              <w:t>1,783</w:t>
            </w:r>
          </w:p>
        </w:tc>
        <w:tc>
          <w:tcPr>
            <w:tcW w:w="1198" w:type="dxa"/>
            <w:hideMark/>
          </w:tcPr>
          <w:p w14:paraId="0088F0A5" w14:textId="77777777" w:rsidR="004E24F2" w:rsidRPr="008A08FD" w:rsidRDefault="004E24F2" w:rsidP="008A08FD">
            <w:pPr>
              <w:pStyle w:val="DHHStabletext"/>
            </w:pPr>
            <w:r w:rsidRPr="008A08FD">
              <w:t>1,817</w:t>
            </w:r>
          </w:p>
        </w:tc>
      </w:tr>
      <w:tr w:rsidR="004E24F2" w14:paraId="0AD9E86B" w14:textId="77777777" w:rsidTr="003F7650">
        <w:trPr>
          <w:trHeight w:val="568"/>
        </w:trPr>
        <w:tc>
          <w:tcPr>
            <w:tcW w:w="3203" w:type="dxa"/>
            <w:vMerge w:val="restart"/>
            <w:hideMark/>
          </w:tcPr>
          <w:p w14:paraId="1C2D3150" w14:textId="77777777" w:rsidR="004E24F2" w:rsidRPr="008A08FD" w:rsidRDefault="004E24F2" w:rsidP="008A08FD">
            <w:pPr>
              <w:pStyle w:val="DHHStabletext"/>
            </w:pPr>
            <w:r w:rsidRPr="008A08FD">
              <w:t>Diagnosis (%)</w:t>
            </w:r>
          </w:p>
        </w:tc>
        <w:tc>
          <w:tcPr>
            <w:tcW w:w="3047" w:type="dxa"/>
            <w:hideMark/>
          </w:tcPr>
          <w:p w14:paraId="29B24F6E" w14:textId="53241346" w:rsidR="004E24F2" w:rsidRPr="008A08FD" w:rsidRDefault="004E24F2" w:rsidP="008A08FD">
            <w:pPr>
              <w:pStyle w:val="DHHStabletext"/>
            </w:pPr>
            <w:r w:rsidRPr="008A08FD">
              <w:t>Schizophrenia, paranoia and</w:t>
            </w:r>
            <w:r w:rsidR="008A08FD">
              <w:t xml:space="preserve"> </w:t>
            </w:r>
            <w:r w:rsidRPr="008A08FD">
              <w:t>acute psychotic disorders</w:t>
            </w:r>
          </w:p>
        </w:tc>
        <w:tc>
          <w:tcPr>
            <w:tcW w:w="1244" w:type="dxa"/>
            <w:hideMark/>
          </w:tcPr>
          <w:p w14:paraId="389DFD4D" w14:textId="77777777" w:rsidR="004E24F2" w:rsidRPr="008A08FD" w:rsidRDefault="004E24F2" w:rsidP="008A08FD">
            <w:pPr>
              <w:pStyle w:val="DHHStabletext"/>
            </w:pPr>
            <w:r w:rsidRPr="008A08FD">
              <w:t>23.4%</w:t>
            </w:r>
          </w:p>
        </w:tc>
        <w:tc>
          <w:tcPr>
            <w:tcW w:w="1244" w:type="dxa"/>
            <w:hideMark/>
          </w:tcPr>
          <w:p w14:paraId="200B3600" w14:textId="77777777" w:rsidR="004E24F2" w:rsidRPr="008A08FD" w:rsidRDefault="004E24F2" w:rsidP="008A08FD">
            <w:pPr>
              <w:pStyle w:val="DHHStabletext"/>
            </w:pPr>
            <w:r w:rsidRPr="008A08FD">
              <w:t>23.8%</w:t>
            </w:r>
          </w:p>
        </w:tc>
        <w:tc>
          <w:tcPr>
            <w:tcW w:w="1198" w:type="dxa"/>
            <w:hideMark/>
          </w:tcPr>
          <w:p w14:paraId="692350A6" w14:textId="77777777" w:rsidR="004E24F2" w:rsidRPr="008A08FD" w:rsidRDefault="004E24F2" w:rsidP="008A08FD">
            <w:pPr>
              <w:pStyle w:val="DHHStabletext"/>
            </w:pPr>
            <w:r w:rsidRPr="008A08FD">
              <w:t>23.9%</w:t>
            </w:r>
          </w:p>
        </w:tc>
      </w:tr>
      <w:tr w:rsidR="004E24F2" w14:paraId="6D4E1442" w14:textId="77777777" w:rsidTr="003F7650">
        <w:trPr>
          <w:trHeight w:val="330"/>
        </w:trPr>
        <w:tc>
          <w:tcPr>
            <w:tcW w:w="3203" w:type="dxa"/>
            <w:vMerge/>
            <w:vAlign w:val="center"/>
            <w:hideMark/>
          </w:tcPr>
          <w:p w14:paraId="64B60ADD" w14:textId="77777777" w:rsidR="004E24F2" w:rsidRPr="008A08FD" w:rsidRDefault="004E24F2" w:rsidP="008A08FD">
            <w:pPr>
              <w:pStyle w:val="DHHStabletext"/>
              <w:rPr>
                <w:rFonts w:eastAsia="Trebuchet MS"/>
              </w:rPr>
            </w:pPr>
          </w:p>
        </w:tc>
        <w:tc>
          <w:tcPr>
            <w:tcW w:w="3047" w:type="dxa"/>
            <w:hideMark/>
          </w:tcPr>
          <w:p w14:paraId="36CBB0C1" w14:textId="77777777" w:rsidR="004E24F2" w:rsidRPr="008A08FD" w:rsidRDefault="004E24F2" w:rsidP="008A08FD">
            <w:pPr>
              <w:pStyle w:val="DHHStabletext"/>
            </w:pPr>
            <w:r w:rsidRPr="008A08FD">
              <w:t>Mood disorders</w:t>
            </w:r>
          </w:p>
        </w:tc>
        <w:tc>
          <w:tcPr>
            <w:tcW w:w="1244" w:type="dxa"/>
            <w:hideMark/>
          </w:tcPr>
          <w:p w14:paraId="3F48A83E" w14:textId="77777777" w:rsidR="004E24F2" w:rsidRPr="008A08FD" w:rsidRDefault="004E24F2" w:rsidP="008A08FD">
            <w:pPr>
              <w:pStyle w:val="DHHStabletext"/>
            </w:pPr>
            <w:r w:rsidRPr="008A08FD">
              <w:t>20.7%</w:t>
            </w:r>
          </w:p>
        </w:tc>
        <w:tc>
          <w:tcPr>
            <w:tcW w:w="1244" w:type="dxa"/>
            <w:hideMark/>
          </w:tcPr>
          <w:p w14:paraId="616B1AFA" w14:textId="77777777" w:rsidR="004E24F2" w:rsidRPr="008A08FD" w:rsidRDefault="004E24F2" w:rsidP="008A08FD">
            <w:pPr>
              <w:pStyle w:val="DHHStabletext"/>
            </w:pPr>
            <w:r w:rsidRPr="008A08FD">
              <w:t>20.3%</w:t>
            </w:r>
          </w:p>
        </w:tc>
        <w:tc>
          <w:tcPr>
            <w:tcW w:w="1198" w:type="dxa"/>
            <w:hideMark/>
          </w:tcPr>
          <w:p w14:paraId="64F6DB75" w14:textId="77777777" w:rsidR="004E24F2" w:rsidRPr="008A08FD" w:rsidRDefault="004E24F2" w:rsidP="008A08FD">
            <w:pPr>
              <w:pStyle w:val="DHHStabletext"/>
            </w:pPr>
            <w:r w:rsidRPr="008A08FD">
              <w:t>20.0%</w:t>
            </w:r>
          </w:p>
        </w:tc>
      </w:tr>
      <w:tr w:rsidR="004E24F2" w14:paraId="4557E7DE" w14:textId="77777777" w:rsidTr="003F7650">
        <w:trPr>
          <w:trHeight w:val="568"/>
        </w:trPr>
        <w:tc>
          <w:tcPr>
            <w:tcW w:w="3203" w:type="dxa"/>
            <w:vMerge/>
            <w:vAlign w:val="center"/>
            <w:hideMark/>
          </w:tcPr>
          <w:p w14:paraId="676C125F" w14:textId="77777777" w:rsidR="004E24F2" w:rsidRPr="008A08FD" w:rsidRDefault="004E24F2" w:rsidP="008A08FD">
            <w:pPr>
              <w:pStyle w:val="DHHStabletext"/>
              <w:rPr>
                <w:rFonts w:eastAsia="Trebuchet MS"/>
              </w:rPr>
            </w:pPr>
          </w:p>
        </w:tc>
        <w:tc>
          <w:tcPr>
            <w:tcW w:w="3047" w:type="dxa"/>
            <w:hideMark/>
          </w:tcPr>
          <w:p w14:paraId="69B1B0CE" w14:textId="37E6BD37" w:rsidR="004E24F2" w:rsidRPr="008A08FD" w:rsidRDefault="004E24F2" w:rsidP="008A08FD">
            <w:pPr>
              <w:pStyle w:val="DHHStabletext"/>
            </w:pPr>
            <w:r w:rsidRPr="008A08FD">
              <w:t>Stress and adjustment</w:t>
            </w:r>
            <w:r w:rsidR="008A08FD">
              <w:t xml:space="preserve"> </w:t>
            </w:r>
            <w:r w:rsidRPr="008A08FD">
              <w:t>disorders</w:t>
            </w:r>
          </w:p>
        </w:tc>
        <w:tc>
          <w:tcPr>
            <w:tcW w:w="1244" w:type="dxa"/>
            <w:hideMark/>
          </w:tcPr>
          <w:p w14:paraId="60D8C97E" w14:textId="77777777" w:rsidR="004E24F2" w:rsidRPr="008A08FD" w:rsidRDefault="004E24F2" w:rsidP="008A08FD">
            <w:pPr>
              <w:pStyle w:val="DHHStabletext"/>
            </w:pPr>
            <w:r w:rsidRPr="008A08FD">
              <w:t>7.8%</w:t>
            </w:r>
          </w:p>
        </w:tc>
        <w:tc>
          <w:tcPr>
            <w:tcW w:w="1244" w:type="dxa"/>
            <w:hideMark/>
          </w:tcPr>
          <w:p w14:paraId="77B6CDDF" w14:textId="77777777" w:rsidR="004E24F2" w:rsidRPr="008A08FD" w:rsidRDefault="004E24F2" w:rsidP="008A08FD">
            <w:pPr>
              <w:pStyle w:val="DHHStabletext"/>
            </w:pPr>
            <w:r w:rsidRPr="008A08FD">
              <w:t>8.0%</w:t>
            </w:r>
          </w:p>
        </w:tc>
        <w:tc>
          <w:tcPr>
            <w:tcW w:w="1198" w:type="dxa"/>
            <w:hideMark/>
          </w:tcPr>
          <w:p w14:paraId="3B04E1D1" w14:textId="77777777" w:rsidR="004E24F2" w:rsidRPr="008A08FD" w:rsidRDefault="004E24F2" w:rsidP="008A08FD">
            <w:pPr>
              <w:pStyle w:val="DHHStabletext"/>
            </w:pPr>
            <w:r w:rsidRPr="008A08FD">
              <w:t>8.2%</w:t>
            </w:r>
          </w:p>
        </w:tc>
      </w:tr>
      <w:tr w:rsidR="004E24F2" w14:paraId="391ACDBF" w14:textId="77777777" w:rsidTr="003F7650">
        <w:trPr>
          <w:trHeight w:val="330"/>
        </w:trPr>
        <w:tc>
          <w:tcPr>
            <w:tcW w:w="3203" w:type="dxa"/>
            <w:vMerge/>
            <w:vAlign w:val="center"/>
            <w:hideMark/>
          </w:tcPr>
          <w:p w14:paraId="5866FA6D" w14:textId="77777777" w:rsidR="004E24F2" w:rsidRPr="008A08FD" w:rsidRDefault="004E24F2" w:rsidP="008A08FD">
            <w:pPr>
              <w:pStyle w:val="DHHStabletext"/>
              <w:rPr>
                <w:rFonts w:eastAsia="Trebuchet MS"/>
              </w:rPr>
            </w:pPr>
          </w:p>
        </w:tc>
        <w:tc>
          <w:tcPr>
            <w:tcW w:w="3047" w:type="dxa"/>
            <w:hideMark/>
          </w:tcPr>
          <w:p w14:paraId="01A20C15" w14:textId="77777777" w:rsidR="004E24F2" w:rsidRPr="008A08FD" w:rsidRDefault="004E24F2" w:rsidP="008A08FD">
            <w:pPr>
              <w:pStyle w:val="DHHStabletext"/>
            </w:pPr>
            <w:r w:rsidRPr="008A08FD">
              <w:t>Personality disorders</w:t>
            </w:r>
          </w:p>
        </w:tc>
        <w:tc>
          <w:tcPr>
            <w:tcW w:w="1244" w:type="dxa"/>
            <w:hideMark/>
          </w:tcPr>
          <w:p w14:paraId="40B624FF" w14:textId="77777777" w:rsidR="004E24F2" w:rsidRPr="008A08FD" w:rsidRDefault="004E24F2" w:rsidP="008A08FD">
            <w:pPr>
              <w:pStyle w:val="DHHStabletext"/>
            </w:pPr>
            <w:r w:rsidRPr="008A08FD">
              <w:t>5.1%</w:t>
            </w:r>
          </w:p>
        </w:tc>
        <w:tc>
          <w:tcPr>
            <w:tcW w:w="1244" w:type="dxa"/>
            <w:hideMark/>
          </w:tcPr>
          <w:p w14:paraId="26B61A4A" w14:textId="77777777" w:rsidR="004E24F2" w:rsidRPr="008A08FD" w:rsidRDefault="004E24F2" w:rsidP="008A08FD">
            <w:pPr>
              <w:pStyle w:val="DHHStabletext"/>
            </w:pPr>
            <w:r w:rsidRPr="008A08FD">
              <w:t>5.5%</w:t>
            </w:r>
          </w:p>
        </w:tc>
        <w:tc>
          <w:tcPr>
            <w:tcW w:w="1198" w:type="dxa"/>
            <w:hideMark/>
          </w:tcPr>
          <w:p w14:paraId="331B4B0C" w14:textId="77777777" w:rsidR="004E24F2" w:rsidRPr="008A08FD" w:rsidRDefault="004E24F2" w:rsidP="008A08FD">
            <w:pPr>
              <w:pStyle w:val="DHHStabletext"/>
            </w:pPr>
            <w:r w:rsidRPr="008A08FD">
              <w:t>5.9%</w:t>
            </w:r>
          </w:p>
        </w:tc>
      </w:tr>
      <w:tr w:rsidR="004E24F2" w14:paraId="54CCE9F4" w14:textId="77777777" w:rsidTr="003F7650">
        <w:trPr>
          <w:trHeight w:val="327"/>
        </w:trPr>
        <w:tc>
          <w:tcPr>
            <w:tcW w:w="3203" w:type="dxa"/>
            <w:vMerge/>
            <w:vAlign w:val="center"/>
            <w:hideMark/>
          </w:tcPr>
          <w:p w14:paraId="5453EFAD" w14:textId="77777777" w:rsidR="004E24F2" w:rsidRPr="008A08FD" w:rsidRDefault="004E24F2" w:rsidP="008A08FD">
            <w:pPr>
              <w:pStyle w:val="DHHStabletext"/>
              <w:rPr>
                <w:rFonts w:eastAsia="Trebuchet MS"/>
              </w:rPr>
            </w:pPr>
          </w:p>
        </w:tc>
        <w:tc>
          <w:tcPr>
            <w:tcW w:w="3047" w:type="dxa"/>
            <w:hideMark/>
          </w:tcPr>
          <w:p w14:paraId="331EB124" w14:textId="77777777" w:rsidR="004E24F2" w:rsidRPr="008A08FD" w:rsidRDefault="004E24F2" w:rsidP="008A08FD">
            <w:pPr>
              <w:pStyle w:val="DHHStabletext"/>
            </w:pPr>
            <w:r w:rsidRPr="008A08FD">
              <w:t>Anxiety disorders</w:t>
            </w:r>
          </w:p>
        </w:tc>
        <w:tc>
          <w:tcPr>
            <w:tcW w:w="1244" w:type="dxa"/>
            <w:hideMark/>
          </w:tcPr>
          <w:p w14:paraId="3B7E7E22" w14:textId="77777777" w:rsidR="004E24F2" w:rsidRPr="008A08FD" w:rsidRDefault="004E24F2" w:rsidP="008A08FD">
            <w:pPr>
              <w:pStyle w:val="DHHStabletext"/>
            </w:pPr>
            <w:r w:rsidRPr="008A08FD">
              <w:t>4.9%</w:t>
            </w:r>
          </w:p>
        </w:tc>
        <w:tc>
          <w:tcPr>
            <w:tcW w:w="1244" w:type="dxa"/>
            <w:hideMark/>
          </w:tcPr>
          <w:p w14:paraId="7EB99FD6" w14:textId="77777777" w:rsidR="004E24F2" w:rsidRPr="008A08FD" w:rsidRDefault="004E24F2" w:rsidP="008A08FD">
            <w:pPr>
              <w:pStyle w:val="DHHStabletext"/>
            </w:pPr>
            <w:r w:rsidRPr="008A08FD">
              <w:t>5.2%</w:t>
            </w:r>
          </w:p>
        </w:tc>
        <w:tc>
          <w:tcPr>
            <w:tcW w:w="1198" w:type="dxa"/>
            <w:hideMark/>
          </w:tcPr>
          <w:p w14:paraId="3235CB81" w14:textId="77777777" w:rsidR="004E24F2" w:rsidRPr="008A08FD" w:rsidRDefault="004E24F2" w:rsidP="008A08FD">
            <w:pPr>
              <w:pStyle w:val="DHHStabletext"/>
            </w:pPr>
            <w:r w:rsidRPr="008A08FD">
              <w:t>5.2%</w:t>
            </w:r>
          </w:p>
        </w:tc>
      </w:tr>
      <w:tr w:rsidR="004E24F2" w14:paraId="596EF71A" w14:textId="77777777" w:rsidTr="003F7650">
        <w:trPr>
          <w:trHeight w:val="327"/>
        </w:trPr>
        <w:tc>
          <w:tcPr>
            <w:tcW w:w="3203" w:type="dxa"/>
            <w:vMerge/>
            <w:vAlign w:val="center"/>
            <w:hideMark/>
          </w:tcPr>
          <w:p w14:paraId="54382A87" w14:textId="77777777" w:rsidR="004E24F2" w:rsidRPr="008A08FD" w:rsidRDefault="004E24F2" w:rsidP="008A08FD">
            <w:pPr>
              <w:pStyle w:val="DHHStabletext"/>
              <w:rPr>
                <w:rFonts w:eastAsia="Trebuchet MS"/>
              </w:rPr>
            </w:pPr>
          </w:p>
        </w:tc>
        <w:tc>
          <w:tcPr>
            <w:tcW w:w="3047" w:type="dxa"/>
            <w:hideMark/>
          </w:tcPr>
          <w:p w14:paraId="09C464AC" w14:textId="77777777" w:rsidR="004E24F2" w:rsidRPr="008A08FD" w:rsidRDefault="004E24F2" w:rsidP="008A08FD">
            <w:pPr>
              <w:pStyle w:val="DHHStabletext"/>
            </w:pPr>
            <w:r w:rsidRPr="008A08FD">
              <w:t>Substance abuse disorders</w:t>
            </w:r>
          </w:p>
        </w:tc>
        <w:tc>
          <w:tcPr>
            <w:tcW w:w="1244" w:type="dxa"/>
            <w:hideMark/>
          </w:tcPr>
          <w:p w14:paraId="4E56D5FA" w14:textId="77777777" w:rsidR="004E24F2" w:rsidRPr="008A08FD" w:rsidRDefault="004E24F2" w:rsidP="008A08FD">
            <w:pPr>
              <w:pStyle w:val="DHHStabletext"/>
            </w:pPr>
            <w:r w:rsidRPr="008A08FD">
              <w:t>3.1%</w:t>
            </w:r>
          </w:p>
        </w:tc>
        <w:tc>
          <w:tcPr>
            <w:tcW w:w="1244" w:type="dxa"/>
            <w:hideMark/>
          </w:tcPr>
          <w:p w14:paraId="745BBA33" w14:textId="77777777" w:rsidR="004E24F2" w:rsidRPr="008A08FD" w:rsidRDefault="004E24F2" w:rsidP="008A08FD">
            <w:pPr>
              <w:pStyle w:val="DHHStabletext"/>
            </w:pPr>
            <w:r w:rsidRPr="008A08FD">
              <w:t>3.6%</w:t>
            </w:r>
          </w:p>
        </w:tc>
        <w:tc>
          <w:tcPr>
            <w:tcW w:w="1198" w:type="dxa"/>
            <w:hideMark/>
          </w:tcPr>
          <w:p w14:paraId="7E032352" w14:textId="77777777" w:rsidR="004E24F2" w:rsidRPr="008A08FD" w:rsidRDefault="004E24F2" w:rsidP="008A08FD">
            <w:pPr>
              <w:pStyle w:val="DHHStabletext"/>
            </w:pPr>
            <w:r w:rsidRPr="008A08FD">
              <w:t>3.5%</w:t>
            </w:r>
          </w:p>
        </w:tc>
      </w:tr>
      <w:tr w:rsidR="004E24F2" w14:paraId="5621AF91" w14:textId="77777777" w:rsidTr="003F7650">
        <w:trPr>
          <w:trHeight w:val="330"/>
        </w:trPr>
        <w:tc>
          <w:tcPr>
            <w:tcW w:w="3203" w:type="dxa"/>
            <w:vMerge/>
            <w:vAlign w:val="center"/>
            <w:hideMark/>
          </w:tcPr>
          <w:p w14:paraId="110A7318" w14:textId="77777777" w:rsidR="004E24F2" w:rsidRPr="008A08FD" w:rsidRDefault="004E24F2" w:rsidP="008A08FD">
            <w:pPr>
              <w:pStyle w:val="DHHStabletext"/>
              <w:rPr>
                <w:rFonts w:eastAsia="Trebuchet MS"/>
              </w:rPr>
            </w:pPr>
          </w:p>
        </w:tc>
        <w:tc>
          <w:tcPr>
            <w:tcW w:w="3047" w:type="dxa"/>
            <w:hideMark/>
          </w:tcPr>
          <w:p w14:paraId="58EE209B" w14:textId="77777777" w:rsidR="004E24F2" w:rsidRPr="008A08FD" w:rsidRDefault="004E24F2" w:rsidP="008A08FD">
            <w:pPr>
              <w:pStyle w:val="DHHStabletext"/>
            </w:pPr>
            <w:r w:rsidRPr="008A08FD">
              <w:t>Organic disorders</w:t>
            </w:r>
          </w:p>
        </w:tc>
        <w:tc>
          <w:tcPr>
            <w:tcW w:w="1244" w:type="dxa"/>
            <w:hideMark/>
          </w:tcPr>
          <w:p w14:paraId="4265BFB0" w14:textId="77777777" w:rsidR="004E24F2" w:rsidRPr="008A08FD" w:rsidRDefault="004E24F2" w:rsidP="008A08FD">
            <w:pPr>
              <w:pStyle w:val="DHHStabletext"/>
            </w:pPr>
            <w:r w:rsidRPr="008A08FD">
              <w:t>3.4%</w:t>
            </w:r>
          </w:p>
        </w:tc>
        <w:tc>
          <w:tcPr>
            <w:tcW w:w="1244" w:type="dxa"/>
            <w:hideMark/>
          </w:tcPr>
          <w:p w14:paraId="5477938F" w14:textId="77777777" w:rsidR="004E24F2" w:rsidRPr="008A08FD" w:rsidRDefault="004E24F2" w:rsidP="008A08FD">
            <w:pPr>
              <w:pStyle w:val="DHHStabletext"/>
            </w:pPr>
            <w:r w:rsidRPr="008A08FD">
              <w:t>3.0%</w:t>
            </w:r>
          </w:p>
        </w:tc>
        <w:tc>
          <w:tcPr>
            <w:tcW w:w="1198" w:type="dxa"/>
            <w:hideMark/>
          </w:tcPr>
          <w:p w14:paraId="0A64BFE0" w14:textId="77777777" w:rsidR="004E24F2" w:rsidRPr="008A08FD" w:rsidRDefault="004E24F2" w:rsidP="008A08FD">
            <w:pPr>
              <w:pStyle w:val="DHHStabletext"/>
            </w:pPr>
            <w:r w:rsidRPr="008A08FD">
              <w:t>2.6%</w:t>
            </w:r>
          </w:p>
        </w:tc>
      </w:tr>
      <w:tr w:rsidR="004E24F2" w14:paraId="57D0AB3D" w14:textId="77777777" w:rsidTr="003F7650">
        <w:trPr>
          <w:trHeight w:val="568"/>
        </w:trPr>
        <w:tc>
          <w:tcPr>
            <w:tcW w:w="3203" w:type="dxa"/>
            <w:vMerge/>
            <w:vAlign w:val="center"/>
            <w:hideMark/>
          </w:tcPr>
          <w:p w14:paraId="65593A8B" w14:textId="77777777" w:rsidR="004E24F2" w:rsidRPr="008A08FD" w:rsidRDefault="004E24F2" w:rsidP="008A08FD">
            <w:pPr>
              <w:pStyle w:val="DHHStabletext"/>
              <w:rPr>
                <w:rFonts w:eastAsia="Trebuchet MS"/>
              </w:rPr>
            </w:pPr>
          </w:p>
        </w:tc>
        <w:tc>
          <w:tcPr>
            <w:tcW w:w="3047" w:type="dxa"/>
            <w:hideMark/>
          </w:tcPr>
          <w:p w14:paraId="345A17BE" w14:textId="7E3D8119" w:rsidR="004E24F2" w:rsidRPr="008A08FD" w:rsidRDefault="004E24F2" w:rsidP="008A08FD">
            <w:pPr>
              <w:pStyle w:val="DHHStabletext"/>
            </w:pPr>
            <w:r w:rsidRPr="008A08FD">
              <w:t>Disorders of childhood and</w:t>
            </w:r>
            <w:r w:rsidR="008A08FD">
              <w:t xml:space="preserve"> </w:t>
            </w:r>
            <w:r w:rsidRPr="008A08FD">
              <w:t>adolescence</w:t>
            </w:r>
          </w:p>
        </w:tc>
        <w:tc>
          <w:tcPr>
            <w:tcW w:w="1244" w:type="dxa"/>
            <w:hideMark/>
          </w:tcPr>
          <w:p w14:paraId="7F4DB4AD" w14:textId="77777777" w:rsidR="004E24F2" w:rsidRPr="008A08FD" w:rsidRDefault="004E24F2" w:rsidP="008A08FD">
            <w:pPr>
              <w:pStyle w:val="DHHStabletext"/>
            </w:pPr>
            <w:r w:rsidRPr="008A08FD">
              <w:t>1.8%</w:t>
            </w:r>
          </w:p>
        </w:tc>
        <w:tc>
          <w:tcPr>
            <w:tcW w:w="1244" w:type="dxa"/>
            <w:hideMark/>
          </w:tcPr>
          <w:p w14:paraId="63195D30" w14:textId="77777777" w:rsidR="004E24F2" w:rsidRPr="008A08FD" w:rsidRDefault="004E24F2" w:rsidP="008A08FD">
            <w:pPr>
              <w:pStyle w:val="DHHStabletext"/>
            </w:pPr>
            <w:r w:rsidRPr="008A08FD">
              <w:t>1.9%</w:t>
            </w:r>
          </w:p>
        </w:tc>
        <w:tc>
          <w:tcPr>
            <w:tcW w:w="1198" w:type="dxa"/>
            <w:hideMark/>
          </w:tcPr>
          <w:p w14:paraId="5F18DC84" w14:textId="77777777" w:rsidR="004E24F2" w:rsidRPr="008A08FD" w:rsidRDefault="004E24F2" w:rsidP="008A08FD">
            <w:pPr>
              <w:pStyle w:val="DHHStabletext"/>
            </w:pPr>
            <w:r w:rsidRPr="008A08FD">
              <w:t>1.9%</w:t>
            </w:r>
          </w:p>
        </w:tc>
      </w:tr>
      <w:tr w:rsidR="004E24F2" w14:paraId="1A562DEC" w14:textId="77777777" w:rsidTr="003F7650">
        <w:trPr>
          <w:trHeight w:val="327"/>
        </w:trPr>
        <w:tc>
          <w:tcPr>
            <w:tcW w:w="3203" w:type="dxa"/>
            <w:vMerge/>
            <w:vAlign w:val="center"/>
            <w:hideMark/>
          </w:tcPr>
          <w:p w14:paraId="7B462397" w14:textId="77777777" w:rsidR="004E24F2" w:rsidRPr="008A08FD" w:rsidRDefault="004E24F2" w:rsidP="008A08FD">
            <w:pPr>
              <w:pStyle w:val="DHHStabletext"/>
              <w:rPr>
                <w:rFonts w:eastAsia="Trebuchet MS"/>
              </w:rPr>
            </w:pPr>
          </w:p>
        </w:tc>
        <w:tc>
          <w:tcPr>
            <w:tcW w:w="3047" w:type="dxa"/>
            <w:hideMark/>
          </w:tcPr>
          <w:p w14:paraId="4CD04F4A" w14:textId="77777777" w:rsidR="004E24F2" w:rsidRPr="008A08FD" w:rsidRDefault="004E24F2" w:rsidP="008A08FD">
            <w:pPr>
              <w:pStyle w:val="DHHStabletext"/>
            </w:pPr>
            <w:r w:rsidRPr="008A08FD">
              <w:t>Eating disorders</w:t>
            </w:r>
          </w:p>
        </w:tc>
        <w:tc>
          <w:tcPr>
            <w:tcW w:w="1244" w:type="dxa"/>
            <w:hideMark/>
          </w:tcPr>
          <w:p w14:paraId="6E7EB866" w14:textId="77777777" w:rsidR="004E24F2" w:rsidRPr="008A08FD" w:rsidRDefault="004E24F2" w:rsidP="008A08FD">
            <w:pPr>
              <w:pStyle w:val="DHHStabletext"/>
            </w:pPr>
            <w:r w:rsidRPr="008A08FD">
              <w:t>1.4%</w:t>
            </w:r>
          </w:p>
        </w:tc>
        <w:tc>
          <w:tcPr>
            <w:tcW w:w="1244" w:type="dxa"/>
            <w:hideMark/>
          </w:tcPr>
          <w:p w14:paraId="0E751E30" w14:textId="77777777" w:rsidR="004E24F2" w:rsidRPr="008A08FD" w:rsidRDefault="004E24F2" w:rsidP="008A08FD">
            <w:pPr>
              <w:pStyle w:val="DHHStabletext"/>
            </w:pPr>
            <w:r w:rsidRPr="008A08FD">
              <w:t>1.5%</w:t>
            </w:r>
          </w:p>
        </w:tc>
        <w:tc>
          <w:tcPr>
            <w:tcW w:w="1198" w:type="dxa"/>
            <w:hideMark/>
          </w:tcPr>
          <w:p w14:paraId="3E13D81A" w14:textId="77777777" w:rsidR="004E24F2" w:rsidRPr="008A08FD" w:rsidRDefault="004E24F2" w:rsidP="008A08FD">
            <w:pPr>
              <w:pStyle w:val="DHHStabletext"/>
            </w:pPr>
            <w:r w:rsidRPr="008A08FD">
              <w:t>1.5%</w:t>
            </w:r>
          </w:p>
        </w:tc>
      </w:tr>
      <w:tr w:rsidR="004E24F2" w14:paraId="503CDDF3" w14:textId="77777777" w:rsidTr="003F7650">
        <w:trPr>
          <w:trHeight w:val="563"/>
        </w:trPr>
        <w:tc>
          <w:tcPr>
            <w:tcW w:w="3203" w:type="dxa"/>
            <w:vMerge/>
            <w:vAlign w:val="center"/>
            <w:hideMark/>
          </w:tcPr>
          <w:p w14:paraId="772C6D5B" w14:textId="77777777" w:rsidR="004E24F2" w:rsidRPr="008A08FD" w:rsidRDefault="004E24F2" w:rsidP="008A08FD">
            <w:pPr>
              <w:pStyle w:val="DHHStabletext"/>
              <w:rPr>
                <w:rFonts w:eastAsia="Trebuchet MS"/>
              </w:rPr>
            </w:pPr>
          </w:p>
        </w:tc>
        <w:tc>
          <w:tcPr>
            <w:tcW w:w="3047" w:type="dxa"/>
            <w:hideMark/>
          </w:tcPr>
          <w:p w14:paraId="15F52EAF" w14:textId="3372DE3B" w:rsidR="004E24F2" w:rsidRPr="008A08FD" w:rsidRDefault="004E24F2" w:rsidP="008A08FD">
            <w:pPr>
              <w:pStyle w:val="DHHStabletext"/>
            </w:pPr>
            <w:r w:rsidRPr="008A08FD">
              <w:t>Disorders of psychological</w:t>
            </w:r>
            <w:r w:rsidR="008A08FD">
              <w:t xml:space="preserve"> </w:t>
            </w:r>
            <w:r w:rsidRPr="008A08FD">
              <w:t>development</w:t>
            </w:r>
          </w:p>
        </w:tc>
        <w:tc>
          <w:tcPr>
            <w:tcW w:w="1244" w:type="dxa"/>
            <w:hideMark/>
          </w:tcPr>
          <w:p w14:paraId="7A0CA73E" w14:textId="77777777" w:rsidR="004E24F2" w:rsidRPr="008A08FD" w:rsidRDefault="004E24F2" w:rsidP="008A08FD">
            <w:pPr>
              <w:pStyle w:val="DHHStabletext"/>
            </w:pPr>
            <w:r w:rsidRPr="008A08FD">
              <w:t>1.4%</w:t>
            </w:r>
          </w:p>
        </w:tc>
        <w:tc>
          <w:tcPr>
            <w:tcW w:w="1244" w:type="dxa"/>
            <w:hideMark/>
          </w:tcPr>
          <w:p w14:paraId="5278F427" w14:textId="77777777" w:rsidR="004E24F2" w:rsidRPr="008A08FD" w:rsidRDefault="004E24F2" w:rsidP="008A08FD">
            <w:pPr>
              <w:pStyle w:val="DHHStabletext"/>
            </w:pPr>
            <w:r w:rsidRPr="008A08FD">
              <w:t>1.6%</w:t>
            </w:r>
          </w:p>
        </w:tc>
        <w:tc>
          <w:tcPr>
            <w:tcW w:w="1198" w:type="dxa"/>
            <w:hideMark/>
          </w:tcPr>
          <w:p w14:paraId="053B551D" w14:textId="77777777" w:rsidR="004E24F2" w:rsidRPr="008A08FD" w:rsidRDefault="004E24F2" w:rsidP="008A08FD">
            <w:pPr>
              <w:pStyle w:val="DHHStabletext"/>
            </w:pPr>
            <w:r w:rsidRPr="008A08FD">
              <w:t>1.8%</w:t>
            </w:r>
          </w:p>
        </w:tc>
      </w:tr>
      <w:tr w:rsidR="004E24F2" w14:paraId="659CBE7E" w14:textId="77777777" w:rsidTr="003F7650">
        <w:trPr>
          <w:trHeight w:val="327"/>
        </w:trPr>
        <w:tc>
          <w:tcPr>
            <w:tcW w:w="3203" w:type="dxa"/>
            <w:vMerge/>
            <w:vAlign w:val="center"/>
            <w:hideMark/>
          </w:tcPr>
          <w:p w14:paraId="4A1B97C2" w14:textId="77777777" w:rsidR="004E24F2" w:rsidRPr="008A08FD" w:rsidRDefault="004E24F2" w:rsidP="008A08FD">
            <w:pPr>
              <w:pStyle w:val="DHHStabletext"/>
              <w:rPr>
                <w:rFonts w:eastAsia="Trebuchet MS"/>
              </w:rPr>
            </w:pPr>
          </w:p>
        </w:tc>
        <w:tc>
          <w:tcPr>
            <w:tcW w:w="3047" w:type="dxa"/>
            <w:hideMark/>
          </w:tcPr>
          <w:p w14:paraId="1F99B735" w14:textId="77777777" w:rsidR="004E24F2" w:rsidRPr="008A08FD" w:rsidRDefault="004E24F2" w:rsidP="008A08FD">
            <w:pPr>
              <w:pStyle w:val="DHHStabletext"/>
            </w:pPr>
            <w:r w:rsidRPr="008A08FD">
              <w:t>Other</w:t>
            </w:r>
          </w:p>
        </w:tc>
        <w:tc>
          <w:tcPr>
            <w:tcW w:w="1244" w:type="dxa"/>
            <w:hideMark/>
          </w:tcPr>
          <w:p w14:paraId="67163BE7" w14:textId="77777777" w:rsidR="004E24F2" w:rsidRPr="008A08FD" w:rsidRDefault="004E24F2" w:rsidP="008A08FD">
            <w:pPr>
              <w:pStyle w:val="DHHStabletext"/>
            </w:pPr>
            <w:r w:rsidRPr="008A08FD">
              <w:t>1.0%</w:t>
            </w:r>
          </w:p>
        </w:tc>
        <w:tc>
          <w:tcPr>
            <w:tcW w:w="1244" w:type="dxa"/>
            <w:hideMark/>
          </w:tcPr>
          <w:p w14:paraId="5B04E9FA" w14:textId="77777777" w:rsidR="004E24F2" w:rsidRPr="008A08FD" w:rsidRDefault="004E24F2" w:rsidP="008A08FD">
            <w:pPr>
              <w:pStyle w:val="DHHStabletext"/>
            </w:pPr>
            <w:r w:rsidRPr="008A08FD">
              <w:t>1.1%</w:t>
            </w:r>
          </w:p>
        </w:tc>
        <w:tc>
          <w:tcPr>
            <w:tcW w:w="1198" w:type="dxa"/>
            <w:hideMark/>
          </w:tcPr>
          <w:p w14:paraId="66910C96" w14:textId="77777777" w:rsidR="004E24F2" w:rsidRPr="008A08FD" w:rsidRDefault="004E24F2" w:rsidP="008A08FD">
            <w:pPr>
              <w:pStyle w:val="DHHStabletext"/>
            </w:pPr>
            <w:r w:rsidRPr="008A08FD">
              <w:t>1.0%</w:t>
            </w:r>
          </w:p>
        </w:tc>
      </w:tr>
      <w:tr w:rsidR="004E24F2" w14:paraId="2DDA43F1" w14:textId="77777777" w:rsidTr="003F7650">
        <w:trPr>
          <w:trHeight w:val="568"/>
        </w:trPr>
        <w:tc>
          <w:tcPr>
            <w:tcW w:w="3203" w:type="dxa"/>
            <w:vMerge/>
            <w:vAlign w:val="center"/>
            <w:hideMark/>
          </w:tcPr>
          <w:p w14:paraId="4944C61C" w14:textId="77777777" w:rsidR="004E24F2" w:rsidRPr="008A08FD" w:rsidRDefault="004E24F2" w:rsidP="008A08FD">
            <w:pPr>
              <w:pStyle w:val="DHHStabletext"/>
              <w:rPr>
                <w:rFonts w:eastAsia="Trebuchet MS"/>
              </w:rPr>
            </w:pPr>
          </w:p>
        </w:tc>
        <w:tc>
          <w:tcPr>
            <w:tcW w:w="3047" w:type="dxa"/>
            <w:hideMark/>
          </w:tcPr>
          <w:p w14:paraId="7D654B94" w14:textId="7E77940E" w:rsidR="004E24F2" w:rsidRPr="008A08FD" w:rsidRDefault="004E24F2" w:rsidP="008A08FD">
            <w:pPr>
              <w:pStyle w:val="DHHStabletext"/>
            </w:pPr>
            <w:r w:rsidRPr="008A08FD">
              <w:t>Obsessive compulsive</w:t>
            </w:r>
            <w:r w:rsidR="008A08FD">
              <w:t xml:space="preserve"> </w:t>
            </w:r>
            <w:r w:rsidRPr="008A08FD">
              <w:t>disorders</w:t>
            </w:r>
          </w:p>
        </w:tc>
        <w:tc>
          <w:tcPr>
            <w:tcW w:w="1244" w:type="dxa"/>
            <w:hideMark/>
          </w:tcPr>
          <w:p w14:paraId="321177E9" w14:textId="77777777" w:rsidR="004E24F2" w:rsidRPr="008A08FD" w:rsidRDefault="004E24F2" w:rsidP="008A08FD">
            <w:pPr>
              <w:pStyle w:val="DHHStabletext"/>
            </w:pPr>
            <w:r w:rsidRPr="008A08FD">
              <w:t>0.5%</w:t>
            </w:r>
          </w:p>
        </w:tc>
        <w:tc>
          <w:tcPr>
            <w:tcW w:w="1244" w:type="dxa"/>
            <w:hideMark/>
          </w:tcPr>
          <w:p w14:paraId="6331E4F5" w14:textId="77777777" w:rsidR="004E24F2" w:rsidRPr="008A08FD" w:rsidRDefault="004E24F2" w:rsidP="008A08FD">
            <w:pPr>
              <w:pStyle w:val="DHHStabletext"/>
            </w:pPr>
            <w:r w:rsidRPr="008A08FD">
              <w:t>0.5%</w:t>
            </w:r>
          </w:p>
        </w:tc>
        <w:tc>
          <w:tcPr>
            <w:tcW w:w="1198" w:type="dxa"/>
            <w:hideMark/>
          </w:tcPr>
          <w:p w14:paraId="0C297781" w14:textId="77777777" w:rsidR="004E24F2" w:rsidRPr="008A08FD" w:rsidRDefault="004E24F2" w:rsidP="008A08FD">
            <w:pPr>
              <w:pStyle w:val="DHHStabletext"/>
            </w:pPr>
            <w:r w:rsidRPr="008A08FD">
              <w:t>0.5%</w:t>
            </w:r>
          </w:p>
        </w:tc>
      </w:tr>
      <w:tr w:rsidR="004E24F2" w14:paraId="25B62CDA" w14:textId="77777777" w:rsidTr="003F7650">
        <w:trPr>
          <w:trHeight w:val="330"/>
        </w:trPr>
        <w:tc>
          <w:tcPr>
            <w:tcW w:w="3203" w:type="dxa"/>
            <w:vMerge/>
            <w:vAlign w:val="center"/>
            <w:hideMark/>
          </w:tcPr>
          <w:p w14:paraId="296D313F" w14:textId="77777777" w:rsidR="004E24F2" w:rsidRPr="008A08FD" w:rsidRDefault="004E24F2" w:rsidP="008A08FD">
            <w:pPr>
              <w:pStyle w:val="DHHStabletext"/>
              <w:rPr>
                <w:rFonts w:eastAsia="Trebuchet MS"/>
              </w:rPr>
            </w:pPr>
          </w:p>
        </w:tc>
        <w:tc>
          <w:tcPr>
            <w:tcW w:w="3047" w:type="dxa"/>
            <w:hideMark/>
          </w:tcPr>
          <w:p w14:paraId="5D06F64E" w14:textId="77777777" w:rsidR="004E24F2" w:rsidRPr="008A08FD" w:rsidRDefault="004E24F2" w:rsidP="008A08FD">
            <w:pPr>
              <w:pStyle w:val="DHHStabletext"/>
            </w:pPr>
            <w:r w:rsidRPr="008A08FD">
              <w:t>Unknown</w:t>
            </w:r>
          </w:p>
        </w:tc>
        <w:tc>
          <w:tcPr>
            <w:tcW w:w="1244" w:type="dxa"/>
            <w:hideMark/>
          </w:tcPr>
          <w:p w14:paraId="6F2405EB" w14:textId="77777777" w:rsidR="004E24F2" w:rsidRPr="008A08FD" w:rsidRDefault="004E24F2" w:rsidP="008A08FD">
            <w:pPr>
              <w:pStyle w:val="DHHStabletext"/>
            </w:pPr>
            <w:r w:rsidRPr="008A08FD">
              <w:t>25.6%</w:t>
            </w:r>
          </w:p>
        </w:tc>
        <w:tc>
          <w:tcPr>
            <w:tcW w:w="1244" w:type="dxa"/>
            <w:hideMark/>
          </w:tcPr>
          <w:p w14:paraId="540404AD" w14:textId="77777777" w:rsidR="004E24F2" w:rsidRPr="008A08FD" w:rsidRDefault="004E24F2" w:rsidP="008A08FD">
            <w:pPr>
              <w:pStyle w:val="DHHStabletext"/>
            </w:pPr>
            <w:r w:rsidRPr="008A08FD">
              <w:t>24.1%</w:t>
            </w:r>
          </w:p>
        </w:tc>
        <w:tc>
          <w:tcPr>
            <w:tcW w:w="1198" w:type="dxa"/>
            <w:hideMark/>
          </w:tcPr>
          <w:p w14:paraId="393447E0" w14:textId="77777777" w:rsidR="004E24F2" w:rsidRPr="008A08FD" w:rsidRDefault="004E24F2" w:rsidP="008A08FD">
            <w:pPr>
              <w:pStyle w:val="DHHStabletext"/>
            </w:pPr>
            <w:r w:rsidRPr="008A08FD">
              <w:t>23.7%</w:t>
            </w:r>
          </w:p>
        </w:tc>
      </w:tr>
      <w:tr w:rsidR="004E24F2" w14:paraId="4C1C304F" w14:textId="77777777" w:rsidTr="003F7650">
        <w:trPr>
          <w:trHeight w:val="327"/>
        </w:trPr>
        <w:tc>
          <w:tcPr>
            <w:tcW w:w="3203" w:type="dxa"/>
            <w:vMerge w:val="restart"/>
            <w:hideMark/>
          </w:tcPr>
          <w:p w14:paraId="58E35DD1" w14:textId="77777777" w:rsidR="004E24F2" w:rsidRPr="008A08FD" w:rsidRDefault="004E24F2" w:rsidP="008A08FD">
            <w:pPr>
              <w:pStyle w:val="DHHStabletext"/>
            </w:pPr>
            <w:r w:rsidRPr="008A08FD">
              <w:t>Referral source (newly referred clients only) (%)</w:t>
            </w:r>
          </w:p>
        </w:tc>
        <w:tc>
          <w:tcPr>
            <w:tcW w:w="3047" w:type="dxa"/>
            <w:hideMark/>
          </w:tcPr>
          <w:p w14:paraId="259304BA" w14:textId="77777777" w:rsidR="004E24F2" w:rsidRPr="008A08FD" w:rsidRDefault="004E24F2" w:rsidP="008A08FD">
            <w:pPr>
              <w:pStyle w:val="DHHStabletext"/>
            </w:pPr>
            <w:r w:rsidRPr="008A08FD">
              <w:t>Acute health</w:t>
            </w:r>
          </w:p>
        </w:tc>
        <w:tc>
          <w:tcPr>
            <w:tcW w:w="1244" w:type="dxa"/>
            <w:hideMark/>
          </w:tcPr>
          <w:p w14:paraId="14291955" w14:textId="77777777" w:rsidR="004E24F2" w:rsidRPr="008A08FD" w:rsidRDefault="004E24F2" w:rsidP="008A08FD">
            <w:pPr>
              <w:pStyle w:val="DHHStabletext"/>
            </w:pPr>
            <w:r w:rsidRPr="008A08FD">
              <w:t>20.5%</w:t>
            </w:r>
          </w:p>
        </w:tc>
        <w:tc>
          <w:tcPr>
            <w:tcW w:w="1244" w:type="dxa"/>
            <w:hideMark/>
          </w:tcPr>
          <w:p w14:paraId="07BD897B" w14:textId="77777777" w:rsidR="004E24F2" w:rsidRPr="008A08FD" w:rsidRDefault="004E24F2" w:rsidP="008A08FD">
            <w:pPr>
              <w:pStyle w:val="DHHStabletext"/>
            </w:pPr>
            <w:r w:rsidRPr="008A08FD">
              <w:t>20.5%</w:t>
            </w:r>
          </w:p>
        </w:tc>
        <w:tc>
          <w:tcPr>
            <w:tcW w:w="1198" w:type="dxa"/>
            <w:hideMark/>
          </w:tcPr>
          <w:p w14:paraId="0D4FDE9F" w14:textId="77777777" w:rsidR="004E24F2" w:rsidRPr="008A08FD" w:rsidRDefault="004E24F2" w:rsidP="008A08FD">
            <w:pPr>
              <w:pStyle w:val="DHHStabletext"/>
            </w:pPr>
            <w:r w:rsidRPr="008A08FD">
              <w:t>21.5%</w:t>
            </w:r>
          </w:p>
        </w:tc>
      </w:tr>
      <w:tr w:rsidR="004E24F2" w14:paraId="5B18DE22" w14:textId="77777777" w:rsidTr="003F7650">
        <w:trPr>
          <w:trHeight w:val="325"/>
        </w:trPr>
        <w:tc>
          <w:tcPr>
            <w:tcW w:w="3203" w:type="dxa"/>
            <w:vMerge/>
            <w:vAlign w:val="center"/>
            <w:hideMark/>
          </w:tcPr>
          <w:p w14:paraId="70762987" w14:textId="77777777" w:rsidR="004E24F2" w:rsidRPr="008A08FD" w:rsidRDefault="004E24F2" w:rsidP="008A08FD">
            <w:pPr>
              <w:pStyle w:val="DHHStabletext"/>
              <w:rPr>
                <w:rFonts w:eastAsia="Trebuchet MS"/>
              </w:rPr>
            </w:pPr>
          </w:p>
        </w:tc>
        <w:tc>
          <w:tcPr>
            <w:tcW w:w="3047" w:type="dxa"/>
            <w:hideMark/>
          </w:tcPr>
          <w:p w14:paraId="0024104A" w14:textId="77777777" w:rsidR="004E24F2" w:rsidRPr="008A08FD" w:rsidRDefault="004E24F2" w:rsidP="008A08FD">
            <w:pPr>
              <w:pStyle w:val="DHHStabletext"/>
            </w:pPr>
            <w:r w:rsidRPr="008A08FD">
              <w:t>Emergency department</w:t>
            </w:r>
          </w:p>
        </w:tc>
        <w:tc>
          <w:tcPr>
            <w:tcW w:w="1244" w:type="dxa"/>
            <w:hideMark/>
          </w:tcPr>
          <w:p w14:paraId="02919E42" w14:textId="77777777" w:rsidR="004E24F2" w:rsidRPr="008A08FD" w:rsidRDefault="004E24F2" w:rsidP="008A08FD">
            <w:pPr>
              <w:pStyle w:val="DHHStabletext"/>
            </w:pPr>
            <w:r w:rsidRPr="008A08FD">
              <w:t>20.2%</w:t>
            </w:r>
          </w:p>
        </w:tc>
        <w:tc>
          <w:tcPr>
            <w:tcW w:w="1244" w:type="dxa"/>
            <w:hideMark/>
          </w:tcPr>
          <w:p w14:paraId="2771065F" w14:textId="77777777" w:rsidR="004E24F2" w:rsidRPr="008A08FD" w:rsidRDefault="004E24F2" w:rsidP="008A08FD">
            <w:pPr>
              <w:pStyle w:val="DHHStabletext"/>
            </w:pPr>
            <w:r w:rsidRPr="008A08FD">
              <w:t>21.2%</w:t>
            </w:r>
          </w:p>
        </w:tc>
        <w:tc>
          <w:tcPr>
            <w:tcW w:w="1198" w:type="dxa"/>
            <w:hideMark/>
          </w:tcPr>
          <w:p w14:paraId="360E3BCC" w14:textId="77777777" w:rsidR="004E24F2" w:rsidRPr="008A08FD" w:rsidRDefault="004E24F2" w:rsidP="008A08FD">
            <w:pPr>
              <w:pStyle w:val="DHHStabletext"/>
            </w:pPr>
            <w:r w:rsidRPr="008A08FD">
              <w:t>21.8%</w:t>
            </w:r>
          </w:p>
        </w:tc>
      </w:tr>
      <w:tr w:rsidR="004E24F2" w14:paraId="72267F08" w14:textId="77777777" w:rsidTr="003F7650">
        <w:trPr>
          <w:trHeight w:val="325"/>
        </w:trPr>
        <w:tc>
          <w:tcPr>
            <w:tcW w:w="3203" w:type="dxa"/>
            <w:vMerge/>
            <w:vAlign w:val="center"/>
            <w:hideMark/>
          </w:tcPr>
          <w:p w14:paraId="640E986A" w14:textId="77777777" w:rsidR="004E24F2" w:rsidRPr="008A08FD" w:rsidRDefault="004E24F2" w:rsidP="008A08FD">
            <w:pPr>
              <w:pStyle w:val="DHHStabletext"/>
              <w:rPr>
                <w:rFonts w:eastAsia="Trebuchet MS"/>
              </w:rPr>
            </w:pPr>
          </w:p>
        </w:tc>
        <w:tc>
          <w:tcPr>
            <w:tcW w:w="3047" w:type="dxa"/>
            <w:hideMark/>
          </w:tcPr>
          <w:p w14:paraId="1EFA0116" w14:textId="77777777" w:rsidR="004E24F2" w:rsidRPr="008A08FD" w:rsidRDefault="004E24F2" w:rsidP="008A08FD">
            <w:pPr>
              <w:pStyle w:val="DHHStabletext"/>
            </w:pPr>
            <w:r w:rsidRPr="008A08FD">
              <w:t>General Practitioner</w:t>
            </w:r>
          </w:p>
        </w:tc>
        <w:tc>
          <w:tcPr>
            <w:tcW w:w="1244" w:type="dxa"/>
            <w:hideMark/>
          </w:tcPr>
          <w:p w14:paraId="78087604" w14:textId="77777777" w:rsidR="004E24F2" w:rsidRPr="008A08FD" w:rsidRDefault="004E24F2" w:rsidP="008A08FD">
            <w:pPr>
              <w:pStyle w:val="DHHStabletext"/>
            </w:pPr>
            <w:r w:rsidRPr="008A08FD">
              <w:t>13.6%</w:t>
            </w:r>
          </w:p>
        </w:tc>
        <w:tc>
          <w:tcPr>
            <w:tcW w:w="1244" w:type="dxa"/>
            <w:hideMark/>
          </w:tcPr>
          <w:p w14:paraId="77A46D2A" w14:textId="77777777" w:rsidR="004E24F2" w:rsidRPr="008A08FD" w:rsidRDefault="004E24F2" w:rsidP="008A08FD">
            <w:pPr>
              <w:pStyle w:val="DHHStabletext"/>
            </w:pPr>
            <w:r w:rsidRPr="008A08FD">
              <w:t>12.6%</w:t>
            </w:r>
          </w:p>
        </w:tc>
        <w:tc>
          <w:tcPr>
            <w:tcW w:w="1198" w:type="dxa"/>
            <w:hideMark/>
          </w:tcPr>
          <w:p w14:paraId="79FCCBE1" w14:textId="77777777" w:rsidR="004E24F2" w:rsidRPr="008A08FD" w:rsidRDefault="004E24F2" w:rsidP="008A08FD">
            <w:pPr>
              <w:pStyle w:val="DHHStabletext"/>
            </w:pPr>
            <w:r w:rsidRPr="008A08FD">
              <w:t>11.7%</w:t>
            </w:r>
          </w:p>
        </w:tc>
      </w:tr>
      <w:tr w:rsidR="004E24F2" w14:paraId="2535A0BD" w14:textId="77777777" w:rsidTr="003F7650">
        <w:trPr>
          <w:trHeight w:val="325"/>
        </w:trPr>
        <w:tc>
          <w:tcPr>
            <w:tcW w:w="3203" w:type="dxa"/>
            <w:vMerge/>
            <w:vAlign w:val="center"/>
            <w:hideMark/>
          </w:tcPr>
          <w:p w14:paraId="49E43F55" w14:textId="77777777" w:rsidR="004E24F2" w:rsidRPr="008A08FD" w:rsidRDefault="004E24F2" w:rsidP="008A08FD">
            <w:pPr>
              <w:pStyle w:val="DHHStabletext"/>
              <w:rPr>
                <w:rFonts w:eastAsia="Trebuchet MS"/>
              </w:rPr>
            </w:pPr>
          </w:p>
        </w:tc>
        <w:tc>
          <w:tcPr>
            <w:tcW w:w="3047" w:type="dxa"/>
            <w:hideMark/>
          </w:tcPr>
          <w:p w14:paraId="545E693C" w14:textId="77777777" w:rsidR="004E24F2" w:rsidRPr="008A08FD" w:rsidRDefault="004E24F2" w:rsidP="008A08FD">
            <w:pPr>
              <w:pStyle w:val="DHHStabletext"/>
            </w:pPr>
            <w:r w:rsidRPr="008A08FD">
              <w:t>Family</w:t>
            </w:r>
          </w:p>
        </w:tc>
        <w:tc>
          <w:tcPr>
            <w:tcW w:w="1244" w:type="dxa"/>
            <w:hideMark/>
          </w:tcPr>
          <w:p w14:paraId="44F7F5F8" w14:textId="77777777" w:rsidR="004E24F2" w:rsidRPr="008A08FD" w:rsidRDefault="004E24F2" w:rsidP="008A08FD">
            <w:pPr>
              <w:pStyle w:val="DHHStabletext"/>
            </w:pPr>
            <w:r w:rsidRPr="008A08FD">
              <w:t>8.3%</w:t>
            </w:r>
          </w:p>
        </w:tc>
        <w:tc>
          <w:tcPr>
            <w:tcW w:w="1244" w:type="dxa"/>
            <w:hideMark/>
          </w:tcPr>
          <w:p w14:paraId="77A3F665" w14:textId="77777777" w:rsidR="004E24F2" w:rsidRPr="008A08FD" w:rsidRDefault="004E24F2" w:rsidP="008A08FD">
            <w:pPr>
              <w:pStyle w:val="DHHStabletext"/>
            </w:pPr>
            <w:r w:rsidRPr="008A08FD">
              <w:t>8.0%</w:t>
            </w:r>
          </w:p>
        </w:tc>
        <w:tc>
          <w:tcPr>
            <w:tcW w:w="1198" w:type="dxa"/>
            <w:hideMark/>
          </w:tcPr>
          <w:p w14:paraId="68306F95" w14:textId="77777777" w:rsidR="004E24F2" w:rsidRPr="008A08FD" w:rsidRDefault="004E24F2" w:rsidP="008A08FD">
            <w:pPr>
              <w:pStyle w:val="DHHStabletext"/>
            </w:pPr>
            <w:r w:rsidRPr="008A08FD">
              <w:t>8.0%</w:t>
            </w:r>
          </w:p>
        </w:tc>
      </w:tr>
      <w:tr w:rsidR="004E24F2" w14:paraId="420C61F4" w14:textId="77777777" w:rsidTr="003F7650">
        <w:trPr>
          <w:trHeight w:val="325"/>
        </w:trPr>
        <w:tc>
          <w:tcPr>
            <w:tcW w:w="3203" w:type="dxa"/>
            <w:vMerge/>
            <w:vAlign w:val="center"/>
            <w:hideMark/>
          </w:tcPr>
          <w:p w14:paraId="156444EF" w14:textId="77777777" w:rsidR="004E24F2" w:rsidRPr="008A08FD" w:rsidRDefault="004E24F2" w:rsidP="008A08FD">
            <w:pPr>
              <w:pStyle w:val="DHHStabletext"/>
              <w:rPr>
                <w:rFonts w:eastAsia="Trebuchet MS"/>
              </w:rPr>
            </w:pPr>
          </w:p>
        </w:tc>
        <w:tc>
          <w:tcPr>
            <w:tcW w:w="3047" w:type="dxa"/>
            <w:hideMark/>
          </w:tcPr>
          <w:p w14:paraId="42B5493C" w14:textId="77777777" w:rsidR="004E24F2" w:rsidRPr="008A08FD" w:rsidRDefault="004E24F2" w:rsidP="008A08FD">
            <w:pPr>
              <w:pStyle w:val="DHHStabletext"/>
            </w:pPr>
            <w:r w:rsidRPr="008A08FD">
              <w:t>Client/Self</w:t>
            </w:r>
          </w:p>
        </w:tc>
        <w:tc>
          <w:tcPr>
            <w:tcW w:w="1244" w:type="dxa"/>
            <w:hideMark/>
          </w:tcPr>
          <w:p w14:paraId="3FC7566B" w14:textId="77777777" w:rsidR="004E24F2" w:rsidRPr="008A08FD" w:rsidRDefault="004E24F2" w:rsidP="008A08FD">
            <w:pPr>
              <w:pStyle w:val="DHHStabletext"/>
            </w:pPr>
            <w:r w:rsidRPr="008A08FD">
              <w:t>4.8%</w:t>
            </w:r>
          </w:p>
        </w:tc>
        <w:tc>
          <w:tcPr>
            <w:tcW w:w="1244" w:type="dxa"/>
            <w:hideMark/>
          </w:tcPr>
          <w:p w14:paraId="5D4B159F" w14:textId="77777777" w:rsidR="004E24F2" w:rsidRPr="008A08FD" w:rsidRDefault="004E24F2" w:rsidP="008A08FD">
            <w:pPr>
              <w:pStyle w:val="DHHStabletext"/>
            </w:pPr>
            <w:r w:rsidRPr="008A08FD">
              <w:t>4.6%</w:t>
            </w:r>
          </w:p>
        </w:tc>
        <w:tc>
          <w:tcPr>
            <w:tcW w:w="1198" w:type="dxa"/>
            <w:hideMark/>
          </w:tcPr>
          <w:p w14:paraId="24894AEE" w14:textId="77777777" w:rsidR="004E24F2" w:rsidRPr="008A08FD" w:rsidRDefault="004E24F2" w:rsidP="008A08FD">
            <w:pPr>
              <w:pStyle w:val="DHHStabletext"/>
            </w:pPr>
            <w:r w:rsidRPr="008A08FD">
              <w:t>4.6%</w:t>
            </w:r>
          </w:p>
        </w:tc>
      </w:tr>
      <w:tr w:rsidR="004E24F2" w14:paraId="54C71CC0" w14:textId="77777777" w:rsidTr="003F7650">
        <w:trPr>
          <w:trHeight w:val="325"/>
        </w:trPr>
        <w:tc>
          <w:tcPr>
            <w:tcW w:w="3203" w:type="dxa"/>
            <w:vMerge/>
            <w:vAlign w:val="center"/>
            <w:hideMark/>
          </w:tcPr>
          <w:p w14:paraId="7016B125" w14:textId="77777777" w:rsidR="004E24F2" w:rsidRPr="008A08FD" w:rsidRDefault="004E24F2" w:rsidP="008A08FD">
            <w:pPr>
              <w:pStyle w:val="DHHStabletext"/>
              <w:rPr>
                <w:rFonts w:eastAsia="Trebuchet MS"/>
              </w:rPr>
            </w:pPr>
          </w:p>
        </w:tc>
        <w:tc>
          <w:tcPr>
            <w:tcW w:w="3047" w:type="dxa"/>
            <w:hideMark/>
          </w:tcPr>
          <w:p w14:paraId="3196BAAC" w14:textId="77777777" w:rsidR="004E24F2" w:rsidRPr="008A08FD" w:rsidRDefault="004E24F2" w:rsidP="008A08FD">
            <w:pPr>
              <w:pStyle w:val="DHHStabletext"/>
            </w:pPr>
            <w:r w:rsidRPr="008A08FD">
              <w:t>Community Health Services</w:t>
            </w:r>
          </w:p>
        </w:tc>
        <w:tc>
          <w:tcPr>
            <w:tcW w:w="1244" w:type="dxa"/>
            <w:hideMark/>
          </w:tcPr>
          <w:p w14:paraId="7E84376A" w14:textId="77777777" w:rsidR="004E24F2" w:rsidRPr="008A08FD" w:rsidRDefault="004E24F2" w:rsidP="008A08FD">
            <w:pPr>
              <w:pStyle w:val="DHHStabletext"/>
            </w:pPr>
            <w:r w:rsidRPr="008A08FD">
              <w:t>4.7%</w:t>
            </w:r>
          </w:p>
        </w:tc>
        <w:tc>
          <w:tcPr>
            <w:tcW w:w="1244" w:type="dxa"/>
            <w:hideMark/>
          </w:tcPr>
          <w:p w14:paraId="314EE308" w14:textId="77777777" w:rsidR="004E24F2" w:rsidRPr="008A08FD" w:rsidRDefault="004E24F2" w:rsidP="008A08FD">
            <w:pPr>
              <w:pStyle w:val="DHHStabletext"/>
            </w:pPr>
            <w:r w:rsidRPr="008A08FD">
              <w:t>4.7%</w:t>
            </w:r>
          </w:p>
        </w:tc>
        <w:tc>
          <w:tcPr>
            <w:tcW w:w="1198" w:type="dxa"/>
            <w:hideMark/>
          </w:tcPr>
          <w:p w14:paraId="3A6877C2" w14:textId="77777777" w:rsidR="004E24F2" w:rsidRPr="008A08FD" w:rsidRDefault="004E24F2" w:rsidP="008A08FD">
            <w:pPr>
              <w:pStyle w:val="DHHStabletext"/>
            </w:pPr>
            <w:r w:rsidRPr="008A08FD">
              <w:t>4.6%</w:t>
            </w:r>
          </w:p>
        </w:tc>
      </w:tr>
      <w:tr w:rsidR="004E24F2" w14:paraId="71E49931" w14:textId="77777777" w:rsidTr="003F7650">
        <w:trPr>
          <w:trHeight w:val="325"/>
        </w:trPr>
        <w:tc>
          <w:tcPr>
            <w:tcW w:w="3203" w:type="dxa"/>
            <w:vMerge/>
            <w:vAlign w:val="center"/>
            <w:hideMark/>
          </w:tcPr>
          <w:p w14:paraId="75A6D254" w14:textId="77777777" w:rsidR="004E24F2" w:rsidRPr="008A08FD" w:rsidRDefault="004E24F2" w:rsidP="008A08FD">
            <w:pPr>
              <w:pStyle w:val="DHHStabletext"/>
              <w:rPr>
                <w:rFonts w:eastAsia="Trebuchet MS"/>
              </w:rPr>
            </w:pPr>
          </w:p>
        </w:tc>
        <w:tc>
          <w:tcPr>
            <w:tcW w:w="3047" w:type="dxa"/>
            <w:hideMark/>
          </w:tcPr>
          <w:p w14:paraId="1BDFE5E4" w14:textId="77777777" w:rsidR="004E24F2" w:rsidRPr="008A08FD" w:rsidRDefault="004E24F2" w:rsidP="008A08FD">
            <w:pPr>
              <w:pStyle w:val="DHHStabletext"/>
            </w:pPr>
            <w:r w:rsidRPr="008A08FD">
              <w:t>Police</w:t>
            </w:r>
          </w:p>
        </w:tc>
        <w:tc>
          <w:tcPr>
            <w:tcW w:w="1244" w:type="dxa"/>
            <w:hideMark/>
          </w:tcPr>
          <w:p w14:paraId="77831B97" w14:textId="77777777" w:rsidR="004E24F2" w:rsidRPr="008A08FD" w:rsidRDefault="004E24F2" w:rsidP="008A08FD">
            <w:pPr>
              <w:pStyle w:val="DHHStabletext"/>
            </w:pPr>
            <w:r w:rsidRPr="008A08FD">
              <w:t>4.0%</w:t>
            </w:r>
          </w:p>
        </w:tc>
        <w:tc>
          <w:tcPr>
            <w:tcW w:w="1244" w:type="dxa"/>
            <w:hideMark/>
          </w:tcPr>
          <w:p w14:paraId="7BC65FCC" w14:textId="77777777" w:rsidR="004E24F2" w:rsidRPr="008A08FD" w:rsidRDefault="004E24F2" w:rsidP="008A08FD">
            <w:pPr>
              <w:pStyle w:val="DHHStabletext"/>
            </w:pPr>
            <w:r w:rsidRPr="008A08FD">
              <w:t>4.0%</w:t>
            </w:r>
          </w:p>
        </w:tc>
        <w:tc>
          <w:tcPr>
            <w:tcW w:w="1198" w:type="dxa"/>
            <w:hideMark/>
          </w:tcPr>
          <w:p w14:paraId="0455FD57" w14:textId="77777777" w:rsidR="004E24F2" w:rsidRPr="008A08FD" w:rsidRDefault="004E24F2" w:rsidP="008A08FD">
            <w:pPr>
              <w:pStyle w:val="DHHStabletext"/>
            </w:pPr>
            <w:r w:rsidRPr="008A08FD">
              <w:t>3.6%</w:t>
            </w:r>
          </w:p>
        </w:tc>
      </w:tr>
      <w:tr w:rsidR="004E24F2" w14:paraId="7251E477" w14:textId="77777777" w:rsidTr="003F7650">
        <w:trPr>
          <w:trHeight w:val="325"/>
        </w:trPr>
        <w:tc>
          <w:tcPr>
            <w:tcW w:w="3203" w:type="dxa"/>
            <w:vMerge/>
            <w:vAlign w:val="center"/>
            <w:hideMark/>
          </w:tcPr>
          <w:p w14:paraId="69D5DB8B" w14:textId="77777777" w:rsidR="004E24F2" w:rsidRPr="008A08FD" w:rsidRDefault="004E24F2" w:rsidP="008A08FD">
            <w:pPr>
              <w:pStyle w:val="DHHStabletext"/>
              <w:rPr>
                <w:rFonts w:eastAsia="Trebuchet MS"/>
              </w:rPr>
            </w:pPr>
          </w:p>
        </w:tc>
        <w:tc>
          <w:tcPr>
            <w:tcW w:w="3047" w:type="dxa"/>
            <w:hideMark/>
          </w:tcPr>
          <w:p w14:paraId="4C544F51" w14:textId="77777777" w:rsidR="004E24F2" w:rsidRPr="008A08FD" w:rsidRDefault="004E24F2" w:rsidP="008A08FD">
            <w:pPr>
              <w:pStyle w:val="DHHStabletext"/>
            </w:pPr>
            <w:r w:rsidRPr="008A08FD">
              <w:t>Others and Unknown</w:t>
            </w:r>
          </w:p>
        </w:tc>
        <w:tc>
          <w:tcPr>
            <w:tcW w:w="1244" w:type="dxa"/>
            <w:hideMark/>
          </w:tcPr>
          <w:p w14:paraId="5973BEE0" w14:textId="77777777" w:rsidR="004E24F2" w:rsidRPr="008A08FD" w:rsidRDefault="004E24F2" w:rsidP="008A08FD">
            <w:pPr>
              <w:pStyle w:val="DHHStabletext"/>
            </w:pPr>
            <w:r w:rsidRPr="008A08FD">
              <w:t>23.8%</w:t>
            </w:r>
          </w:p>
        </w:tc>
        <w:tc>
          <w:tcPr>
            <w:tcW w:w="1244" w:type="dxa"/>
            <w:hideMark/>
          </w:tcPr>
          <w:p w14:paraId="486E7928" w14:textId="77777777" w:rsidR="004E24F2" w:rsidRPr="008A08FD" w:rsidRDefault="004E24F2" w:rsidP="008A08FD">
            <w:pPr>
              <w:pStyle w:val="DHHStabletext"/>
            </w:pPr>
            <w:r w:rsidRPr="008A08FD">
              <w:t>24.4%</w:t>
            </w:r>
          </w:p>
        </w:tc>
        <w:tc>
          <w:tcPr>
            <w:tcW w:w="1198" w:type="dxa"/>
            <w:hideMark/>
          </w:tcPr>
          <w:p w14:paraId="512ACEF1" w14:textId="77777777" w:rsidR="004E24F2" w:rsidRPr="008A08FD" w:rsidRDefault="004E24F2" w:rsidP="008A08FD">
            <w:pPr>
              <w:pStyle w:val="DHHStabletext"/>
            </w:pPr>
            <w:r w:rsidRPr="008A08FD">
              <w:t>24.2%</w:t>
            </w:r>
          </w:p>
        </w:tc>
      </w:tr>
      <w:tr w:rsidR="004E24F2" w14:paraId="7F11507B" w14:textId="77777777" w:rsidTr="003F7650">
        <w:trPr>
          <w:trHeight w:val="671"/>
        </w:trPr>
        <w:tc>
          <w:tcPr>
            <w:tcW w:w="3203" w:type="dxa"/>
            <w:hideMark/>
          </w:tcPr>
          <w:p w14:paraId="4AB69F2B" w14:textId="77777777" w:rsidR="004E24F2" w:rsidRPr="008A08FD" w:rsidRDefault="004E24F2" w:rsidP="008A08FD">
            <w:pPr>
              <w:pStyle w:val="DHHStabletext"/>
            </w:pPr>
            <w:r w:rsidRPr="008A08FD">
              <w:t>New clients accessing services (no access in prior 5 years) (%)</w:t>
            </w:r>
          </w:p>
        </w:tc>
        <w:tc>
          <w:tcPr>
            <w:tcW w:w="3047" w:type="dxa"/>
          </w:tcPr>
          <w:p w14:paraId="6B7E9CBF" w14:textId="77777777" w:rsidR="004E24F2" w:rsidRPr="008A08FD" w:rsidRDefault="004E24F2" w:rsidP="008A08FD">
            <w:pPr>
              <w:pStyle w:val="DHHStabletext"/>
            </w:pPr>
            <w:r w:rsidRPr="008A08FD">
              <w:t>Total</w:t>
            </w:r>
          </w:p>
        </w:tc>
        <w:tc>
          <w:tcPr>
            <w:tcW w:w="1244" w:type="dxa"/>
          </w:tcPr>
          <w:p w14:paraId="6585AA3F" w14:textId="77777777" w:rsidR="004E24F2" w:rsidRPr="008A08FD" w:rsidRDefault="004E24F2" w:rsidP="008A08FD">
            <w:pPr>
              <w:pStyle w:val="DHHStabletext"/>
            </w:pPr>
            <w:r w:rsidRPr="008A08FD">
              <w:t>36.3%</w:t>
            </w:r>
          </w:p>
        </w:tc>
        <w:tc>
          <w:tcPr>
            <w:tcW w:w="1244" w:type="dxa"/>
          </w:tcPr>
          <w:p w14:paraId="7CF9BE7F" w14:textId="77777777" w:rsidR="004E24F2" w:rsidRPr="008A08FD" w:rsidRDefault="004E24F2" w:rsidP="008A08FD">
            <w:pPr>
              <w:pStyle w:val="DHHStabletext"/>
            </w:pPr>
            <w:r w:rsidRPr="008A08FD">
              <w:t>35.7%</w:t>
            </w:r>
          </w:p>
        </w:tc>
        <w:tc>
          <w:tcPr>
            <w:tcW w:w="1198" w:type="dxa"/>
          </w:tcPr>
          <w:p w14:paraId="78CD826C" w14:textId="77777777" w:rsidR="004E24F2" w:rsidRPr="008A08FD" w:rsidRDefault="004E24F2" w:rsidP="008A08FD">
            <w:pPr>
              <w:pStyle w:val="DHHStabletext"/>
            </w:pPr>
            <w:r w:rsidRPr="008A08FD">
              <w:t>36.6%</w:t>
            </w:r>
          </w:p>
        </w:tc>
      </w:tr>
      <w:tr w:rsidR="004E24F2" w14:paraId="0EA6917B" w14:textId="77777777" w:rsidTr="003F7650">
        <w:trPr>
          <w:trHeight w:val="674"/>
        </w:trPr>
        <w:tc>
          <w:tcPr>
            <w:tcW w:w="3203" w:type="dxa"/>
            <w:hideMark/>
          </w:tcPr>
          <w:p w14:paraId="56498A93" w14:textId="77777777" w:rsidR="004E24F2" w:rsidRPr="008A08FD" w:rsidRDefault="004E24F2" w:rsidP="008A08FD">
            <w:pPr>
              <w:pStyle w:val="DHHStabletext"/>
            </w:pPr>
            <w:r w:rsidRPr="008A08FD">
              <w:t>Clients accessing services for more than 5 years (%)</w:t>
            </w:r>
          </w:p>
        </w:tc>
        <w:tc>
          <w:tcPr>
            <w:tcW w:w="3047" w:type="dxa"/>
          </w:tcPr>
          <w:p w14:paraId="257F2AEC" w14:textId="77777777" w:rsidR="004E24F2" w:rsidRPr="008A08FD" w:rsidRDefault="004E24F2" w:rsidP="008A08FD">
            <w:pPr>
              <w:pStyle w:val="DHHStabletext"/>
            </w:pPr>
            <w:r w:rsidRPr="008A08FD">
              <w:t>Total</w:t>
            </w:r>
          </w:p>
        </w:tc>
        <w:tc>
          <w:tcPr>
            <w:tcW w:w="1244" w:type="dxa"/>
          </w:tcPr>
          <w:p w14:paraId="4791C8CA" w14:textId="77777777" w:rsidR="004E24F2" w:rsidRPr="008A08FD" w:rsidRDefault="004E24F2" w:rsidP="008A08FD">
            <w:pPr>
              <w:pStyle w:val="DHHStabletext"/>
            </w:pPr>
            <w:r w:rsidRPr="008A08FD">
              <w:t>14.4%</w:t>
            </w:r>
          </w:p>
        </w:tc>
        <w:tc>
          <w:tcPr>
            <w:tcW w:w="1244" w:type="dxa"/>
          </w:tcPr>
          <w:p w14:paraId="6913376A" w14:textId="77777777" w:rsidR="004E24F2" w:rsidRPr="008A08FD" w:rsidRDefault="004E24F2" w:rsidP="008A08FD">
            <w:pPr>
              <w:pStyle w:val="DHHStabletext"/>
            </w:pPr>
            <w:r w:rsidRPr="008A08FD">
              <w:t>14.4%</w:t>
            </w:r>
          </w:p>
        </w:tc>
        <w:tc>
          <w:tcPr>
            <w:tcW w:w="1198" w:type="dxa"/>
          </w:tcPr>
          <w:p w14:paraId="72E9CE91" w14:textId="77777777" w:rsidR="004E24F2" w:rsidRPr="008A08FD" w:rsidRDefault="004E24F2" w:rsidP="008A08FD">
            <w:pPr>
              <w:pStyle w:val="DHHStabletext"/>
            </w:pPr>
            <w:r w:rsidRPr="008A08FD">
              <w:t>14.2%</w:t>
            </w:r>
          </w:p>
        </w:tc>
      </w:tr>
    </w:tbl>
    <w:p w14:paraId="2727D874" w14:textId="77777777" w:rsidR="004E24F2" w:rsidRDefault="004E24F2" w:rsidP="004E24F2">
      <w:pPr>
        <w:rPr>
          <w:sz w:val="19"/>
        </w:rPr>
        <w:sectPr w:rsidR="004E24F2" w:rsidSect="004E24F2">
          <w:pgSz w:w="11910" w:h="16840"/>
          <w:pgMar w:top="1699" w:right="1310" w:bottom="1138" w:left="1310" w:header="1" w:footer="493" w:gutter="0"/>
          <w:cols w:space="720"/>
        </w:sectPr>
      </w:pPr>
    </w:p>
    <w:p w14:paraId="607ECF88" w14:textId="77777777" w:rsidR="008A08FD" w:rsidRDefault="008A08FD" w:rsidP="00985332">
      <w:pPr>
        <w:pStyle w:val="DHHSbody"/>
      </w:pPr>
    </w:p>
    <w:tbl>
      <w:tblPr>
        <w:tblW w:w="9879"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664"/>
        <w:gridCol w:w="3529"/>
        <w:gridCol w:w="1244"/>
        <w:gridCol w:w="1244"/>
        <w:gridCol w:w="1198"/>
      </w:tblGrid>
      <w:tr w:rsidR="004E24F2" w14:paraId="572A7D72" w14:textId="77777777" w:rsidTr="003F7650">
        <w:trPr>
          <w:trHeight w:val="623"/>
          <w:tblHeader/>
        </w:trPr>
        <w:tc>
          <w:tcPr>
            <w:tcW w:w="2664" w:type="dxa"/>
            <w:shd w:val="clear" w:color="auto" w:fill="auto"/>
            <w:hideMark/>
          </w:tcPr>
          <w:p w14:paraId="778E288A" w14:textId="2224A7CE" w:rsidR="004E24F2" w:rsidRPr="00DF7F88" w:rsidRDefault="004E24F2" w:rsidP="008A08FD">
            <w:pPr>
              <w:pStyle w:val="DHHStablecolhead"/>
            </w:pPr>
            <w:r w:rsidRPr="00DF7F88">
              <w:t>Service activity</w:t>
            </w:r>
            <w:r w:rsidR="008A08FD">
              <w:t xml:space="preserve"> </w:t>
            </w:r>
            <w:r w:rsidRPr="00DF7F88">
              <w:t>– bed-based</w:t>
            </w:r>
          </w:p>
        </w:tc>
        <w:tc>
          <w:tcPr>
            <w:tcW w:w="3529" w:type="dxa"/>
            <w:shd w:val="clear" w:color="auto" w:fill="auto"/>
          </w:tcPr>
          <w:p w14:paraId="21BF4270" w14:textId="77777777" w:rsidR="004E24F2" w:rsidRPr="00DF7F88" w:rsidRDefault="004E24F2" w:rsidP="00DF7F88">
            <w:pPr>
              <w:pStyle w:val="DHHStablecolhead"/>
            </w:pPr>
            <w:r w:rsidRPr="00DF7F88">
              <w:t>Setting</w:t>
            </w:r>
          </w:p>
        </w:tc>
        <w:tc>
          <w:tcPr>
            <w:tcW w:w="1244" w:type="dxa"/>
            <w:shd w:val="clear" w:color="auto" w:fill="auto"/>
          </w:tcPr>
          <w:p w14:paraId="487FFF20" w14:textId="77777777" w:rsidR="004E24F2" w:rsidRPr="00DF7F88" w:rsidRDefault="004E24F2" w:rsidP="00DF7F88">
            <w:pPr>
              <w:pStyle w:val="DHHStablecolhead"/>
            </w:pPr>
            <w:r w:rsidRPr="00DF7F88">
              <w:t>2014–15</w:t>
            </w:r>
          </w:p>
        </w:tc>
        <w:tc>
          <w:tcPr>
            <w:tcW w:w="1244" w:type="dxa"/>
            <w:shd w:val="clear" w:color="auto" w:fill="auto"/>
          </w:tcPr>
          <w:p w14:paraId="3B29B604" w14:textId="77777777" w:rsidR="004E24F2" w:rsidRPr="00DF7F88" w:rsidRDefault="004E24F2" w:rsidP="00DF7F88">
            <w:pPr>
              <w:pStyle w:val="DHHStablecolhead"/>
            </w:pPr>
            <w:r w:rsidRPr="00DF7F88">
              <w:t>2015–16</w:t>
            </w:r>
          </w:p>
        </w:tc>
        <w:tc>
          <w:tcPr>
            <w:tcW w:w="1198" w:type="dxa"/>
            <w:shd w:val="clear" w:color="auto" w:fill="auto"/>
          </w:tcPr>
          <w:p w14:paraId="769542A4" w14:textId="77777777" w:rsidR="004E24F2" w:rsidRDefault="004E24F2" w:rsidP="00DF7F88">
            <w:pPr>
              <w:pStyle w:val="DHHStablecolhead"/>
              <w:rPr>
                <w:rFonts w:ascii="Trebuchet MS"/>
              </w:rPr>
            </w:pPr>
            <w:r>
              <w:t>2016–17</w:t>
            </w:r>
          </w:p>
        </w:tc>
      </w:tr>
      <w:tr w:rsidR="004E24F2" w14:paraId="32166BE7" w14:textId="77777777" w:rsidTr="003F7650">
        <w:trPr>
          <w:trHeight w:val="335"/>
        </w:trPr>
        <w:tc>
          <w:tcPr>
            <w:tcW w:w="2664" w:type="dxa"/>
            <w:vMerge w:val="restart"/>
            <w:hideMark/>
          </w:tcPr>
          <w:p w14:paraId="141B5F99" w14:textId="77777777" w:rsidR="004E24F2" w:rsidRPr="008A08FD" w:rsidRDefault="004E24F2" w:rsidP="008A08FD">
            <w:pPr>
              <w:pStyle w:val="DHHStabletext"/>
            </w:pPr>
            <w:r w:rsidRPr="008A08FD">
              <w:t>Total number of separations (excluding same days)</w:t>
            </w:r>
          </w:p>
        </w:tc>
        <w:tc>
          <w:tcPr>
            <w:tcW w:w="3529" w:type="dxa"/>
            <w:hideMark/>
          </w:tcPr>
          <w:p w14:paraId="792F3A9C" w14:textId="7BB1D9B1" w:rsidR="004E24F2" w:rsidRPr="008A08FD" w:rsidRDefault="004E24F2" w:rsidP="008A08FD">
            <w:pPr>
              <w:pStyle w:val="DHHStabletext"/>
            </w:pPr>
            <w:r w:rsidRPr="008A08FD">
              <w:t>Admitted</w:t>
            </w:r>
            <w:r w:rsidR="00AE0126">
              <w:t xml:space="preserve"> – </w:t>
            </w:r>
            <w:r w:rsidRPr="008A08FD">
              <w:t>Acute</w:t>
            </w:r>
          </w:p>
        </w:tc>
        <w:tc>
          <w:tcPr>
            <w:tcW w:w="1244" w:type="dxa"/>
            <w:hideMark/>
          </w:tcPr>
          <w:p w14:paraId="23E85E32" w14:textId="77777777" w:rsidR="004E24F2" w:rsidRPr="008A08FD" w:rsidRDefault="004E24F2" w:rsidP="008A08FD">
            <w:pPr>
              <w:pStyle w:val="DHHStabletext"/>
            </w:pPr>
            <w:r w:rsidRPr="008A08FD">
              <w:t>21,886</w:t>
            </w:r>
          </w:p>
        </w:tc>
        <w:tc>
          <w:tcPr>
            <w:tcW w:w="1244" w:type="dxa"/>
            <w:hideMark/>
          </w:tcPr>
          <w:p w14:paraId="247270D1" w14:textId="77777777" w:rsidR="004E24F2" w:rsidRPr="008A08FD" w:rsidRDefault="004E24F2" w:rsidP="008A08FD">
            <w:pPr>
              <w:pStyle w:val="DHHStabletext"/>
            </w:pPr>
            <w:r w:rsidRPr="008A08FD">
              <w:t>23,665</w:t>
            </w:r>
          </w:p>
        </w:tc>
        <w:tc>
          <w:tcPr>
            <w:tcW w:w="1198" w:type="dxa"/>
            <w:hideMark/>
          </w:tcPr>
          <w:p w14:paraId="555ED4CC" w14:textId="77777777" w:rsidR="004E24F2" w:rsidRPr="008A08FD" w:rsidRDefault="004E24F2" w:rsidP="008A08FD">
            <w:pPr>
              <w:pStyle w:val="DHHStabletext"/>
            </w:pPr>
            <w:r w:rsidRPr="008A08FD">
              <w:t>24,314</w:t>
            </w:r>
          </w:p>
        </w:tc>
      </w:tr>
      <w:tr w:rsidR="004E24F2" w14:paraId="21D7DEA3" w14:textId="77777777" w:rsidTr="003F7650">
        <w:trPr>
          <w:trHeight w:val="330"/>
        </w:trPr>
        <w:tc>
          <w:tcPr>
            <w:tcW w:w="2664" w:type="dxa"/>
            <w:vMerge/>
            <w:vAlign w:val="center"/>
            <w:hideMark/>
          </w:tcPr>
          <w:p w14:paraId="213655EF" w14:textId="77777777" w:rsidR="004E24F2" w:rsidRPr="008A08FD" w:rsidRDefault="004E24F2" w:rsidP="008A08FD">
            <w:pPr>
              <w:pStyle w:val="DHHStabletext"/>
              <w:rPr>
                <w:rFonts w:eastAsia="Trebuchet MS"/>
              </w:rPr>
            </w:pPr>
          </w:p>
        </w:tc>
        <w:tc>
          <w:tcPr>
            <w:tcW w:w="3529" w:type="dxa"/>
            <w:hideMark/>
          </w:tcPr>
          <w:p w14:paraId="3C8B8392" w14:textId="2A3DC9EB" w:rsidR="004E24F2" w:rsidRPr="008A08FD" w:rsidRDefault="004E24F2" w:rsidP="008A08FD">
            <w:pPr>
              <w:pStyle w:val="DHHStabletext"/>
            </w:pPr>
            <w:r w:rsidRPr="008A08FD">
              <w:t>Admitted</w:t>
            </w:r>
            <w:r w:rsidR="00AE0126">
              <w:t xml:space="preserve"> – </w:t>
            </w:r>
            <w:r w:rsidRPr="008A08FD">
              <w:t>Non Acute</w:t>
            </w:r>
          </w:p>
        </w:tc>
        <w:tc>
          <w:tcPr>
            <w:tcW w:w="1244" w:type="dxa"/>
            <w:hideMark/>
          </w:tcPr>
          <w:p w14:paraId="4F435865" w14:textId="77777777" w:rsidR="004E24F2" w:rsidRPr="008A08FD" w:rsidRDefault="004E24F2" w:rsidP="008A08FD">
            <w:pPr>
              <w:pStyle w:val="DHHStabletext"/>
            </w:pPr>
            <w:r w:rsidRPr="008A08FD">
              <w:t>231</w:t>
            </w:r>
          </w:p>
        </w:tc>
        <w:tc>
          <w:tcPr>
            <w:tcW w:w="1244" w:type="dxa"/>
            <w:hideMark/>
          </w:tcPr>
          <w:p w14:paraId="65A30B28" w14:textId="77777777" w:rsidR="004E24F2" w:rsidRPr="008A08FD" w:rsidRDefault="004E24F2" w:rsidP="008A08FD">
            <w:pPr>
              <w:pStyle w:val="DHHStabletext"/>
            </w:pPr>
            <w:r w:rsidRPr="008A08FD">
              <w:t>230</w:t>
            </w:r>
          </w:p>
        </w:tc>
        <w:tc>
          <w:tcPr>
            <w:tcW w:w="1198" w:type="dxa"/>
            <w:hideMark/>
          </w:tcPr>
          <w:p w14:paraId="3AEFF006" w14:textId="77777777" w:rsidR="004E24F2" w:rsidRPr="008A08FD" w:rsidRDefault="004E24F2" w:rsidP="008A08FD">
            <w:pPr>
              <w:pStyle w:val="DHHStabletext"/>
            </w:pPr>
            <w:r w:rsidRPr="008A08FD">
              <w:t>218</w:t>
            </w:r>
          </w:p>
        </w:tc>
      </w:tr>
      <w:tr w:rsidR="004E24F2" w14:paraId="1404B51B" w14:textId="77777777" w:rsidTr="003F7650">
        <w:trPr>
          <w:trHeight w:val="330"/>
        </w:trPr>
        <w:tc>
          <w:tcPr>
            <w:tcW w:w="2664" w:type="dxa"/>
            <w:vMerge/>
            <w:vAlign w:val="center"/>
            <w:hideMark/>
          </w:tcPr>
          <w:p w14:paraId="7184DF7D" w14:textId="77777777" w:rsidR="004E24F2" w:rsidRPr="008A08FD" w:rsidRDefault="004E24F2" w:rsidP="008A08FD">
            <w:pPr>
              <w:pStyle w:val="DHHStabletext"/>
              <w:rPr>
                <w:rFonts w:eastAsia="Trebuchet MS"/>
              </w:rPr>
            </w:pPr>
          </w:p>
        </w:tc>
        <w:tc>
          <w:tcPr>
            <w:tcW w:w="3529" w:type="dxa"/>
            <w:hideMark/>
          </w:tcPr>
          <w:p w14:paraId="117EBB2B" w14:textId="5A8C0339" w:rsidR="004E24F2" w:rsidRPr="008A08FD" w:rsidRDefault="004E24F2" w:rsidP="008A08FD">
            <w:pPr>
              <w:pStyle w:val="DHHStabletext"/>
            </w:pPr>
            <w:r w:rsidRPr="008A08FD">
              <w:t>Non Admitted</w:t>
            </w:r>
            <w:r w:rsidR="00AE0126">
              <w:t xml:space="preserve"> – </w:t>
            </w:r>
            <w:r w:rsidRPr="008A08FD">
              <w:t>Residential</w:t>
            </w:r>
          </w:p>
        </w:tc>
        <w:tc>
          <w:tcPr>
            <w:tcW w:w="1244" w:type="dxa"/>
            <w:hideMark/>
          </w:tcPr>
          <w:p w14:paraId="45DF24BB" w14:textId="77777777" w:rsidR="004E24F2" w:rsidRPr="008A08FD" w:rsidRDefault="004E24F2" w:rsidP="008A08FD">
            <w:pPr>
              <w:pStyle w:val="DHHStabletext"/>
            </w:pPr>
            <w:r w:rsidRPr="008A08FD">
              <w:t>308</w:t>
            </w:r>
          </w:p>
        </w:tc>
        <w:tc>
          <w:tcPr>
            <w:tcW w:w="1244" w:type="dxa"/>
            <w:hideMark/>
          </w:tcPr>
          <w:p w14:paraId="1C90F80C" w14:textId="77777777" w:rsidR="004E24F2" w:rsidRPr="008A08FD" w:rsidRDefault="004E24F2" w:rsidP="008A08FD">
            <w:pPr>
              <w:pStyle w:val="DHHStabletext"/>
            </w:pPr>
            <w:r w:rsidRPr="008A08FD">
              <w:t>238</w:t>
            </w:r>
          </w:p>
        </w:tc>
        <w:tc>
          <w:tcPr>
            <w:tcW w:w="1198" w:type="dxa"/>
            <w:hideMark/>
          </w:tcPr>
          <w:p w14:paraId="00889D3C" w14:textId="77777777" w:rsidR="004E24F2" w:rsidRPr="008A08FD" w:rsidRDefault="004E24F2" w:rsidP="008A08FD">
            <w:pPr>
              <w:pStyle w:val="DHHStabletext"/>
            </w:pPr>
            <w:r w:rsidRPr="008A08FD">
              <w:t>232</w:t>
            </w:r>
          </w:p>
        </w:tc>
      </w:tr>
      <w:tr w:rsidR="004E24F2" w14:paraId="52D801A1" w14:textId="77777777" w:rsidTr="003F7650">
        <w:trPr>
          <w:trHeight w:val="330"/>
        </w:trPr>
        <w:tc>
          <w:tcPr>
            <w:tcW w:w="2664" w:type="dxa"/>
            <w:vMerge/>
            <w:vAlign w:val="center"/>
            <w:hideMark/>
          </w:tcPr>
          <w:p w14:paraId="13A48A07" w14:textId="77777777" w:rsidR="004E24F2" w:rsidRPr="008A08FD" w:rsidRDefault="004E24F2" w:rsidP="008A08FD">
            <w:pPr>
              <w:pStyle w:val="DHHStabletext"/>
              <w:rPr>
                <w:rFonts w:eastAsia="Trebuchet MS"/>
              </w:rPr>
            </w:pPr>
          </w:p>
        </w:tc>
        <w:tc>
          <w:tcPr>
            <w:tcW w:w="3529" w:type="dxa"/>
            <w:hideMark/>
          </w:tcPr>
          <w:p w14:paraId="2A4FFCE2" w14:textId="52FE2EDB" w:rsidR="004E24F2" w:rsidRPr="008A08FD" w:rsidRDefault="004E24F2" w:rsidP="008A08FD">
            <w:pPr>
              <w:pStyle w:val="DHHStabletext"/>
            </w:pPr>
            <w:r w:rsidRPr="008A08FD">
              <w:t>Non Admitted</w:t>
            </w:r>
            <w:r w:rsidR="00AE0126">
              <w:t xml:space="preserve"> – </w:t>
            </w:r>
            <w:r w:rsidRPr="008A08FD">
              <w:t>Sub Acute (CCU)</w:t>
            </w:r>
          </w:p>
        </w:tc>
        <w:tc>
          <w:tcPr>
            <w:tcW w:w="1244" w:type="dxa"/>
            <w:hideMark/>
          </w:tcPr>
          <w:p w14:paraId="59A52D20" w14:textId="77777777" w:rsidR="004E24F2" w:rsidRPr="008A08FD" w:rsidRDefault="004E24F2" w:rsidP="008A08FD">
            <w:pPr>
              <w:pStyle w:val="DHHStabletext"/>
            </w:pPr>
            <w:r w:rsidRPr="008A08FD">
              <w:t>557</w:t>
            </w:r>
          </w:p>
        </w:tc>
        <w:tc>
          <w:tcPr>
            <w:tcW w:w="1244" w:type="dxa"/>
            <w:hideMark/>
          </w:tcPr>
          <w:p w14:paraId="30C0FD9B" w14:textId="77777777" w:rsidR="004E24F2" w:rsidRPr="008A08FD" w:rsidRDefault="004E24F2" w:rsidP="008A08FD">
            <w:pPr>
              <w:pStyle w:val="DHHStabletext"/>
            </w:pPr>
            <w:r w:rsidRPr="008A08FD">
              <w:t>675</w:t>
            </w:r>
          </w:p>
        </w:tc>
        <w:tc>
          <w:tcPr>
            <w:tcW w:w="1198" w:type="dxa"/>
            <w:hideMark/>
          </w:tcPr>
          <w:p w14:paraId="76CDDE59" w14:textId="77777777" w:rsidR="004E24F2" w:rsidRPr="008A08FD" w:rsidRDefault="004E24F2" w:rsidP="008A08FD">
            <w:pPr>
              <w:pStyle w:val="DHHStabletext"/>
            </w:pPr>
            <w:r w:rsidRPr="008A08FD">
              <w:t>681</w:t>
            </w:r>
          </w:p>
        </w:tc>
      </w:tr>
      <w:tr w:rsidR="004E24F2" w14:paraId="19304F09" w14:textId="77777777" w:rsidTr="003F7650">
        <w:trPr>
          <w:trHeight w:val="330"/>
        </w:trPr>
        <w:tc>
          <w:tcPr>
            <w:tcW w:w="2664" w:type="dxa"/>
            <w:vMerge/>
            <w:vAlign w:val="center"/>
            <w:hideMark/>
          </w:tcPr>
          <w:p w14:paraId="43C35CB9" w14:textId="77777777" w:rsidR="004E24F2" w:rsidRPr="008A08FD" w:rsidRDefault="004E24F2" w:rsidP="008A08FD">
            <w:pPr>
              <w:pStyle w:val="DHHStabletext"/>
              <w:rPr>
                <w:rFonts w:eastAsia="Trebuchet MS"/>
              </w:rPr>
            </w:pPr>
          </w:p>
        </w:tc>
        <w:tc>
          <w:tcPr>
            <w:tcW w:w="3529" w:type="dxa"/>
            <w:hideMark/>
          </w:tcPr>
          <w:p w14:paraId="38C8F9E0" w14:textId="6843B934" w:rsidR="004E24F2" w:rsidRPr="008A08FD" w:rsidRDefault="004E24F2" w:rsidP="008A08FD">
            <w:pPr>
              <w:pStyle w:val="DHHStabletext"/>
            </w:pPr>
            <w:r w:rsidRPr="008A08FD">
              <w:t>Non Admitted</w:t>
            </w:r>
            <w:r w:rsidR="00AE0126">
              <w:t xml:space="preserve"> – </w:t>
            </w:r>
            <w:r w:rsidRPr="008A08FD">
              <w:t>Sub Acute (PARC)</w:t>
            </w:r>
          </w:p>
        </w:tc>
        <w:tc>
          <w:tcPr>
            <w:tcW w:w="1244" w:type="dxa"/>
            <w:hideMark/>
          </w:tcPr>
          <w:p w14:paraId="1126E9F5" w14:textId="77777777" w:rsidR="004E24F2" w:rsidRPr="008A08FD" w:rsidRDefault="004E24F2" w:rsidP="008A08FD">
            <w:pPr>
              <w:pStyle w:val="DHHStabletext"/>
            </w:pPr>
            <w:r w:rsidRPr="008A08FD">
              <w:t>3,141</w:t>
            </w:r>
          </w:p>
        </w:tc>
        <w:tc>
          <w:tcPr>
            <w:tcW w:w="1244" w:type="dxa"/>
            <w:hideMark/>
          </w:tcPr>
          <w:p w14:paraId="1CEA1ED8" w14:textId="77777777" w:rsidR="004E24F2" w:rsidRPr="008A08FD" w:rsidRDefault="004E24F2" w:rsidP="008A08FD">
            <w:pPr>
              <w:pStyle w:val="DHHStabletext"/>
            </w:pPr>
            <w:r w:rsidRPr="008A08FD">
              <w:t>3,257</w:t>
            </w:r>
          </w:p>
        </w:tc>
        <w:tc>
          <w:tcPr>
            <w:tcW w:w="1198" w:type="dxa"/>
            <w:hideMark/>
          </w:tcPr>
          <w:p w14:paraId="5CADF8D8" w14:textId="77777777" w:rsidR="004E24F2" w:rsidRPr="008A08FD" w:rsidRDefault="004E24F2" w:rsidP="008A08FD">
            <w:pPr>
              <w:pStyle w:val="DHHStabletext"/>
            </w:pPr>
            <w:r w:rsidRPr="008A08FD">
              <w:t>3,402</w:t>
            </w:r>
          </w:p>
        </w:tc>
      </w:tr>
      <w:tr w:rsidR="004E24F2" w14:paraId="51BBB739" w14:textId="77777777" w:rsidTr="003F7650">
        <w:trPr>
          <w:trHeight w:val="330"/>
        </w:trPr>
        <w:tc>
          <w:tcPr>
            <w:tcW w:w="2664" w:type="dxa"/>
            <w:vMerge/>
            <w:vAlign w:val="center"/>
            <w:hideMark/>
          </w:tcPr>
          <w:p w14:paraId="6D54DA91" w14:textId="77777777" w:rsidR="004E24F2" w:rsidRPr="008A08FD" w:rsidRDefault="004E24F2" w:rsidP="008A08FD">
            <w:pPr>
              <w:pStyle w:val="DHHStabletext"/>
              <w:rPr>
                <w:rFonts w:eastAsia="Trebuchet MS"/>
              </w:rPr>
            </w:pPr>
          </w:p>
        </w:tc>
        <w:tc>
          <w:tcPr>
            <w:tcW w:w="3529" w:type="dxa"/>
            <w:shd w:val="clear" w:color="auto" w:fill="DCDDDE"/>
            <w:hideMark/>
          </w:tcPr>
          <w:p w14:paraId="6B51E5C2" w14:textId="77777777" w:rsidR="004E24F2" w:rsidRPr="008A08FD" w:rsidRDefault="004E24F2" w:rsidP="008A08FD">
            <w:pPr>
              <w:pStyle w:val="DHHStabletext"/>
            </w:pPr>
            <w:r w:rsidRPr="008A08FD">
              <w:t>Total</w:t>
            </w:r>
          </w:p>
        </w:tc>
        <w:tc>
          <w:tcPr>
            <w:tcW w:w="1244" w:type="dxa"/>
            <w:shd w:val="clear" w:color="auto" w:fill="DCDDDE"/>
            <w:hideMark/>
          </w:tcPr>
          <w:p w14:paraId="3FE831B2" w14:textId="77777777" w:rsidR="004E24F2" w:rsidRPr="008A08FD" w:rsidRDefault="004E24F2" w:rsidP="008A08FD">
            <w:pPr>
              <w:pStyle w:val="DHHStabletext"/>
            </w:pPr>
            <w:r w:rsidRPr="008A08FD">
              <w:t>26,123</w:t>
            </w:r>
          </w:p>
        </w:tc>
        <w:tc>
          <w:tcPr>
            <w:tcW w:w="1244" w:type="dxa"/>
            <w:shd w:val="clear" w:color="auto" w:fill="DCDDDE"/>
            <w:hideMark/>
          </w:tcPr>
          <w:p w14:paraId="49C75AFF" w14:textId="77777777" w:rsidR="004E24F2" w:rsidRPr="008A08FD" w:rsidRDefault="004E24F2" w:rsidP="008A08FD">
            <w:pPr>
              <w:pStyle w:val="DHHStabletext"/>
            </w:pPr>
            <w:r w:rsidRPr="008A08FD">
              <w:t>28,065</w:t>
            </w:r>
          </w:p>
        </w:tc>
        <w:tc>
          <w:tcPr>
            <w:tcW w:w="1198" w:type="dxa"/>
            <w:shd w:val="clear" w:color="auto" w:fill="DCDDDE"/>
            <w:hideMark/>
          </w:tcPr>
          <w:p w14:paraId="7FFAC099" w14:textId="77777777" w:rsidR="004E24F2" w:rsidRPr="008A08FD" w:rsidRDefault="004E24F2" w:rsidP="008A08FD">
            <w:pPr>
              <w:pStyle w:val="DHHStabletext"/>
            </w:pPr>
            <w:r w:rsidRPr="008A08FD">
              <w:t>28,847</w:t>
            </w:r>
          </w:p>
        </w:tc>
      </w:tr>
      <w:tr w:rsidR="004E24F2" w14:paraId="64AA9122" w14:textId="77777777" w:rsidTr="003F7650">
        <w:trPr>
          <w:trHeight w:val="327"/>
        </w:trPr>
        <w:tc>
          <w:tcPr>
            <w:tcW w:w="2664" w:type="dxa"/>
            <w:vMerge w:val="restart"/>
            <w:hideMark/>
          </w:tcPr>
          <w:p w14:paraId="2970F979" w14:textId="77777777" w:rsidR="004E24F2" w:rsidRPr="008A08FD" w:rsidRDefault="004E24F2" w:rsidP="008A08FD">
            <w:pPr>
              <w:pStyle w:val="DHHStabletext"/>
            </w:pPr>
            <w:r w:rsidRPr="008A08FD">
              <w:t>Occupied bed days (including leave, excluding same days)†</w:t>
            </w:r>
          </w:p>
        </w:tc>
        <w:tc>
          <w:tcPr>
            <w:tcW w:w="3529" w:type="dxa"/>
            <w:hideMark/>
          </w:tcPr>
          <w:p w14:paraId="6E1F62C8" w14:textId="6E10DF51" w:rsidR="004E24F2" w:rsidRPr="008A08FD" w:rsidRDefault="004E24F2" w:rsidP="008A08FD">
            <w:pPr>
              <w:pStyle w:val="DHHStabletext"/>
            </w:pPr>
            <w:r w:rsidRPr="008A08FD">
              <w:t>Admitted</w:t>
            </w:r>
            <w:r w:rsidR="00AE0126">
              <w:t xml:space="preserve"> – </w:t>
            </w:r>
            <w:r w:rsidRPr="008A08FD">
              <w:t>Acute</w:t>
            </w:r>
          </w:p>
        </w:tc>
        <w:tc>
          <w:tcPr>
            <w:tcW w:w="1244" w:type="dxa"/>
            <w:hideMark/>
          </w:tcPr>
          <w:p w14:paraId="451D8BF7" w14:textId="77777777" w:rsidR="004E24F2" w:rsidRPr="008A08FD" w:rsidRDefault="004E24F2" w:rsidP="008A08FD">
            <w:pPr>
              <w:pStyle w:val="DHHStabletext"/>
            </w:pPr>
            <w:r w:rsidRPr="008A08FD">
              <w:t>348,096</w:t>
            </w:r>
          </w:p>
        </w:tc>
        <w:tc>
          <w:tcPr>
            <w:tcW w:w="1244" w:type="dxa"/>
            <w:hideMark/>
          </w:tcPr>
          <w:p w14:paraId="198F5F92" w14:textId="77777777" w:rsidR="004E24F2" w:rsidRPr="008A08FD" w:rsidRDefault="004E24F2" w:rsidP="008A08FD">
            <w:pPr>
              <w:pStyle w:val="DHHStabletext"/>
            </w:pPr>
            <w:r w:rsidRPr="008A08FD">
              <w:t>356,784</w:t>
            </w:r>
          </w:p>
        </w:tc>
        <w:tc>
          <w:tcPr>
            <w:tcW w:w="1198" w:type="dxa"/>
            <w:hideMark/>
          </w:tcPr>
          <w:p w14:paraId="2C52198A" w14:textId="77777777" w:rsidR="004E24F2" w:rsidRPr="008A08FD" w:rsidRDefault="004E24F2" w:rsidP="008A08FD">
            <w:pPr>
              <w:pStyle w:val="DHHStabletext"/>
            </w:pPr>
            <w:r w:rsidRPr="008A08FD">
              <w:t>365,385</w:t>
            </w:r>
          </w:p>
        </w:tc>
      </w:tr>
      <w:tr w:rsidR="004E24F2" w14:paraId="25E1645D" w14:textId="77777777" w:rsidTr="003F7650">
        <w:trPr>
          <w:trHeight w:val="325"/>
        </w:trPr>
        <w:tc>
          <w:tcPr>
            <w:tcW w:w="2664" w:type="dxa"/>
            <w:vMerge/>
            <w:vAlign w:val="center"/>
            <w:hideMark/>
          </w:tcPr>
          <w:p w14:paraId="7E8EA28F" w14:textId="77777777" w:rsidR="004E24F2" w:rsidRPr="008A08FD" w:rsidRDefault="004E24F2" w:rsidP="008A08FD">
            <w:pPr>
              <w:pStyle w:val="DHHStabletext"/>
              <w:rPr>
                <w:rFonts w:eastAsia="Trebuchet MS"/>
              </w:rPr>
            </w:pPr>
          </w:p>
        </w:tc>
        <w:tc>
          <w:tcPr>
            <w:tcW w:w="3529" w:type="dxa"/>
            <w:hideMark/>
          </w:tcPr>
          <w:p w14:paraId="40FF46A7" w14:textId="6E43ECDA" w:rsidR="004E24F2" w:rsidRPr="008A08FD" w:rsidRDefault="004E24F2" w:rsidP="008A08FD">
            <w:pPr>
              <w:pStyle w:val="DHHStabletext"/>
            </w:pPr>
            <w:r w:rsidRPr="008A08FD">
              <w:t>Admitted</w:t>
            </w:r>
            <w:r w:rsidR="00AE0126">
              <w:t xml:space="preserve"> – </w:t>
            </w:r>
            <w:r w:rsidRPr="008A08FD">
              <w:t>Non Acute</w:t>
            </w:r>
          </w:p>
        </w:tc>
        <w:tc>
          <w:tcPr>
            <w:tcW w:w="1244" w:type="dxa"/>
            <w:hideMark/>
          </w:tcPr>
          <w:p w14:paraId="1C465481" w14:textId="77777777" w:rsidR="004E24F2" w:rsidRPr="008A08FD" w:rsidRDefault="004E24F2" w:rsidP="008A08FD">
            <w:pPr>
              <w:pStyle w:val="DHHStabletext"/>
            </w:pPr>
            <w:r w:rsidRPr="008A08FD">
              <w:t>69,923</w:t>
            </w:r>
          </w:p>
        </w:tc>
        <w:tc>
          <w:tcPr>
            <w:tcW w:w="1244" w:type="dxa"/>
            <w:hideMark/>
          </w:tcPr>
          <w:p w14:paraId="5124988D" w14:textId="77777777" w:rsidR="004E24F2" w:rsidRPr="008A08FD" w:rsidRDefault="004E24F2" w:rsidP="008A08FD">
            <w:pPr>
              <w:pStyle w:val="DHHStabletext"/>
            </w:pPr>
            <w:r w:rsidRPr="008A08FD">
              <w:t>71,105</w:t>
            </w:r>
          </w:p>
        </w:tc>
        <w:tc>
          <w:tcPr>
            <w:tcW w:w="1198" w:type="dxa"/>
            <w:hideMark/>
          </w:tcPr>
          <w:p w14:paraId="03FD4234" w14:textId="77777777" w:rsidR="004E24F2" w:rsidRPr="008A08FD" w:rsidRDefault="004E24F2" w:rsidP="008A08FD">
            <w:pPr>
              <w:pStyle w:val="DHHStabletext"/>
            </w:pPr>
            <w:r w:rsidRPr="008A08FD">
              <w:t>71,495</w:t>
            </w:r>
          </w:p>
        </w:tc>
      </w:tr>
      <w:tr w:rsidR="004E24F2" w14:paraId="22D5C030" w14:textId="77777777" w:rsidTr="003F7650">
        <w:trPr>
          <w:trHeight w:val="325"/>
        </w:trPr>
        <w:tc>
          <w:tcPr>
            <w:tcW w:w="2664" w:type="dxa"/>
            <w:vMerge/>
            <w:vAlign w:val="center"/>
            <w:hideMark/>
          </w:tcPr>
          <w:p w14:paraId="52D40259" w14:textId="77777777" w:rsidR="004E24F2" w:rsidRPr="008A08FD" w:rsidRDefault="004E24F2" w:rsidP="008A08FD">
            <w:pPr>
              <w:pStyle w:val="DHHStabletext"/>
              <w:rPr>
                <w:rFonts w:eastAsia="Trebuchet MS"/>
              </w:rPr>
            </w:pPr>
          </w:p>
        </w:tc>
        <w:tc>
          <w:tcPr>
            <w:tcW w:w="3529" w:type="dxa"/>
            <w:hideMark/>
          </w:tcPr>
          <w:p w14:paraId="2A6B03E0" w14:textId="0D553503" w:rsidR="004E24F2" w:rsidRPr="008A08FD" w:rsidRDefault="004E24F2" w:rsidP="008A08FD">
            <w:pPr>
              <w:pStyle w:val="DHHStabletext"/>
            </w:pPr>
            <w:r w:rsidRPr="008A08FD">
              <w:t>Non Admitted</w:t>
            </w:r>
            <w:r w:rsidR="00AE0126">
              <w:t xml:space="preserve"> – </w:t>
            </w:r>
            <w:r w:rsidRPr="008A08FD">
              <w:t>Residential</w:t>
            </w:r>
          </w:p>
        </w:tc>
        <w:tc>
          <w:tcPr>
            <w:tcW w:w="1244" w:type="dxa"/>
            <w:hideMark/>
          </w:tcPr>
          <w:p w14:paraId="66805F4C" w14:textId="77777777" w:rsidR="004E24F2" w:rsidRPr="008A08FD" w:rsidRDefault="004E24F2" w:rsidP="008A08FD">
            <w:pPr>
              <w:pStyle w:val="DHHStabletext"/>
            </w:pPr>
            <w:r w:rsidRPr="008A08FD">
              <w:t>188,776</w:t>
            </w:r>
          </w:p>
        </w:tc>
        <w:tc>
          <w:tcPr>
            <w:tcW w:w="1244" w:type="dxa"/>
            <w:hideMark/>
          </w:tcPr>
          <w:p w14:paraId="65D4C5EB" w14:textId="77777777" w:rsidR="004E24F2" w:rsidRPr="008A08FD" w:rsidRDefault="004E24F2" w:rsidP="008A08FD">
            <w:pPr>
              <w:pStyle w:val="DHHStabletext"/>
            </w:pPr>
            <w:r w:rsidRPr="008A08FD">
              <w:t>174,918</w:t>
            </w:r>
          </w:p>
        </w:tc>
        <w:tc>
          <w:tcPr>
            <w:tcW w:w="1198" w:type="dxa"/>
            <w:hideMark/>
          </w:tcPr>
          <w:p w14:paraId="2EB9A403" w14:textId="77777777" w:rsidR="004E24F2" w:rsidRPr="008A08FD" w:rsidRDefault="004E24F2" w:rsidP="008A08FD">
            <w:pPr>
              <w:pStyle w:val="DHHStabletext"/>
            </w:pPr>
            <w:r w:rsidRPr="008A08FD">
              <w:t>163,668</w:t>
            </w:r>
          </w:p>
        </w:tc>
      </w:tr>
      <w:tr w:rsidR="004E24F2" w14:paraId="42B15BFD" w14:textId="77777777" w:rsidTr="003F7650">
        <w:trPr>
          <w:trHeight w:val="325"/>
        </w:trPr>
        <w:tc>
          <w:tcPr>
            <w:tcW w:w="2664" w:type="dxa"/>
            <w:vMerge/>
            <w:vAlign w:val="center"/>
            <w:hideMark/>
          </w:tcPr>
          <w:p w14:paraId="7D3AB4A5" w14:textId="77777777" w:rsidR="004E24F2" w:rsidRPr="008A08FD" w:rsidRDefault="004E24F2" w:rsidP="008A08FD">
            <w:pPr>
              <w:pStyle w:val="DHHStabletext"/>
              <w:rPr>
                <w:rFonts w:eastAsia="Trebuchet MS"/>
              </w:rPr>
            </w:pPr>
          </w:p>
        </w:tc>
        <w:tc>
          <w:tcPr>
            <w:tcW w:w="3529" w:type="dxa"/>
            <w:hideMark/>
          </w:tcPr>
          <w:p w14:paraId="50311B85" w14:textId="4D1F1CA6" w:rsidR="004E24F2" w:rsidRPr="008A08FD" w:rsidRDefault="004E24F2" w:rsidP="008A08FD">
            <w:pPr>
              <w:pStyle w:val="DHHStabletext"/>
            </w:pPr>
            <w:r w:rsidRPr="008A08FD">
              <w:t>Non Admitted</w:t>
            </w:r>
            <w:r w:rsidR="00AE0126">
              <w:t xml:space="preserve"> – </w:t>
            </w:r>
            <w:r w:rsidRPr="008A08FD">
              <w:t>Sub Acute (CCU)</w:t>
            </w:r>
          </w:p>
        </w:tc>
        <w:tc>
          <w:tcPr>
            <w:tcW w:w="1244" w:type="dxa"/>
            <w:hideMark/>
          </w:tcPr>
          <w:p w14:paraId="06F9A7A5" w14:textId="77777777" w:rsidR="004E24F2" w:rsidRPr="008A08FD" w:rsidRDefault="004E24F2" w:rsidP="008A08FD">
            <w:pPr>
              <w:pStyle w:val="DHHStabletext"/>
            </w:pPr>
            <w:r w:rsidRPr="008A08FD">
              <w:t>105,873</w:t>
            </w:r>
          </w:p>
        </w:tc>
        <w:tc>
          <w:tcPr>
            <w:tcW w:w="1244" w:type="dxa"/>
            <w:hideMark/>
          </w:tcPr>
          <w:p w14:paraId="32A10EC1" w14:textId="77777777" w:rsidR="004E24F2" w:rsidRPr="008A08FD" w:rsidRDefault="004E24F2" w:rsidP="008A08FD">
            <w:pPr>
              <w:pStyle w:val="DHHStabletext"/>
            </w:pPr>
            <w:r w:rsidRPr="008A08FD">
              <w:t>105,371</w:t>
            </w:r>
          </w:p>
        </w:tc>
        <w:tc>
          <w:tcPr>
            <w:tcW w:w="1198" w:type="dxa"/>
            <w:hideMark/>
          </w:tcPr>
          <w:p w14:paraId="67BFC339" w14:textId="77777777" w:rsidR="004E24F2" w:rsidRPr="008A08FD" w:rsidRDefault="004E24F2" w:rsidP="008A08FD">
            <w:pPr>
              <w:pStyle w:val="DHHStabletext"/>
            </w:pPr>
            <w:r w:rsidRPr="008A08FD">
              <w:t>104,488</w:t>
            </w:r>
          </w:p>
        </w:tc>
      </w:tr>
      <w:tr w:rsidR="004E24F2" w14:paraId="5D589BDF" w14:textId="77777777" w:rsidTr="003F7650">
        <w:trPr>
          <w:trHeight w:val="325"/>
        </w:trPr>
        <w:tc>
          <w:tcPr>
            <w:tcW w:w="2664" w:type="dxa"/>
            <w:vMerge/>
            <w:vAlign w:val="center"/>
            <w:hideMark/>
          </w:tcPr>
          <w:p w14:paraId="2922E389" w14:textId="77777777" w:rsidR="004E24F2" w:rsidRPr="008A08FD" w:rsidRDefault="004E24F2" w:rsidP="008A08FD">
            <w:pPr>
              <w:pStyle w:val="DHHStabletext"/>
              <w:rPr>
                <w:rFonts w:eastAsia="Trebuchet MS"/>
              </w:rPr>
            </w:pPr>
          </w:p>
        </w:tc>
        <w:tc>
          <w:tcPr>
            <w:tcW w:w="3529" w:type="dxa"/>
            <w:hideMark/>
          </w:tcPr>
          <w:p w14:paraId="3A7FC474" w14:textId="7CBDB11E" w:rsidR="004E24F2" w:rsidRPr="008A08FD" w:rsidRDefault="004E24F2" w:rsidP="008A08FD">
            <w:pPr>
              <w:pStyle w:val="DHHStabletext"/>
            </w:pPr>
            <w:r w:rsidRPr="008A08FD">
              <w:t>Non Admitted</w:t>
            </w:r>
            <w:r w:rsidR="00AE0126">
              <w:t xml:space="preserve"> – </w:t>
            </w:r>
            <w:r w:rsidRPr="008A08FD">
              <w:t>Sub Acute (PARC)</w:t>
            </w:r>
          </w:p>
        </w:tc>
        <w:tc>
          <w:tcPr>
            <w:tcW w:w="1244" w:type="dxa"/>
            <w:hideMark/>
          </w:tcPr>
          <w:p w14:paraId="52A06D22" w14:textId="77777777" w:rsidR="004E24F2" w:rsidRPr="008A08FD" w:rsidRDefault="004E24F2" w:rsidP="008A08FD">
            <w:pPr>
              <w:pStyle w:val="DHHStabletext"/>
            </w:pPr>
            <w:r w:rsidRPr="008A08FD">
              <w:t>59,821</w:t>
            </w:r>
          </w:p>
        </w:tc>
        <w:tc>
          <w:tcPr>
            <w:tcW w:w="1244" w:type="dxa"/>
            <w:hideMark/>
          </w:tcPr>
          <w:p w14:paraId="6F8786C4" w14:textId="77777777" w:rsidR="004E24F2" w:rsidRPr="008A08FD" w:rsidRDefault="004E24F2" w:rsidP="008A08FD">
            <w:pPr>
              <w:pStyle w:val="DHHStabletext"/>
            </w:pPr>
            <w:r w:rsidRPr="008A08FD">
              <w:t>63,425</w:t>
            </w:r>
          </w:p>
        </w:tc>
        <w:tc>
          <w:tcPr>
            <w:tcW w:w="1198" w:type="dxa"/>
            <w:hideMark/>
          </w:tcPr>
          <w:p w14:paraId="3D4A101A" w14:textId="77777777" w:rsidR="004E24F2" w:rsidRPr="008A08FD" w:rsidRDefault="004E24F2" w:rsidP="008A08FD">
            <w:pPr>
              <w:pStyle w:val="DHHStabletext"/>
            </w:pPr>
            <w:r w:rsidRPr="008A08FD">
              <w:t>66,354</w:t>
            </w:r>
          </w:p>
        </w:tc>
      </w:tr>
      <w:tr w:rsidR="004E24F2" w14:paraId="206F7053" w14:textId="77777777" w:rsidTr="003F7650">
        <w:trPr>
          <w:trHeight w:val="325"/>
        </w:trPr>
        <w:tc>
          <w:tcPr>
            <w:tcW w:w="2664" w:type="dxa"/>
            <w:vMerge/>
            <w:vAlign w:val="center"/>
            <w:hideMark/>
          </w:tcPr>
          <w:p w14:paraId="2B609F77" w14:textId="77777777" w:rsidR="004E24F2" w:rsidRPr="008A08FD" w:rsidRDefault="004E24F2" w:rsidP="008A08FD">
            <w:pPr>
              <w:pStyle w:val="DHHStabletext"/>
              <w:rPr>
                <w:rFonts w:eastAsia="Trebuchet MS"/>
              </w:rPr>
            </w:pPr>
          </w:p>
        </w:tc>
        <w:tc>
          <w:tcPr>
            <w:tcW w:w="3529" w:type="dxa"/>
            <w:shd w:val="clear" w:color="auto" w:fill="DCDDDE"/>
            <w:hideMark/>
          </w:tcPr>
          <w:p w14:paraId="34D26FD3" w14:textId="77777777" w:rsidR="004E24F2" w:rsidRPr="008A08FD" w:rsidRDefault="004E24F2" w:rsidP="008A08FD">
            <w:pPr>
              <w:pStyle w:val="DHHStabletext"/>
            </w:pPr>
            <w:r w:rsidRPr="008A08FD">
              <w:t>Total</w:t>
            </w:r>
          </w:p>
        </w:tc>
        <w:tc>
          <w:tcPr>
            <w:tcW w:w="1244" w:type="dxa"/>
            <w:shd w:val="clear" w:color="auto" w:fill="DCDDDE"/>
            <w:hideMark/>
          </w:tcPr>
          <w:p w14:paraId="0818B218" w14:textId="77777777" w:rsidR="004E24F2" w:rsidRPr="008A08FD" w:rsidRDefault="004E24F2" w:rsidP="008A08FD">
            <w:pPr>
              <w:pStyle w:val="DHHStabletext"/>
            </w:pPr>
            <w:r w:rsidRPr="008A08FD">
              <w:t>772,490</w:t>
            </w:r>
          </w:p>
        </w:tc>
        <w:tc>
          <w:tcPr>
            <w:tcW w:w="1244" w:type="dxa"/>
            <w:shd w:val="clear" w:color="auto" w:fill="DCDDDE"/>
            <w:hideMark/>
          </w:tcPr>
          <w:p w14:paraId="3674FE4A" w14:textId="77777777" w:rsidR="004E24F2" w:rsidRPr="008A08FD" w:rsidRDefault="004E24F2" w:rsidP="008A08FD">
            <w:pPr>
              <w:pStyle w:val="DHHStabletext"/>
            </w:pPr>
            <w:r w:rsidRPr="008A08FD">
              <w:t>771,604</w:t>
            </w:r>
          </w:p>
        </w:tc>
        <w:tc>
          <w:tcPr>
            <w:tcW w:w="1198" w:type="dxa"/>
            <w:shd w:val="clear" w:color="auto" w:fill="DCDDDE"/>
            <w:hideMark/>
          </w:tcPr>
          <w:p w14:paraId="414C1FDE" w14:textId="77777777" w:rsidR="004E24F2" w:rsidRPr="008A08FD" w:rsidRDefault="004E24F2" w:rsidP="008A08FD">
            <w:pPr>
              <w:pStyle w:val="DHHStabletext"/>
            </w:pPr>
            <w:r w:rsidRPr="008A08FD">
              <w:t>771,392</w:t>
            </w:r>
          </w:p>
        </w:tc>
      </w:tr>
      <w:tr w:rsidR="004E24F2" w14:paraId="3B797621" w14:textId="77777777" w:rsidTr="003F7650">
        <w:trPr>
          <w:trHeight w:val="327"/>
        </w:trPr>
        <w:tc>
          <w:tcPr>
            <w:tcW w:w="2664" w:type="dxa"/>
            <w:vMerge w:val="restart"/>
            <w:hideMark/>
          </w:tcPr>
          <w:p w14:paraId="6E34F079" w14:textId="77777777" w:rsidR="004E24F2" w:rsidRPr="008A08FD" w:rsidRDefault="004E24F2" w:rsidP="008A08FD">
            <w:pPr>
              <w:pStyle w:val="DHHStabletext"/>
            </w:pPr>
            <w:r w:rsidRPr="008A08FD">
              <w:t>Bed occupancy rate (including leave, excluding same days)†</w:t>
            </w:r>
          </w:p>
        </w:tc>
        <w:tc>
          <w:tcPr>
            <w:tcW w:w="3529" w:type="dxa"/>
            <w:hideMark/>
          </w:tcPr>
          <w:p w14:paraId="7FFA475E" w14:textId="116A9B3B" w:rsidR="004E24F2" w:rsidRPr="008A08FD" w:rsidRDefault="004E24F2" w:rsidP="008A08FD">
            <w:pPr>
              <w:pStyle w:val="DHHStabletext"/>
            </w:pPr>
            <w:r w:rsidRPr="008A08FD">
              <w:t>Admitted</w:t>
            </w:r>
            <w:r w:rsidR="00AE0126">
              <w:t xml:space="preserve"> – </w:t>
            </w:r>
            <w:r w:rsidRPr="008A08FD">
              <w:t>Acute</w:t>
            </w:r>
          </w:p>
        </w:tc>
        <w:tc>
          <w:tcPr>
            <w:tcW w:w="1244" w:type="dxa"/>
            <w:hideMark/>
          </w:tcPr>
          <w:p w14:paraId="3F90D344" w14:textId="77777777" w:rsidR="004E24F2" w:rsidRPr="008A08FD" w:rsidRDefault="004E24F2" w:rsidP="008A08FD">
            <w:pPr>
              <w:pStyle w:val="DHHStabletext"/>
            </w:pPr>
            <w:r w:rsidRPr="008A08FD">
              <w:t>88.6%</w:t>
            </w:r>
          </w:p>
        </w:tc>
        <w:tc>
          <w:tcPr>
            <w:tcW w:w="1244" w:type="dxa"/>
            <w:hideMark/>
          </w:tcPr>
          <w:p w14:paraId="3205A3C2" w14:textId="77777777" w:rsidR="004E24F2" w:rsidRPr="008A08FD" w:rsidRDefault="004E24F2" w:rsidP="008A08FD">
            <w:pPr>
              <w:pStyle w:val="DHHStabletext"/>
            </w:pPr>
            <w:r w:rsidRPr="008A08FD">
              <w:t>88.7%</w:t>
            </w:r>
          </w:p>
        </w:tc>
        <w:tc>
          <w:tcPr>
            <w:tcW w:w="1198" w:type="dxa"/>
            <w:hideMark/>
          </w:tcPr>
          <w:p w14:paraId="1D680AF7" w14:textId="77777777" w:rsidR="004E24F2" w:rsidRPr="008A08FD" w:rsidRDefault="004E24F2" w:rsidP="008A08FD">
            <w:pPr>
              <w:pStyle w:val="DHHStabletext"/>
            </w:pPr>
            <w:r w:rsidRPr="008A08FD">
              <w:t>89.0%</w:t>
            </w:r>
          </w:p>
        </w:tc>
      </w:tr>
      <w:tr w:rsidR="004E24F2" w14:paraId="19875DD3" w14:textId="77777777" w:rsidTr="003F7650">
        <w:trPr>
          <w:trHeight w:val="327"/>
        </w:trPr>
        <w:tc>
          <w:tcPr>
            <w:tcW w:w="2664" w:type="dxa"/>
            <w:vMerge/>
            <w:vAlign w:val="center"/>
            <w:hideMark/>
          </w:tcPr>
          <w:p w14:paraId="3DB5A602" w14:textId="77777777" w:rsidR="004E24F2" w:rsidRPr="008A08FD" w:rsidRDefault="004E24F2" w:rsidP="008A08FD">
            <w:pPr>
              <w:pStyle w:val="DHHStabletext"/>
              <w:rPr>
                <w:rFonts w:eastAsia="Trebuchet MS"/>
              </w:rPr>
            </w:pPr>
          </w:p>
        </w:tc>
        <w:tc>
          <w:tcPr>
            <w:tcW w:w="3529" w:type="dxa"/>
            <w:hideMark/>
          </w:tcPr>
          <w:p w14:paraId="7CAE6248" w14:textId="2DC38D3C" w:rsidR="004E24F2" w:rsidRPr="008A08FD" w:rsidRDefault="004E24F2" w:rsidP="008A08FD">
            <w:pPr>
              <w:pStyle w:val="DHHStabletext"/>
            </w:pPr>
            <w:r w:rsidRPr="008A08FD">
              <w:t>Admitted</w:t>
            </w:r>
            <w:r w:rsidR="00AE0126">
              <w:t xml:space="preserve"> – </w:t>
            </w:r>
            <w:r w:rsidRPr="008A08FD">
              <w:t>Non Acute</w:t>
            </w:r>
          </w:p>
        </w:tc>
        <w:tc>
          <w:tcPr>
            <w:tcW w:w="1244" w:type="dxa"/>
            <w:hideMark/>
          </w:tcPr>
          <w:p w14:paraId="48FD4FE7" w14:textId="77777777" w:rsidR="004E24F2" w:rsidRPr="008A08FD" w:rsidRDefault="004E24F2" w:rsidP="008A08FD">
            <w:pPr>
              <w:pStyle w:val="DHHStabletext"/>
            </w:pPr>
            <w:r w:rsidRPr="008A08FD">
              <w:t>90.8%</w:t>
            </w:r>
          </w:p>
        </w:tc>
        <w:tc>
          <w:tcPr>
            <w:tcW w:w="1244" w:type="dxa"/>
            <w:hideMark/>
          </w:tcPr>
          <w:p w14:paraId="38EF328D" w14:textId="77777777" w:rsidR="004E24F2" w:rsidRPr="008A08FD" w:rsidRDefault="004E24F2" w:rsidP="008A08FD">
            <w:pPr>
              <w:pStyle w:val="DHHStabletext"/>
            </w:pPr>
            <w:r w:rsidRPr="008A08FD">
              <w:t>92.1%</w:t>
            </w:r>
          </w:p>
        </w:tc>
        <w:tc>
          <w:tcPr>
            <w:tcW w:w="1198" w:type="dxa"/>
            <w:hideMark/>
          </w:tcPr>
          <w:p w14:paraId="4B7318B3" w14:textId="77777777" w:rsidR="004E24F2" w:rsidRPr="008A08FD" w:rsidRDefault="004E24F2" w:rsidP="008A08FD">
            <w:pPr>
              <w:pStyle w:val="DHHStabletext"/>
            </w:pPr>
            <w:r w:rsidRPr="008A08FD">
              <w:t>92.8%</w:t>
            </w:r>
          </w:p>
        </w:tc>
      </w:tr>
      <w:tr w:rsidR="004E24F2" w14:paraId="3B4D4D5F" w14:textId="77777777" w:rsidTr="003F7650">
        <w:trPr>
          <w:trHeight w:val="327"/>
        </w:trPr>
        <w:tc>
          <w:tcPr>
            <w:tcW w:w="2664" w:type="dxa"/>
            <w:vMerge/>
            <w:vAlign w:val="center"/>
            <w:hideMark/>
          </w:tcPr>
          <w:p w14:paraId="79273679" w14:textId="77777777" w:rsidR="004E24F2" w:rsidRPr="008A08FD" w:rsidRDefault="004E24F2" w:rsidP="008A08FD">
            <w:pPr>
              <w:pStyle w:val="DHHStabletext"/>
              <w:rPr>
                <w:rFonts w:eastAsia="Trebuchet MS"/>
              </w:rPr>
            </w:pPr>
          </w:p>
        </w:tc>
        <w:tc>
          <w:tcPr>
            <w:tcW w:w="3529" w:type="dxa"/>
            <w:hideMark/>
          </w:tcPr>
          <w:p w14:paraId="7061C374" w14:textId="30BAEDB9" w:rsidR="004E24F2" w:rsidRPr="008A08FD" w:rsidRDefault="004E24F2" w:rsidP="008A08FD">
            <w:pPr>
              <w:pStyle w:val="DHHStabletext"/>
            </w:pPr>
            <w:r w:rsidRPr="008A08FD">
              <w:t>Non Admitted</w:t>
            </w:r>
            <w:r w:rsidR="00AE0126">
              <w:t xml:space="preserve"> – </w:t>
            </w:r>
            <w:r w:rsidRPr="008A08FD">
              <w:t>Residential</w:t>
            </w:r>
          </w:p>
        </w:tc>
        <w:tc>
          <w:tcPr>
            <w:tcW w:w="1244" w:type="dxa"/>
            <w:hideMark/>
          </w:tcPr>
          <w:p w14:paraId="719430F3" w14:textId="77777777" w:rsidR="004E24F2" w:rsidRPr="008A08FD" w:rsidRDefault="004E24F2" w:rsidP="008A08FD">
            <w:pPr>
              <w:pStyle w:val="DHHStabletext"/>
            </w:pPr>
            <w:r w:rsidRPr="008A08FD">
              <w:t>89.6%</w:t>
            </w:r>
          </w:p>
        </w:tc>
        <w:tc>
          <w:tcPr>
            <w:tcW w:w="1244" w:type="dxa"/>
            <w:hideMark/>
          </w:tcPr>
          <w:p w14:paraId="5D26C533" w14:textId="77777777" w:rsidR="004E24F2" w:rsidRPr="008A08FD" w:rsidRDefault="004E24F2" w:rsidP="008A08FD">
            <w:pPr>
              <w:pStyle w:val="DHHStabletext"/>
            </w:pPr>
            <w:r w:rsidRPr="008A08FD">
              <w:t>87.9%</w:t>
            </w:r>
          </w:p>
        </w:tc>
        <w:tc>
          <w:tcPr>
            <w:tcW w:w="1198" w:type="dxa"/>
            <w:hideMark/>
          </w:tcPr>
          <w:p w14:paraId="33681729" w14:textId="77777777" w:rsidR="004E24F2" w:rsidRPr="008A08FD" w:rsidRDefault="004E24F2" w:rsidP="008A08FD">
            <w:pPr>
              <w:pStyle w:val="DHHStabletext"/>
            </w:pPr>
            <w:r w:rsidRPr="008A08FD">
              <w:t>86.6%</w:t>
            </w:r>
          </w:p>
        </w:tc>
      </w:tr>
      <w:tr w:rsidR="004E24F2" w14:paraId="6995B21E" w14:textId="77777777" w:rsidTr="003F7650">
        <w:trPr>
          <w:trHeight w:val="330"/>
        </w:trPr>
        <w:tc>
          <w:tcPr>
            <w:tcW w:w="2664" w:type="dxa"/>
            <w:vMerge/>
            <w:vAlign w:val="center"/>
            <w:hideMark/>
          </w:tcPr>
          <w:p w14:paraId="1F9E084F" w14:textId="77777777" w:rsidR="004E24F2" w:rsidRPr="008A08FD" w:rsidRDefault="004E24F2" w:rsidP="008A08FD">
            <w:pPr>
              <w:pStyle w:val="DHHStabletext"/>
              <w:rPr>
                <w:rFonts w:eastAsia="Trebuchet MS"/>
              </w:rPr>
            </w:pPr>
          </w:p>
        </w:tc>
        <w:tc>
          <w:tcPr>
            <w:tcW w:w="3529" w:type="dxa"/>
            <w:hideMark/>
          </w:tcPr>
          <w:p w14:paraId="0CB18D87" w14:textId="157AB89D" w:rsidR="004E24F2" w:rsidRPr="008A08FD" w:rsidRDefault="004E24F2" w:rsidP="008A08FD">
            <w:pPr>
              <w:pStyle w:val="DHHStabletext"/>
            </w:pPr>
            <w:r w:rsidRPr="008A08FD">
              <w:t>Non Admitted</w:t>
            </w:r>
            <w:r w:rsidR="00AE0126">
              <w:t xml:space="preserve"> – </w:t>
            </w:r>
            <w:r w:rsidRPr="008A08FD">
              <w:t>Sub Acute (CCU)</w:t>
            </w:r>
          </w:p>
        </w:tc>
        <w:tc>
          <w:tcPr>
            <w:tcW w:w="1244" w:type="dxa"/>
            <w:hideMark/>
          </w:tcPr>
          <w:p w14:paraId="128F2AD2" w14:textId="77777777" w:rsidR="004E24F2" w:rsidRPr="008A08FD" w:rsidRDefault="004E24F2" w:rsidP="008A08FD">
            <w:pPr>
              <w:pStyle w:val="DHHStabletext"/>
            </w:pPr>
            <w:r w:rsidRPr="008A08FD">
              <w:t>81.3%</w:t>
            </w:r>
          </w:p>
        </w:tc>
        <w:tc>
          <w:tcPr>
            <w:tcW w:w="1244" w:type="dxa"/>
            <w:hideMark/>
          </w:tcPr>
          <w:p w14:paraId="196A654D" w14:textId="77777777" w:rsidR="004E24F2" w:rsidRPr="008A08FD" w:rsidRDefault="004E24F2" w:rsidP="008A08FD">
            <w:pPr>
              <w:pStyle w:val="DHHStabletext"/>
            </w:pPr>
            <w:r w:rsidRPr="008A08FD">
              <w:t>80.9%</w:t>
            </w:r>
          </w:p>
        </w:tc>
        <w:tc>
          <w:tcPr>
            <w:tcW w:w="1198" w:type="dxa"/>
            <w:hideMark/>
          </w:tcPr>
          <w:p w14:paraId="21BCF87E" w14:textId="77777777" w:rsidR="004E24F2" w:rsidRPr="008A08FD" w:rsidRDefault="004E24F2" w:rsidP="008A08FD">
            <w:pPr>
              <w:pStyle w:val="DHHStabletext"/>
            </w:pPr>
            <w:r w:rsidRPr="008A08FD">
              <w:t>80.3%</w:t>
            </w:r>
          </w:p>
        </w:tc>
      </w:tr>
      <w:tr w:rsidR="004E24F2" w14:paraId="5AB9BD89" w14:textId="77777777" w:rsidTr="003F7650">
        <w:trPr>
          <w:trHeight w:val="330"/>
        </w:trPr>
        <w:tc>
          <w:tcPr>
            <w:tcW w:w="2664" w:type="dxa"/>
            <w:vMerge/>
            <w:vAlign w:val="center"/>
            <w:hideMark/>
          </w:tcPr>
          <w:p w14:paraId="2EDF1984" w14:textId="77777777" w:rsidR="004E24F2" w:rsidRPr="008A08FD" w:rsidRDefault="004E24F2" w:rsidP="008A08FD">
            <w:pPr>
              <w:pStyle w:val="DHHStabletext"/>
              <w:rPr>
                <w:rFonts w:eastAsia="Trebuchet MS"/>
              </w:rPr>
            </w:pPr>
          </w:p>
        </w:tc>
        <w:tc>
          <w:tcPr>
            <w:tcW w:w="3529" w:type="dxa"/>
            <w:hideMark/>
          </w:tcPr>
          <w:p w14:paraId="3FE2B704" w14:textId="15FB6A11" w:rsidR="004E24F2" w:rsidRPr="008A08FD" w:rsidRDefault="004E24F2" w:rsidP="008A08FD">
            <w:pPr>
              <w:pStyle w:val="DHHStabletext"/>
            </w:pPr>
            <w:r w:rsidRPr="008A08FD">
              <w:t>Non Admitted</w:t>
            </w:r>
            <w:r w:rsidR="00AE0126">
              <w:t xml:space="preserve"> – </w:t>
            </w:r>
            <w:r w:rsidRPr="008A08FD">
              <w:t>Sub Acute (PARC)</w:t>
            </w:r>
          </w:p>
        </w:tc>
        <w:tc>
          <w:tcPr>
            <w:tcW w:w="1244" w:type="dxa"/>
            <w:hideMark/>
          </w:tcPr>
          <w:p w14:paraId="7793FB07" w14:textId="77777777" w:rsidR="004E24F2" w:rsidRPr="008A08FD" w:rsidRDefault="004E24F2" w:rsidP="008A08FD">
            <w:pPr>
              <w:pStyle w:val="DHHStabletext"/>
            </w:pPr>
            <w:r w:rsidRPr="008A08FD">
              <w:t>77.2%</w:t>
            </w:r>
          </w:p>
        </w:tc>
        <w:tc>
          <w:tcPr>
            <w:tcW w:w="1244" w:type="dxa"/>
            <w:hideMark/>
          </w:tcPr>
          <w:p w14:paraId="03122EF0" w14:textId="77777777" w:rsidR="004E24F2" w:rsidRPr="008A08FD" w:rsidRDefault="004E24F2" w:rsidP="008A08FD">
            <w:pPr>
              <w:pStyle w:val="DHHStabletext"/>
            </w:pPr>
            <w:r w:rsidRPr="008A08FD">
              <w:t>77.8%</w:t>
            </w:r>
          </w:p>
        </w:tc>
        <w:tc>
          <w:tcPr>
            <w:tcW w:w="1198" w:type="dxa"/>
            <w:hideMark/>
          </w:tcPr>
          <w:p w14:paraId="6B9F562C" w14:textId="77777777" w:rsidR="004E24F2" w:rsidRPr="008A08FD" w:rsidRDefault="004E24F2" w:rsidP="008A08FD">
            <w:pPr>
              <w:pStyle w:val="DHHStabletext"/>
            </w:pPr>
            <w:r w:rsidRPr="008A08FD">
              <w:t>81.5%</w:t>
            </w:r>
          </w:p>
        </w:tc>
      </w:tr>
      <w:tr w:rsidR="004E24F2" w14:paraId="7A4D7F4C" w14:textId="77777777" w:rsidTr="003F7650">
        <w:trPr>
          <w:trHeight w:val="330"/>
        </w:trPr>
        <w:tc>
          <w:tcPr>
            <w:tcW w:w="2664" w:type="dxa"/>
            <w:vMerge/>
            <w:vAlign w:val="center"/>
            <w:hideMark/>
          </w:tcPr>
          <w:p w14:paraId="22A922BD" w14:textId="77777777" w:rsidR="004E24F2" w:rsidRPr="008A08FD" w:rsidRDefault="004E24F2" w:rsidP="008A08FD">
            <w:pPr>
              <w:pStyle w:val="DHHStabletext"/>
              <w:rPr>
                <w:rFonts w:eastAsia="Trebuchet MS"/>
              </w:rPr>
            </w:pPr>
          </w:p>
        </w:tc>
        <w:tc>
          <w:tcPr>
            <w:tcW w:w="3529" w:type="dxa"/>
            <w:shd w:val="clear" w:color="auto" w:fill="DCDDDE"/>
            <w:hideMark/>
          </w:tcPr>
          <w:p w14:paraId="4DA66AB3" w14:textId="77777777" w:rsidR="004E24F2" w:rsidRPr="008A08FD" w:rsidRDefault="004E24F2" w:rsidP="008A08FD">
            <w:pPr>
              <w:pStyle w:val="DHHStabletext"/>
            </w:pPr>
            <w:r w:rsidRPr="008A08FD">
              <w:t>Total</w:t>
            </w:r>
          </w:p>
        </w:tc>
        <w:tc>
          <w:tcPr>
            <w:tcW w:w="1244" w:type="dxa"/>
            <w:shd w:val="clear" w:color="auto" w:fill="DCDDDE"/>
            <w:hideMark/>
          </w:tcPr>
          <w:p w14:paraId="04583E28" w14:textId="77777777" w:rsidR="004E24F2" w:rsidRPr="008A08FD" w:rsidRDefault="004E24F2" w:rsidP="008A08FD">
            <w:pPr>
              <w:pStyle w:val="DHHStabletext"/>
            </w:pPr>
            <w:r w:rsidRPr="008A08FD">
              <w:t>86.9%</w:t>
            </w:r>
          </w:p>
        </w:tc>
        <w:tc>
          <w:tcPr>
            <w:tcW w:w="1244" w:type="dxa"/>
            <w:shd w:val="clear" w:color="auto" w:fill="DCDDDE"/>
            <w:hideMark/>
          </w:tcPr>
          <w:p w14:paraId="485531F0" w14:textId="77777777" w:rsidR="004E24F2" w:rsidRPr="008A08FD" w:rsidRDefault="004E24F2" w:rsidP="008A08FD">
            <w:pPr>
              <w:pStyle w:val="DHHStabletext"/>
            </w:pPr>
            <w:r w:rsidRPr="008A08FD">
              <w:t>86.7%</w:t>
            </w:r>
          </w:p>
        </w:tc>
        <w:tc>
          <w:tcPr>
            <w:tcW w:w="1198" w:type="dxa"/>
            <w:shd w:val="clear" w:color="auto" w:fill="DCDDDE"/>
            <w:hideMark/>
          </w:tcPr>
          <w:p w14:paraId="0769A0E1" w14:textId="77777777" w:rsidR="004E24F2" w:rsidRPr="008A08FD" w:rsidRDefault="004E24F2" w:rsidP="008A08FD">
            <w:pPr>
              <w:pStyle w:val="DHHStabletext"/>
            </w:pPr>
            <w:r w:rsidRPr="008A08FD">
              <w:t>86.9%</w:t>
            </w:r>
          </w:p>
        </w:tc>
      </w:tr>
    </w:tbl>
    <w:p w14:paraId="0A198338" w14:textId="77777777" w:rsidR="004E24F2" w:rsidRDefault="004E24F2" w:rsidP="004E24F2">
      <w:pPr>
        <w:pStyle w:val="BodyText"/>
        <w:spacing w:before="10"/>
        <w:rPr>
          <w:rFonts w:ascii="Times New Roman" w:eastAsia="Trebuchet MS" w:hAnsi="Trebuchet MS" w:cs="Trebuchet MS"/>
          <w:sz w:val="5"/>
        </w:rPr>
      </w:pPr>
    </w:p>
    <w:tbl>
      <w:tblPr>
        <w:tblpPr w:leftFromText="180" w:rightFromText="180" w:horzAnchor="margin" w:tblpY="384"/>
        <w:tblW w:w="9879"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664"/>
        <w:gridCol w:w="3529"/>
        <w:gridCol w:w="1244"/>
        <w:gridCol w:w="1244"/>
        <w:gridCol w:w="1198"/>
      </w:tblGrid>
      <w:tr w:rsidR="004E24F2" w14:paraId="1C07D931" w14:textId="77777777" w:rsidTr="003F7650">
        <w:trPr>
          <w:trHeight w:val="680"/>
          <w:tblHeader/>
        </w:trPr>
        <w:tc>
          <w:tcPr>
            <w:tcW w:w="2664" w:type="dxa"/>
            <w:shd w:val="clear" w:color="auto" w:fill="auto"/>
            <w:hideMark/>
          </w:tcPr>
          <w:p w14:paraId="1465FB4F" w14:textId="2906BD31" w:rsidR="004E24F2" w:rsidRPr="008A08FD" w:rsidRDefault="004E24F2" w:rsidP="008A08FD">
            <w:pPr>
              <w:pStyle w:val="DHHStablecolhead"/>
            </w:pPr>
            <w:r w:rsidRPr="008A08FD">
              <w:lastRenderedPageBreak/>
              <w:t>Service activity</w:t>
            </w:r>
            <w:r w:rsidR="008A08FD">
              <w:t xml:space="preserve"> </w:t>
            </w:r>
            <w:r w:rsidRPr="008A08FD">
              <w:t>– community</w:t>
            </w:r>
          </w:p>
        </w:tc>
        <w:tc>
          <w:tcPr>
            <w:tcW w:w="3529" w:type="dxa"/>
            <w:shd w:val="clear" w:color="auto" w:fill="auto"/>
          </w:tcPr>
          <w:p w14:paraId="2B8CFD01" w14:textId="77777777" w:rsidR="004E24F2" w:rsidRPr="008A08FD" w:rsidRDefault="004E24F2" w:rsidP="008A08FD">
            <w:pPr>
              <w:pStyle w:val="DHHStablecolhead"/>
            </w:pPr>
            <w:r w:rsidRPr="008A08FD">
              <w:t>Population</w:t>
            </w:r>
          </w:p>
        </w:tc>
        <w:tc>
          <w:tcPr>
            <w:tcW w:w="1244" w:type="dxa"/>
            <w:shd w:val="clear" w:color="auto" w:fill="auto"/>
          </w:tcPr>
          <w:p w14:paraId="646C6E0C" w14:textId="77777777" w:rsidR="004E24F2" w:rsidRPr="008A08FD" w:rsidRDefault="004E24F2" w:rsidP="008A08FD">
            <w:pPr>
              <w:pStyle w:val="DHHStablecolhead"/>
            </w:pPr>
            <w:r w:rsidRPr="008A08FD">
              <w:t>2014–15</w:t>
            </w:r>
          </w:p>
        </w:tc>
        <w:tc>
          <w:tcPr>
            <w:tcW w:w="1244" w:type="dxa"/>
            <w:shd w:val="clear" w:color="auto" w:fill="auto"/>
          </w:tcPr>
          <w:p w14:paraId="19CCA3DE" w14:textId="77777777" w:rsidR="004E24F2" w:rsidRPr="008A08FD" w:rsidRDefault="004E24F2" w:rsidP="008A08FD">
            <w:pPr>
              <w:pStyle w:val="DHHStablecolhead"/>
            </w:pPr>
            <w:r w:rsidRPr="008A08FD">
              <w:t>2015–16</w:t>
            </w:r>
          </w:p>
        </w:tc>
        <w:tc>
          <w:tcPr>
            <w:tcW w:w="1198" w:type="dxa"/>
            <w:shd w:val="clear" w:color="auto" w:fill="auto"/>
          </w:tcPr>
          <w:p w14:paraId="41CE2254" w14:textId="77777777" w:rsidR="004E24F2" w:rsidRPr="008A08FD" w:rsidRDefault="004E24F2" w:rsidP="008A08FD">
            <w:pPr>
              <w:pStyle w:val="DHHStablecolhead"/>
            </w:pPr>
            <w:r w:rsidRPr="008A08FD">
              <w:t>2016–17</w:t>
            </w:r>
          </w:p>
        </w:tc>
      </w:tr>
      <w:tr w:rsidR="004E24F2" w14:paraId="179FA9EC" w14:textId="77777777" w:rsidTr="003F7650">
        <w:trPr>
          <w:trHeight w:val="332"/>
        </w:trPr>
        <w:tc>
          <w:tcPr>
            <w:tcW w:w="2664" w:type="dxa"/>
            <w:vMerge w:val="restart"/>
            <w:hideMark/>
          </w:tcPr>
          <w:p w14:paraId="7423FD1F" w14:textId="77777777" w:rsidR="004E24F2" w:rsidRPr="00EE31F2" w:rsidRDefault="004E24F2" w:rsidP="00EE31F2">
            <w:pPr>
              <w:pStyle w:val="DHHStabletext"/>
            </w:pPr>
            <w:r w:rsidRPr="00EE31F2">
              <w:t>Total service contacts, by sector**</w:t>
            </w:r>
          </w:p>
        </w:tc>
        <w:tc>
          <w:tcPr>
            <w:tcW w:w="3529" w:type="dxa"/>
            <w:hideMark/>
          </w:tcPr>
          <w:p w14:paraId="23B283AD" w14:textId="77777777" w:rsidR="004E24F2" w:rsidRPr="00EE31F2" w:rsidRDefault="004E24F2" w:rsidP="00EE31F2">
            <w:pPr>
              <w:pStyle w:val="DHHStabletext"/>
            </w:pPr>
            <w:r w:rsidRPr="00EE31F2">
              <w:t>Adult</w:t>
            </w:r>
          </w:p>
        </w:tc>
        <w:tc>
          <w:tcPr>
            <w:tcW w:w="1244" w:type="dxa"/>
            <w:hideMark/>
          </w:tcPr>
          <w:p w14:paraId="12724F9A" w14:textId="77777777" w:rsidR="004E24F2" w:rsidRPr="00EE31F2" w:rsidRDefault="004E24F2" w:rsidP="00EE31F2">
            <w:pPr>
              <w:pStyle w:val="DHHStabletext"/>
            </w:pPr>
            <w:r w:rsidRPr="00EE31F2">
              <w:t>1,482,886</w:t>
            </w:r>
          </w:p>
        </w:tc>
        <w:tc>
          <w:tcPr>
            <w:tcW w:w="1244" w:type="dxa"/>
            <w:hideMark/>
          </w:tcPr>
          <w:p w14:paraId="466492EC" w14:textId="77777777" w:rsidR="004E24F2" w:rsidRPr="00EE31F2" w:rsidRDefault="004E24F2" w:rsidP="00EE31F2">
            <w:pPr>
              <w:pStyle w:val="DHHStabletext"/>
            </w:pPr>
            <w:r w:rsidRPr="00EE31F2">
              <w:t>1,400,443</w:t>
            </w:r>
          </w:p>
        </w:tc>
        <w:tc>
          <w:tcPr>
            <w:tcW w:w="1198" w:type="dxa"/>
            <w:hideMark/>
          </w:tcPr>
          <w:p w14:paraId="1B65489F" w14:textId="77777777" w:rsidR="004E24F2" w:rsidRPr="00EE31F2" w:rsidRDefault="004E24F2" w:rsidP="00EE31F2">
            <w:pPr>
              <w:pStyle w:val="DHHStabletext"/>
            </w:pPr>
            <w:r w:rsidRPr="00EE31F2">
              <w:t>1,188,980</w:t>
            </w:r>
          </w:p>
        </w:tc>
      </w:tr>
      <w:tr w:rsidR="004E24F2" w14:paraId="3CBC6A3D" w14:textId="77777777" w:rsidTr="003F7650">
        <w:trPr>
          <w:trHeight w:val="325"/>
        </w:trPr>
        <w:tc>
          <w:tcPr>
            <w:tcW w:w="2664" w:type="dxa"/>
            <w:vMerge/>
            <w:vAlign w:val="center"/>
            <w:hideMark/>
          </w:tcPr>
          <w:p w14:paraId="63467203" w14:textId="77777777" w:rsidR="004E24F2" w:rsidRPr="00EE31F2" w:rsidRDefault="004E24F2" w:rsidP="00EE31F2">
            <w:pPr>
              <w:pStyle w:val="DHHStabletext"/>
              <w:rPr>
                <w:rFonts w:eastAsia="Trebuchet MS"/>
              </w:rPr>
            </w:pPr>
          </w:p>
        </w:tc>
        <w:tc>
          <w:tcPr>
            <w:tcW w:w="3529" w:type="dxa"/>
            <w:hideMark/>
          </w:tcPr>
          <w:p w14:paraId="2090CE89" w14:textId="77777777" w:rsidR="004E24F2" w:rsidRPr="00EE31F2" w:rsidRDefault="004E24F2" w:rsidP="00EE31F2">
            <w:pPr>
              <w:pStyle w:val="DHHStabletext"/>
            </w:pPr>
            <w:r w:rsidRPr="00EE31F2">
              <w:t>Aged</w:t>
            </w:r>
          </w:p>
        </w:tc>
        <w:tc>
          <w:tcPr>
            <w:tcW w:w="1244" w:type="dxa"/>
            <w:hideMark/>
          </w:tcPr>
          <w:p w14:paraId="6E501165" w14:textId="77777777" w:rsidR="004E24F2" w:rsidRPr="00EE31F2" w:rsidRDefault="004E24F2" w:rsidP="00EE31F2">
            <w:pPr>
              <w:pStyle w:val="DHHStabletext"/>
            </w:pPr>
            <w:r w:rsidRPr="00EE31F2">
              <w:t>248,265</w:t>
            </w:r>
          </w:p>
        </w:tc>
        <w:tc>
          <w:tcPr>
            <w:tcW w:w="1244" w:type="dxa"/>
            <w:hideMark/>
          </w:tcPr>
          <w:p w14:paraId="10B82F4E" w14:textId="77777777" w:rsidR="004E24F2" w:rsidRPr="00EE31F2" w:rsidRDefault="004E24F2" w:rsidP="00EE31F2">
            <w:pPr>
              <w:pStyle w:val="DHHStabletext"/>
            </w:pPr>
            <w:r w:rsidRPr="00EE31F2">
              <w:t>219,341</w:t>
            </w:r>
          </w:p>
        </w:tc>
        <w:tc>
          <w:tcPr>
            <w:tcW w:w="1198" w:type="dxa"/>
            <w:hideMark/>
          </w:tcPr>
          <w:p w14:paraId="04FB6E20" w14:textId="77777777" w:rsidR="004E24F2" w:rsidRPr="00EE31F2" w:rsidRDefault="004E24F2" w:rsidP="00EE31F2">
            <w:pPr>
              <w:pStyle w:val="DHHStabletext"/>
            </w:pPr>
            <w:r w:rsidRPr="00EE31F2">
              <w:t>168,672</w:t>
            </w:r>
          </w:p>
        </w:tc>
      </w:tr>
      <w:tr w:rsidR="004E24F2" w14:paraId="1120C164" w14:textId="77777777" w:rsidTr="003F7650">
        <w:trPr>
          <w:trHeight w:val="325"/>
        </w:trPr>
        <w:tc>
          <w:tcPr>
            <w:tcW w:w="2664" w:type="dxa"/>
            <w:vMerge/>
            <w:vAlign w:val="center"/>
            <w:hideMark/>
          </w:tcPr>
          <w:p w14:paraId="23446ADF" w14:textId="77777777" w:rsidR="004E24F2" w:rsidRPr="00EE31F2" w:rsidRDefault="004E24F2" w:rsidP="00EE31F2">
            <w:pPr>
              <w:pStyle w:val="DHHStabletext"/>
              <w:rPr>
                <w:rFonts w:eastAsia="Trebuchet MS"/>
              </w:rPr>
            </w:pPr>
          </w:p>
        </w:tc>
        <w:tc>
          <w:tcPr>
            <w:tcW w:w="3529" w:type="dxa"/>
            <w:hideMark/>
          </w:tcPr>
          <w:p w14:paraId="12C4B625" w14:textId="77777777" w:rsidR="004E24F2" w:rsidRPr="00EE31F2" w:rsidRDefault="004E24F2" w:rsidP="00EE31F2">
            <w:pPr>
              <w:pStyle w:val="DHHStabletext"/>
            </w:pPr>
            <w:r w:rsidRPr="00EE31F2">
              <w:t>CAMHS</w:t>
            </w:r>
          </w:p>
        </w:tc>
        <w:tc>
          <w:tcPr>
            <w:tcW w:w="1244" w:type="dxa"/>
            <w:hideMark/>
          </w:tcPr>
          <w:p w14:paraId="1F8C67B6" w14:textId="77777777" w:rsidR="004E24F2" w:rsidRPr="00EE31F2" w:rsidRDefault="004E24F2" w:rsidP="00EE31F2">
            <w:pPr>
              <w:pStyle w:val="DHHStabletext"/>
            </w:pPr>
            <w:r w:rsidRPr="00EE31F2">
              <w:t>289,902</w:t>
            </w:r>
          </w:p>
        </w:tc>
        <w:tc>
          <w:tcPr>
            <w:tcW w:w="1244" w:type="dxa"/>
            <w:hideMark/>
          </w:tcPr>
          <w:p w14:paraId="6873626B" w14:textId="77777777" w:rsidR="004E24F2" w:rsidRPr="00EE31F2" w:rsidRDefault="004E24F2" w:rsidP="00EE31F2">
            <w:pPr>
              <w:pStyle w:val="DHHStabletext"/>
            </w:pPr>
            <w:r w:rsidRPr="00EE31F2">
              <w:t>275,038</w:t>
            </w:r>
          </w:p>
        </w:tc>
        <w:tc>
          <w:tcPr>
            <w:tcW w:w="1198" w:type="dxa"/>
            <w:hideMark/>
          </w:tcPr>
          <w:p w14:paraId="2D9390A4" w14:textId="77777777" w:rsidR="004E24F2" w:rsidRPr="00EE31F2" w:rsidRDefault="004E24F2" w:rsidP="00EE31F2">
            <w:pPr>
              <w:pStyle w:val="DHHStabletext"/>
            </w:pPr>
            <w:r w:rsidRPr="00EE31F2">
              <w:t>278,673</w:t>
            </w:r>
          </w:p>
        </w:tc>
      </w:tr>
      <w:tr w:rsidR="004E24F2" w14:paraId="19CF3FE2" w14:textId="77777777" w:rsidTr="003F7650">
        <w:trPr>
          <w:trHeight w:val="325"/>
        </w:trPr>
        <w:tc>
          <w:tcPr>
            <w:tcW w:w="2664" w:type="dxa"/>
            <w:vMerge/>
            <w:vAlign w:val="center"/>
            <w:hideMark/>
          </w:tcPr>
          <w:p w14:paraId="30A7DCB1" w14:textId="77777777" w:rsidR="004E24F2" w:rsidRPr="00EE31F2" w:rsidRDefault="004E24F2" w:rsidP="00EE31F2">
            <w:pPr>
              <w:pStyle w:val="DHHStabletext"/>
              <w:rPr>
                <w:rFonts w:eastAsia="Trebuchet MS"/>
              </w:rPr>
            </w:pPr>
          </w:p>
        </w:tc>
        <w:tc>
          <w:tcPr>
            <w:tcW w:w="3529" w:type="dxa"/>
            <w:hideMark/>
          </w:tcPr>
          <w:p w14:paraId="32CA3118" w14:textId="77777777" w:rsidR="004E24F2" w:rsidRPr="00EE31F2" w:rsidRDefault="004E24F2" w:rsidP="00EE31F2">
            <w:pPr>
              <w:pStyle w:val="DHHStabletext"/>
            </w:pPr>
            <w:r w:rsidRPr="00EE31F2">
              <w:t>Forensic</w:t>
            </w:r>
          </w:p>
        </w:tc>
        <w:tc>
          <w:tcPr>
            <w:tcW w:w="1244" w:type="dxa"/>
            <w:hideMark/>
          </w:tcPr>
          <w:p w14:paraId="11CA2171" w14:textId="77777777" w:rsidR="004E24F2" w:rsidRPr="00EE31F2" w:rsidRDefault="004E24F2" w:rsidP="00EE31F2">
            <w:pPr>
              <w:pStyle w:val="DHHStabletext"/>
            </w:pPr>
            <w:r w:rsidRPr="00EE31F2">
              <w:t>15,780</w:t>
            </w:r>
          </w:p>
        </w:tc>
        <w:tc>
          <w:tcPr>
            <w:tcW w:w="1244" w:type="dxa"/>
            <w:hideMark/>
          </w:tcPr>
          <w:p w14:paraId="1271969D" w14:textId="77777777" w:rsidR="004E24F2" w:rsidRPr="00EE31F2" w:rsidRDefault="004E24F2" w:rsidP="00EE31F2">
            <w:pPr>
              <w:pStyle w:val="DHHStabletext"/>
            </w:pPr>
            <w:r w:rsidRPr="00EE31F2">
              <w:t>17,998</w:t>
            </w:r>
          </w:p>
        </w:tc>
        <w:tc>
          <w:tcPr>
            <w:tcW w:w="1198" w:type="dxa"/>
            <w:hideMark/>
          </w:tcPr>
          <w:p w14:paraId="2AABBF1B" w14:textId="77777777" w:rsidR="004E24F2" w:rsidRPr="00EE31F2" w:rsidRDefault="004E24F2" w:rsidP="00EE31F2">
            <w:pPr>
              <w:pStyle w:val="DHHStabletext"/>
            </w:pPr>
            <w:r w:rsidRPr="00EE31F2">
              <w:t>17,382</w:t>
            </w:r>
          </w:p>
        </w:tc>
      </w:tr>
      <w:tr w:rsidR="004E24F2" w14:paraId="61DFEE20" w14:textId="77777777" w:rsidTr="003F7650">
        <w:trPr>
          <w:trHeight w:val="325"/>
        </w:trPr>
        <w:tc>
          <w:tcPr>
            <w:tcW w:w="2664" w:type="dxa"/>
            <w:vMerge/>
            <w:vAlign w:val="center"/>
            <w:hideMark/>
          </w:tcPr>
          <w:p w14:paraId="3ED2891C" w14:textId="77777777" w:rsidR="004E24F2" w:rsidRPr="00EE31F2" w:rsidRDefault="004E24F2" w:rsidP="00EE31F2">
            <w:pPr>
              <w:pStyle w:val="DHHStabletext"/>
              <w:rPr>
                <w:rFonts w:eastAsia="Trebuchet MS"/>
              </w:rPr>
            </w:pPr>
          </w:p>
        </w:tc>
        <w:tc>
          <w:tcPr>
            <w:tcW w:w="3529" w:type="dxa"/>
            <w:hideMark/>
          </w:tcPr>
          <w:p w14:paraId="2DE2C001" w14:textId="77777777" w:rsidR="004E24F2" w:rsidRPr="00EE31F2" w:rsidRDefault="004E24F2" w:rsidP="00EE31F2">
            <w:pPr>
              <w:pStyle w:val="DHHStabletext"/>
            </w:pPr>
            <w:r w:rsidRPr="00EE31F2">
              <w:t>Specialist</w:t>
            </w:r>
          </w:p>
        </w:tc>
        <w:tc>
          <w:tcPr>
            <w:tcW w:w="1244" w:type="dxa"/>
            <w:hideMark/>
          </w:tcPr>
          <w:p w14:paraId="6EECAF1E" w14:textId="77777777" w:rsidR="004E24F2" w:rsidRPr="00EE31F2" w:rsidRDefault="004E24F2" w:rsidP="00EE31F2">
            <w:pPr>
              <w:pStyle w:val="DHHStabletext"/>
            </w:pPr>
            <w:r w:rsidRPr="00EE31F2">
              <w:t>22,074</w:t>
            </w:r>
          </w:p>
        </w:tc>
        <w:tc>
          <w:tcPr>
            <w:tcW w:w="1244" w:type="dxa"/>
            <w:hideMark/>
          </w:tcPr>
          <w:p w14:paraId="0906FA0D" w14:textId="77777777" w:rsidR="004E24F2" w:rsidRPr="00EE31F2" w:rsidRDefault="004E24F2" w:rsidP="00EE31F2">
            <w:pPr>
              <w:pStyle w:val="DHHStabletext"/>
            </w:pPr>
            <w:r w:rsidRPr="00EE31F2">
              <w:t>22,271</w:t>
            </w:r>
          </w:p>
        </w:tc>
        <w:tc>
          <w:tcPr>
            <w:tcW w:w="1198" w:type="dxa"/>
            <w:hideMark/>
          </w:tcPr>
          <w:p w14:paraId="6BB38AC7" w14:textId="77777777" w:rsidR="004E24F2" w:rsidRPr="00EE31F2" w:rsidRDefault="004E24F2" w:rsidP="00EE31F2">
            <w:pPr>
              <w:pStyle w:val="DHHStabletext"/>
            </w:pPr>
            <w:r w:rsidRPr="00EE31F2">
              <w:t>20,844</w:t>
            </w:r>
          </w:p>
        </w:tc>
      </w:tr>
      <w:tr w:rsidR="004E24F2" w14:paraId="1E3CD156" w14:textId="77777777" w:rsidTr="003F7650">
        <w:trPr>
          <w:trHeight w:val="325"/>
        </w:trPr>
        <w:tc>
          <w:tcPr>
            <w:tcW w:w="2664" w:type="dxa"/>
            <w:vMerge/>
            <w:vAlign w:val="center"/>
            <w:hideMark/>
          </w:tcPr>
          <w:p w14:paraId="66BF28F3" w14:textId="77777777" w:rsidR="004E24F2" w:rsidRPr="00EE31F2" w:rsidRDefault="004E24F2" w:rsidP="00EE31F2">
            <w:pPr>
              <w:pStyle w:val="DHHStabletext"/>
              <w:rPr>
                <w:rFonts w:eastAsia="Trebuchet MS"/>
              </w:rPr>
            </w:pPr>
          </w:p>
        </w:tc>
        <w:tc>
          <w:tcPr>
            <w:tcW w:w="3529" w:type="dxa"/>
            <w:shd w:val="clear" w:color="auto" w:fill="DCDDDE"/>
            <w:hideMark/>
          </w:tcPr>
          <w:p w14:paraId="4E92DEA0" w14:textId="77777777" w:rsidR="004E24F2" w:rsidRPr="00EE31F2" w:rsidRDefault="004E24F2" w:rsidP="00EE31F2">
            <w:pPr>
              <w:pStyle w:val="DHHStabletext"/>
            </w:pPr>
            <w:r w:rsidRPr="00EE31F2">
              <w:t>Total</w:t>
            </w:r>
          </w:p>
        </w:tc>
        <w:tc>
          <w:tcPr>
            <w:tcW w:w="1244" w:type="dxa"/>
            <w:shd w:val="clear" w:color="auto" w:fill="DCDDDE"/>
            <w:hideMark/>
          </w:tcPr>
          <w:p w14:paraId="73736CA0" w14:textId="77777777" w:rsidR="004E24F2" w:rsidRPr="00EE31F2" w:rsidRDefault="004E24F2" w:rsidP="00EE31F2">
            <w:pPr>
              <w:pStyle w:val="DHHStabletext"/>
            </w:pPr>
            <w:r w:rsidRPr="00EE31F2">
              <w:t>2,058,909</w:t>
            </w:r>
          </w:p>
        </w:tc>
        <w:tc>
          <w:tcPr>
            <w:tcW w:w="1244" w:type="dxa"/>
            <w:shd w:val="clear" w:color="auto" w:fill="DCDDDE"/>
            <w:hideMark/>
          </w:tcPr>
          <w:p w14:paraId="2E1B216C" w14:textId="77777777" w:rsidR="004E24F2" w:rsidRPr="00EE31F2" w:rsidRDefault="004E24F2" w:rsidP="00EE31F2">
            <w:pPr>
              <w:pStyle w:val="DHHStabletext"/>
            </w:pPr>
            <w:r w:rsidRPr="00EE31F2">
              <w:t>1,935,093</w:t>
            </w:r>
          </w:p>
        </w:tc>
        <w:tc>
          <w:tcPr>
            <w:tcW w:w="1198" w:type="dxa"/>
            <w:shd w:val="clear" w:color="auto" w:fill="DCDDDE"/>
            <w:hideMark/>
          </w:tcPr>
          <w:p w14:paraId="61DE0A45" w14:textId="77777777" w:rsidR="004E24F2" w:rsidRPr="00EE31F2" w:rsidRDefault="004E24F2" w:rsidP="00EE31F2">
            <w:pPr>
              <w:pStyle w:val="DHHStabletext"/>
            </w:pPr>
            <w:r w:rsidRPr="00EE31F2">
              <w:t>1,674,553</w:t>
            </w:r>
          </w:p>
        </w:tc>
      </w:tr>
      <w:tr w:rsidR="004E24F2" w14:paraId="64F45DA8" w14:textId="77777777" w:rsidTr="003F7650">
        <w:trPr>
          <w:trHeight w:val="401"/>
        </w:trPr>
        <w:tc>
          <w:tcPr>
            <w:tcW w:w="2664" w:type="dxa"/>
            <w:vMerge w:val="restart"/>
            <w:hideMark/>
          </w:tcPr>
          <w:p w14:paraId="1E3782AC" w14:textId="77777777" w:rsidR="004E24F2" w:rsidRPr="00EE31F2" w:rsidRDefault="004E24F2" w:rsidP="00EE31F2">
            <w:pPr>
              <w:pStyle w:val="DHHStabletext"/>
            </w:pPr>
            <w:r w:rsidRPr="00EE31F2">
              <w:t>Total service hours, by sector**</w:t>
            </w:r>
          </w:p>
        </w:tc>
        <w:tc>
          <w:tcPr>
            <w:tcW w:w="3529" w:type="dxa"/>
            <w:hideMark/>
          </w:tcPr>
          <w:p w14:paraId="529CBD53" w14:textId="77777777" w:rsidR="004E24F2" w:rsidRPr="00EE31F2" w:rsidRDefault="004E24F2" w:rsidP="00EE31F2">
            <w:pPr>
              <w:pStyle w:val="DHHStabletext"/>
            </w:pPr>
            <w:r w:rsidRPr="00EE31F2">
              <w:t>Adult</w:t>
            </w:r>
          </w:p>
        </w:tc>
        <w:tc>
          <w:tcPr>
            <w:tcW w:w="1244" w:type="dxa"/>
            <w:hideMark/>
          </w:tcPr>
          <w:p w14:paraId="621805DF" w14:textId="77777777" w:rsidR="004E24F2" w:rsidRPr="00EE31F2" w:rsidRDefault="004E24F2" w:rsidP="00EE31F2">
            <w:pPr>
              <w:pStyle w:val="DHHStabletext"/>
            </w:pPr>
            <w:r w:rsidRPr="00EE31F2">
              <w:t>691,022</w:t>
            </w:r>
          </w:p>
        </w:tc>
        <w:tc>
          <w:tcPr>
            <w:tcW w:w="1244" w:type="dxa"/>
            <w:hideMark/>
          </w:tcPr>
          <w:p w14:paraId="4EA62B5B" w14:textId="77777777" w:rsidR="004E24F2" w:rsidRPr="00EE31F2" w:rsidRDefault="004E24F2" w:rsidP="00EE31F2">
            <w:pPr>
              <w:pStyle w:val="DHHStabletext"/>
            </w:pPr>
            <w:r w:rsidRPr="00EE31F2">
              <w:t>665,745</w:t>
            </w:r>
          </w:p>
        </w:tc>
        <w:tc>
          <w:tcPr>
            <w:tcW w:w="1198" w:type="dxa"/>
            <w:hideMark/>
          </w:tcPr>
          <w:p w14:paraId="57DA18C0" w14:textId="77777777" w:rsidR="004E24F2" w:rsidRPr="00EE31F2" w:rsidRDefault="004E24F2" w:rsidP="00EE31F2">
            <w:pPr>
              <w:pStyle w:val="DHHStabletext"/>
            </w:pPr>
            <w:r w:rsidRPr="00EE31F2">
              <w:t>585,176</w:t>
            </w:r>
          </w:p>
        </w:tc>
      </w:tr>
      <w:tr w:rsidR="004E24F2" w14:paraId="55DE1280" w14:textId="77777777" w:rsidTr="003F7650">
        <w:trPr>
          <w:trHeight w:val="327"/>
        </w:trPr>
        <w:tc>
          <w:tcPr>
            <w:tcW w:w="2664" w:type="dxa"/>
            <w:vMerge/>
            <w:vAlign w:val="center"/>
            <w:hideMark/>
          </w:tcPr>
          <w:p w14:paraId="0DB9E30E" w14:textId="77777777" w:rsidR="004E24F2" w:rsidRPr="00EE31F2" w:rsidRDefault="004E24F2" w:rsidP="00EE31F2">
            <w:pPr>
              <w:pStyle w:val="DHHStabletext"/>
              <w:rPr>
                <w:rFonts w:eastAsia="Trebuchet MS"/>
              </w:rPr>
            </w:pPr>
          </w:p>
        </w:tc>
        <w:tc>
          <w:tcPr>
            <w:tcW w:w="3529" w:type="dxa"/>
            <w:hideMark/>
          </w:tcPr>
          <w:p w14:paraId="2F484E94" w14:textId="77777777" w:rsidR="004E24F2" w:rsidRPr="00EE31F2" w:rsidRDefault="004E24F2" w:rsidP="00EE31F2">
            <w:pPr>
              <w:pStyle w:val="DHHStabletext"/>
            </w:pPr>
            <w:r w:rsidRPr="00EE31F2">
              <w:t>Aged</w:t>
            </w:r>
          </w:p>
        </w:tc>
        <w:tc>
          <w:tcPr>
            <w:tcW w:w="1244" w:type="dxa"/>
            <w:hideMark/>
          </w:tcPr>
          <w:p w14:paraId="03FB49FA" w14:textId="77777777" w:rsidR="004E24F2" w:rsidRPr="00EE31F2" w:rsidRDefault="004E24F2" w:rsidP="00EE31F2">
            <w:pPr>
              <w:pStyle w:val="DHHStabletext"/>
            </w:pPr>
            <w:r w:rsidRPr="00EE31F2">
              <w:t>110,033</w:t>
            </w:r>
          </w:p>
        </w:tc>
        <w:tc>
          <w:tcPr>
            <w:tcW w:w="1244" w:type="dxa"/>
            <w:hideMark/>
          </w:tcPr>
          <w:p w14:paraId="5A51B6DD" w14:textId="77777777" w:rsidR="004E24F2" w:rsidRPr="00EE31F2" w:rsidRDefault="004E24F2" w:rsidP="00EE31F2">
            <w:pPr>
              <w:pStyle w:val="DHHStabletext"/>
            </w:pPr>
            <w:r w:rsidRPr="00EE31F2">
              <w:t>103,599</w:t>
            </w:r>
          </w:p>
        </w:tc>
        <w:tc>
          <w:tcPr>
            <w:tcW w:w="1198" w:type="dxa"/>
            <w:hideMark/>
          </w:tcPr>
          <w:p w14:paraId="0BE11B39" w14:textId="77777777" w:rsidR="004E24F2" w:rsidRPr="00EE31F2" w:rsidRDefault="004E24F2" w:rsidP="00EE31F2">
            <w:pPr>
              <w:pStyle w:val="DHHStabletext"/>
            </w:pPr>
            <w:r w:rsidRPr="00EE31F2">
              <w:t>86,108</w:t>
            </w:r>
          </w:p>
        </w:tc>
      </w:tr>
      <w:tr w:rsidR="004E24F2" w14:paraId="696A8C8A" w14:textId="77777777" w:rsidTr="003F7650">
        <w:trPr>
          <w:trHeight w:val="330"/>
        </w:trPr>
        <w:tc>
          <w:tcPr>
            <w:tcW w:w="2664" w:type="dxa"/>
            <w:vMerge/>
            <w:vAlign w:val="center"/>
            <w:hideMark/>
          </w:tcPr>
          <w:p w14:paraId="4378AC90" w14:textId="77777777" w:rsidR="004E24F2" w:rsidRPr="00EE31F2" w:rsidRDefault="004E24F2" w:rsidP="00EE31F2">
            <w:pPr>
              <w:pStyle w:val="DHHStabletext"/>
              <w:rPr>
                <w:rFonts w:eastAsia="Trebuchet MS"/>
              </w:rPr>
            </w:pPr>
          </w:p>
        </w:tc>
        <w:tc>
          <w:tcPr>
            <w:tcW w:w="3529" w:type="dxa"/>
            <w:hideMark/>
          </w:tcPr>
          <w:p w14:paraId="0780F804" w14:textId="77777777" w:rsidR="004E24F2" w:rsidRPr="00EE31F2" w:rsidRDefault="004E24F2" w:rsidP="00EE31F2">
            <w:pPr>
              <w:pStyle w:val="DHHStabletext"/>
            </w:pPr>
            <w:r w:rsidRPr="00EE31F2">
              <w:t>CAMHS</w:t>
            </w:r>
          </w:p>
        </w:tc>
        <w:tc>
          <w:tcPr>
            <w:tcW w:w="1244" w:type="dxa"/>
            <w:hideMark/>
          </w:tcPr>
          <w:p w14:paraId="79B773E9" w14:textId="77777777" w:rsidR="004E24F2" w:rsidRPr="00EE31F2" w:rsidRDefault="004E24F2" w:rsidP="00EE31F2">
            <w:pPr>
              <w:pStyle w:val="DHHStabletext"/>
            </w:pPr>
            <w:r w:rsidRPr="00EE31F2">
              <w:t>178,251</w:t>
            </w:r>
          </w:p>
        </w:tc>
        <w:tc>
          <w:tcPr>
            <w:tcW w:w="1244" w:type="dxa"/>
            <w:hideMark/>
          </w:tcPr>
          <w:p w14:paraId="0DE6B645" w14:textId="77777777" w:rsidR="004E24F2" w:rsidRPr="00EE31F2" w:rsidRDefault="004E24F2" w:rsidP="00EE31F2">
            <w:pPr>
              <w:pStyle w:val="DHHStabletext"/>
            </w:pPr>
            <w:r w:rsidRPr="00EE31F2">
              <w:t>171,287</w:t>
            </w:r>
          </w:p>
        </w:tc>
        <w:tc>
          <w:tcPr>
            <w:tcW w:w="1198" w:type="dxa"/>
            <w:hideMark/>
          </w:tcPr>
          <w:p w14:paraId="66EB3C05" w14:textId="77777777" w:rsidR="004E24F2" w:rsidRPr="00EE31F2" w:rsidRDefault="004E24F2" w:rsidP="00EE31F2">
            <w:pPr>
              <w:pStyle w:val="DHHStabletext"/>
            </w:pPr>
            <w:r w:rsidRPr="00EE31F2">
              <w:t>179,928</w:t>
            </w:r>
          </w:p>
        </w:tc>
      </w:tr>
      <w:tr w:rsidR="004E24F2" w14:paraId="212905D1" w14:textId="77777777" w:rsidTr="003F7650">
        <w:trPr>
          <w:trHeight w:val="330"/>
        </w:trPr>
        <w:tc>
          <w:tcPr>
            <w:tcW w:w="2664" w:type="dxa"/>
            <w:vMerge/>
            <w:vAlign w:val="center"/>
            <w:hideMark/>
          </w:tcPr>
          <w:p w14:paraId="379E8C95" w14:textId="77777777" w:rsidR="004E24F2" w:rsidRPr="00EE31F2" w:rsidRDefault="004E24F2" w:rsidP="00EE31F2">
            <w:pPr>
              <w:pStyle w:val="DHHStabletext"/>
              <w:rPr>
                <w:rFonts w:eastAsia="Trebuchet MS"/>
              </w:rPr>
            </w:pPr>
          </w:p>
        </w:tc>
        <w:tc>
          <w:tcPr>
            <w:tcW w:w="3529" w:type="dxa"/>
            <w:hideMark/>
          </w:tcPr>
          <w:p w14:paraId="58841308" w14:textId="77777777" w:rsidR="004E24F2" w:rsidRPr="00EE31F2" w:rsidRDefault="004E24F2" w:rsidP="00EE31F2">
            <w:pPr>
              <w:pStyle w:val="DHHStabletext"/>
            </w:pPr>
            <w:r w:rsidRPr="00EE31F2">
              <w:t>Forensic</w:t>
            </w:r>
          </w:p>
        </w:tc>
        <w:tc>
          <w:tcPr>
            <w:tcW w:w="1244" w:type="dxa"/>
            <w:hideMark/>
          </w:tcPr>
          <w:p w14:paraId="5DDB111E" w14:textId="77777777" w:rsidR="004E24F2" w:rsidRPr="00EE31F2" w:rsidRDefault="004E24F2" w:rsidP="00EE31F2">
            <w:pPr>
              <w:pStyle w:val="DHHStabletext"/>
            </w:pPr>
            <w:r w:rsidRPr="00EE31F2">
              <w:t>10,248</w:t>
            </w:r>
          </w:p>
        </w:tc>
        <w:tc>
          <w:tcPr>
            <w:tcW w:w="1244" w:type="dxa"/>
            <w:hideMark/>
          </w:tcPr>
          <w:p w14:paraId="382C855D" w14:textId="77777777" w:rsidR="004E24F2" w:rsidRPr="00EE31F2" w:rsidRDefault="004E24F2" w:rsidP="00EE31F2">
            <w:pPr>
              <w:pStyle w:val="DHHStabletext"/>
            </w:pPr>
            <w:r w:rsidRPr="00EE31F2">
              <w:t>10,597</w:t>
            </w:r>
          </w:p>
        </w:tc>
        <w:tc>
          <w:tcPr>
            <w:tcW w:w="1198" w:type="dxa"/>
            <w:hideMark/>
          </w:tcPr>
          <w:p w14:paraId="1F0515FB" w14:textId="77777777" w:rsidR="004E24F2" w:rsidRPr="00EE31F2" w:rsidRDefault="004E24F2" w:rsidP="00EE31F2">
            <w:pPr>
              <w:pStyle w:val="DHHStabletext"/>
            </w:pPr>
            <w:r w:rsidRPr="00EE31F2">
              <w:t>10,762</w:t>
            </w:r>
          </w:p>
        </w:tc>
      </w:tr>
      <w:tr w:rsidR="004E24F2" w14:paraId="3AC6DB4D" w14:textId="77777777" w:rsidTr="003F7650">
        <w:trPr>
          <w:trHeight w:val="330"/>
        </w:trPr>
        <w:tc>
          <w:tcPr>
            <w:tcW w:w="2664" w:type="dxa"/>
            <w:vMerge/>
            <w:vAlign w:val="center"/>
            <w:hideMark/>
          </w:tcPr>
          <w:p w14:paraId="3DD0EF47" w14:textId="77777777" w:rsidR="004E24F2" w:rsidRPr="00EE31F2" w:rsidRDefault="004E24F2" w:rsidP="00EE31F2">
            <w:pPr>
              <w:pStyle w:val="DHHStabletext"/>
              <w:rPr>
                <w:rFonts w:eastAsia="Trebuchet MS"/>
              </w:rPr>
            </w:pPr>
          </w:p>
        </w:tc>
        <w:tc>
          <w:tcPr>
            <w:tcW w:w="3529" w:type="dxa"/>
            <w:hideMark/>
          </w:tcPr>
          <w:p w14:paraId="13785428" w14:textId="77777777" w:rsidR="004E24F2" w:rsidRPr="00EE31F2" w:rsidRDefault="004E24F2" w:rsidP="00EE31F2">
            <w:pPr>
              <w:pStyle w:val="DHHStabletext"/>
            </w:pPr>
            <w:r w:rsidRPr="00EE31F2">
              <w:t>Specialist</w:t>
            </w:r>
          </w:p>
        </w:tc>
        <w:tc>
          <w:tcPr>
            <w:tcW w:w="1244" w:type="dxa"/>
            <w:hideMark/>
          </w:tcPr>
          <w:p w14:paraId="0A414273" w14:textId="77777777" w:rsidR="004E24F2" w:rsidRPr="00EE31F2" w:rsidRDefault="004E24F2" w:rsidP="00EE31F2">
            <w:pPr>
              <w:pStyle w:val="DHHStabletext"/>
            </w:pPr>
            <w:r w:rsidRPr="00EE31F2">
              <w:t>21,841</w:t>
            </w:r>
          </w:p>
        </w:tc>
        <w:tc>
          <w:tcPr>
            <w:tcW w:w="1244" w:type="dxa"/>
            <w:hideMark/>
          </w:tcPr>
          <w:p w14:paraId="049EE6EF" w14:textId="77777777" w:rsidR="004E24F2" w:rsidRPr="00EE31F2" w:rsidRDefault="004E24F2" w:rsidP="00EE31F2">
            <w:pPr>
              <w:pStyle w:val="DHHStabletext"/>
            </w:pPr>
            <w:r w:rsidRPr="00EE31F2">
              <w:t>20,674</w:t>
            </w:r>
          </w:p>
        </w:tc>
        <w:tc>
          <w:tcPr>
            <w:tcW w:w="1198" w:type="dxa"/>
            <w:hideMark/>
          </w:tcPr>
          <w:p w14:paraId="5F0E184B" w14:textId="77777777" w:rsidR="004E24F2" w:rsidRPr="00EE31F2" w:rsidRDefault="004E24F2" w:rsidP="00EE31F2">
            <w:pPr>
              <w:pStyle w:val="DHHStabletext"/>
            </w:pPr>
            <w:r w:rsidRPr="00EE31F2">
              <w:t>19,728</w:t>
            </w:r>
          </w:p>
        </w:tc>
      </w:tr>
      <w:tr w:rsidR="004E24F2" w14:paraId="6E237A91" w14:textId="77777777" w:rsidTr="003F7650">
        <w:trPr>
          <w:trHeight w:val="406"/>
        </w:trPr>
        <w:tc>
          <w:tcPr>
            <w:tcW w:w="2664" w:type="dxa"/>
            <w:vMerge/>
            <w:vAlign w:val="center"/>
            <w:hideMark/>
          </w:tcPr>
          <w:p w14:paraId="79D7DB95" w14:textId="77777777" w:rsidR="004E24F2" w:rsidRPr="00EE31F2" w:rsidRDefault="004E24F2" w:rsidP="00EE31F2">
            <w:pPr>
              <w:pStyle w:val="DHHStabletext"/>
              <w:rPr>
                <w:rFonts w:eastAsia="Trebuchet MS"/>
              </w:rPr>
            </w:pPr>
          </w:p>
        </w:tc>
        <w:tc>
          <w:tcPr>
            <w:tcW w:w="3529" w:type="dxa"/>
            <w:shd w:val="clear" w:color="auto" w:fill="DCDDDE"/>
            <w:hideMark/>
          </w:tcPr>
          <w:p w14:paraId="690FCF53" w14:textId="77777777" w:rsidR="004E24F2" w:rsidRPr="00EE31F2" w:rsidRDefault="004E24F2" w:rsidP="00EE31F2">
            <w:pPr>
              <w:pStyle w:val="DHHStabletext"/>
            </w:pPr>
            <w:r w:rsidRPr="00EE31F2">
              <w:t>Total</w:t>
            </w:r>
          </w:p>
        </w:tc>
        <w:tc>
          <w:tcPr>
            <w:tcW w:w="1244" w:type="dxa"/>
            <w:shd w:val="clear" w:color="auto" w:fill="DCDDDE"/>
            <w:hideMark/>
          </w:tcPr>
          <w:p w14:paraId="1E918815" w14:textId="77777777" w:rsidR="004E24F2" w:rsidRPr="00EE31F2" w:rsidRDefault="004E24F2" w:rsidP="00EE31F2">
            <w:pPr>
              <w:pStyle w:val="DHHStabletext"/>
            </w:pPr>
            <w:r w:rsidRPr="00EE31F2">
              <w:t>1,011,396</w:t>
            </w:r>
          </w:p>
        </w:tc>
        <w:tc>
          <w:tcPr>
            <w:tcW w:w="1244" w:type="dxa"/>
            <w:shd w:val="clear" w:color="auto" w:fill="DCDDDE"/>
            <w:hideMark/>
          </w:tcPr>
          <w:p w14:paraId="501E5ACE" w14:textId="77777777" w:rsidR="004E24F2" w:rsidRPr="00EE31F2" w:rsidRDefault="004E24F2" w:rsidP="00EE31F2">
            <w:pPr>
              <w:pStyle w:val="DHHStabletext"/>
            </w:pPr>
            <w:r w:rsidRPr="00EE31F2">
              <w:t>971,904</w:t>
            </w:r>
          </w:p>
        </w:tc>
        <w:tc>
          <w:tcPr>
            <w:tcW w:w="1198" w:type="dxa"/>
            <w:shd w:val="clear" w:color="auto" w:fill="DCDDDE"/>
            <w:hideMark/>
          </w:tcPr>
          <w:p w14:paraId="378E6E1F" w14:textId="77777777" w:rsidR="004E24F2" w:rsidRPr="00EE31F2" w:rsidRDefault="004E24F2" w:rsidP="00EE31F2">
            <w:pPr>
              <w:pStyle w:val="DHHStabletext"/>
            </w:pPr>
            <w:r w:rsidRPr="00EE31F2">
              <w:t>881,704</w:t>
            </w:r>
          </w:p>
        </w:tc>
      </w:tr>
      <w:tr w:rsidR="004E24F2" w14:paraId="14C747C0" w14:textId="77777777" w:rsidTr="003F7650">
        <w:trPr>
          <w:trHeight w:val="946"/>
        </w:trPr>
        <w:tc>
          <w:tcPr>
            <w:tcW w:w="2664" w:type="dxa"/>
            <w:hideMark/>
          </w:tcPr>
          <w:p w14:paraId="62220EAD" w14:textId="77777777" w:rsidR="004E24F2" w:rsidRPr="00EE31F2" w:rsidRDefault="004E24F2" w:rsidP="00EE31F2">
            <w:pPr>
              <w:pStyle w:val="DHHStabletext"/>
            </w:pPr>
            <w:r w:rsidRPr="00EE31F2">
              <w:t>Unregistered clients service hours, by sector (%)**</w:t>
            </w:r>
          </w:p>
        </w:tc>
        <w:tc>
          <w:tcPr>
            <w:tcW w:w="3529" w:type="dxa"/>
          </w:tcPr>
          <w:p w14:paraId="5D8E93C7" w14:textId="77777777" w:rsidR="004E24F2" w:rsidRPr="00EE31F2" w:rsidRDefault="004E24F2" w:rsidP="00EE31F2">
            <w:pPr>
              <w:pStyle w:val="DHHStabletext"/>
            </w:pPr>
            <w:r w:rsidRPr="00EE31F2">
              <w:t>Total</w:t>
            </w:r>
          </w:p>
        </w:tc>
        <w:tc>
          <w:tcPr>
            <w:tcW w:w="1244" w:type="dxa"/>
          </w:tcPr>
          <w:p w14:paraId="384FDA73" w14:textId="77777777" w:rsidR="004E24F2" w:rsidRPr="00EE31F2" w:rsidRDefault="004E24F2" w:rsidP="00EE31F2">
            <w:pPr>
              <w:pStyle w:val="DHHStabletext"/>
            </w:pPr>
            <w:r w:rsidRPr="00EE31F2">
              <w:t>15.1%</w:t>
            </w:r>
          </w:p>
        </w:tc>
        <w:tc>
          <w:tcPr>
            <w:tcW w:w="1244" w:type="dxa"/>
          </w:tcPr>
          <w:p w14:paraId="3ADA60D5" w14:textId="77777777" w:rsidR="004E24F2" w:rsidRPr="00EE31F2" w:rsidRDefault="004E24F2" w:rsidP="00EE31F2">
            <w:pPr>
              <w:pStyle w:val="DHHStabletext"/>
            </w:pPr>
            <w:r w:rsidRPr="00EE31F2">
              <w:t>15.5%</w:t>
            </w:r>
          </w:p>
        </w:tc>
        <w:tc>
          <w:tcPr>
            <w:tcW w:w="1198" w:type="dxa"/>
          </w:tcPr>
          <w:p w14:paraId="2D50EE00" w14:textId="77777777" w:rsidR="004E24F2" w:rsidRPr="00EE31F2" w:rsidRDefault="004E24F2" w:rsidP="00EE31F2">
            <w:pPr>
              <w:pStyle w:val="DHHStabletext"/>
            </w:pPr>
            <w:r w:rsidRPr="00EE31F2">
              <w:t>15.7%</w:t>
            </w:r>
          </w:p>
        </w:tc>
      </w:tr>
    </w:tbl>
    <w:p w14:paraId="3C184ABF" w14:textId="77777777" w:rsidR="004E24F2" w:rsidRDefault="004E24F2" w:rsidP="004E24F2">
      <w:pPr>
        <w:rPr>
          <w:sz w:val="19"/>
        </w:rPr>
        <w:sectPr w:rsidR="004E24F2" w:rsidSect="004E24F2">
          <w:pgSz w:w="11910" w:h="16840"/>
          <w:pgMar w:top="1699" w:right="1310" w:bottom="1138" w:left="1310" w:header="1" w:footer="413" w:gutter="0"/>
          <w:cols w:space="720"/>
        </w:sectPr>
      </w:pPr>
    </w:p>
    <w:p w14:paraId="0AF84B7F" w14:textId="77777777" w:rsidR="004E24F2" w:rsidRDefault="004E24F2" w:rsidP="00985332">
      <w:pPr>
        <w:pStyle w:val="DHHSbody"/>
      </w:pPr>
    </w:p>
    <w:tbl>
      <w:tblPr>
        <w:tblW w:w="9943"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8"/>
        <w:gridCol w:w="3436"/>
        <w:gridCol w:w="1244"/>
        <w:gridCol w:w="1244"/>
        <w:gridCol w:w="1241"/>
      </w:tblGrid>
      <w:tr w:rsidR="004E24F2" w14:paraId="319BC0AD" w14:textId="77777777" w:rsidTr="003F7650">
        <w:trPr>
          <w:trHeight w:val="396"/>
          <w:tblHeader/>
        </w:trPr>
        <w:tc>
          <w:tcPr>
            <w:tcW w:w="2778" w:type="dxa"/>
            <w:shd w:val="clear" w:color="auto" w:fill="auto"/>
            <w:hideMark/>
          </w:tcPr>
          <w:p w14:paraId="7274ECE6" w14:textId="77777777" w:rsidR="004E24F2" w:rsidRDefault="004E24F2" w:rsidP="00DF7F88">
            <w:pPr>
              <w:pStyle w:val="DHHStablecolhead"/>
              <w:rPr>
                <w:rFonts w:ascii="Trebuchet MS"/>
              </w:rPr>
            </w:pPr>
            <w:r>
              <w:rPr>
                <w:w w:val="105"/>
              </w:rPr>
              <w:t>Service performance</w:t>
            </w:r>
          </w:p>
        </w:tc>
        <w:tc>
          <w:tcPr>
            <w:tcW w:w="3436" w:type="dxa"/>
            <w:shd w:val="clear" w:color="auto" w:fill="auto"/>
            <w:hideMark/>
          </w:tcPr>
          <w:p w14:paraId="0AB12261" w14:textId="77777777" w:rsidR="004E24F2" w:rsidRDefault="004E24F2" w:rsidP="00DF7F88">
            <w:pPr>
              <w:pStyle w:val="DHHStablecolhead"/>
            </w:pPr>
            <w:r>
              <w:rPr>
                <w:w w:val="105"/>
              </w:rPr>
              <w:t>Population</w:t>
            </w:r>
          </w:p>
        </w:tc>
        <w:tc>
          <w:tcPr>
            <w:tcW w:w="1244" w:type="dxa"/>
            <w:shd w:val="clear" w:color="auto" w:fill="auto"/>
            <w:hideMark/>
          </w:tcPr>
          <w:p w14:paraId="4880893A" w14:textId="77777777" w:rsidR="004E24F2" w:rsidRDefault="004E24F2" w:rsidP="00DF7F88">
            <w:pPr>
              <w:pStyle w:val="DHHStablecolhead"/>
            </w:pPr>
            <w:r>
              <w:t>2014–15</w:t>
            </w:r>
          </w:p>
        </w:tc>
        <w:tc>
          <w:tcPr>
            <w:tcW w:w="1244" w:type="dxa"/>
            <w:shd w:val="clear" w:color="auto" w:fill="auto"/>
            <w:hideMark/>
          </w:tcPr>
          <w:p w14:paraId="061D536F" w14:textId="77777777" w:rsidR="004E24F2" w:rsidRDefault="004E24F2" w:rsidP="00DF7F88">
            <w:pPr>
              <w:pStyle w:val="DHHStablecolhead"/>
            </w:pPr>
            <w:r>
              <w:t>2015–16</w:t>
            </w:r>
          </w:p>
        </w:tc>
        <w:tc>
          <w:tcPr>
            <w:tcW w:w="1241" w:type="dxa"/>
            <w:shd w:val="clear" w:color="auto" w:fill="auto"/>
            <w:hideMark/>
          </w:tcPr>
          <w:p w14:paraId="2E16893D" w14:textId="77777777" w:rsidR="004E24F2" w:rsidRDefault="004E24F2" w:rsidP="00DF7F88">
            <w:pPr>
              <w:pStyle w:val="DHHStablecolhead"/>
            </w:pPr>
            <w:r>
              <w:t>2016–17</w:t>
            </w:r>
          </w:p>
        </w:tc>
      </w:tr>
      <w:tr w:rsidR="004E24F2" w14:paraId="79F5CE74" w14:textId="77777777" w:rsidTr="003F7650">
        <w:trPr>
          <w:trHeight w:val="335"/>
        </w:trPr>
        <w:tc>
          <w:tcPr>
            <w:tcW w:w="2778" w:type="dxa"/>
            <w:vMerge w:val="restart"/>
            <w:hideMark/>
          </w:tcPr>
          <w:p w14:paraId="3F3B8CAE" w14:textId="77777777" w:rsidR="004E24F2" w:rsidRPr="008A08FD" w:rsidRDefault="004E24F2" w:rsidP="008A08FD">
            <w:pPr>
              <w:pStyle w:val="DHHStabletext"/>
            </w:pPr>
            <w:r w:rsidRPr="008A08FD">
              <w:t>Readmission to inpatient rate 28 day (lagged 1 month)</w:t>
            </w:r>
          </w:p>
        </w:tc>
        <w:tc>
          <w:tcPr>
            <w:tcW w:w="3436" w:type="dxa"/>
            <w:hideMark/>
          </w:tcPr>
          <w:p w14:paraId="6A90D543" w14:textId="77777777" w:rsidR="004E24F2" w:rsidRPr="008A08FD" w:rsidRDefault="004E24F2" w:rsidP="008A08FD">
            <w:pPr>
              <w:pStyle w:val="DHHStabletext"/>
            </w:pPr>
            <w:r w:rsidRPr="008A08FD">
              <w:t>Adult</w:t>
            </w:r>
          </w:p>
        </w:tc>
        <w:tc>
          <w:tcPr>
            <w:tcW w:w="1244" w:type="dxa"/>
            <w:hideMark/>
          </w:tcPr>
          <w:p w14:paraId="51525450" w14:textId="77777777" w:rsidR="004E24F2" w:rsidRPr="008A08FD" w:rsidRDefault="004E24F2" w:rsidP="008A08FD">
            <w:pPr>
              <w:pStyle w:val="DHHStabletext"/>
            </w:pPr>
            <w:r w:rsidRPr="008A08FD">
              <w:t>14.3%</w:t>
            </w:r>
          </w:p>
        </w:tc>
        <w:tc>
          <w:tcPr>
            <w:tcW w:w="1244" w:type="dxa"/>
            <w:hideMark/>
          </w:tcPr>
          <w:p w14:paraId="5E796D42" w14:textId="77777777" w:rsidR="004E24F2" w:rsidRPr="008A08FD" w:rsidRDefault="004E24F2" w:rsidP="008A08FD">
            <w:pPr>
              <w:pStyle w:val="DHHStabletext"/>
            </w:pPr>
            <w:r w:rsidRPr="008A08FD">
              <w:t>14.9%</w:t>
            </w:r>
          </w:p>
        </w:tc>
        <w:tc>
          <w:tcPr>
            <w:tcW w:w="1241" w:type="dxa"/>
            <w:hideMark/>
          </w:tcPr>
          <w:p w14:paraId="736161E7" w14:textId="77777777" w:rsidR="004E24F2" w:rsidRPr="008A08FD" w:rsidRDefault="004E24F2" w:rsidP="008A08FD">
            <w:pPr>
              <w:pStyle w:val="DHHStabletext"/>
            </w:pPr>
            <w:r w:rsidRPr="008A08FD">
              <w:t>14.3%</w:t>
            </w:r>
          </w:p>
        </w:tc>
      </w:tr>
      <w:tr w:rsidR="004E24F2" w14:paraId="38B4215A" w14:textId="77777777" w:rsidTr="003F7650">
        <w:trPr>
          <w:trHeight w:val="330"/>
        </w:trPr>
        <w:tc>
          <w:tcPr>
            <w:tcW w:w="2778" w:type="dxa"/>
            <w:vMerge/>
            <w:vAlign w:val="center"/>
            <w:hideMark/>
          </w:tcPr>
          <w:p w14:paraId="65FE3BF0" w14:textId="77777777" w:rsidR="004E24F2" w:rsidRPr="008A08FD" w:rsidRDefault="004E24F2" w:rsidP="008A08FD">
            <w:pPr>
              <w:pStyle w:val="DHHStabletext"/>
              <w:rPr>
                <w:rFonts w:eastAsia="Trebuchet MS"/>
              </w:rPr>
            </w:pPr>
          </w:p>
        </w:tc>
        <w:tc>
          <w:tcPr>
            <w:tcW w:w="3436" w:type="dxa"/>
            <w:hideMark/>
          </w:tcPr>
          <w:p w14:paraId="654E5382" w14:textId="77777777" w:rsidR="004E24F2" w:rsidRPr="008A08FD" w:rsidRDefault="004E24F2" w:rsidP="008A08FD">
            <w:pPr>
              <w:pStyle w:val="DHHStabletext"/>
            </w:pPr>
            <w:r w:rsidRPr="008A08FD">
              <w:t>Aged</w:t>
            </w:r>
          </w:p>
        </w:tc>
        <w:tc>
          <w:tcPr>
            <w:tcW w:w="1244" w:type="dxa"/>
            <w:hideMark/>
          </w:tcPr>
          <w:p w14:paraId="08E67C98" w14:textId="77777777" w:rsidR="004E24F2" w:rsidRPr="008A08FD" w:rsidRDefault="004E24F2" w:rsidP="008A08FD">
            <w:pPr>
              <w:pStyle w:val="DHHStabletext"/>
            </w:pPr>
            <w:r w:rsidRPr="008A08FD">
              <w:t>7.9%</w:t>
            </w:r>
          </w:p>
        </w:tc>
        <w:tc>
          <w:tcPr>
            <w:tcW w:w="1244" w:type="dxa"/>
            <w:hideMark/>
          </w:tcPr>
          <w:p w14:paraId="0D4688F2" w14:textId="77777777" w:rsidR="004E24F2" w:rsidRPr="008A08FD" w:rsidRDefault="004E24F2" w:rsidP="008A08FD">
            <w:pPr>
              <w:pStyle w:val="DHHStabletext"/>
            </w:pPr>
            <w:r w:rsidRPr="008A08FD">
              <w:t>7.0%</w:t>
            </w:r>
          </w:p>
        </w:tc>
        <w:tc>
          <w:tcPr>
            <w:tcW w:w="1241" w:type="dxa"/>
            <w:hideMark/>
          </w:tcPr>
          <w:p w14:paraId="66006874" w14:textId="77777777" w:rsidR="004E24F2" w:rsidRPr="008A08FD" w:rsidRDefault="004E24F2" w:rsidP="008A08FD">
            <w:pPr>
              <w:pStyle w:val="DHHStabletext"/>
            </w:pPr>
            <w:r w:rsidRPr="008A08FD">
              <w:t>6.8%</w:t>
            </w:r>
          </w:p>
        </w:tc>
      </w:tr>
      <w:tr w:rsidR="004E24F2" w14:paraId="77635265" w14:textId="77777777" w:rsidTr="003F7650">
        <w:trPr>
          <w:trHeight w:val="330"/>
        </w:trPr>
        <w:tc>
          <w:tcPr>
            <w:tcW w:w="2778" w:type="dxa"/>
            <w:vMerge/>
            <w:vAlign w:val="center"/>
            <w:hideMark/>
          </w:tcPr>
          <w:p w14:paraId="71705328" w14:textId="77777777" w:rsidR="004E24F2" w:rsidRPr="008A08FD" w:rsidRDefault="004E24F2" w:rsidP="008A08FD">
            <w:pPr>
              <w:pStyle w:val="DHHStabletext"/>
              <w:rPr>
                <w:rFonts w:eastAsia="Trebuchet MS"/>
              </w:rPr>
            </w:pPr>
          </w:p>
        </w:tc>
        <w:tc>
          <w:tcPr>
            <w:tcW w:w="3436" w:type="dxa"/>
            <w:hideMark/>
          </w:tcPr>
          <w:p w14:paraId="7D332116" w14:textId="77777777" w:rsidR="004E24F2" w:rsidRPr="008A08FD" w:rsidRDefault="004E24F2" w:rsidP="008A08FD">
            <w:pPr>
              <w:pStyle w:val="DHHStabletext"/>
            </w:pPr>
            <w:r w:rsidRPr="008A08FD">
              <w:t>CAMHS</w:t>
            </w:r>
          </w:p>
        </w:tc>
        <w:tc>
          <w:tcPr>
            <w:tcW w:w="1244" w:type="dxa"/>
            <w:hideMark/>
          </w:tcPr>
          <w:p w14:paraId="2D893710" w14:textId="77777777" w:rsidR="004E24F2" w:rsidRPr="008A08FD" w:rsidRDefault="004E24F2" w:rsidP="008A08FD">
            <w:pPr>
              <w:pStyle w:val="DHHStabletext"/>
            </w:pPr>
            <w:r w:rsidRPr="008A08FD">
              <w:t>20.1%</w:t>
            </w:r>
          </w:p>
        </w:tc>
        <w:tc>
          <w:tcPr>
            <w:tcW w:w="1244" w:type="dxa"/>
            <w:hideMark/>
          </w:tcPr>
          <w:p w14:paraId="04123436" w14:textId="77777777" w:rsidR="004E24F2" w:rsidRPr="008A08FD" w:rsidRDefault="004E24F2" w:rsidP="008A08FD">
            <w:pPr>
              <w:pStyle w:val="DHHStabletext"/>
            </w:pPr>
            <w:r w:rsidRPr="008A08FD">
              <w:t>16.8%</w:t>
            </w:r>
          </w:p>
        </w:tc>
        <w:tc>
          <w:tcPr>
            <w:tcW w:w="1241" w:type="dxa"/>
            <w:hideMark/>
          </w:tcPr>
          <w:p w14:paraId="4969B576" w14:textId="77777777" w:rsidR="004E24F2" w:rsidRPr="008A08FD" w:rsidRDefault="004E24F2" w:rsidP="008A08FD">
            <w:pPr>
              <w:pStyle w:val="DHHStabletext"/>
            </w:pPr>
            <w:r w:rsidRPr="008A08FD">
              <w:t>17.6%</w:t>
            </w:r>
          </w:p>
        </w:tc>
      </w:tr>
      <w:tr w:rsidR="004E24F2" w14:paraId="5A1CEB85" w14:textId="77777777" w:rsidTr="003F7650">
        <w:trPr>
          <w:trHeight w:val="330"/>
        </w:trPr>
        <w:tc>
          <w:tcPr>
            <w:tcW w:w="2778" w:type="dxa"/>
            <w:vMerge/>
            <w:vAlign w:val="center"/>
            <w:hideMark/>
          </w:tcPr>
          <w:p w14:paraId="385CE76D" w14:textId="77777777" w:rsidR="004E24F2" w:rsidRPr="008A08FD" w:rsidRDefault="004E24F2" w:rsidP="008A08FD">
            <w:pPr>
              <w:pStyle w:val="DHHStabletext"/>
              <w:rPr>
                <w:rFonts w:eastAsia="Trebuchet MS"/>
              </w:rPr>
            </w:pPr>
          </w:p>
        </w:tc>
        <w:tc>
          <w:tcPr>
            <w:tcW w:w="3436" w:type="dxa"/>
            <w:hideMark/>
          </w:tcPr>
          <w:p w14:paraId="5F270874" w14:textId="77777777" w:rsidR="004E24F2" w:rsidRPr="008A08FD" w:rsidRDefault="004E24F2" w:rsidP="008A08FD">
            <w:pPr>
              <w:pStyle w:val="DHHStabletext"/>
            </w:pPr>
            <w:r w:rsidRPr="008A08FD">
              <w:t>Forensic</w:t>
            </w:r>
          </w:p>
        </w:tc>
        <w:tc>
          <w:tcPr>
            <w:tcW w:w="1244" w:type="dxa"/>
            <w:hideMark/>
          </w:tcPr>
          <w:p w14:paraId="777C2B65" w14:textId="77777777" w:rsidR="004E24F2" w:rsidRPr="008A08FD" w:rsidRDefault="004E24F2" w:rsidP="008A08FD">
            <w:pPr>
              <w:pStyle w:val="DHHStabletext"/>
            </w:pPr>
            <w:r w:rsidRPr="008A08FD">
              <w:t>7.0%</w:t>
            </w:r>
          </w:p>
        </w:tc>
        <w:tc>
          <w:tcPr>
            <w:tcW w:w="1244" w:type="dxa"/>
            <w:hideMark/>
          </w:tcPr>
          <w:p w14:paraId="7199B90D" w14:textId="77777777" w:rsidR="004E24F2" w:rsidRPr="008A08FD" w:rsidRDefault="004E24F2" w:rsidP="008A08FD">
            <w:pPr>
              <w:pStyle w:val="DHHStabletext"/>
            </w:pPr>
            <w:r w:rsidRPr="008A08FD">
              <w:t>10.0%</w:t>
            </w:r>
          </w:p>
        </w:tc>
        <w:tc>
          <w:tcPr>
            <w:tcW w:w="1241" w:type="dxa"/>
            <w:hideMark/>
          </w:tcPr>
          <w:p w14:paraId="315D0F33" w14:textId="77777777" w:rsidR="004E24F2" w:rsidRPr="008A08FD" w:rsidRDefault="004E24F2" w:rsidP="008A08FD">
            <w:pPr>
              <w:pStyle w:val="DHHStabletext"/>
            </w:pPr>
            <w:r w:rsidRPr="008A08FD">
              <w:t>12.3%</w:t>
            </w:r>
          </w:p>
        </w:tc>
      </w:tr>
      <w:tr w:rsidR="004E24F2" w14:paraId="4A466E61" w14:textId="77777777" w:rsidTr="003F7650">
        <w:trPr>
          <w:trHeight w:val="330"/>
        </w:trPr>
        <w:tc>
          <w:tcPr>
            <w:tcW w:w="2778" w:type="dxa"/>
            <w:vMerge/>
            <w:vAlign w:val="center"/>
            <w:hideMark/>
          </w:tcPr>
          <w:p w14:paraId="22843EE9" w14:textId="77777777" w:rsidR="004E24F2" w:rsidRPr="008A08FD" w:rsidRDefault="004E24F2" w:rsidP="008A08FD">
            <w:pPr>
              <w:pStyle w:val="DHHStabletext"/>
              <w:rPr>
                <w:rFonts w:eastAsia="Trebuchet MS"/>
              </w:rPr>
            </w:pPr>
          </w:p>
        </w:tc>
        <w:tc>
          <w:tcPr>
            <w:tcW w:w="3436" w:type="dxa"/>
            <w:hideMark/>
          </w:tcPr>
          <w:p w14:paraId="466E3235" w14:textId="77777777" w:rsidR="004E24F2" w:rsidRPr="008A08FD" w:rsidRDefault="004E24F2" w:rsidP="008A08FD">
            <w:pPr>
              <w:pStyle w:val="DHHStabletext"/>
            </w:pPr>
            <w:r w:rsidRPr="008A08FD">
              <w:t>Specialist</w:t>
            </w:r>
          </w:p>
        </w:tc>
        <w:tc>
          <w:tcPr>
            <w:tcW w:w="1244" w:type="dxa"/>
            <w:hideMark/>
          </w:tcPr>
          <w:p w14:paraId="0C88F2A0" w14:textId="77777777" w:rsidR="004E24F2" w:rsidRPr="008A08FD" w:rsidRDefault="004E24F2" w:rsidP="008A08FD">
            <w:pPr>
              <w:pStyle w:val="DHHStabletext"/>
            </w:pPr>
            <w:r w:rsidRPr="008A08FD">
              <w:t>1.9%</w:t>
            </w:r>
          </w:p>
        </w:tc>
        <w:tc>
          <w:tcPr>
            <w:tcW w:w="1244" w:type="dxa"/>
            <w:hideMark/>
          </w:tcPr>
          <w:p w14:paraId="7CD08FA8" w14:textId="77777777" w:rsidR="004E24F2" w:rsidRPr="008A08FD" w:rsidRDefault="004E24F2" w:rsidP="008A08FD">
            <w:pPr>
              <w:pStyle w:val="DHHStabletext"/>
            </w:pPr>
            <w:r w:rsidRPr="008A08FD">
              <w:t>2.0%</w:t>
            </w:r>
          </w:p>
        </w:tc>
        <w:tc>
          <w:tcPr>
            <w:tcW w:w="1241" w:type="dxa"/>
            <w:hideMark/>
          </w:tcPr>
          <w:p w14:paraId="68240E53" w14:textId="77777777" w:rsidR="004E24F2" w:rsidRPr="008A08FD" w:rsidRDefault="004E24F2" w:rsidP="008A08FD">
            <w:pPr>
              <w:pStyle w:val="DHHStabletext"/>
            </w:pPr>
            <w:r w:rsidRPr="008A08FD">
              <w:t>2.0%</w:t>
            </w:r>
          </w:p>
        </w:tc>
      </w:tr>
      <w:tr w:rsidR="004E24F2" w14:paraId="3136E5B5" w14:textId="77777777" w:rsidTr="003F7650">
        <w:trPr>
          <w:trHeight w:val="330"/>
        </w:trPr>
        <w:tc>
          <w:tcPr>
            <w:tcW w:w="2778" w:type="dxa"/>
            <w:vMerge/>
            <w:vAlign w:val="center"/>
            <w:hideMark/>
          </w:tcPr>
          <w:p w14:paraId="0B054C1E" w14:textId="77777777" w:rsidR="004E24F2" w:rsidRPr="008A08FD" w:rsidRDefault="004E24F2" w:rsidP="008A08FD">
            <w:pPr>
              <w:pStyle w:val="DHHStabletext"/>
              <w:rPr>
                <w:rFonts w:eastAsia="Trebuchet MS"/>
              </w:rPr>
            </w:pPr>
          </w:p>
        </w:tc>
        <w:tc>
          <w:tcPr>
            <w:tcW w:w="3436" w:type="dxa"/>
            <w:shd w:val="clear" w:color="auto" w:fill="DCDDDE"/>
            <w:hideMark/>
          </w:tcPr>
          <w:p w14:paraId="6545DC4F" w14:textId="77777777" w:rsidR="004E24F2" w:rsidRPr="008A08FD" w:rsidRDefault="004E24F2" w:rsidP="008A08FD">
            <w:pPr>
              <w:pStyle w:val="DHHStabletext"/>
            </w:pPr>
            <w:r w:rsidRPr="008A08FD">
              <w:t>Total</w:t>
            </w:r>
          </w:p>
        </w:tc>
        <w:tc>
          <w:tcPr>
            <w:tcW w:w="1244" w:type="dxa"/>
            <w:shd w:val="clear" w:color="auto" w:fill="DCDDDE"/>
            <w:hideMark/>
          </w:tcPr>
          <w:p w14:paraId="4421B27E" w14:textId="77777777" w:rsidR="004E24F2" w:rsidRPr="008A08FD" w:rsidRDefault="004E24F2" w:rsidP="008A08FD">
            <w:pPr>
              <w:pStyle w:val="DHHStabletext"/>
            </w:pPr>
            <w:r w:rsidRPr="008A08FD">
              <w:t>13.8%</w:t>
            </w:r>
          </w:p>
        </w:tc>
        <w:tc>
          <w:tcPr>
            <w:tcW w:w="1244" w:type="dxa"/>
            <w:shd w:val="clear" w:color="auto" w:fill="DCDDDE"/>
            <w:hideMark/>
          </w:tcPr>
          <w:p w14:paraId="5BC965E9" w14:textId="77777777" w:rsidR="004E24F2" w:rsidRPr="008A08FD" w:rsidRDefault="004E24F2" w:rsidP="008A08FD">
            <w:pPr>
              <w:pStyle w:val="DHHStabletext"/>
            </w:pPr>
            <w:r w:rsidRPr="008A08FD">
              <w:t>13.9%</w:t>
            </w:r>
          </w:p>
        </w:tc>
        <w:tc>
          <w:tcPr>
            <w:tcW w:w="1241" w:type="dxa"/>
            <w:shd w:val="clear" w:color="auto" w:fill="DCDDDE"/>
            <w:hideMark/>
          </w:tcPr>
          <w:p w14:paraId="58578930" w14:textId="77777777" w:rsidR="004E24F2" w:rsidRPr="008A08FD" w:rsidRDefault="004E24F2" w:rsidP="008A08FD">
            <w:pPr>
              <w:pStyle w:val="DHHStabletext"/>
            </w:pPr>
            <w:r w:rsidRPr="008A08FD">
              <w:t>13.4%</w:t>
            </w:r>
          </w:p>
        </w:tc>
      </w:tr>
      <w:tr w:rsidR="004E24F2" w14:paraId="2A058F23" w14:textId="77777777" w:rsidTr="003F7650">
        <w:trPr>
          <w:trHeight w:val="406"/>
        </w:trPr>
        <w:tc>
          <w:tcPr>
            <w:tcW w:w="2778" w:type="dxa"/>
            <w:vMerge w:val="restart"/>
            <w:hideMark/>
          </w:tcPr>
          <w:p w14:paraId="2217207B" w14:textId="77777777" w:rsidR="004E24F2" w:rsidRPr="008A08FD" w:rsidRDefault="004E24F2" w:rsidP="008A08FD">
            <w:pPr>
              <w:pStyle w:val="DHHStabletext"/>
            </w:pPr>
            <w:r w:rsidRPr="008A08FD">
              <w:t>Preadmission contact rate, all clients**</w:t>
            </w:r>
          </w:p>
        </w:tc>
        <w:tc>
          <w:tcPr>
            <w:tcW w:w="3436" w:type="dxa"/>
            <w:hideMark/>
          </w:tcPr>
          <w:p w14:paraId="6C45CC59" w14:textId="77777777" w:rsidR="004E24F2" w:rsidRPr="008A08FD" w:rsidRDefault="004E24F2" w:rsidP="008A08FD">
            <w:pPr>
              <w:pStyle w:val="DHHStabletext"/>
            </w:pPr>
            <w:r w:rsidRPr="008A08FD">
              <w:t>Adult</w:t>
            </w:r>
          </w:p>
        </w:tc>
        <w:tc>
          <w:tcPr>
            <w:tcW w:w="1244" w:type="dxa"/>
            <w:hideMark/>
          </w:tcPr>
          <w:p w14:paraId="4CBD5EFA" w14:textId="77777777" w:rsidR="004E24F2" w:rsidRPr="008A08FD" w:rsidRDefault="004E24F2" w:rsidP="008A08FD">
            <w:pPr>
              <w:pStyle w:val="DHHStabletext"/>
            </w:pPr>
            <w:r w:rsidRPr="008A08FD">
              <w:t>59.8%</w:t>
            </w:r>
          </w:p>
        </w:tc>
        <w:tc>
          <w:tcPr>
            <w:tcW w:w="1244" w:type="dxa"/>
            <w:hideMark/>
          </w:tcPr>
          <w:p w14:paraId="17F18559" w14:textId="77777777" w:rsidR="004E24F2" w:rsidRPr="008A08FD" w:rsidRDefault="004E24F2" w:rsidP="008A08FD">
            <w:pPr>
              <w:pStyle w:val="DHHStabletext"/>
            </w:pPr>
            <w:r w:rsidRPr="008A08FD">
              <w:t>58.2%</w:t>
            </w:r>
          </w:p>
        </w:tc>
        <w:tc>
          <w:tcPr>
            <w:tcW w:w="1241" w:type="dxa"/>
            <w:hideMark/>
          </w:tcPr>
          <w:p w14:paraId="279569B8" w14:textId="77777777" w:rsidR="004E24F2" w:rsidRPr="008A08FD" w:rsidRDefault="004E24F2" w:rsidP="008A08FD">
            <w:pPr>
              <w:pStyle w:val="DHHStabletext"/>
            </w:pPr>
            <w:r w:rsidRPr="008A08FD">
              <w:t>53.1%</w:t>
            </w:r>
          </w:p>
        </w:tc>
      </w:tr>
      <w:tr w:rsidR="004E24F2" w14:paraId="17E5ED16" w14:textId="77777777" w:rsidTr="003F7650">
        <w:trPr>
          <w:trHeight w:val="330"/>
        </w:trPr>
        <w:tc>
          <w:tcPr>
            <w:tcW w:w="2778" w:type="dxa"/>
            <w:vMerge/>
            <w:vAlign w:val="center"/>
            <w:hideMark/>
          </w:tcPr>
          <w:p w14:paraId="3250FCA5" w14:textId="77777777" w:rsidR="004E24F2" w:rsidRPr="008A08FD" w:rsidRDefault="004E24F2" w:rsidP="008A08FD">
            <w:pPr>
              <w:pStyle w:val="DHHStabletext"/>
              <w:rPr>
                <w:rFonts w:eastAsia="Trebuchet MS"/>
              </w:rPr>
            </w:pPr>
          </w:p>
        </w:tc>
        <w:tc>
          <w:tcPr>
            <w:tcW w:w="3436" w:type="dxa"/>
            <w:hideMark/>
          </w:tcPr>
          <w:p w14:paraId="67F911FE" w14:textId="77777777" w:rsidR="004E24F2" w:rsidRPr="008A08FD" w:rsidRDefault="004E24F2" w:rsidP="008A08FD">
            <w:pPr>
              <w:pStyle w:val="DHHStabletext"/>
            </w:pPr>
            <w:r w:rsidRPr="008A08FD">
              <w:t>Aged</w:t>
            </w:r>
          </w:p>
        </w:tc>
        <w:tc>
          <w:tcPr>
            <w:tcW w:w="1244" w:type="dxa"/>
            <w:hideMark/>
          </w:tcPr>
          <w:p w14:paraId="5934251F" w14:textId="77777777" w:rsidR="004E24F2" w:rsidRPr="008A08FD" w:rsidRDefault="004E24F2" w:rsidP="008A08FD">
            <w:pPr>
              <w:pStyle w:val="DHHStabletext"/>
            </w:pPr>
            <w:r w:rsidRPr="008A08FD">
              <w:t>68.8%</w:t>
            </w:r>
          </w:p>
        </w:tc>
        <w:tc>
          <w:tcPr>
            <w:tcW w:w="1244" w:type="dxa"/>
            <w:hideMark/>
          </w:tcPr>
          <w:p w14:paraId="40810D06" w14:textId="77777777" w:rsidR="004E24F2" w:rsidRPr="008A08FD" w:rsidRDefault="004E24F2" w:rsidP="008A08FD">
            <w:pPr>
              <w:pStyle w:val="DHHStabletext"/>
            </w:pPr>
            <w:r w:rsidRPr="008A08FD">
              <w:t>64.6%</w:t>
            </w:r>
          </w:p>
        </w:tc>
        <w:tc>
          <w:tcPr>
            <w:tcW w:w="1241" w:type="dxa"/>
            <w:hideMark/>
          </w:tcPr>
          <w:p w14:paraId="31DD7533" w14:textId="77777777" w:rsidR="004E24F2" w:rsidRPr="008A08FD" w:rsidRDefault="004E24F2" w:rsidP="008A08FD">
            <w:pPr>
              <w:pStyle w:val="DHHStabletext"/>
            </w:pPr>
            <w:r w:rsidRPr="008A08FD">
              <w:t>54.0%</w:t>
            </w:r>
          </w:p>
        </w:tc>
      </w:tr>
      <w:tr w:rsidR="004E24F2" w14:paraId="282082F1" w14:textId="77777777" w:rsidTr="003F7650">
        <w:trPr>
          <w:trHeight w:val="327"/>
        </w:trPr>
        <w:tc>
          <w:tcPr>
            <w:tcW w:w="2778" w:type="dxa"/>
            <w:vMerge/>
            <w:vAlign w:val="center"/>
            <w:hideMark/>
          </w:tcPr>
          <w:p w14:paraId="6AC52A60" w14:textId="77777777" w:rsidR="004E24F2" w:rsidRPr="008A08FD" w:rsidRDefault="004E24F2" w:rsidP="008A08FD">
            <w:pPr>
              <w:pStyle w:val="DHHStabletext"/>
              <w:rPr>
                <w:rFonts w:eastAsia="Trebuchet MS"/>
              </w:rPr>
            </w:pPr>
          </w:p>
        </w:tc>
        <w:tc>
          <w:tcPr>
            <w:tcW w:w="3436" w:type="dxa"/>
            <w:hideMark/>
          </w:tcPr>
          <w:p w14:paraId="28F7865C" w14:textId="77777777" w:rsidR="004E24F2" w:rsidRPr="008A08FD" w:rsidRDefault="004E24F2" w:rsidP="008A08FD">
            <w:pPr>
              <w:pStyle w:val="DHHStabletext"/>
            </w:pPr>
            <w:r w:rsidRPr="008A08FD">
              <w:t>CAMHS</w:t>
            </w:r>
          </w:p>
        </w:tc>
        <w:tc>
          <w:tcPr>
            <w:tcW w:w="1244" w:type="dxa"/>
            <w:hideMark/>
          </w:tcPr>
          <w:p w14:paraId="3AEA3709" w14:textId="77777777" w:rsidR="004E24F2" w:rsidRPr="008A08FD" w:rsidRDefault="004E24F2" w:rsidP="008A08FD">
            <w:pPr>
              <w:pStyle w:val="DHHStabletext"/>
            </w:pPr>
            <w:r w:rsidRPr="008A08FD">
              <w:t>57.7%</w:t>
            </w:r>
          </w:p>
        </w:tc>
        <w:tc>
          <w:tcPr>
            <w:tcW w:w="1244" w:type="dxa"/>
            <w:hideMark/>
          </w:tcPr>
          <w:p w14:paraId="464E3647" w14:textId="77777777" w:rsidR="004E24F2" w:rsidRPr="008A08FD" w:rsidRDefault="004E24F2" w:rsidP="008A08FD">
            <w:pPr>
              <w:pStyle w:val="DHHStabletext"/>
            </w:pPr>
            <w:r w:rsidRPr="008A08FD">
              <w:t>53.8%</w:t>
            </w:r>
          </w:p>
        </w:tc>
        <w:tc>
          <w:tcPr>
            <w:tcW w:w="1241" w:type="dxa"/>
            <w:hideMark/>
          </w:tcPr>
          <w:p w14:paraId="41850BBF" w14:textId="77777777" w:rsidR="004E24F2" w:rsidRPr="008A08FD" w:rsidRDefault="004E24F2" w:rsidP="008A08FD">
            <w:pPr>
              <w:pStyle w:val="DHHStabletext"/>
            </w:pPr>
            <w:r w:rsidRPr="008A08FD">
              <w:t>49.5%</w:t>
            </w:r>
          </w:p>
        </w:tc>
      </w:tr>
      <w:tr w:rsidR="004E24F2" w14:paraId="25D8386F" w14:textId="77777777" w:rsidTr="003F7650">
        <w:trPr>
          <w:trHeight w:val="327"/>
        </w:trPr>
        <w:tc>
          <w:tcPr>
            <w:tcW w:w="2778" w:type="dxa"/>
            <w:vMerge/>
            <w:vAlign w:val="center"/>
            <w:hideMark/>
          </w:tcPr>
          <w:p w14:paraId="024C2841" w14:textId="77777777" w:rsidR="004E24F2" w:rsidRPr="008A08FD" w:rsidRDefault="004E24F2" w:rsidP="008A08FD">
            <w:pPr>
              <w:pStyle w:val="DHHStabletext"/>
              <w:rPr>
                <w:rFonts w:eastAsia="Trebuchet MS"/>
              </w:rPr>
            </w:pPr>
          </w:p>
        </w:tc>
        <w:tc>
          <w:tcPr>
            <w:tcW w:w="3436" w:type="dxa"/>
            <w:hideMark/>
          </w:tcPr>
          <w:p w14:paraId="3EB0EAC7" w14:textId="77777777" w:rsidR="004E24F2" w:rsidRPr="008A08FD" w:rsidRDefault="004E24F2" w:rsidP="008A08FD">
            <w:pPr>
              <w:pStyle w:val="DHHStabletext"/>
            </w:pPr>
            <w:r w:rsidRPr="008A08FD">
              <w:t>Forensic</w:t>
            </w:r>
          </w:p>
        </w:tc>
        <w:tc>
          <w:tcPr>
            <w:tcW w:w="1244" w:type="dxa"/>
            <w:hideMark/>
          </w:tcPr>
          <w:p w14:paraId="242BB1BC" w14:textId="77777777" w:rsidR="004E24F2" w:rsidRPr="008A08FD" w:rsidRDefault="004E24F2" w:rsidP="008A08FD">
            <w:pPr>
              <w:pStyle w:val="DHHStabletext"/>
            </w:pPr>
            <w:r w:rsidRPr="008A08FD">
              <w:t>17.4%</w:t>
            </w:r>
          </w:p>
        </w:tc>
        <w:tc>
          <w:tcPr>
            <w:tcW w:w="1244" w:type="dxa"/>
            <w:hideMark/>
          </w:tcPr>
          <w:p w14:paraId="3B4E30D2" w14:textId="77777777" w:rsidR="004E24F2" w:rsidRPr="008A08FD" w:rsidRDefault="004E24F2" w:rsidP="008A08FD">
            <w:pPr>
              <w:pStyle w:val="DHHStabletext"/>
            </w:pPr>
            <w:r w:rsidRPr="008A08FD">
              <w:t>18.6%</w:t>
            </w:r>
          </w:p>
        </w:tc>
        <w:tc>
          <w:tcPr>
            <w:tcW w:w="1241" w:type="dxa"/>
            <w:hideMark/>
          </w:tcPr>
          <w:p w14:paraId="41B3B29E" w14:textId="77777777" w:rsidR="004E24F2" w:rsidRPr="008A08FD" w:rsidRDefault="004E24F2" w:rsidP="008A08FD">
            <w:pPr>
              <w:pStyle w:val="DHHStabletext"/>
            </w:pPr>
            <w:r w:rsidRPr="008A08FD">
              <w:t>17.6%</w:t>
            </w:r>
          </w:p>
        </w:tc>
      </w:tr>
      <w:tr w:rsidR="004E24F2" w14:paraId="4FFD3020" w14:textId="77777777" w:rsidTr="003F7650">
        <w:trPr>
          <w:trHeight w:val="327"/>
        </w:trPr>
        <w:tc>
          <w:tcPr>
            <w:tcW w:w="2778" w:type="dxa"/>
            <w:vMerge/>
            <w:vAlign w:val="center"/>
            <w:hideMark/>
          </w:tcPr>
          <w:p w14:paraId="72F9B66A" w14:textId="77777777" w:rsidR="004E24F2" w:rsidRPr="008A08FD" w:rsidRDefault="004E24F2" w:rsidP="008A08FD">
            <w:pPr>
              <w:pStyle w:val="DHHStabletext"/>
              <w:rPr>
                <w:rFonts w:eastAsia="Trebuchet MS"/>
              </w:rPr>
            </w:pPr>
          </w:p>
        </w:tc>
        <w:tc>
          <w:tcPr>
            <w:tcW w:w="3436" w:type="dxa"/>
            <w:hideMark/>
          </w:tcPr>
          <w:p w14:paraId="70D7F445" w14:textId="77777777" w:rsidR="004E24F2" w:rsidRPr="008A08FD" w:rsidRDefault="004E24F2" w:rsidP="008A08FD">
            <w:pPr>
              <w:pStyle w:val="DHHStabletext"/>
            </w:pPr>
            <w:r w:rsidRPr="008A08FD">
              <w:t>Specialist</w:t>
            </w:r>
          </w:p>
        </w:tc>
        <w:tc>
          <w:tcPr>
            <w:tcW w:w="1244" w:type="dxa"/>
            <w:hideMark/>
          </w:tcPr>
          <w:p w14:paraId="27C2ED55" w14:textId="77777777" w:rsidR="004E24F2" w:rsidRPr="008A08FD" w:rsidRDefault="004E24F2" w:rsidP="008A08FD">
            <w:pPr>
              <w:pStyle w:val="DHHStabletext"/>
            </w:pPr>
            <w:r w:rsidRPr="008A08FD">
              <w:t>39.3%</w:t>
            </w:r>
          </w:p>
        </w:tc>
        <w:tc>
          <w:tcPr>
            <w:tcW w:w="1244" w:type="dxa"/>
            <w:hideMark/>
          </w:tcPr>
          <w:p w14:paraId="7C17AFDD" w14:textId="77777777" w:rsidR="004E24F2" w:rsidRPr="008A08FD" w:rsidRDefault="004E24F2" w:rsidP="008A08FD">
            <w:pPr>
              <w:pStyle w:val="DHHStabletext"/>
            </w:pPr>
            <w:r w:rsidRPr="008A08FD">
              <w:t>34.5%</w:t>
            </w:r>
          </w:p>
        </w:tc>
        <w:tc>
          <w:tcPr>
            <w:tcW w:w="1241" w:type="dxa"/>
            <w:hideMark/>
          </w:tcPr>
          <w:p w14:paraId="33C2B742" w14:textId="77777777" w:rsidR="004E24F2" w:rsidRPr="008A08FD" w:rsidRDefault="004E24F2" w:rsidP="008A08FD">
            <w:pPr>
              <w:pStyle w:val="DHHStabletext"/>
            </w:pPr>
            <w:r w:rsidRPr="008A08FD">
              <w:t>30.5%</w:t>
            </w:r>
          </w:p>
        </w:tc>
      </w:tr>
      <w:tr w:rsidR="004E24F2" w14:paraId="04E552BE" w14:textId="77777777" w:rsidTr="003F7650">
        <w:trPr>
          <w:trHeight w:val="404"/>
        </w:trPr>
        <w:tc>
          <w:tcPr>
            <w:tcW w:w="2778" w:type="dxa"/>
            <w:vMerge/>
            <w:vAlign w:val="center"/>
            <w:hideMark/>
          </w:tcPr>
          <w:p w14:paraId="3F2C0A9A" w14:textId="77777777" w:rsidR="004E24F2" w:rsidRPr="008A08FD" w:rsidRDefault="004E24F2" w:rsidP="008A08FD">
            <w:pPr>
              <w:pStyle w:val="DHHStabletext"/>
              <w:rPr>
                <w:rFonts w:eastAsia="Trebuchet MS"/>
              </w:rPr>
            </w:pPr>
          </w:p>
        </w:tc>
        <w:tc>
          <w:tcPr>
            <w:tcW w:w="3436" w:type="dxa"/>
            <w:shd w:val="clear" w:color="auto" w:fill="DCDDDE"/>
            <w:hideMark/>
          </w:tcPr>
          <w:p w14:paraId="179F7AA8" w14:textId="77777777" w:rsidR="004E24F2" w:rsidRPr="008A08FD" w:rsidRDefault="004E24F2" w:rsidP="008A08FD">
            <w:pPr>
              <w:pStyle w:val="DHHStabletext"/>
            </w:pPr>
            <w:r w:rsidRPr="008A08FD">
              <w:t>Total</w:t>
            </w:r>
          </w:p>
        </w:tc>
        <w:tc>
          <w:tcPr>
            <w:tcW w:w="1244" w:type="dxa"/>
            <w:shd w:val="clear" w:color="auto" w:fill="DCDDDE"/>
            <w:hideMark/>
          </w:tcPr>
          <w:p w14:paraId="5C314829" w14:textId="77777777" w:rsidR="004E24F2" w:rsidRPr="008A08FD" w:rsidRDefault="004E24F2" w:rsidP="008A08FD">
            <w:pPr>
              <w:pStyle w:val="DHHStabletext"/>
            </w:pPr>
            <w:r w:rsidRPr="008A08FD">
              <w:t>59.4%</w:t>
            </w:r>
          </w:p>
        </w:tc>
        <w:tc>
          <w:tcPr>
            <w:tcW w:w="1244" w:type="dxa"/>
            <w:shd w:val="clear" w:color="auto" w:fill="DCDDDE"/>
            <w:hideMark/>
          </w:tcPr>
          <w:p w14:paraId="69AA3185" w14:textId="77777777" w:rsidR="004E24F2" w:rsidRPr="008A08FD" w:rsidRDefault="004E24F2" w:rsidP="008A08FD">
            <w:pPr>
              <w:pStyle w:val="DHHStabletext"/>
            </w:pPr>
            <w:r w:rsidRPr="008A08FD">
              <w:t>57.2%</w:t>
            </w:r>
          </w:p>
        </w:tc>
        <w:tc>
          <w:tcPr>
            <w:tcW w:w="1241" w:type="dxa"/>
            <w:shd w:val="clear" w:color="auto" w:fill="DCDDDE"/>
            <w:hideMark/>
          </w:tcPr>
          <w:p w14:paraId="413AB959" w14:textId="77777777" w:rsidR="004E24F2" w:rsidRPr="008A08FD" w:rsidRDefault="004E24F2" w:rsidP="008A08FD">
            <w:pPr>
              <w:pStyle w:val="DHHStabletext"/>
            </w:pPr>
            <w:r w:rsidRPr="008A08FD">
              <w:t>51.8%</w:t>
            </w:r>
          </w:p>
        </w:tc>
      </w:tr>
      <w:tr w:rsidR="004E24F2" w14:paraId="65AB137D" w14:textId="77777777" w:rsidTr="003F7650">
        <w:trPr>
          <w:trHeight w:val="406"/>
        </w:trPr>
        <w:tc>
          <w:tcPr>
            <w:tcW w:w="2778" w:type="dxa"/>
            <w:vMerge w:val="restart"/>
            <w:hideMark/>
          </w:tcPr>
          <w:p w14:paraId="6CA3FA78" w14:textId="77777777" w:rsidR="004E24F2" w:rsidRPr="008A08FD" w:rsidRDefault="004E24F2" w:rsidP="008A08FD">
            <w:pPr>
              <w:pStyle w:val="DHHStabletext"/>
            </w:pPr>
            <w:r w:rsidRPr="008A08FD">
              <w:t>Post-discharge follow up rate (lagged seven days)**</w:t>
            </w:r>
          </w:p>
        </w:tc>
        <w:tc>
          <w:tcPr>
            <w:tcW w:w="3436" w:type="dxa"/>
            <w:hideMark/>
          </w:tcPr>
          <w:p w14:paraId="69CCB751" w14:textId="77777777" w:rsidR="004E24F2" w:rsidRPr="008A08FD" w:rsidRDefault="004E24F2" w:rsidP="008A08FD">
            <w:pPr>
              <w:pStyle w:val="DHHStabletext"/>
            </w:pPr>
            <w:r w:rsidRPr="008A08FD">
              <w:t>Adult</w:t>
            </w:r>
          </w:p>
        </w:tc>
        <w:tc>
          <w:tcPr>
            <w:tcW w:w="1244" w:type="dxa"/>
            <w:hideMark/>
          </w:tcPr>
          <w:p w14:paraId="6DA183A7" w14:textId="77777777" w:rsidR="004E24F2" w:rsidRPr="008A08FD" w:rsidRDefault="004E24F2" w:rsidP="008A08FD">
            <w:pPr>
              <w:pStyle w:val="DHHStabletext"/>
            </w:pPr>
            <w:r w:rsidRPr="008A08FD">
              <w:t>86.8%</w:t>
            </w:r>
          </w:p>
        </w:tc>
        <w:tc>
          <w:tcPr>
            <w:tcW w:w="1244" w:type="dxa"/>
            <w:hideMark/>
          </w:tcPr>
          <w:p w14:paraId="684486B7" w14:textId="77777777" w:rsidR="004E24F2" w:rsidRPr="008A08FD" w:rsidRDefault="004E24F2" w:rsidP="008A08FD">
            <w:pPr>
              <w:pStyle w:val="DHHStabletext"/>
            </w:pPr>
            <w:r w:rsidRPr="008A08FD">
              <w:t>85.7%</w:t>
            </w:r>
          </w:p>
        </w:tc>
        <w:tc>
          <w:tcPr>
            <w:tcW w:w="1241" w:type="dxa"/>
            <w:hideMark/>
          </w:tcPr>
          <w:p w14:paraId="27F10DCC" w14:textId="77777777" w:rsidR="004E24F2" w:rsidRPr="008A08FD" w:rsidRDefault="004E24F2" w:rsidP="008A08FD">
            <w:pPr>
              <w:pStyle w:val="DHHStabletext"/>
            </w:pPr>
            <w:r w:rsidRPr="008A08FD">
              <w:t>79.4%</w:t>
            </w:r>
          </w:p>
        </w:tc>
      </w:tr>
      <w:tr w:rsidR="004E24F2" w14:paraId="663199E0" w14:textId="77777777" w:rsidTr="003F7650">
        <w:trPr>
          <w:trHeight w:val="330"/>
        </w:trPr>
        <w:tc>
          <w:tcPr>
            <w:tcW w:w="2778" w:type="dxa"/>
            <w:vMerge/>
            <w:vAlign w:val="center"/>
            <w:hideMark/>
          </w:tcPr>
          <w:p w14:paraId="6F178E14" w14:textId="77777777" w:rsidR="004E24F2" w:rsidRPr="008A08FD" w:rsidRDefault="004E24F2" w:rsidP="008A08FD">
            <w:pPr>
              <w:pStyle w:val="DHHStabletext"/>
              <w:rPr>
                <w:rFonts w:eastAsia="Trebuchet MS"/>
              </w:rPr>
            </w:pPr>
          </w:p>
        </w:tc>
        <w:tc>
          <w:tcPr>
            <w:tcW w:w="3436" w:type="dxa"/>
            <w:hideMark/>
          </w:tcPr>
          <w:p w14:paraId="75B29624" w14:textId="77777777" w:rsidR="004E24F2" w:rsidRPr="008A08FD" w:rsidRDefault="004E24F2" w:rsidP="008A08FD">
            <w:pPr>
              <w:pStyle w:val="DHHStabletext"/>
            </w:pPr>
            <w:r w:rsidRPr="008A08FD">
              <w:t>Aged</w:t>
            </w:r>
          </w:p>
        </w:tc>
        <w:tc>
          <w:tcPr>
            <w:tcW w:w="1244" w:type="dxa"/>
            <w:hideMark/>
          </w:tcPr>
          <w:p w14:paraId="5F36CD1A" w14:textId="77777777" w:rsidR="004E24F2" w:rsidRPr="008A08FD" w:rsidRDefault="004E24F2" w:rsidP="008A08FD">
            <w:pPr>
              <w:pStyle w:val="DHHStabletext"/>
            </w:pPr>
            <w:r w:rsidRPr="008A08FD">
              <w:t>89.2%</w:t>
            </w:r>
          </w:p>
        </w:tc>
        <w:tc>
          <w:tcPr>
            <w:tcW w:w="1244" w:type="dxa"/>
            <w:hideMark/>
          </w:tcPr>
          <w:p w14:paraId="5467392F" w14:textId="77777777" w:rsidR="004E24F2" w:rsidRPr="008A08FD" w:rsidRDefault="004E24F2" w:rsidP="008A08FD">
            <w:pPr>
              <w:pStyle w:val="DHHStabletext"/>
            </w:pPr>
            <w:r w:rsidRPr="008A08FD">
              <w:t>89.8%</w:t>
            </w:r>
          </w:p>
        </w:tc>
        <w:tc>
          <w:tcPr>
            <w:tcW w:w="1241" w:type="dxa"/>
            <w:hideMark/>
          </w:tcPr>
          <w:p w14:paraId="170998A4" w14:textId="77777777" w:rsidR="004E24F2" w:rsidRPr="008A08FD" w:rsidRDefault="004E24F2" w:rsidP="008A08FD">
            <w:pPr>
              <w:pStyle w:val="DHHStabletext"/>
            </w:pPr>
            <w:r w:rsidRPr="008A08FD">
              <w:t>74.6%</w:t>
            </w:r>
          </w:p>
        </w:tc>
      </w:tr>
      <w:tr w:rsidR="004E24F2" w14:paraId="273167DB" w14:textId="77777777" w:rsidTr="003F7650">
        <w:trPr>
          <w:trHeight w:val="327"/>
        </w:trPr>
        <w:tc>
          <w:tcPr>
            <w:tcW w:w="2778" w:type="dxa"/>
            <w:vMerge/>
            <w:vAlign w:val="center"/>
            <w:hideMark/>
          </w:tcPr>
          <w:p w14:paraId="17E91F76" w14:textId="77777777" w:rsidR="004E24F2" w:rsidRPr="008A08FD" w:rsidRDefault="004E24F2" w:rsidP="008A08FD">
            <w:pPr>
              <w:pStyle w:val="DHHStabletext"/>
              <w:rPr>
                <w:rFonts w:eastAsia="Trebuchet MS"/>
              </w:rPr>
            </w:pPr>
          </w:p>
        </w:tc>
        <w:tc>
          <w:tcPr>
            <w:tcW w:w="3436" w:type="dxa"/>
            <w:hideMark/>
          </w:tcPr>
          <w:p w14:paraId="6568B9B9" w14:textId="77777777" w:rsidR="004E24F2" w:rsidRPr="008A08FD" w:rsidRDefault="004E24F2" w:rsidP="008A08FD">
            <w:pPr>
              <w:pStyle w:val="DHHStabletext"/>
            </w:pPr>
            <w:r w:rsidRPr="008A08FD">
              <w:t>CAMHS</w:t>
            </w:r>
          </w:p>
        </w:tc>
        <w:tc>
          <w:tcPr>
            <w:tcW w:w="1244" w:type="dxa"/>
            <w:hideMark/>
          </w:tcPr>
          <w:p w14:paraId="7DA9CF76" w14:textId="77777777" w:rsidR="004E24F2" w:rsidRPr="008A08FD" w:rsidRDefault="004E24F2" w:rsidP="008A08FD">
            <w:pPr>
              <w:pStyle w:val="DHHStabletext"/>
            </w:pPr>
            <w:r w:rsidRPr="008A08FD">
              <w:t>84.4%</w:t>
            </w:r>
          </w:p>
        </w:tc>
        <w:tc>
          <w:tcPr>
            <w:tcW w:w="1244" w:type="dxa"/>
            <w:hideMark/>
          </w:tcPr>
          <w:p w14:paraId="7688D93A" w14:textId="77777777" w:rsidR="004E24F2" w:rsidRPr="008A08FD" w:rsidRDefault="004E24F2" w:rsidP="008A08FD">
            <w:pPr>
              <w:pStyle w:val="DHHStabletext"/>
            </w:pPr>
            <w:r w:rsidRPr="008A08FD">
              <w:t>85.8%</w:t>
            </w:r>
          </w:p>
        </w:tc>
        <w:tc>
          <w:tcPr>
            <w:tcW w:w="1241" w:type="dxa"/>
            <w:hideMark/>
          </w:tcPr>
          <w:p w14:paraId="7B026D8B" w14:textId="77777777" w:rsidR="004E24F2" w:rsidRPr="008A08FD" w:rsidRDefault="004E24F2" w:rsidP="008A08FD">
            <w:pPr>
              <w:pStyle w:val="DHHStabletext"/>
            </w:pPr>
            <w:r w:rsidRPr="008A08FD">
              <w:t>83.9%</w:t>
            </w:r>
          </w:p>
        </w:tc>
      </w:tr>
      <w:tr w:rsidR="004E24F2" w14:paraId="12E0A554" w14:textId="77777777" w:rsidTr="003F7650">
        <w:trPr>
          <w:trHeight w:val="327"/>
        </w:trPr>
        <w:tc>
          <w:tcPr>
            <w:tcW w:w="2778" w:type="dxa"/>
            <w:vMerge/>
            <w:vAlign w:val="center"/>
            <w:hideMark/>
          </w:tcPr>
          <w:p w14:paraId="2D6A07DD" w14:textId="77777777" w:rsidR="004E24F2" w:rsidRPr="008A08FD" w:rsidRDefault="004E24F2" w:rsidP="008A08FD">
            <w:pPr>
              <w:pStyle w:val="DHHStabletext"/>
              <w:rPr>
                <w:rFonts w:eastAsia="Trebuchet MS"/>
              </w:rPr>
            </w:pPr>
          </w:p>
        </w:tc>
        <w:tc>
          <w:tcPr>
            <w:tcW w:w="3436" w:type="dxa"/>
            <w:hideMark/>
          </w:tcPr>
          <w:p w14:paraId="57BC71D1" w14:textId="77777777" w:rsidR="004E24F2" w:rsidRPr="008A08FD" w:rsidRDefault="004E24F2" w:rsidP="008A08FD">
            <w:pPr>
              <w:pStyle w:val="DHHStabletext"/>
            </w:pPr>
            <w:r w:rsidRPr="008A08FD">
              <w:t>Forensic</w:t>
            </w:r>
          </w:p>
        </w:tc>
        <w:tc>
          <w:tcPr>
            <w:tcW w:w="1244" w:type="dxa"/>
            <w:hideMark/>
          </w:tcPr>
          <w:p w14:paraId="7367322B" w14:textId="77777777" w:rsidR="004E24F2" w:rsidRPr="008A08FD" w:rsidRDefault="004E24F2" w:rsidP="008A08FD">
            <w:pPr>
              <w:pStyle w:val="DHHStabletext"/>
            </w:pPr>
            <w:r w:rsidRPr="008A08FD">
              <w:t>38.4%</w:t>
            </w:r>
          </w:p>
        </w:tc>
        <w:tc>
          <w:tcPr>
            <w:tcW w:w="1244" w:type="dxa"/>
            <w:hideMark/>
          </w:tcPr>
          <w:p w14:paraId="58FC9441" w14:textId="77777777" w:rsidR="004E24F2" w:rsidRPr="008A08FD" w:rsidRDefault="004E24F2" w:rsidP="008A08FD">
            <w:pPr>
              <w:pStyle w:val="DHHStabletext"/>
            </w:pPr>
            <w:r w:rsidRPr="008A08FD">
              <w:t>36.8%</w:t>
            </w:r>
          </w:p>
        </w:tc>
        <w:tc>
          <w:tcPr>
            <w:tcW w:w="1241" w:type="dxa"/>
            <w:hideMark/>
          </w:tcPr>
          <w:p w14:paraId="6CD06C89" w14:textId="77777777" w:rsidR="004E24F2" w:rsidRPr="008A08FD" w:rsidRDefault="004E24F2" w:rsidP="008A08FD">
            <w:pPr>
              <w:pStyle w:val="DHHStabletext"/>
            </w:pPr>
            <w:r w:rsidRPr="008A08FD">
              <w:t>31.2%</w:t>
            </w:r>
          </w:p>
        </w:tc>
      </w:tr>
      <w:tr w:rsidR="004E24F2" w14:paraId="3A496C18" w14:textId="77777777" w:rsidTr="003F7650">
        <w:trPr>
          <w:trHeight w:val="330"/>
        </w:trPr>
        <w:tc>
          <w:tcPr>
            <w:tcW w:w="2778" w:type="dxa"/>
            <w:vMerge/>
            <w:vAlign w:val="center"/>
            <w:hideMark/>
          </w:tcPr>
          <w:p w14:paraId="4F334E2C" w14:textId="77777777" w:rsidR="004E24F2" w:rsidRPr="008A08FD" w:rsidRDefault="004E24F2" w:rsidP="008A08FD">
            <w:pPr>
              <w:pStyle w:val="DHHStabletext"/>
              <w:rPr>
                <w:rFonts w:eastAsia="Trebuchet MS"/>
              </w:rPr>
            </w:pPr>
          </w:p>
        </w:tc>
        <w:tc>
          <w:tcPr>
            <w:tcW w:w="3436" w:type="dxa"/>
            <w:hideMark/>
          </w:tcPr>
          <w:p w14:paraId="7E4AD2D6" w14:textId="77777777" w:rsidR="004E24F2" w:rsidRPr="008A08FD" w:rsidRDefault="004E24F2" w:rsidP="008A08FD">
            <w:pPr>
              <w:pStyle w:val="DHHStabletext"/>
            </w:pPr>
            <w:r w:rsidRPr="008A08FD">
              <w:t>Specialist</w:t>
            </w:r>
          </w:p>
        </w:tc>
        <w:tc>
          <w:tcPr>
            <w:tcW w:w="1244" w:type="dxa"/>
            <w:hideMark/>
          </w:tcPr>
          <w:p w14:paraId="17874851" w14:textId="77777777" w:rsidR="004E24F2" w:rsidRPr="008A08FD" w:rsidRDefault="004E24F2" w:rsidP="008A08FD">
            <w:pPr>
              <w:pStyle w:val="DHHStabletext"/>
            </w:pPr>
            <w:r w:rsidRPr="008A08FD">
              <w:t>60.9%</w:t>
            </w:r>
          </w:p>
        </w:tc>
        <w:tc>
          <w:tcPr>
            <w:tcW w:w="1244" w:type="dxa"/>
            <w:hideMark/>
          </w:tcPr>
          <w:p w14:paraId="3BEE068B" w14:textId="77777777" w:rsidR="004E24F2" w:rsidRPr="008A08FD" w:rsidRDefault="004E24F2" w:rsidP="008A08FD">
            <w:pPr>
              <w:pStyle w:val="DHHStabletext"/>
            </w:pPr>
            <w:r w:rsidRPr="008A08FD">
              <w:t>44.0%</w:t>
            </w:r>
          </w:p>
        </w:tc>
        <w:tc>
          <w:tcPr>
            <w:tcW w:w="1241" w:type="dxa"/>
            <w:hideMark/>
          </w:tcPr>
          <w:p w14:paraId="357DE866" w14:textId="77777777" w:rsidR="004E24F2" w:rsidRPr="008A08FD" w:rsidRDefault="004E24F2" w:rsidP="008A08FD">
            <w:pPr>
              <w:pStyle w:val="DHHStabletext"/>
            </w:pPr>
            <w:r w:rsidRPr="008A08FD">
              <w:t>41.0%</w:t>
            </w:r>
          </w:p>
        </w:tc>
      </w:tr>
      <w:tr w:rsidR="004E24F2" w14:paraId="3A1D8B3B" w14:textId="77777777" w:rsidTr="003F7650">
        <w:trPr>
          <w:trHeight w:val="384"/>
        </w:trPr>
        <w:tc>
          <w:tcPr>
            <w:tcW w:w="2778" w:type="dxa"/>
            <w:vMerge/>
            <w:vAlign w:val="center"/>
            <w:hideMark/>
          </w:tcPr>
          <w:p w14:paraId="2DC4A2CC" w14:textId="77777777" w:rsidR="004E24F2" w:rsidRPr="008A08FD" w:rsidRDefault="004E24F2" w:rsidP="008A08FD">
            <w:pPr>
              <w:pStyle w:val="DHHStabletext"/>
              <w:rPr>
                <w:rFonts w:eastAsia="Trebuchet MS"/>
              </w:rPr>
            </w:pPr>
          </w:p>
        </w:tc>
        <w:tc>
          <w:tcPr>
            <w:tcW w:w="3436" w:type="dxa"/>
            <w:shd w:val="clear" w:color="auto" w:fill="DCDDDE"/>
            <w:hideMark/>
          </w:tcPr>
          <w:p w14:paraId="6BA629EC" w14:textId="77777777" w:rsidR="004E24F2" w:rsidRPr="008A08FD" w:rsidRDefault="004E24F2" w:rsidP="008A08FD">
            <w:pPr>
              <w:pStyle w:val="DHHStabletext"/>
            </w:pPr>
            <w:r w:rsidRPr="008A08FD">
              <w:t>Total</w:t>
            </w:r>
          </w:p>
        </w:tc>
        <w:tc>
          <w:tcPr>
            <w:tcW w:w="1244" w:type="dxa"/>
            <w:shd w:val="clear" w:color="auto" w:fill="DCDDDE"/>
            <w:hideMark/>
          </w:tcPr>
          <w:p w14:paraId="60A33D51" w14:textId="77777777" w:rsidR="004E24F2" w:rsidRPr="008A08FD" w:rsidRDefault="004E24F2" w:rsidP="008A08FD">
            <w:pPr>
              <w:pStyle w:val="DHHStabletext"/>
            </w:pPr>
            <w:r w:rsidRPr="008A08FD">
              <w:t>85.7%</w:t>
            </w:r>
          </w:p>
        </w:tc>
        <w:tc>
          <w:tcPr>
            <w:tcW w:w="1244" w:type="dxa"/>
            <w:shd w:val="clear" w:color="auto" w:fill="DCDDDE"/>
            <w:hideMark/>
          </w:tcPr>
          <w:p w14:paraId="71742C8E" w14:textId="77777777" w:rsidR="004E24F2" w:rsidRPr="008A08FD" w:rsidRDefault="004E24F2" w:rsidP="008A08FD">
            <w:pPr>
              <w:pStyle w:val="DHHStabletext"/>
            </w:pPr>
            <w:r w:rsidRPr="008A08FD">
              <w:t>84.2%</w:t>
            </w:r>
          </w:p>
        </w:tc>
        <w:tc>
          <w:tcPr>
            <w:tcW w:w="1241" w:type="dxa"/>
            <w:shd w:val="clear" w:color="auto" w:fill="DCDDDE"/>
            <w:hideMark/>
          </w:tcPr>
          <w:p w14:paraId="10DE4584" w14:textId="77777777" w:rsidR="004E24F2" w:rsidRPr="008A08FD" w:rsidRDefault="004E24F2" w:rsidP="008A08FD">
            <w:pPr>
              <w:pStyle w:val="DHHStabletext"/>
            </w:pPr>
            <w:r w:rsidRPr="008A08FD">
              <w:t>77.7%</w:t>
            </w:r>
          </w:p>
        </w:tc>
      </w:tr>
      <w:tr w:rsidR="004E24F2" w14:paraId="60B7D5A8" w14:textId="77777777" w:rsidTr="003F7650">
        <w:trPr>
          <w:trHeight w:val="406"/>
        </w:trPr>
        <w:tc>
          <w:tcPr>
            <w:tcW w:w="2778" w:type="dxa"/>
            <w:vMerge w:val="restart"/>
            <w:hideMark/>
          </w:tcPr>
          <w:p w14:paraId="4F6066FD" w14:textId="31B0A38B" w:rsidR="004E24F2" w:rsidRPr="008A08FD" w:rsidRDefault="004E24F2" w:rsidP="008A08FD">
            <w:pPr>
              <w:pStyle w:val="DHHStabletext"/>
            </w:pPr>
            <w:r w:rsidRPr="008A08FD">
              <w:t>Trimmed average length of stay</w:t>
            </w:r>
            <w:r w:rsidR="008A08FD" w:rsidRPr="008A08FD">
              <w:t xml:space="preserve"> </w:t>
            </w:r>
            <w:r w:rsidRPr="008A08FD">
              <w:t>≤35 days – inpatient</w:t>
            </w:r>
          </w:p>
        </w:tc>
        <w:tc>
          <w:tcPr>
            <w:tcW w:w="3436" w:type="dxa"/>
            <w:hideMark/>
          </w:tcPr>
          <w:p w14:paraId="405BE681" w14:textId="77777777" w:rsidR="004E24F2" w:rsidRPr="008A08FD" w:rsidRDefault="004E24F2" w:rsidP="008A08FD">
            <w:pPr>
              <w:pStyle w:val="DHHStabletext"/>
            </w:pPr>
            <w:r w:rsidRPr="008A08FD">
              <w:t>Adult</w:t>
            </w:r>
          </w:p>
        </w:tc>
        <w:tc>
          <w:tcPr>
            <w:tcW w:w="1244" w:type="dxa"/>
            <w:hideMark/>
          </w:tcPr>
          <w:p w14:paraId="20A6C09A" w14:textId="77777777" w:rsidR="004E24F2" w:rsidRPr="008A08FD" w:rsidRDefault="004E24F2" w:rsidP="008A08FD">
            <w:pPr>
              <w:pStyle w:val="DHHStabletext"/>
            </w:pPr>
            <w:r w:rsidRPr="008A08FD">
              <w:t>9.8</w:t>
            </w:r>
          </w:p>
        </w:tc>
        <w:tc>
          <w:tcPr>
            <w:tcW w:w="1244" w:type="dxa"/>
            <w:hideMark/>
          </w:tcPr>
          <w:p w14:paraId="38379057" w14:textId="77777777" w:rsidR="004E24F2" w:rsidRPr="008A08FD" w:rsidRDefault="004E24F2" w:rsidP="008A08FD">
            <w:pPr>
              <w:pStyle w:val="DHHStabletext"/>
            </w:pPr>
            <w:r w:rsidRPr="008A08FD">
              <w:t>9.6</w:t>
            </w:r>
          </w:p>
        </w:tc>
        <w:tc>
          <w:tcPr>
            <w:tcW w:w="1241" w:type="dxa"/>
            <w:hideMark/>
          </w:tcPr>
          <w:p w14:paraId="46A91C84" w14:textId="77777777" w:rsidR="004E24F2" w:rsidRPr="008A08FD" w:rsidRDefault="004E24F2" w:rsidP="008A08FD">
            <w:pPr>
              <w:pStyle w:val="DHHStabletext"/>
            </w:pPr>
            <w:r w:rsidRPr="008A08FD">
              <w:t>9.5</w:t>
            </w:r>
          </w:p>
        </w:tc>
      </w:tr>
      <w:tr w:rsidR="004E24F2" w14:paraId="1EF4E14A" w14:textId="77777777" w:rsidTr="003F7650">
        <w:trPr>
          <w:trHeight w:val="330"/>
        </w:trPr>
        <w:tc>
          <w:tcPr>
            <w:tcW w:w="2778" w:type="dxa"/>
            <w:vMerge/>
            <w:vAlign w:val="center"/>
            <w:hideMark/>
          </w:tcPr>
          <w:p w14:paraId="078C88D8" w14:textId="77777777" w:rsidR="004E24F2" w:rsidRPr="008A08FD" w:rsidRDefault="004E24F2" w:rsidP="008A08FD">
            <w:pPr>
              <w:pStyle w:val="DHHStabletext"/>
              <w:rPr>
                <w:rFonts w:eastAsia="Trebuchet MS"/>
              </w:rPr>
            </w:pPr>
          </w:p>
        </w:tc>
        <w:tc>
          <w:tcPr>
            <w:tcW w:w="3436" w:type="dxa"/>
            <w:hideMark/>
          </w:tcPr>
          <w:p w14:paraId="356A6EC8" w14:textId="77777777" w:rsidR="004E24F2" w:rsidRPr="008A08FD" w:rsidRDefault="004E24F2" w:rsidP="008A08FD">
            <w:pPr>
              <w:pStyle w:val="DHHStabletext"/>
            </w:pPr>
            <w:r w:rsidRPr="008A08FD">
              <w:t>Aged</w:t>
            </w:r>
          </w:p>
        </w:tc>
        <w:tc>
          <w:tcPr>
            <w:tcW w:w="1244" w:type="dxa"/>
            <w:hideMark/>
          </w:tcPr>
          <w:p w14:paraId="4F28BDDB" w14:textId="77777777" w:rsidR="004E24F2" w:rsidRPr="008A08FD" w:rsidRDefault="004E24F2" w:rsidP="008A08FD">
            <w:pPr>
              <w:pStyle w:val="DHHStabletext"/>
            </w:pPr>
            <w:r w:rsidRPr="008A08FD">
              <w:t>15.1</w:t>
            </w:r>
          </w:p>
        </w:tc>
        <w:tc>
          <w:tcPr>
            <w:tcW w:w="1244" w:type="dxa"/>
            <w:hideMark/>
          </w:tcPr>
          <w:p w14:paraId="6908542C" w14:textId="77777777" w:rsidR="004E24F2" w:rsidRPr="008A08FD" w:rsidRDefault="004E24F2" w:rsidP="008A08FD">
            <w:pPr>
              <w:pStyle w:val="DHHStabletext"/>
            </w:pPr>
            <w:r w:rsidRPr="008A08FD">
              <w:t>16.0</w:t>
            </w:r>
          </w:p>
        </w:tc>
        <w:tc>
          <w:tcPr>
            <w:tcW w:w="1241" w:type="dxa"/>
            <w:hideMark/>
          </w:tcPr>
          <w:p w14:paraId="7F91FF1C" w14:textId="77777777" w:rsidR="004E24F2" w:rsidRPr="008A08FD" w:rsidRDefault="004E24F2" w:rsidP="008A08FD">
            <w:pPr>
              <w:pStyle w:val="DHHStabletext"/>
            </w:pPr>
            <w:r w:rsidRPr="008A08FD">
              <w:t>15.7</w:t>
            </w:r>
          </w:p>
        </w:tc>
      </w:tr>
      <w:tr w:rsidR="004E24F2" w14:paraId="6AF306C0" w14:textId="77777777" w:rsidTr="003F7650">
        <w:trPr>
          <w:trHeight w:val="330"/>
        </w:trPr>
        <w:tc>
          <w:tcPr>
            <w:tcW w:w="2778" w:type="dxa"/>
            <w:vMerge/>
            <w:vAlign w:val="center"/>
            <w:hideMark/>
          </w:tcPr>
          <w:p w14:paraId="3373A123" w14:textId="77777777" w:rsidR="004E24F2" w:rsidRPr="008A08FD" w:rsidRDefault="004E24F2" w:rsidP="008A08FD">
            <w:pPr>
              <w:pStyle w:val="DHHStabletext"/>
              <w:rPr>
                <w:rFonts w:eastAsia="Trebuchet MS"/>
              </w:rPr>
            </w:pPr>
          </w:p>
        </w:tc>
        <w:tc>
          <w:tcPr>
            <w:tcW w:w="3436" w:type="dxa"/>
            <w:hideMark/>
          </w:tcPr>
          <w:p w14:paraId="75F9799A" w14:textId="77777777" w:rsidR="004E24F2" w:rsidRPr="008A08FD" w:rsidRDefault="004E24F2" w:rsidP="008A08FD">
            <w:pPr>
              <w:pStyle w:val="DHHStabletext"/>
            </w:pPr>
            <w:r w:rsidRPr="008A08FD">
              <w:t>CAMHS</w:t>
            </w:r>
          </w:p>
        </w:tc>
        <w:tc>
          <w:tcPr>
            <w:tcW w:w="1244" w:type="dxa"/>
            <w:hideMark/>
          </w:tcPr>
          <w:p w14:paraId="7EBB0A7E" w14:textId="77777777" w:rsidR="004E24F2" w:rsidRPr="008A08FD" w:rsidRDefault="004E24F2" w:rsidP="008A08FD">
            <w:pPr>
              <w:pStyle w:val="DHHStabletext"/>
            </w:pPr>
            <w:r w:rsidRPr="008A08FD">
              <w:t>7.4</w:t>
            </w:r>
          </w:p>
        </w:tc>
        <w:tc>
          <w:tcPr>
            <w:tcW w:w="1244" w:type="dxa"/>
            <w:hideMark/>
          </w:tcPr>
          <w:p w14:paraId="688E8639" w14:textId="77777777" w:rsidR="004E24F2" w:rsidRPr="008A08FD" w:rsidRDefault="004E24F2" w:rsidP="008A08FD">
            <w:pPr>
              <w:pStyle w:val="DHHStabletext"/>
            </w:pPr>
            <w:r w:rsidRPr="008A08FD">
              <w:t>7.5</w:t>
            </w:r>
          </w:p>
        </w:tc>
        <w:tc>
          <w:tcPr>
            <w:tcW w:w="1241" w:type="dxa"/>
            <w:hideMark/>
          </w:tcPr>
          <w:p w14:paraId="3EC01BB0" w14:textId="77777777" w:rsidR="004E24F2" w:rsidRPr="008A08FD" w:rsidRDefault="004E24F2" w:rsidP="008A08FD">
            <w:pPr>
              <w:pStyle w:val="DHHStabletext"/>
            </w:pPr>
            <w:r w:rsidRPr="008A08FD">
              <w:t>6.9</w:t>
            </w:r>
          </w:p>
        </w:tc>
      </w:tr>
      <w:tr w:rsidR="004E24F2" w14:paraId="43843DE2" w14:textId="77777777" w:rsidTr="003F7650">
        <w:trPr>
          <w:trHeight w:val="327"/>
        </w:trPr>
        <w:tc>
          <w:tcPr>
            <w:tcW w:w="2778" w:type="dxa"/>
            <w:vMerge/>
            <w:vAlign w:val="center"/>
            <w:hideMark/>
          </w:tcPr>
          <w:p w14:paraId="0856EF76" w14:textId="77777777" w:rsidR="004E24F2" w:rsidRPr="008A08FD" w:rsidRDefault="004E24F2" w:rsidP="008A08FD">
            <w:pPr>
              <w:pStyle w:val="DHHStabletext"/>
              <w:rPr>
                <w:rFonts w:eastAsia="Trebuchet MS"/>
              </w:rPr>
            </w:pPr>
          </w:p>
        </w:tc>
        <w:tc>
          <w:tcPr>
            <w:tcW w:w="3436" w:type="dxa"/>
            <w:hideMark/>
          </w:tcPr>
          <w:p w14:paraId="0A2D3127" w14:textId="77777777" w:rsidR="004E24F2" w:rsidRPr="008A08FD" w:rsidRDefault="004E24F2" w:rsidP="008A08FD">
            <w:pPr>
              <w:pStyle w:val="DHHStabletext"/>
            </w:pPr>
            <w:r w:rsidRPr="008A08FD">
              <w:t>Forensic</w:t>
            </w:r>
          </w:p>
        </w:tc>
        <w:tc>
          <w:tcPr>
            <w:tcW w:w="1244" w:type="dxa"/>
            <w:hideMark/>
          </w:tcPr>
          <w:p w14:paraId="02C349E3" w14:textId="77777777" w:rsidR="004E24F2" w:rsidRPr="008A08FD" w:rsidRDefault="004E24F2" w:rsidP="008A08FD">
            <w:pPr>
              <w:pStyle w:val="DHHStabletext"/>
            </w:pPr>
            <w:r w:rsidRPr="008A08FD">
              <w:t>21.0</w:t>
            </w:r>
          </w:p>
        </w:tc>
        <w:tc>
          <w:tcPr>
            <w:tcW w:w="1244" w:type="dxa"/>
            <w:hideMark/>
          </w:tcPr>
          <w:p w14:paraId="18F63D18" w14:textId="77777777" w:rsidR="004E24F2" w:rsidRPr="008A08FD" w:rsidRDefault="004E24F2" w:rsidP="008A08FD">
            <w:pPr>
              <w:pStyle w:val="DHHStabletext"/>
            </w:pPr>
            <w:r w:rsidRPr="008A08FD">
              <w:t>18.8</w:t>
            </w:r>
          </w:p>
        </w:tc>
        <w:tc>
          <w:tcPr>
            <w:tcW w:w="1241" w:type="dxa"/>
            <w:hideMark/>
          </w:tcPr>
          <w:p w14:paraId="39927AF8" w14:textId="77777777" w:rsidR="004E24F2" w:rsidRPr="008A08FD" w:rsidRDefault="004E24F2" w:rsidP="008A08FD">
            <w:pPr>
              <w:pStyle w:val="DHHStabletext"/>
            </w:pPr>
            <w:r w:rsidRPr="008A08FD">
              <w:t>20.5</w:t>
            </w:r>
          </w:p>
        </w:tc>
      </w:tr>
      <w:tr w:rsidR="004E24F2" w14:paraId="0DBD6AC0" w14:textId="77777777" w:rsidTr="003F7650">
        <w:trPr>
          <w:trHeight w:val="327"/>
        </w:trPr>
        <w:tc>
          <w:tcPr>
            <w:tcW w:w="2778" w:type="dxa"/>
            <w:vMerge/>
            <w:vAlign w:val="center"/>
            <w:hideMark/>
          </w:tcPr>
          <w:p w14:paraId="4346CD03" w14:textId="77777777" w:rsidR="004E24F2" w:rsidRPr="008A08FD" w:rsidRDefault="004E24F2" w:rsidP="008A08FD">
            <w:pPr>
              <w:pStyle w:val="DHHStabletext"/>
              <w:rPr>
                <w:rFonts w:eastAsia="Trebuchet MS"/>
              </w:rPr>
            </w:pPr>
          </w:p>
        </w:tc>
        <w:tc>
          <w:tcPr>
            <w:tcW w:w="3436" w:type="dxa"/>
            <w:hideMark/>
          </w:tcPr>
          <w:p w14:paraId="0E33B1A0" w14:textId="77777777" w:rsidR="004E24F2" w:rsidRPr="008A08FD" w:rsidRDefault="004E24F2" w:rsidP="008A08FD">
            <w:pPr>
              <w:pStyle w:val="DHHStabletext"/>
            </w:pPr>
            <w:r w:rsidRPr="008A08FD">
              <w:t>Specialist</w:t>
            </w:r>
          </w:p>
        </w:tc>
        <w:tc>
          <w:tcPr>
            <w:tcW w:w="1244" w:type="dxa"/>
            <w:hideMark/>
          </w:tcPr>
          <w:p w14:paraId="7032102D" w14:textId="77777777" w:rsidR="004E24F2" w:rsidRPr="008A08FD" w:rsidRDefault="004E24F2" w:rsidP="008A08FD">
            <w:pPr>
              <w:pStyle w:val="DHHStabletext"/>
            </w:pPr>
            <w:r w:rsidRPr="008A08FD">
              <w:t>17.6</w:t>
            </w:r>
          </w:p>
        </w:tc>
        <w:tc>
          <w:tcPr>
            <w:tcW w:w="1244" w:type="dxa"/>
            <w:hideMark/>
          </w:tcPr>
          <w:p w14:paraId="4BA3925F" w14:textId="77777777" w:rsidR="004E24F2" w:rsidRPr="008A08FD" w:rsidRDefault="004E24F2" w:rsidP="008A08FD">
            <w:pPr>
              <w:pStyle w:val="DHHStabletext"/>
            </w:pPr>
            <w:r w:rsidRPr="008A08FD">
              <w:t>16.7</w:t>
            </w:r>
          </w:p>
        </w:tc>
        <w:tc>
          <w:tcPr>
            <w:tcW w:w="1241" w:type="dxa"/>
            <w:hideMark/>
          </w:tcPr>
          <w:p w14:paraId="5D332273" w14:textId="77777777" w:rsidR="004E24F2" w:rsidRPr="008A08FD" w:rsidRDefault="004E24F2" w:rsidP="008A08FD">
            <w:pPr>
              <w:pStyle w:val="DHHStabletext"/>
            </w:pPr>
            <w:r w:rsidRPr="008A08FD">
              <w:t>15.8</w:t>
            </w:r>
          </w:p>
        </w:tc>
      </w:tr>
      <w:tr w:rsidR="004E24F2" w14:paraId="12D484B7" w14:textId="77777777" w:rsidTr="003F7650">
        <w:trPr>
          <w:trHeight w:val="384"/>
        </w:trPr>
        <w:tc>
          <w:tcPr>
            <w:tcW w:w="2778" w:type="dxa"/>
            <w:vMerge/>
            <w:vAlign w:val="center"/>
            <w:hideMark/>
          </w:tcPr>
          <w:p w14:paraId="36B4FA7A" w14:textId="77777777" w:rsidR="004E24F2" w:rsidRPr="008A08FD" w:rsidRDefault="004E24F2" w:rsidP="008A08FD">
            <w:pPr>
              <w:pStyle w:val="DHHStabletext"/>
              <w:rPr>
                <w:rFonts w:eastAsia="Trebuchet MS"/>
              </w:rPr>
            </w:pPr>
          </w:p>
        </w:tc>
        <w:tc>
          <w:tcPr>
            <w:tcW w:w="3436" w:type="dxa"/>
            <w:shd w:val="clear" w:color="auto" w:fill="DCDDDE"/>
            <w:hideMark/>
          </w:tcPr>
          <w:p w14:paraId="57F9F309" w14:textId="77777777" w:rsidR="004E24F2" w:rsidRPr="008A08FD" w:rsidRDefault="004E24F2" w:rsidP="008A08FD">
            <w:pPr>
              <w:pStyle w:val="DHHStabletext"/>
            </w:pPr>
            <w:r w:rsidRPr="008A08FD">
              <w:t>Total</w:t>
            </w:r>
          </w:p>
        </w:tc>
        <w:tc>
          <w:tcPr>
            <w:tcW w:w="1244" w:type="dxa"/>
            <w:shd w:val="clear" w:color="auto" w:fill="DCDDDE"/>
            <w:hideMark/>
          </w:tcPr>
          <w:p w14:paraId="2AED7C82" w14:textId="77777777" w:rsidR="004E24F2" w:rsidRPr="008A08FD" w:rsidRDefault="004E24F2" w:rsidP="008A08FD">
            <w:pPr>
              <w:pStyle w:val="DHHStabletext"/>
            </w:pPr>
            <w:r w:rsidRPr="008A08FD">
              <w:t>10.2</w:t>
            </w:r>
          </w:p>
        </w:tc>
        <w:tc>
          <w:tcPr>
            <w:tcW w:w="1244" w:type="dxa"/>
            <w:shd w:val="clear" w:color="auto" w:fill="DCDDDE"/>
            <w:hideMark/>
          </w:tcPr>
          <w:p w14:paraId="73CE51B4" w14:textId="77777777" w:rsidR="004E24F2" w:rsidRPr="008A08FD" w:rsidRDefault="004E24F2" w:rsidP="008A08FD">
            <w:pPr>
              <w:pStyle w:val="DHHStabletext"/>
            </w:pPr>
            <w:r w:rsidRPr="008A08FD">
              <w:t>10.1</w:t>
            </w:r>
          </w:p>
        </w:tc>
        <w:tc>
          <w:tcPr>
            <w:tcW w:w="1241" w:type="dxa"/>
            <w:shd w:val="clear" w:color="auto" w:fill="DCDDDE"/>
            <w:hideMark/>
          </w:tcPr>
          <w:p w14:paraId="4D21555C" w14:textId="77777777" w:rsidR="004E24F2" w:rsidRPr="008A08FD" w:rsidRDefault="004E24F2" w:rsidP="008A08FD">
            <w:pPr>
              <w:pStyle w:val="DHHStabletext"/>
            </w:pPr>
            <w:r w:rsidRPr="008A08FD">
              <w:t>10.0</w:t>
            </w:r>
          </w:p>
        </w:tc>
      </w:tr>
    </w:tbl>
    <w:p w14:paraId="7DF40F3B" w14:textId="77777777" w:rsidR="004E24F2" w:rsidRDefault="004E24F2" w:rsidP="004E24F2">
      <w:pPr>
        <w:rPr>
          <w:sz w:val="19"/>
        </w:rPr>
        <w:sectPr w:rsidR="004E24F2" w:rsidSect="004E24F2">
          <w:pgSz w:w="11910" w:h="16840"/>
          <w:pgMar w:top="1699" w:right="1310" w:bottom="1138" w:left="1310" w:header="1" w:footer="493" w:gutter="0"/>
          <w:cols w:space="720"/>
        </w:sectPr>
      </w:pPr>
    </w:p>
    <w:p w14:paraId="16F957D3" w14:textId="77777777" w:rsidR="004E24F2" w:rsidRDefault="004E24F2" w:rsidP="00985332">
      <w:pPr>
        <w:pStyle w:val="DHHSbody"/>
      </w:pPr>
    </w:p>
    <w:tbl>
      <w:tblPr>
        <w:tblpPr w:leftFromText="180" w:rightFromText="180" w:horzAnchor="margin" w:tblpY="240"/>
        <w:tblW w:w="9937"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8"/>
        <w:gridCol w:w="3436"/>
        <w:gridCol w:w="1244"/>
        <w:gridCol w:w="1244"/>
        <w:gridCol w:w="1235"/>
      </w:tblGrid>
      <w:tr w:rsidR="004E24F2" w14:paraId="0EC1C0AA" w14:textId="77777777" w:rsidTr="003F7650">
        <w:trPr>
          <w:trHeight w:val="396"/>
          <w:tblHeader/>
        </w:trPr>
        <w:tc>
          <w:tcPr>
            <w:tcW w:w="2778" w:type="dxa"/>
            <w:shd w:val="clear" w:color="auto" w:fill="auto"/>
            <w:hideMark/>
          </w:tcPr>
          <w:p w14:paraId="76AB0A32" w14:textId="77777777" w:rsidR="004E24F2" w:rsidRPr="00EE31F2" w:rsidRDefault="004E24F2" w:rsidP="00EE31F2">
            <w:pPr>
              <w:pStyle w:val="DHHStablecolhead"/>
            </w:pPr>
            <w:r w:rsidRPr="00EE31F2">
              <w:t>Compulsory treatment</w:t>
            </w:r>
          </w:p>
        </w:tc>
        <w:tc>
          <w:tcPr>
            <w:tcW w:w="3436" w:type="dxa"/>
            <w:shd w:val="clear" w:color="auto" w:fill="auto"/>
            <w:hideMark/>
          </w:tcPr>
          <w:p w14:paraId="1AB32A7C" w14:textId="77777777" w:rsidR="004E24F2" w:rsidRPr="00EE31F2" w:rsidRDefault="004E24F2" w:rsidP="00EE31F2">
            <w:pPr>
              <w:pStyle w:val="DHHStablecolhead"/>
            </w:pPr>
            <w:r w:rsidRPr="00EE31F2">
              <w:t>Population</w:t>
            </w:r>
          </w:p>
        </w:tc>
        <w:tc>
          <w:tcPr>
            <w:tcW w:w="1244" w:type="dxa"/>
            <w:shd w:val="clear" w:color="auto" w:fill="auto"/>
            <w:hideMark/>
          </w:tcPr>
          <w:p w14:paraId="66719682" w14:textId="77777777" w:rsidR="004E24F2" w:rsidRPr="00EE31F2" w:rsidRDefault="004E24F2" w:rsidP="00EE31F2">
            <w:pPr>
              <w:pStyle w:val="DHHStablecolhead"/>
            </w:pPr>
            <w:r w:rsidRPr="00EE31F2">
              <w:t>2014–15</w:t>
            </w:r>
          </w:p>
        </w:tc>
        <w:tc>
          <w:tcPr>
            <w:tcW w:w="1244" w:type="dxa"/>
            <w:shd w:val="clear" w:color="auto" w:fill="auto"/>
            <w:hideMark/>
          </w:tcPr>
          <w:p w14:paraId="2EA7F3A9" w14:textId="77777777" w:rsidR="004E24F2" w:rsidRPr="00EE31F2" w:rsidRDefault="004E24F2" w:rsidP="00EE31F2">
            <w:pPr>
              <w:pStyle w:val="DHHStablecolhead"/>
            </w:pPr>
            <w:r w:rsidRPr="00EE31F2">
              <w:t>2015–16</w:t>
            </w:r>
          </w:p>
        </w:tc>
        <w:tc>
          <w:tcPr>
            <w:tcW w:w="1235" w:type="dxa"/>
            <w:shd w:val="clear" w:color="auto" w:fill="auto"/>
            <w:hideMark/>
          </w:tcPr>
          <w:p w14:paraId="7C3B6C96" w14:textId="77777777" w:rsidR="004E24F2" w:rsidRPr="00EE31F2" w:rsidRDefault="004E24F2" w:rsidP="00EE31F2">
            <w:pPr>
              <w:pStyle w:val="DHHStablecolhead"/>
            </w:pPr>
            <w:r w:rsidRPr="00EE31F2">
              <w:t>2016–17</w:t>
            </w:r>
          </w:p>
        </w:tc>
      </w:tr>
      <w:tr w:rsidR="004E24F2" w14:paraId="38E2CC9E" w14:textId="77777777" w:rsidTr="003F7650">
        <w:trPr>
          <w:trHeight w:val="335"/>
        </w:trPr>
        <w:tc>
          <w:tcPr>
            <w:tcW w:w="2778" w:type="dxa"/>
            <w:vMerge w:val="restart"/>
            <w:hideMark/>
          </w:tcPr>
          <w:p w14:paraId="3A08EB23" w14:textId="77777777" w:rsidR="004E24F2" w:rsidRPr="00EE31F2" w:rsidRDefault="004E24F2" w:rsidP="00EE31F2">
            <w:pPr>
              <w:pStyle w:val="DHHStabletext"/>
            </w:pPr>
            <w:r w:rsidRPr="00EE31F2">
              <w:t>Community cases with client on treatment order (%)</w:t>
            </w:r>
          </w:p>
        </w:tc>
        <w:tc>
          <w:tcPr>
            <w:tcW w:w="3436" w:type="dxa"/>
            <w:hideMark/>
          </w:tcPr>
          <w:p w14:paraId="03316C18" w14:textId="77777777" w:rsidR="004E24F2" w:rsidRPr="00EE31F2" w:rsidRDefault="004E24F2" w:rsidP="00EE31F2">
            <w:pPr>
              <w:pStyle w:val="DHHStabletext"/>
            </w:pPr>
            <w:r w:rsidRPr="00EE31F2">
              <w:t>Adult</w:t>
            </w:r>
          </w:p>
        </w:tc>
        <w:tc>
          <w:tcPr>
            <w:tcW w:w="1244" w:type="dxa"/>
            <w:hideMark/>
          </w:tcPr>
          <w:p w14:paraId="1A0C880C" w14:textId="77777777" w:rsidR="004E24F2" w:rsidRPr="00EE31F2" w:rsidRDefault="004E24F2" w:rsidP="00EE31F2">
            <w:pPr>
              <w:pStyle w:val="DHHStabletext"/>
            </w:pPr>
            <w:r w:rsidRPr="00EE31F2">
              <w:t>14.9%</w:t>
            </w:r>
          </w:p>
        </w:tc>
        <w:tc>
          <w:tcPr>
            <w:tcW w:w="1244" w:type="dxa"/>
            <w:hideMark/>
          </w:tcPr>
          <w:p w14:paraId="6DCBF818" w14:textId="77777777" w:rsidR="004E24F2" w:rsidRPr="00EE31F2" w:rsidRDefault="004E24F2" w:rsidP="00EE31F2">
            <w:pPr>
              <w:pStyle w:val="DHHStabletext"/>
            </w:pPr>
            <w:r w:rsidRPr="00EE31F2">
              <w:t>14.9%</w:t>
            </w:r>
          </w:p>
        </w:tc>
        <w:tc>
          <w:tcPr>
            <w:tcW w:w="1235" w:type="dxa"/>
            <w:hideMark/>
          </w:tcPr>
          <w:p w14:paraId="44F9A95A" w14:textId="77777777" w:rsidR="004E24F2" w:rsidRPr="00EE31F2" w:rsidRDefault="004E24F2" w:rsidP="00EE31F2">
            <w:pPr>
              <w:pStyle w:val="DHHStabletext"/>
            </w:pPr>
            <w:r w:rsidRPr="00EE31F2">
              <w:t>14.5%</w:t>
            </w:r>
          </w:p>
        </w:tc>
      </w:tr>
      <w:tr w:rsidR="004E24F2" w14:paraId="2E4B330C" w14:textId="77777777" w:rsidTr="003F7650">
        <w:trPr>
          <w:trHeight w:val="330"/>
        </w:trPr>
        <w:tc>
          <w:tcPr>
            <w:tcW w:w="2778" w:type="dxa"/>
            <w:vMerge/>
            <w:vAlign w:val="center"/>
            <w:hideMark/>
          </w:tcPr>
          <w:p w14:paraId="6FD0AAF4" w14:textId="77777777" w:rsidR="004E24F2" w:rsidRPr="00EE31F2" w:rsidRDefault="004E24F2" w:rsidP="00EE31F2">
            <w:pPr>
              <w:pStyle w:val="DHHStabletext"/>
              <w:rPr>
                <w:rFonts w:eastAsia="Trebuchet MS"/>
              </w:rPr>
            </w:pPr>
          </w:p>
        </w:tc>
        <w:tc>
          <w:tcPr>
            <w:tcW w:w="3436" w:type="dxa"/>
            <w:hideMark/>
          </w:tcPr>
          <w:p w14:paraId="333B3F83" w14:textId="77777777" w:rsidR="004E24F2" w:rsidRPr="00EE31F2" w:rsidRDefault="004E24F2" w:rsidP="00EE31F2">
            <w:pPr>
              <w:pStyle w:val="DHHStabletext"/>
            </w:pPr>
            <w:r w:rsidRPr="00EE31F2">
              <w:t>Aged</w:t>
            </w:r>
          </w:p>
        </w:tc>
        <w:tc>
          <w:tcPr>
            <w:tcW w:w="1244" w:type="dxa"/>
            <w:hideMark/>
          </w:tcPr>
          <w:p w14:paraId="03005B96" w14:textId="77777777" w:rsidR="004E24F2" w:rsidRPr="00EE31F2" w:rsidRDefault="004E24F2" w:rsidP="00EE31F2">
            <w:pPr>
              <w:pStyle w:val="DHHStabletext"/>
            </w:pPr>
            <w:r w:rsidRPr="00EE31F2">
              <w:t>3.8%</w:t>
            </w:r>
          </w:p>
        </w:tc>
        <w:tc>
          <w:tcPr>
            <w:tcW w:w="1244" w:type="dxa"/>
            <w:hideMark/>
          </w:tcPr>
          <w:p w14:paraId="3FC6388C" w14:textId="77777777" w:rsidR="004E24F2" w:rsidRPr="00EE31F2" w:rsidRDefault="004E24F2" w:rsidP="00EE31F2">
            <w:pPr>
              <w:pStyle w:val="DHHStabletext"/>
            </w:pPr>
            <w:r w:rsidRPr="00EE31F2">
              <w:t>4.2%</w:t>
            </w:r>
          </w:p>
        </w:tc>
        <w:tc>
          <w:tcPr>
            <w:tcW w:w="1235" w:type="dxa"/>
            <w:hideMark/>
          </w:tcPr>
          <w:p w14:paraId="32742F66" w14:textId="77777777" w:rsidR="004E24F2" w:rsidRPr="00EE31F2" w:rsidRDefault="004E24F2" w:rsidP="00EE31F2">
            <w:pPr>
              <w:pStyle w:val="DHHStabletext"/>
            </w:pPr>
            <w:r w:rsidRPr="00EE31F2">
              <w:t>4.5%</w:t>
            </w:r>
          </w:p>
        </w:tc>
      </w:tr>
      <w:tr w:rsidR="004E24F2" w14:paraId="03D9D5BE" w14:textId="77777777" w:rsidTr="003F7650">
        <w:trPr>
          <w:trHeight w:val="330"/>
        </w:trPr>
        <w:tc>
          <w:tcPr>
            <w:tcW w:w="2778" w:type="dxa"/>
            <w:vMerge/>
            <w:vAlign w:val="center"/>
            <w:hideMark/>
          </w:tcPr>
          <w:p w14:paraId="15F228C8" w14:textId="77777777" w:rsidR="004E24F2" w:rsidRPr="00EE31F2" w:rsidRDefault="004E24F2" w:rsidP="00EE31F2">
            <w:pPr>
              <w:pStyle w:val="DHHStabletext"/>
              <w:rPr>
                <w:rFonts w:eastAsia="Trebuchet MS"/>
              </w:rPr>
            </w:pPr>
          </w:p>
        </w:tc>
        <w:tc>
          <w:tcPr>
            <w:tcW w:w="3436" w:type="dxa"/>
            <w:hideMark/>
          </w:tcPr>
          <w:p w14:paraId="061336D5" w14:textId="77777777" w:rsidR="004E24F2" w:rsidRPr="00EE31F2" w:rsidRDefault="004E24F2" w:rsidP="00EE31F2">
            <w:pPr>
              <w:pStyle w:val="DHHStabletext"/>
            </w:pPr>
            <w:r w:rsidRPr="00EE31F2">
              <w:t>CAMHS</w:t>
            </w:r>
          </w:p>
        </w:tc>
        <w:tc>
          <w:tcPr>
            <w:tcW w:w="1244" w:type="dxa"/>
            <w:hideMark/>
          </w:tcPr>
          <w:p w14:paraId="2A2B495F" w14:textId="77777777" w:rsidR="004E24F2" w:rsidRPr="00EE31F2" w:rsidRDefault="004E24F2" w:rsidP="00EE31F2">
            <w:pPr>
              <w:pStyle w:val="DHHStabletext"/>
            </w:pPr>
            <w:r w:rsidRPr="00EE31F2">
              <w:t>0.7%</w:t>
            </w:r>
          </w:p>
        </w:tc>
        <w:tc>
          <w:tcPr>
            <w:tcW w:w="1244" w:type="dxa"/>
            <w:hideMark/>
          </w:tcPr>
          <w:p w14:paraId="59AA79A2" w14:textId="77777777" w:rsidR="004E24F2" w:rsidRPr="00EE31F2" w:rsidRDefault="004E24F2" w:rsidP="00EE31F2">
            <w:pPr>
              <w:pStyle w:val="DHHStabletext"/>
            </w:pPr>
            <w:r w:rsidRPr="00EE31F2">
              <w:t>0.9%</w:t>
            </w:r>
          </w:p>
        </w:tc>
        <w:tc>
          <w:tcPr>
            <w:tcW w:w="1235" w:type="dxa"/>
            <w:hideMark/>
          </w:tcPr>
          <w:p w14:paraId="7C09178F" w14:textId="77777777" w:rsidR="004E24F2" w:rsidRPr="00EE31F2" w:rsidRDefault="004E24F2" w:rsidP="00EE31F2">
            <w:pPr>
              <w:pStyle w:val="DHHStabletext"/>
            </w:pPr>
            <w:r w:rsidRPr="00EE31F2">
              <w:t>1.1%</w:t>
            </w:r>
          </w:p>
        </w:tc>
      </w:tr>
      <w:tr w:rsidR="004E24F2" w14:paraId="22CEB9E9" w14:textId="77777777" w:rsidTr="003F7650">
        <w:trPr>
          <w:trHeight w:val="330"/>
        </w:trPr>
        <w:tc>
          <w:tcPr>
            <w:tcW w:w="2778" w:type="dxa"/>
            <w:vMerge/>
            <w:vAlign w:val="center"/>
            <w:hideMark/>
          </w:tcPr>
          <w:p w14:paraId="56E99930" w14:textId="77777777" w:rsidR="004E24F2" w:rsidRPr="00EE31F2" w:rsidRDefault="004E24F2" w:rsidP="00EE31F2">
            <w:pPr>
              <w:pStyle w:val="DHHStabletext"/>
              <w:rPr>
                <w:rFonts w:eastAsia="Trebuchet MS"/>
              </w:rPr>
            </w:pPr>
          </w:p>
        </w:tc>
        <w:tc>
          <w:tcPr>
            <w:tcW w:w="3436" w:type="dxa"/>
            <w:hideMark/>
          </w:tcPr>
          <w:p w14:paraId="5AA6A4FF" w14:textId="77777777" w:rsidR="004E24F2" w:rsidRPr="00EE31F2" w:rsidRDefault="004E24F2" w:rsidP="00EE31F2">
            <w:pPr>
              <w:pStyle w:val="DHHStabletext"/>
            </w:pPr>
            <w:r w:rsidRPr="00EE31F2">
              <w:t>Forensic</w:t>
            </w:r>
          </w:p>
        </w:tc>
        <w:tc>
          <w:tcPr>
            <w:tcW w:w="1244" w:type="dxa"/>
            <w:hideMark/>
          </w:tcPr>
          <w:p w14:paraId="4614AD51" w14:textId="77777777" w:rsidR="004E24F2" w:rsidRPr="00EE31F2" w:rsidRDefault="004E24F2" w:rsidP="00EE31F2">
            <w:pPr>
              <w:pStyle w:val="DHHStabletext"/>
            </w:pPr>
            <w:r w:rsidRPr="00EE31F2">
              <w:t>14.2%</w:t>
            </w:r>
          </w:p>
        </w:tc>
        <w:tc>
          <w:tcPr>
            <w:tcW w:w="1244" w:type="dxa"/>
            <w:hideMark/>
          </w:tcPr>
          <w:p w14:paraId="2249DEBC" w14:textId="77777777" w:rsidR="004E24F2" w:rsidRPr="00EE31F2" w:rsidRDefault="004E24F2" w:rsidP="00EE31F2">
            <w:pPr>
              <w:pStyle w:val="DHHStabletext"/>
            </w:pPr>
            <w:r w:rsidRPr="00EE31F2">
              <w:t>15.4%</w:t>
            </w:r>
          </w:p>
        </w:tc>
        <w:tc>
          <w:tcPr>
            <w:tcW w:w="1235" w:type="dxa"/>
            <w:hideMark/>
          </w:tcPr>
          <w:p w14:paraId="06F291C4" w14:textId="77777777" w:rsidR="004E24F2" w:rsidRPr="00EE31F2" w:rsidRDefault="004E24F2" w:rsidP="00EE31F2">
            <w:pPr>
              <w:pStyle w:val="DHHStabletext"/>
            </w:pPr>
            <w:r w:rsidRPr="00EE31F2">
              <w:t>16.0%</w:t>
            </w:r>
          </w:p>
        </w:tc>
      </w:tr>
      <w:tr w:rsidR="004E24F2" w14:paraId="45E95458" w14:textId="77777777" w:rsidTr="003F7650">
        <w:trPr>
          <w:trHeight w:val="330"/>
        </w:trPr>
        <w:tc>
          <w:tcPr>
            <w:tcW w:w="2778" w:type="dxa"/>
            <w:vMerge/>
            <w:vAlign w:val="center"/>
            <w:hideMark/>
          </w:tcPr>
          <w:p w14:paraId="6FBEF1D7" w14:textId="77777777" w:rsidR="004E24F2" w:rsidRPr="00EE31F2" w:rsidRDefault="004E24F2" w:rsidP="00EE31F2">
            <w:pPr>
              <w:pStyle w:val="DHHStabletext"/>
              <w:rPr>
                <w:rFonts w:eastAsia="Trebuchet MS"/>
              </w:rPr>
            </w:pPr>
          </w:p>
        </w:tc>
        <w:tc>
          <w:tcPr>
            <w:tcW w:w="3436" w:type="dxa"/>
            <w:hideMark/>
          </w:tcPr>
          <w:p w14:paraId="0B50A8EA" w14:textId="77777777" w:rsidR="004E24F2" w:rsidRPr="00EE31F2" w:rsidRDefault="004E24F2" w:rsidP="00EE31F2">
            <w:pPr>
              <w:pStyle w:val="DHHStabletext"/>
            </w:pPr>
            <w:r w:rsidRPr="00EE31F2">
              <w:t>Specialist</w:t>
            </w:r>
          </w:p>
        </w:tc>
        <w:tc>
          <w:tcPr>
            <w:tcW w:w="1244" w:type="dxa"/>
            <w:hideMark/>
          </w:tcPr>
          <w:p w14:paraId="306CCA63" w14:textId="77777777" w:rsidR="004E24F2" w:rsidRPr="00EE31F2" w:rsidRDefault="004E24F2" w:rsidP="00EE31F2">
            <w:pPr>
              <w:pStyle w:val="DHHStabletext"/>
            </w:pPr>
            <w:r w:rsidRPr="00EE31F2">
              <w:t>1.0%</w:t>
            </w:r>
          </w:p>
        </w:tc>
        <w:tc>
          <w:tcPr>
            <w:tcW w:w="1244" w:type="dxa"/>
            <w:hideMark/>
          </w:tcPr>
          <w:p w14:paraId="589D0657" w14:textId="77777777" w:rsidR="004E24F2" w:rsidRPr="00EE31F2" w:rsidRDefault="004E24F2" w:rsidP="00EE31F2">
            <w:pPr>
              <w:pStyle w:val="DHHStabletext"/>
            </w:pPr>
            <w:r w:rsidRPr="00EE31F2">
              <w:t>1.8%</w:t>
            </w:r>
          </w:p>
        </w:tc>
        <w:tc>
          <w:tcPr>
            <w:tcW w:w="1235" w:type="dxa"/>
            <w:hideMark/>
          </w:tcPr>
          <w:p w14:paraId="1B09114C" w14:textId="77777777" w:rsidR="004E24F2" w:rsidRPr="00EE31F2" w:rsidRDefault="004E24F2" w:rsidP="00EE31F2">
            <w:pPr>
              <w:pStyle w:val="DHHStabletext"/>
            </w:pPr>
            <w:r w:rsidRPr="00EE31F2">
              <w:t>2.2%</w:t>
            </w:r>
          </w:p>
        </w:tc>
      </w:tr>
      <w:tr w:rsidR="004E24F2" w14:paraId="42F16FE9" w14:textId="77777777" w:rsidTr="003F7650">
        <w:trPr>
          <w:trHeight w:val="330"/>
        </w:trPr>
        <w:tc>
          <w:tcPr>
            <w:tcW w:w="2778" w:type="dxa"/>
            <w:vMerge/>
            <w:vAlign w:val="center"/>
            <w:hideMark/>
          </w:tcPr>
          <w:p w14:paraId="2355959A" w14:textId="77777777" w:rsidR="004E24F2" w:rsidRPr="00EE31F2" w:rsidRDefault="004E24F2" w:rsidP="00EE31F2">
            <w:pPr>
              <w:pStyle w:val="DHHStabletext"/>
              <w:rPr>
                <w:rFonts w:eastAsia="Trebuchet MS"/>
              </w:rPr>
            </w:pPr>
          </w:p>
        </w:tc>
        <w:tc>
          <w:tcPr>
            <w:tcW w:w="3436" w:type="dxa"/>
            <w:shd w:val="clear" w:color="auto" w:fill="DCDDDE"/>
            <w:hideMark/>
          </w:tcPr>
          <w:p w14:paraId="2559026C" w14:textId="77777777" w:rsidR="004E24F2" w:rsidRPr="00EE31F2" w:rsidRDefault="004E24F2" w:rsidP="00EE31F2">
            <w:pPr>
              <w:pStyle w:val="DHHStabletext"/>
            </w:pPr>
            <w:r w:rsidRPr="00EE31F2">
              <w:t>Total</w:t>
            </w:r>
          </w:p>
        </w:tc>
        <w:tc>
          <w:tcPr>
            <w:tcW w:w="1244" w:type="dxa"/>
            <w:shd w:val="clear" w:color="auto" w:fill="DCDDDE"/>
            <w:hideMark/>
          </w:tcPr>
          <w:p w14:paraId="62BEBC07" w14:textId="77777777" w:rsidR="004E24F2" w:rsidRPr="00EE31F2" w:rsidRDefault="004E24F2" w:rsidP="00EE31F2">
            <w:pPr>
              <w:pStyle w:val="DHHStabletext"/>
            </w:pPr>
            <w:r w:rsidRPr="00EE31F2">
              <w:t>10.8%</w:t>
            </w:r>
          </w:p>
        </w:tc>
        <w:tc>
          <w:tcPr>
            <w:tcW w:w="1244" w:type="dxa"/>
            <w:shd w:val="clear" w:color="auto" w:fill="DCDDDE"/>
            <w:hideMark/>
          </w:tcPr>
          <w:p w14:paraId="4A404DBB" w14:textId="77777777" w:rsidR="004E24F2" w:rsidRPr="00EE31F2" w:rsidRDefault="004E24F2" w:rsidP="00EE31F2">
            <w:pPr>
              <w:pStyle w:val="DHHStabletext"/>
            </w:pPr>
            <w:r w:rsidRPr="00EE31F2">
              <w:t>11.1%</w:t>
            </w:r>
          </w:p>
        </w:tc>
        <w:tc>
          <w:tcPr>
            <w:tcW w:w="1235" w:type="dxa"/>
            <w:shd w:val="clear" w:color="auto" w:fill="DCDDDE"/>
            <w:hideMark/>
          </w:tcPr>
          <w:p w14:paraId="1FF2DC12" w14:textId="77777777" w:rsidR="004E24F2" w:rsidRPr="00EE31F2" w:rsidRDefault="004E24F2" w:rsidP="00EE31F2">
            <w:pPr>
              <w:pStyle w:val="DHHStabletext"/>
            </w:pPr>
            <w:r w:rsidRPr="00EE31F2">
              <w:t>11.0%</w:t>
            </w:r>
          </w:p>
        </w:tc>
      </w:tr>
      <w:tr w:rsidR="004E24F2" w14:paraId="6972C843" w14:textId="77777777" w:rsidTr="003F7650">
        <w:trPr>
          <w:trHeight w:val="406"/>
        </w:trPr>
        <w:tc>
          <w:tcPr>
            <w:tcW w:w="2778" w:type="dxa"/>
            <w:vMerge w:val="restart"/>
            <w:hideMark/>
          </w:tcPr>
          <w:p w14:paraId="435F2186" w14:textId="77777777" w:rsidR="004E24F2" w:rsidRPr="00EE31F2" w:rsidRDefault="004E24F2" w:rsidP="00EE31F2">
            <w:pPr>
              <w:pStyle w:val="DHHStabletext"/>
            </w:pPr>
            <w:r w:rsidRPr="00EE31F2">
              <w:t>Compulsory admissions – inpatient (%)</w:t>
            </w:r>
          </w:p>
        </w:tc>
        <w:tc>
          <w:tcPr>
            <w:tcW w:w="3436" w:type="dxa"/>
            <w:hideMark/>
          </w:tcPr>
          <w:p w14:paraId="3395F064" w14:textId="77777777" w:rsidR="004E24F2" w:rsidRPr="00EE31F2" w:rsidRDefault="004E24F2" w:rsidP="00EE31F2">
            <w:pPr>
              <w:pStyle w:val="DHHStabletext"/>
            </w:pPr>
            <w:r w:rsidRPr="00EE31F2">
              <w:t>Adult</w:t>
            </w:r>
          </w:p>
        </w:tc>
        <w:tc>
          <w:tcPr>
            <w:tcW w:w="1244" w:type="dxa"/>
            <w:hideMark/>
          </w:tcPr>
          <w:p w14:paraId="1A33F696" w14:textId="77777777" w:rsidR="004E24F2" w:rsidRPr="00EE31F2" w:rsidRDefault="004E24F2" w:rsidP="00EE31F2">
            <w:pPr>
              <w:pStyle w:val="DHHStabletext"/>
            </w:pPr>
            <w:r w:rsidRPr="00EE31F2">
              <w:t>57.3%</w:t>
            </w:r>
          </w:p>
        </w:tc>
        <w:tc>
          <w:tcPr>
            <w:tcW w:w="1244" w:type="dxa"/>
            <w:hideMark/>
          </w:tcPr>
          <w:p w14:paraId="56878C31" w14:textId="77777777" w:rsidR="004E24F2" w:rsidRPr="00EE31F2" w:rsidRDefault="004E24F2" w:rsidP="00EE31F2">
            <w:pPr>
              <w:pStyle w:val="DHHStabletext"/>
            </w:pPr>
            <w:r w:rsidRPr="00EE31F2">
              <w:t>57.8%</w:t>
            </w:r>
          </w:p>
        </w:tc>
        <w:tc>
          <w:tcPr>
            <w:tcW w:w="1235" w:type="dxa"/>
            <w:hideMark/>
          </w:tcPr>
          <w:p w14:paraId="291A1A61" w14:textId="77777777" w:rsidR="004E24F2" w:rsidRPr="00EE31F2" w:rsidRDefault="004E24F2" w:rsidP="00EE31F2">
            <w:pPr>
              <w:pStyle w:val="DHHStabletext"/>
            </w:pPr>
            <w:r w:rsidRPr="00EE31F2">
              <w:t>56.9%</w:t>
            </w:r>
          </w:p>
        </w:tc>
      </w:tr>
      <w:tr w:rsidR="004E24F2" w14:paraId="38501CEF" w14:textId="77777777" w:rsidTr="003F7650">
        <w:trPr>
          <w:trHeight w:val="330"/>
        </w:trPr>
        <w:tc>
          <w:tcPr>
            <w:tcW w:w="2778" w:type="dxa"/>
            <w:vMerge/>
            <w:vAlign w:val="center"/>
            <w:hideMark/>
          </w:tcPr>
          <w:p w14:paraId="7379A80D" w14:textId="77777777" w:rsidR="004E24F2" w:rsidRPr="00EE31F2" w:rsidRDefault="004E24F2" w:rsidP="00EE31F2">
            <w:pPr>
              <w:pStyle w:val="DHHStabletext"/>
              <w:rPr>
                <w:rFonts w:eastAsia="Trebuchet MS"/>
              </w:rPr>
            </w:pPr>
          </w:p>
        </w:tc>
        <w:tc>
          <w:tcPr>
            <w:tcW w:w="3436" w:type="dxa"/>
            <w:hideMark/>
          </w:tcPr>
          <w:p w14:paraId="1D30E247" w14:textId="77777777" w:rsidR="004E24F2" w:rsidRPr="00EE31F2" w:rsidRDefault="004E24F2" w:rsidP="00EE31F2">
            <w:pPr>
              <w:pStyle w:val="DHHStabletext"/>
            </w:pPr>
            <w:r w:rsidRPr="00EE31F2">
              <w:t>Aged</w:t>
            </w:r>
          </w:p>
        </w:tc>
        <w:tc>
          <w:tcPr>
            <w:tcW w:w="1244" w:type="dxa"/>
            <w:hideMark/>
          </w:tcPr>
          <w:p w14:paraId="77657277" w14:textId="77777777" w:rsidR="004E24F2" w:rsidRPr="00EE31F2" w:rsidRDefault="004E24F2" w:rsidP="00EE31F2">
            <w:pPr>
              <w:pStyle w:val="DHHStabletext"/>
            </w:pPr>
            <w:r w:rsidRPr="00EE31F2">
              <w:t>45.4%</w:t>
            </w:r>
          </w:p>
        </w:tc>
        <w:tc>
          <w:tcPr>
            <w:tcW w:w="1244" w:type="dxa"/>
            <w:hideMark/>
          </w:tcPr>
          <w:p w14:paraId="09E533AC" w14:textId="77777777" w:rsidR="004E24F2" w:rsidRPr="00EE31F2" w:rsidRDefault="004E24F2" w:rsidP="00EE31F2">
            <w:pPr>
              <w:pStyle w:val="DHHStabletext"/>
            </w:pPr>
            <w:r w:rsidRPr="00EE31F2">
              <w:t>46.0%</w:t>
            </w:r>
          </w:p>
        </w:tc>
        <w:tc>
          <w:tcPr>
            <w:tcW w:w="1235" w:type="dxa"/>
            <w:hideMark/>
          </w:tcPr>
          <w:p w14:paraId="38FC0B73" w14:textId="77777777" w:rsidR="004E24F2" w:rsidRPr="00EE31F2" w:rsidRDefault="004E24F2" w:rsidP="00EE31F2">
            <w:pPr>
              <w:pStyle w:val="DHHStabletext"/>
            </w:pPr>
            <w:r w:rsidRPr="00EE31F2">
              <w:t>48.2%</w:t>
            </w:r>
          </w:p>
        </w:tc>
      </w:tr>
      <w:tr w:rsidR="004E24F2" w14:paraId="26C126B6" w14:textId="77777777" w:rsidTr="003F7650">
        <w:trPr>
          <w:trHeight w:val="327"/>
        </w:trPr>
        <w:tc>
          <w:tcPr>
            <w:tcW w:w="2778" w:type="dxa"/>
            <w:vMerge/>
            <w:vAlign w:val="center"/>
            <w:hideMark/>
          </w:tcPr>
          <w:p w14:paraId="7472D4B6" w14:textId="77777777" w:rsidR="004E24F2" w:rsidRPr="00EE31F2" w:rsidRDefault="004E24F2" w:rsidP="00EE31F2">
            <w:pPr>
              <w:pStyle w:val="DHHStabletext"/>
              <w:rPr>
                <w:rFonts w:eastAsia="Trebuchet MS"/>
              </w:rPr>
            </w:pPr>
          </w:p>
        </w:tc>
        <w:tc>
          <w:tcPr>
            <w:tcW w:w="3436" w:type="dxa"/>
            <w:hideMark/>
          </w:tcPr>
          <w:p w14:paraId="74574CCA" w14:textId="77777777" w:rsidR="004E24F2" w:rsidRPr="00EE31F2" w:rsidRDefault="004E24F2" w:rsidP="00EE31F2">
            <w:pPr>
              <w:pStyle w:val="DHHStabletext"/>
            </w:pPr>
            <w:r w:rsidRPr="00EE31F2">
              <w:t>CAMHS</w:t>
            </w:r>
          </w:p>
        </w:tc>
        <w:tc>
          <w:tcPr>
            <w:tcW w:w="1244" w:type="dxa"/>
            <w:hideMark/>
          </w:tcPr>
          <w:p w14:paraId="5429D931" w14:textId="77777777" w:rsidR="004E24F2" w:rsidRPr="00EE31F2" w:rsidRDefault="004E24F2" w:rsidP="00EE31F2">
            <w:pPr>
              <w:pStyle w:val="DHHStabletext"/>
            </w:pPr>
            <w:r w:rsidRPr="00EE31F2">
              <w:t>18.4%</w:t>
            </w:r>
          </w:p>
        </w:tc>
        <w:tc>
          <w:tcPr>
            <w:tcW w:w="1244" w:type="dxa"/>
            <w:hideMark/>
          </w:tcPr>
          <w:p w14:paraId="647E17B9" w14:textId="77777777" w:rsidR="004E24F2" w:rsidRPr="00EE31F2" w:rsidRDefault="004E24F2" w:rsidP="00EE31F2">
            <w:pPr>
              <w:pStyle w:val="DHHStabletext"/>
            </w:pPr>
            <w:r w:rsidRPr="00EE31F2">
              <w:t>16.7%</w:t>
            </w:r>
          </w:p>
        </w:tc>
        <w:tc>
          <w:tcPr>
            <w:tcW w:w="1235" w:type="dxa"/>
            <w:hideMark/>
          </w:tcPr>
          <w:p w14:paraId="5460F5C3" w14:textId="77777777" w:rsidR="004E24F2" w:rsidRPr="00EE31F2" w:rsidRDefault="004E24F2" w:rsidP="00EE31F2">
            <w:pPr>
              <w:pStyle w:val="DHHStabletext"/>
            </w:pPr>
            <w:r w:rsidRPr="00EE31F2">
              <w:t>17.0%</w:t>
            </w:r>
          </w:p>
        </w:tc>
      </w:tr>
      <w:tr w:rsidR="004E24F2" w14:paraId="54A7FB78" w14:textId="77777777" w:rsidTr="003F7650">
        <w:trPr>
          <w:trHeight w:val="327"/>
        </w:trPr>
        <w:tc>
          <w:tcPr>
            <w:tcW w:w="2778" w:type="dxa"/>
            <w:vMerge/>
            <w:vAlign w:val="center"/>
            <w:hideMark/>
          </w:tcPr>
          <w:p w14:paraId="5AF6EB08" w14:textId="77777777" w:rsidR="004E24F2" w:rsidRPr="00EE31F2" w:rsidRDefault="004E24F2" w:rsidP="00EE31F2">
            <w:pPr>
              <w:pStyle w:val="DHHStabletext"/>
              <w:rPr>
                <w:rFonts w:eastAsia="Trebuchet MS"/>
              </w:rPr>
            </w:pPr>
          </w:p>
        </w:tc>
        <w:tc>
          <w:tcPr>
            <w:tcW w:w="3436" w:type="dxa"/>
            <w:hideMark/>
          </w:tcPr>
          <w:p w14:paraId="4DA386B8" w14:textId="77777777" w:rsidR="004E24F2" w:rsidRPr="00EE31F2" w:rsidRDefault="004E24F2" w:rsidP="00EE31F2">
            <w:pPr>
              <w:pStyle w:val="DHHStabletext"/>
            </w:pPr>
            <w:r w:rsidRPr="00EE31F2">
              <w:t>Forensic</w:t>
            </w:r>
          </w:p>
        </w:tc>
        <w:tc>
          <w:tcPr>
            <w:tcW w:w="1244" w:type="dxa"/>
            <w:hideMark/>
          </w:tcPr>
          <w:p w14:paraId="15742181" w14:textId="77777777" w:rsidR="004E24F2" w:rsidRPr="00EE31F2" w:rsidRDefault="004E24F2" w:rsidP="00EE31F2">
            <w:pPr>
              <w:pStyle w:val="DHHStabletext"/>
            </w:pPr>
            <w:r w:rsidRPr="00EE31F2">
              <w:t>100.0%</w:t>
            </w:r>
          </w:p>
        </w:tc>
        <w:tc>
          <w:tcPr>
            <w:tcW w:w="1244" w:type="dxa"/>
            <w:hideMark/>
          </w:tcPr>
          <w:p w14:paraId="2336117B" w14:textId="77777777" w:rsidR="004E24F2" w:rsidRPr="00EE31F2" w:rsidRDefault="004E24F2" w:rsidP="00EE31F2">
            <w:pPr>
              <w:pStyle w:val="DHHStabletext"/>
            </w:pPr>
            <w:r w:rsidRPr="00EE31F2">
              <w:t>100.0%</w:t>
            </w:r>
          </w:p>
        </w:tc>
        <w:tc>
          <w:tcPr>
            <w:tcW w:w="1235" w:type="dxa"/>
            <w:hideMark/>
          </w:tcPr>
          <w:p w14:paraId="6C495753" w14:textId="77777777" w:rsidR="004E24F2" w:rsidRPr="00EE31F2" w:rsidRDefault="004E24F2" w:rsidP="00EE31F2">
            <w:pPr>
              <w:pStyle w:val="DHHStabletext"/>
            </w:pPr>
            <w:r w:rsidRPr="00EE31F2">
              <w:t>100.0%</w:t>
            </w:r>
          </w:p>
        </w:tc>
      </w:tr>
      <w:tr w:rsidR="004E24F2" w14:paraId="3EF4364C" w14:textId="77777777" w:rsidTr="003F7650">
        <w:trPr>
          <w:trHeight w:val="327"/>
        </w:trPr>
        <w:tc>
          <w:tcPr>
            <w:tcW w:w="2778" w:type="dxa"/>
            <w:vMerge/>
            <w:vAlign w:val="center"/>
            <w:hideMark/>
          </w:tcPr>
          <w:p w14:paraId="4B670F39" w14:textId="77777777" w:rsidR="004E24F2" w:rsidRPr="00EE31F2" w:rsidRDefault="004E24F2" w:rsidP="00EE31F2">
            <w:pPr>
              <w:pStyle w:val="DHHStabletext"/>
              <w:rPr>
                <w:rFonts w:eastAsia="Trebuchet MS"/>
              </w:rPr>
            </w:pPr>
          </w:p>
        </w:tc>
        <w:tc>
          <w:tcPr>
            <w:tcW w:w="3436" w:type="dxa"/>
            <w:hideMark/>
          </w:tcPr>
          <w:p w14:paraId="4BBFD55F" w14:textId="77777777" w:rsidR="004E24F2" w:rsidRPr="00EE31F2" w:rsidRDefault="004E24F2" w:rsidP="00EE31F2">
            <w:pPr>
              <w:pStyle w:val="DHHStabletext"/>
            </w:pPr>
            <w:r w:rsidRPr="00EE31F2">
              <w:t>Specialist</w:t>
            </w:r>
          </w:p>
        </w:tc>
        <w:tc>
          <w:tcPr>
            <w:tcW w:w="1244" w:type="dxa"/>
            <w:hideMark/>
          </w:tcPr>
          <w:p w14:paraId="19698B49" w14:textId="77777777" w:rsidR="004E24F2" w:rsidRPr="00EE31F2" w:rsidRDefault="004E24F2" w:rsidP="00EE31F2">
            <w:pPr>
              <w:pStyle w:val="DHHStabletext"/>
            </w:pPr>
            <w:r w:rsidRPr="00EE31F2">
              <w:t>13.0%</w:t>
            </w:r>
          </w:p>
        </w:tc>
        <w:tc>
          <w:tcPr>
            <w:tcW w:w="1244" w:type="dxa"/>
            <w:hideMark/>
          </w:tcPr>
          <w:p w14:paraId="011126F8" w14:textId="77777777" w:rsidR="004E24F2" w:rsidRPr="00EE31F2" w:rsidRDefault="004E24F2" w:rsidP="00EE31F2">
            <w:pPr>
              <w:pStyle w:val="DHHStabletext"/>
            </w:pPr>
            <w:r w:rsidRPr="00EE31F2">
              <w:t>11.3%</w:t>
            </w:r>
          </w:p>
        </w:tc>
        <w:tc>
          <w:tcPr>
            <w:tcW w:w="1235" w:type="dxa"/>
            <w:hideMark/>
          </w:tcPr>
          <w:p w14:paraId="0A10BB75" w14:textId="77777777" w:rsidR="004E24F2" w:rsidRPr="00EE31F2" w:rsidRDefault="004E24F2" w:rsidP="00EE31F2">
            <w:pPr>
              <w:pStyle w:val="DHHStabletext"/>
            </w:pPr>
            <w:r w:rsidRPr="00EE31F2">
              <w:t>8.6%</w:t>
            </w:r>
          </w:p>
        </w:tc>
      </w:tr>
      <w:tr w:rsidR="004E24F2" w14:paraId="12DD0BE9" w14:textId="77777777" w:rsidTr="003F7650">
        <w:trPr>
          <w:trHeight w:val="404"/>
        </w:trPr>
        <w:tc>
          <w:tcPr>
            <w:tcW w:w="2778" w:type="dxa"/>
            <w:vMerge/>
            <w:vAlign w:val="center"/>
            <w:hideMark/>
          </w:tcPr>
          <w:p w14:paraId="39D3C8D4" w14:textId="77777777" w:rsidR="004E24F2" w:rsidRPr="00EE31F2" w:rsidRDefault="004E24F2" w:rsidP="00EE31F2">
            <w:pPr>
              <w:pStyle w:val="DHHStabletext"/>
              <w:rPr>
                <w:rFonts w:eastAsia="Trebuchet MS"/>
              </w:rPr>
            </w:pPr>
          </w:p>
        </w:tc>
        <w:tc>
          <w:tcPr>
            <w:tcW w:w="3436" w:type="dxa"/>
            <w:shd w:val="clear" w:color="auto" w:fill="DCDDDE"/>
            <w:hideMark/>
          </w:tcPr>
          <w:p w14:paraId="0CCC4CA1" w14:textId="77777777" w:rsidR="004E24F2" w:rsidRPr="00EE31F2" w:rsidRDefault="004E24F2" w:rsidP="00EE31F2">
            <w:pPr>
              <w:pStyle w:val="DHHStabletext"/>
            </w:pPr>
            <w:r w:rsidRPr="00EE31F2">
              <w:t>Total</w:t>
            </w:r>
          </w:p>
        </w:tc>
        <w:tc>
          <w:tcPr>
            <w:tcW w:w="1244" w:type="dxa"/>
            <w:shd w:val="clear" w:color="auto" w:fill="DCDDDE"/>
            <w:hideMark/>
          </w:tcPr>
          <w:p w14:paraId="14A46746" w14:textId="77777777" w:rsidR="004E24F2" w:rsidRPr="00EE31F2" w:rsidRDefault="004E24F2" w:rsidP="00EE31F2">
            <w:pPr>
              <w:pStyle w:val="DHHStabletext"/>
            </w:pPr>
            <w:r w:rsidRPr="00EE31F2">
              <w:t>51.9%</w:t>
            </w:r>
          </w:p>
        </w:tc>
        <w:tc>
          <w:tcPr>
            <w:tcW w:w="1244" w:type="dxa"/>
            <w:shd w:val="clear" w:color="auto" w:fill="DCDDDE"/>
            <w:hideMark/>
          </w:tcPr>
          <w:p w14:paraId="021AB769" w14:textId="77777777" w:rsidR="004E24F2" w:rsidRPr="00EE31F2" w:rsidRDefault="004E24F2" w:rsidP="00EE31F2">
            <w:pPr>
              <w:pStyle w:val="DHHStabletext"/>
            </w:pPr>
            <w:r w:rsidRPr="00EE31F2">
              <w:t>52.2%</w:t>
            </w:r>
          </w:p>
        </w:tc>
        <w:tc>
          <w:tcPr>
            <w:tcW w:w="1235" w:type="dxa"/>
            <w:shd w:val="clear" w:color="auto" w:fill="DCDDDE"/>
            <w:hideMark/>
          </w:tcPr>
          <w:p w14:paraId="55FAD57D" w14:textId="77777777" w:rsidR="004E24F2" w:rsidRPr="00EE31F2" w:rsidRDefault="004E24F2" w:rsidP="00EE31F2">
            <w:pPr>
              <w:pStyle w:val="DHHStabletext"/>
            </w:pPr>
            <w:r w:rsidRPr="00EE31F2">
              <w:t>51.5%</w:t>
            </w:r>
          </w:p>
        </w:tc>
      </w:tr>
      <w:tr w:rsidR="004E24F2" w14:paraId="1BB36DA4" w14:textId="77777777" w:rsidTr="003F7650">
        <w:trPr>
          <w:trHeight w:val="946"/>
        </w:trPr>
        <w:tc>
          <w:tcPr>
            <w:tcW w:w="2778" w:type="dxa"/>
            <w:hideMark/>
          </w:tcPr>
          <w:p w14:paraId="451E988D" w14:textId="77777777" w:rsidR="004E24F2" w:rsidRPr="008A08FD" w:rsidRDefault="004E24F2" w:rsidP="008A08FD">
            <w:pPr>
              <w:pStyle w:val="DHHStabletext"/>
            </w:pPr>
            <w:r w:rsidRPr="008A08FD">
              <w:t>The average duration (days) of a period of compulsory treatment</w:t>
            </w:r>
          </w:p>
        </w:tc>
        <w:tc>
          <w:tcPr>
            <w:tcW w:w="3436" w:type="dxa"/>
          </w:tcPr>
          <w:p w14:paraId="41CF27D3" w14:textId="77777777" w:rsidR="004E24F2" w:rsidRPr="008A08FD" w:rsidRDefault="004E24F2" w:rsidP="008A08FD">
            <w:pPr>
              <w:pStyle w:val="DHHStabletext"/>
            </w:pPr>
          </w:p>
        </w:tc>
        <w:tc>
          <w:tcPr>
            <w:tcW w:w="1244" w:type="dxa"/>
          </w:tcPr>
          <w:p w14:paraId="433791E2" w14:textId="77777777" w:rsidR="004E24F2" w:rsidRPr="008A08FD" w:rsidRDefault="004E24F2" w:rsidP="008A08FD">
            <w:pPr>
              <w:pStyle w:val="DHHStabletext"/>
            </w:pPr>
          </w:p>
        </w:tc>
        <w:tc>
          <w:tcPr>
            <w:tcW w:w="1244" w:type="dxa"/>
          </w:tcPr>
          <w:p w14:paraId="6696BC7F" w14:textId="77777777" w:rsidR="004E24F2" w:rsidRPr="008A08FD" w:rsidRDefault="004E24F2" w:rsidP="008A08FD">
            <w:pPr>
              <w:pStyle w:val="DHHStabletext"/>
            </w:pPr>
            <w:r w:rsidRPr="008A08FD">
              <w:t>59.4</w:t>
            </w:r>
          </w:p>
        </w:tc>
        <w:tc>
          <w:tcPr>
            <w:tcW w:w="1235" w:type="dxa"/>
          </w:tcPr>
          <w:p w14:paraId="4CA2C6DA" w14:textId="77777777" w:rsidR="004E24F2" w:rsidRPr="008A08FD" w:rsidRDefault="004E24F2" w:rsidP="008A08FD">
            <w:pPr>
              <w:pStyle w:val="DHHStabletext"/>
            </w:pPr>
            <w:r w:rsidRPr="008A08FD">
              <w:t>64.2</w:t>
            </w:r>
          </w:p>
        </w:tc>
      </w:tr>
      <w:tr w:rsidR="004E24F2" w14:paraId="7DF613A3" w14:textId="77777777" w:rsidTr="003F7650">
        <w:trPr>
          <w:trHeight w:val="946"/>
        </w:trPr>
        <w:tc>
          <w:tcPr>
            <w:tcW w:w="2778" w:type="dxa"/>
            <w:hideMark/>
          </w:tcPr>
          <w:p w14:paraId="4D81FB41" w14:textId="77777777" w:rsidR="004E24F2" w:rsidRPr="008A08FD" w:rsidRDefault="004E24F2" w:rsidP="008A08FD">
            <w:pPr>
              <w:pStyle w:val="DHHStabletext"/>
            </w:pPr>
            <w:r w:rsidRPr="008A08FD">
              <w:t>Clients on an order for more than twelve months (%)</w:t>
            </w:r>
          </w:p>
        </w:tc>
        <w:tc>
          <w:tcPr>
            <w:tcW w:w="3436" w:type="dxa"/>
          </w:tcPr>
          <w:p w14:paraId="0E90BBD1" w14:textId="77777777" w:rsidR="004E24F2" w:rsidRPr="008A08FD" w:rsidRDefault="004E24F2" w:rsidP="008A08FD">
            <w:pPr>
              <w:pStyle w:val="DHHStabletext"/>
            </w:pPr>
          </w:p>
        </w:tc>
        <w:tc>
          <w:tcPr>
            <w:tcW w:w="1244" w:type="dxa"/>
          </w:tcPr>
          <w:p w14:paraId="6181F42D" w14:textId="77777777" w:rsidR="004E24F2" w:rsidRPr="008A08FD" w:rsidRDefault="004E24F2" w:rsidP="008A08FD">
            <w:pPr>
              <w:pStyle w:val="DHHStabletext"/>
            </w:pPr>
          </w:p>
        </w:tc>
        <w:tc>
          <w:tcPr>
            <w:tcW w:w="1244" w:type="dxa"/>
          </w:tcPr>
          <w:p w14:paraId="67533F12" w14:textId="77777777" w:rsidR="004E24F2" w:rsidRPr="008A08FD" w:rsidRDefault="004E24F2" w:rsidP="008A08FD">
            <w:pPr>
              <w:pStyle w:val="DHHStabletext"/>
            </w:pPr>
            <w:r w:rsidRPr="008A08FD">
              <w:t>11.5%</w:t>
            </w:r>
          </w:p>
        </w:tc>
        <w:tc>
          <w:tcPr>
            <w:tcW w:w="1235" w:type="dxa"/>
          </w:tcPr>
          <w:p w14:paraId="593FC1AE" w14:textId="77777777" w:rsidR="004E24F2" w:rsidRPr="008A08FD" w:rsidRDefault="004E24F2" w:rsidP="008A08FD">
            <w:pPr>
              <w:pStyle w:val="DHHStabletext"/>
            </w:pPr>
            <w:r w:rsidRPr="008A08FD">
              <w:t>12.5%</w:t>
            </w:r>
          </w:p>
        </w:tc>
      </w:tr>
      <w:tr w:rsidR="004E24F2" w14:paraId="268D8BB9" w14:textId="77777777" w:rsidTr="003F7650">
        <w:trPr>
          <w:trHeight w:val="944"/>
        </w:trPr>
        <w:tc>
          <w:tcPr>
            <w:tcW w:w="2778" w:type="dxa"/>
            <w:hideMark/>
          </w:tcPr>
          <w:p w14:paraId="645C55D7" w14:textId="77777777" w:rsidR="004E24F2" w:rsidRPr="008A08FD" w:rsidRDefault="004E24F2" w:rsidP="008A08FD">
            <w:pPr>
              <w:pStyle w:val="DHHStabletext"/>
            </w:pPr>
            <w:r w:rsidRPr="008A08FD">
              <w:t>Adult (18+) clients who have an advance statement recorded (%)</w:t>
            </w:r>
          </w:p>
        </w:tc>
        <w:tc>
          <w:tcPr>
            <w:tcW w:w="3436" w:type="dxa"/>
          </w:tcPr>
          <w:p w14:paraId="4555FC3C" w14:textId="77777777" w:rsidR="004E24F2" w:rsidRPr="008A08FD" w:rsidRDefault="004E24F2" w:rsidP="008A08FD">
            <w:pPr>
              <w:pStyle w:val="DHHStabletext"/>
            </w:pPr>
          </w:p>
        </w:tc>
        <w:tc>
          <w:tcPr>
            <w:tcW w:w="1244" w:type="dxa"/>
          </w:tcPr>
          <w:p w14:paraId="21564153" w14:textId="77777777" w:rsidR="004E24F2" w:rsidRPr="008A08FD" w:rsidRDefault="004E24F2" w:rsidP="008A08FD">
            <w:pPr>
              <w:pStyle w:val="DHHStabletext"/>
            </w:pPr>
            <w:r w:rsidRPr="008A08FD">
              <w:t>1.39%</w:t>
            </w:r>
          </w:p>
        </w:tc>
        <w:tc>
          <w:tcPr>
            <w:tcW w:w="1244" w:type="dxa"/>
          </w:tcPr>
          <w:p w14:paraId="0D675607" w14:textId="77777777" w:rsidR="004E24F2" w:rsidRPr="008A08FD" w:rsidRDefault="004E24F2" w:rsidP="008A08FD">
            <w:pPr>
              <w:pStyle w:val="DHHStabletext"/>
            </w:pPr>
            <w:r w:rsidRPr="008A08FD">
              <w:t>2.02%</w:t>
            </w:r>
          </w:p>
        </w:tc>
        <w:tc>
          <w:tcPr>
            <w:tcW w:w="1235" w:type="dxa"/>
          </w:tcPr>
          <w:p w14:paraId="74637507" w14:textId="77777777" w:rsidR="004E24F2" w:rsidRPr="008A08FD" w:rsidRDefault="004E24F2" w:rsidP="008A08FD">
            <w:pPr>
              <w:pStyle w:val="DHHStabletext"/>
            </w:pPr>
            <w:r w:rsidRPr="008A08FD">
              <w:t>2.34%</w:t>
            </w:r>
          </w:p>
        </w:tc>
      </w:tr>
      <w:tr w:rsidR="004E24F2" w14:paraId="7B12A501" w14:textId="77777777" w:rsidTr="003F7650">
        <w:trPr>
          <w:trHeight w:val="941"/>
        </w:trPr>
        <w:tc>
          <w:tcPr>
            <w:tcW w:w="2778" w:type="dxa"/>
            <w:hideMark/>
          </w:tcPr>
          <w:p w14:paraId="1F360D8D" w14:textId="77777777" w:rsidR="004E24F2" w:rsidRPr="008A08FD" w:rsidRDefault="004E24F2" w:rsidP="008A08FD">
            <w:pPr>
              <w:pStyle w:val="DHHStabletext"/>
            </w:pPr>
            <w:r w:rsidRPr="008A08FD">
              <w:t>Adult (18+) clients who have a nominated person recorded (%)</w:t>
            </w:r>
          </w:p>
        </w:tc>
        <w:tc>
          <w:tcPr>
            <w:tcW w:w="3436" w:type="dxa"/>
          </w:tcPr>
          <w:p w14:paraId="77B2AFCA" w14:textId="77777777" w:rsidR="004E24F2" w:rsidRPr="008A08FD" w:rsidRDefault="004E24F2" w:rsidP="008A08FD">
            <w:pPr>
              <w:pStyle w:val="DHHStabletext"/>
            </w:pPr>
          </w:p>
        </w:tc>
        <w:tc>
          <w:tcPr>
            <w:tcW w:w="1244" w:type="dxa"/>
          </w:tcPr>
          <w:p w14:paraId="5A5629BE" w14:textId="77777777" w:rsidR="004E24F2" w:rsidRPr="008A08FD" w:rsidRDefault="004E24F2" w:rsidP="008A08FD">
            <w:pPr>
              <w:pStyle w:val="DHHStabletext"/>
            </w:pPr>
            <w:r w:rsidRPr="008A08FD">
              <w:t>1.41%</w:t>
            </w:r>
          </w:p>
        </w:tc>
        <w:tc>
          <w:tcPr>
            <w:tcW w:w="1244" w:type="dxa"/>
          </w:tcPr>
          <w:p w14:paraId="3E22359E" w14:textId="77777777" w:rsidR="004E24F2" w:rsidRPr="008A08FD" w:rsidRDefault="004E24F2" w:rsidP="008A08FD">
            <w:pPr>
              <w:pStyle w:val="DHHStabletext"/>
            </w:pPr>
            <w:r w:rsidRPr="008A08FD">
              <w:t>1.90%</w:t>
            </w:r>
          </w:p>
        </w:tc>
        <w:tc>
          <w:tcPr>
            <w:tcW w:w="1235" w:type="dxa"/>
          </w:tcPr>
          <w:p w14:paraId="79E5AC5F" w14:textId="77777777" w:rsidR="004E24F2" w:rsidRPr="008A08FD" w:rsidRDefault="004E24F2" w:rsidP="008A08FD">
            <w:pPr>
              <w:pStyle w:val="DHHStabletext"/>
            </w:pPr>
            <w:r w:rsidRPr="008A08FD">
              <w:t>2.43%</w:t>
            </w:r>
          </w:p>
        </w:tc>
      </w:tr>
    </w:tbl>
    <w:tbl>
      <w:tblPr>
        <w:tblpPr w:leftFromText="180" w:rightFromText="180" w:vertAnchor="page" w:horzAnchor="margin" w:tblpY="11233"/>
        <w:tblW w:w="9937"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8"/>
        <w:gridCol w:w="3436"/>
        <w:gridCol w:w="1244"/>
        <w:gridCol w:w="1244"/>
        <w:gridCol w:w="1235"/>
      </w:tblGrid>
      <w:tr w:rsidR="00AE0126" w14:paraId="2E36793D" w14:textId="77777777" w:rsidTr="003F7650">
        <w:trPr>
          <w:trHeight w:val="436"/>
          <w:tblHeader/>
        </w:trPr>
        <w:tc>
          <w:tcPr>
            <w:tcW w:w="2778" w:type="dxa"/>
            <w:shd w:val="clear" w:color="auto" w:fill="auto"/>
            <w:hideMark/>
          </w:tcPr>
          <w:p w14:paraId="54A7C349" w14:textId="77777777" w:rsidR="00AE0126" w:rsidRDefault="00AE0126" w:rsidP="00AE0126">
            <w:pPr>
              <w:pStyle w:val="DHHStablecolhead"/>
            </w:pPr>
            <w:r>
              <w:rPr>
                <w:w w:val="105"/>
              </w:rPr>
              <w:t>Restrictive practice</w:t>
            </w:r>
          </w:p>
        </w:tc>
        <w:tc>
          <w:tcPr>
            <w:tcW w:w="3436" w:type="dxa"/>
            <w:shd w:val="clear" w:color="auto" w:fill="auto"/>
            <w:hideMark/>
          </w:tcPr>
          <w:p w14:paraId="42FBB045" w14:textId="77777777" w:rsidR="00AE0126" w:rsidRDefault="00AE0126" w:rsidP="00AE0126">
            <w:pPr>
              <w:pStyle w:val="DHHStablecolhead"/>
            </w:pPr>
            <w:r>
              <w:rPr>
                <w:w w:val="105"/>
              </w:rPr>
              <w:t>Population</w:t>
            </w:r>
          </w:p>
        </w:tc>
        <w:tc>
          <w:tcPr>
            <w:tcW w:w="1244" w:type="dxa"/>
            <w:shd w:val="clear" w:color="auto" w:fill="auto"/>
            <w:hideMark/>
          </w:tcPr>
          <w:p w14:paraId="4CA61E5B" w14:textId="77777777" w:rsidR="00AE0126" w:rsidRDefault="00AE0126" w:rsidP="00AE0126">
            <w:pPr>
              <w:pStyle w:val="DHHStablecolhead"/>
            </w:pPr>
            <w:r>
              <w:t>2014–15</w:t>
            </w:r>
          </w:p>
        </w:tc>
        <w:tc>
          <w:tcPr>
            <w:tcW w:w="1244" w:type="dxa"/>
            <w:shd w:val="clear" w:color="auto" w:fill="auto"/>
            <w:hideMark/>
          </w:tcPr>
          <w:p w14:paraId="1BE77A5A" w14:textId="77777777" w:rsidR="00AE0126" w:rsidRDefault="00AE0126" w:rsidP="00AE0126">
            <w:pPr>
              <w:pStyle w:val="DHHStablecolhead"/>
            </w:pPr>
            <w:r>
              <w:t>2015–16</w:t>
            </w:r>
          </w:p>
        </w:tc>
        <w:tc>
          <w:tcPr>
            <w:tcW w:w="1235" w:type="dxa"/>
            <w:shd w:val="clear" w:color="auto" w:fill="auto"/>
            <w:hideMark/>
          </w:tcPr>
          <w:p w14:paraId="1A4D9AC0" w14:textId="77777777" w:rsidR="00AE0126" w:rsidRDefault="00AE0126" w:rsidP="00AE0126">
            <w:pPr>
              <w:pStyle w:val="DHHStablecolhead"/>
            </w:pPr>
            <w:r>
              <w:t>2016–17</w:t>
            </w:r>
          </w:p>
        </w:tc>
      </w:tr>
      <w:tr w:rsidR="00AE0126" w14:paraId="29D367AF" w14:textId="77777777" w:rsidTr="003F7650">
        <w:trPr>
          <w:trHeight w:val="987"/>
        </w:trPr>
        <w:tc>
          <w:tcPr>
            <w:tcW w:w="2778" w:type="dxa"/>
            <w:hideMark/>
          </w:tcPr>
          <w:p w14:paraId="7AD5E98E" w14:textId="77777777" w:rsidR="00AE0126" w:rsidRPr="00EE31F2" w:rsidRDefault="00AE0126" w:rsidP="00AE0126">
            <w:pPr>
              <w:pStyle w:val="DHHStabletext"/>
            </w:pPr>
            <w:r w:rsidRPr="00EE31F2">
              <w:t>Seclusion episodes per 1,000 occupied bed days– inpatient</w:t>
            </w:r>
          </w:p>
        </w:tc>
        <w:tc>
          <w:tcPr>
            <w:tcW w:w="3436" w:type="dxa"/>
          </w:tcPr>
          <w:p w14:paraId="7B6DE8F7" w14:textId="77777777" w:rsidR="00AE0126" w:rsidRPr="00EE31F2" w:rsidRDefault="00AE0126" w:rsidP="00AE0126">
            <w:pPr>
              <w:pStyle w:val="DHHStabletext"/>
            </w:pPr>
            <w:r w:rsidRPr="00EE31F2">
              <w:t>Total</w:t>
            </w:r>
          </w:p>
        </w:tc>
        <w:tc>
          <w:tcPr>
            <w:tcW w:w="1244" w:type="dxa"/>
          </w:tcPr>
          <w:p w14:paraId="428F39A7" w14:textId="77777777" w:rsidR="00AE0126" w:rsidRPr="00EE31F2" w:rsidRDefault="00AE0126" w:rsidP="00AE0126">
            <w:pPr>
              <w:pStyle w:val="DHHStabletext"/>
            </w:pPr>
            <w:r w:rsidRPr="00EE31F2">
              <w:t>8.0</w:t>
            </w:r>
          </w:p>
        </w:tc>
        <w:tc>
          <w:tcPr>
            <w:tcW w:w="1244" w:type="dxa"/>
          </w:tcPr>
          <w:p w14:paraId="0BA38121" w14:textId="77777777" w:rsidR="00AE0126" w:rsidRPr="00EE31F2" w:rsidRDefault="00AE0126" w:rsidP="00AE0126">
            <w:pPr>
              <w:pStyle w:val="DHHStabletext"/>
            </w:pPr>
            <w:r w:rsidRPr="00EE31F2">
              <w:t>9.1</w:t>
            </w:r>
          </w:p>
        </w:tc>
        <w:tc>
          <w:tcPr>
            <w:tcW w:w="1235" w:type="dxa"/>
          </w:tcPr>
          <w:p w14:paraId="1A9D9114" w14:textId="77777777" w:rsidR="00AE0126" w:rsidRPr="00EE31F2" w:rsidRDefault="00AE0126" w:rsidP="00AE0126">
            <w:pPr>
              <w:pStyle w:val="DHHStabletext"/>
            </w:pPr>
            <w:r w:rsidRPr="00EE31F2">
              <w:t>9.9</w:t>
            </w:r>
          </w:p>
        </w:tc>
      </w:tr>
      <w:tr w:rsidR="00AE0126" w14:paraId="1B92320C" w14:textId="77777777" w:rsidTr="003F7650">
        <w:trPr>
          <w:trHeight w:val="980"/>
        </w:trPr>
        <w:tc>
          <w:tcPr>
            <w:tcW w:w="2778" w:type="dxa"/>
            <w:hideMark/>
          </w:tcPr>
          <w:p w14:paraId="2E3D7FFD" w14:textId="77777777" w:rsidR="00AE0126" w:rsidRPr="00EE31F2" w:rsidRDefault="00AE0126" w:rsidP="00AE0126">
            <w:pPr>
              <w:pStyle w:val="DHHStabletext"/>
            </w:pPr>
            <w:r w:rsidRPr="00EE31F2">
              <w:t>Bodily restraint episodes per 1,000 occupied bed days – inpatient</w:t>
            </w:r>
          </w:p>
        </w:tc>
        <w:tc>
          <w:tcPr>
            <w:tcW w:w="3436" w:type="dxa"/>
          </w:tcPr>
          <w:p w14:paraId="0863D778" w14:textId="77777777" w:rsidR="00AE0126" w:rsidRPr="00EE31F2" w:rsidRDefault="00AE0126" w:rsidP="00AE0126">
            <w:pPr>
              <w:pStyle w:val="DHHStabletext"/>
            </w:pPr>
            <w:r w:rsidRPr="00EE31F2">
              <w:t>Total</w:t>
            </w:r>
          </w:p>
        </w:tc>
        <w:tc>
          <w:tcPr>
            <w:tcW w:w="1244" w:type="dxa"/>
          </w:tcPr>
          <w:p w14:paraId="794DBFCD" w14:textId="77777777" w:rsidR="00AE0126" w:rsidRPr="00EE31F2" w:rsidRDefault="00AE0126" w:rsidP="00AE0126">
            <w:pPr>
              <w:pStyle w:val="DHHStabletext"/>
            </w:pPr>
            <w:r w:rsidRPr="00EE31F2">
              <w:t>17.5</w:t>
            </w:r>
          </w:p>
        </w:tc>
        <w:tc>
          <w:tcPr>
            <w:tcW w:w="1244" w:type="dxa"/>
          </w:tcPr>
          <w:p w14:paraId="36C417EE" w14:textId="77777777" w:rsidR="00AE0126" w:rsidRPr="00EE31F2" w:rsidRDefault="00AE0126" w:rsidP="00AE0126">
            <w:pPr>
              <w:pStyle w:val="DHHStabletext"/>
            </w:pPr>
            <w:r w:rsidRPr="00EE31F2">
              <w:t>25.6</w:t>
            </w:r>
          </w:p>
        </w:tc>
        <w:tc>
          <w:tcPr>
            <w:tcW w:w="1235" w:type="dxa"/>
          </w:tcPr>
          <w:p w14:paraId="1BD6D410" w14:textId="77777777" w:rsidR="00AE0126" w:rsidRPr="00EE31F2" w:rsidRDefault="00AE0126" w:rsidP="00AE0126">
            <w:pPr>
              <w:pStyle w:val="DHHStabletext"/>
            </w:pPr>
            <w:r w:rsidRPr="00EE31F2">
              <w:t>19.0</w:t>
            </w:r>
          </w:p>
        </w:tc>
      </w:tr>
    </w:tbl>
    <w:p w14:paraId="723D4313" w14:textId="77777777" w:rsidR="008A08FD" w:rsidRDefault="008A08FD" w:rsidP="00985332">
      <w:pPr>
        <w:pStyle w:val="DHHSbody"/>
      </w:pPr>
    </w:p>
    <w:p w14:paraId="75F5C64A" w14:textId="77777777" w:rsidR="004E24F2" w:rsidRDefault="004E24F2" w:rsidP="004E24F2">
      <w:pPr>
        <w:rPr>
          <w:sz w:val="19"/>
        </w:rPr>
        <w:sectPr w:rsidR="004E24F2" w:rsidSect="004E24F2">
          <w:pgSz w:w="11910" w:h="16840"/>
          <w:pgMar w:top="1699" w:right="1310" w:bottom="1138" w:left="1310" w:header="1" w:footer="413" w:gutter="0"/>
          <w:cols w:space="720"/>
        </w:sectPr>
      </w:pPr>
    </w:p>
    <w:p w14:paraId="70C50C47" w14:textId="77777777" w:rsidR="004E24F2" w:rsidRDefault="004E24F2" w:rsidP="00985332">
      <w:pPr>
        <w:pStyle w:val="DHHSbody"/>
      </w:pPr>
    </w:p>
    <w:tbl>
      <w:tblPr>
        <w:tblW w:w="9931"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7"/>
        <w:gridCol w:w="3441"/>
        <w:gridCol w:w="1244"/>
        <w:gridCol w:w="1244"/>
        <w:gridCol w:w="1225"/>
      </w:tblGrid>
      <w:tr w:rsidR="004E24F2" w14:paraId="666F907F" w14:textId="77777777" w:rsidTr="003F7650">
        <w:trPr>
          <w:trHeight w:val="396"/>
          <w:tblHeader/>
        </w:trPr>
        <w:tc>
          <w:tcPr>
            <w:tcW w:w="2777" w:type="dxa"/>
            <w:shd w:val="clear" w:color="auto" w:fill="auto"/>
            <w:hideMark/>
          </w:tcPr>
          <w:p w14:paraId="5274E253" w14:textId="77777777" w:rsidR="004E24F2" w:rsidRDefault="004E24F2" w:rsidP="00DF7F88">
            <w:pPr>
              <w:pStyle w:val="DHHStablecolhead"/>
              <w:rPr>
                <w:rFonts w:ascii="Trebuchet MS"/>
              </w:rPr>
            </w:pPr>
            <w:r>
              <w:rPr>
                <w:w w:val="105"/>
              </w:rPr>
              <w:t>Client outcomes</w:t>
            </w:r>
          </w:p>
        </w:tc>
        <w:tc>
          <w:tcPr>
            <w:tcW w:w="3441" w:type="dxa"/>
            <w:shd w:val="clear" w:color="auto" w:fill="auto"/>
            <w:hideMark/>
          </w:tcPr>
          <w:p w14:paraId="691B5E98" w14:textId="77777777" w:rsidR="004E24F2" w:rsidRDefault="004E24F2" w:rsidP="00DF7F88">
            <w:pPr>
              <w:pStyle w:val="DHHStablecolhead"/>
            </w:pPr>
            <w:r>
              <w:rPr>
                <w:w w:val="105"/>
              </w:rPr>
              <w:t>Population</w:t>
            </w:r>
          </w:p>
        </w:tc>
        <w:tc>
          <w:tcPr>
            <w:tcW w:w="1244" w:type="dxa"/>
            <w:shd w:val="clear" w:color="auto" w:fill="auto"/>
            <w:hideMark/>
          </w:tcPr>
          <w:p w14:paraId="5A08E241" w14:textId="77777777" w:rsidR="004E24F2" w:rsidRDefault="004E24F2" w:rsidP="00DF7F88">
            <w:pPr>
              <w:pStyle w:val="DHHStablecolhead"/>
            </w:pPr>
            <w:r>
              <w:t>2014–15</w:t>
            </w:r>
          </w:p>
        </w:tc>
        <w:tc>
          <w:tcPr>
            <w:tcW w:w="1244" w:type="dxa"/>
            <w:shd w:val="clear" w:color="auto" w:fill="auto"/>
            <w:hideMark/>
          </w:tcPr>
          <w:p w14:paraId="21DCCD2E" w14:textId="77777777" w:rsidR="004E24F2" w:rsidRDefault="004E24F2" w:rsidP="00DF7F88">
            <w:pPr>
              <w:pStyle w:val="DHHStablecolhead"/>
            </w:pPr>
            <w:r>
              <w:t>2015–16</w:t>
            </w:r>
          </w:p>
        </w:tc>
        <w:tc>
          <w:tcPr>
            <w:tcW w:w="1225" w:type="dxa"/>
            <w:shd w:val="clear" w:color="auto" w:fill="auto"/>
            <w:hideMark/>
          </w:tcPr>
          <w:p w14:paraId="2EB810F7" w14:textId="77777777" w:rsidR="004E24F2" w:rsidRDefault="004E24F2" w:rsidP="00DF7F88">
            <w:pPr>
              <w:pStyle w:val="DHHStablecolhead"/>
            </w:pPr>
            <w:r>
              <w:t>2016–17</w:t>
            </w:r>
          </w:p>
        </w:tc>
      </w:tr>
      <w:tr w:rsidR="004E24F2" w14:paraId="632B3F71" w14:textId="77777777" w:rsidTr="003F7650">
        <w:trPr>
          <w:trHeight w:val="332"/>
        </w:trPr>
        <w:tc>
          <w:tcPr>
            <w:tcW w:w="2777" w:type="dxa"/>
            <w:vMerge w:val="restart"/>
            <w:hideMark/>
          </w:tcPr>
          <w:p w14:paraId="61073DE3" w14:textId="77777777" w:rsidR="004E24F2" w:rsidRPr="008A08FD" w:rsidRDefault="004E24F2" w:rsidP="008A08FD">
            <w:pPr>
              <w:pStyle w:val="DHHStabletext"/>
            </w:pPr>
            <w:r w:rsidRPr="008A08FD">
              <w:t>Community cases with signiﬁcant improvement at case closure (%)**</w:t>
            </w:r>
          </w:p>
        </w:tc>
        <w:tc>
          <w:tcPr>
            <w:tcW w:w="3441" w:type="dxa"/>
            <w:hideMark/>
          </w:tcPr>
          <w:p w14:paraId="6DDE20ED" w14:textId="77777777" w:rsidR="004E24F2" w:rsidRPr="008A08FD" w:rsidRDefault="004E24F2" w:rsidP="008A08FD">
            <w:pPr>
              <w:pStyle w:val="DHHStabletext"/>
            </w:pPr>
            <w:r w:rsidRPr="008A08FD">
              <w:t>Adult</w:t>
            </w:r>
          </w:p>
        </w:tc>
        <w:tc>
          <w:tcPr>
            <w:tcW w:w="1244" w:type="dxa"/>
            <w:hideMark/>
          </w:tcPr>
          <w:p w14:paraId="7DA220C6" w14:textId="77777777" w:rsidR="004E24F2" w:rsidRPr="008A08FD" w:rsidRDefault="004E24F2" w:rsidP="008A08FD">
            <w:pPr>
              <w:pStyle w:val="DHHStabletext"/>
            </w:pPr>
            <w:r w:rsidRPr="008A08FD">
              <w:t>53.4%</w:t>
            </w:r>
          </w:p>
        </w:tc>
        <w:tc>
          <w:tcPr>
            <w:tcW w:w="1244" w:type="dxa"/>
            <w:hideMark/>
          </w:tcPr>
          <w:p w14:paraId="4FD055B9" w14:textId="77777777" w:rsidR="004E24F2" w:rsidRPr="008A08FD" w:rsidRDefault="004E24F2" w:rsidP="008A08FD">
            <w:pPr>
              <w:pStyle w:val="DHHStabletext"/>
            </w:pPr>
            <w:r w:rsidRPr="008A08FD">
              <w:t>53.0%</w:t>
            </w:r>
          </w:p>
        </w:tc>
        <w:tc>
          <w:tcPr>
            <w:tcW w:w="1225" w:type="dxa"/>
            <w:hideMark/>
          </w:tcPr>
          <w:p w14:paraId="0675758C" w14:textId="77777777" w:rsidR="004E24F2" w:rsidRPr="008A08FD" w:rsidRDefault="004E24F2" w:rsidP="008A08FD">
            <w:pPr>
              <w:pStyle w:val="DHHStabletext"/>
            </w:pPr>
            <w:r w:rsidRPr="008A08FD">
              <w:t>53.2%</w:t>
            </w:r>
          </w:p>
        </w:tc>
      </w:tr>
      <w:tr w:rsidR="004E24F2" w14:paraId="6F9BE8DA" w14:textId="77777777" w:rsidTr="003F7650">
        <w:trPr>
          <w:trHeight w:val="325"/>
        </w:trPr>
        <w:tc>
          <w:tcPr>
            <w:tcW w:w="2777" w:type="dxa"/>
            <w:vMerge/>
            <w:vAlign w:val="center"/>
            <w:hideMark/>
          </w:tcPr>
          <w:p w14:paraId="0D2DCC1D" w14:textId="77777777" w:rsidR="004E24F2" w:rsidRPr="008A08FD" w:rsidRDefault="004E24F2" w:rsidP="008A08FD">
            <w:pPr>
              <w:pStyle w:val="DHHStabletext"/>
              <w:rPr>
                <w:rFonts w:eastAsia="Trebuchet MS"/>
              </w:rPr>
            </w:pPr>
          </w:p>
        </w:tc>
        <w:tc>
          <w:tcPr>
            <w:tcW w:w="3441" w:type="dxa"/>
            <w:hideMark/>
          </w:tcPr>
          <w:p w14:paraId="30FC23E4" w14:textId="77777777" w:rsidR="004E24F2" w:rsidRPr="008A08FD" w:rsidRDefault="004E24F2" w:rsidP="008A08FD">
            <w:pPr>
              <w:pStyle w:val="DHHStabletext"/>
            </w:pPr>
            <w:r w:rsidRPr="008A08FD">
              <w:t>Aged</w:t>
            </w:r>
          </w:p>
        </w:tc>
        <w:tc>
          <w:tcPr>
            <w:tcW w:w="1244" w:type="dxa"/>
            <w:hideMark/>
          </w:tcPr>
          <w:p w14:paraId="53F9B3E0" w14:textId="77777777" w:rsidR="004E24F2" w:rsidRPr="008A08FD" w:rsidRDefault="004E24F2" w:rsidP="008A08FD">
            <w:pPr>
              <w:pStyle w:val="DHHStabletext"/>
            </w:pPr>
            <w:r w:rsidRPr="008A08FD">
              <w:t>51.1%</w:t>
            </w:r>
          </w:p>
        </w:tc>
        <w:tc>
          <w:tcPr>
            <w:tcW w:w="1244" w:type="dxa"/>
            <w:hideMark/>
          </w:tcPr>
          <w:p w14:paraId="2D766E3F" w14:textId="77777777" w:rsidR="004E24F2" w:rsidRPr="008A08FD" w:rsidRDefault="004E24F2" w:rsidP="008A08FD">
            <w:pPr>
              <w:pStyle w:val="DHHStabletext"/>
            </w:pPr>
            <w:r w:rsidRPr="008A08FD">
              <w:t>54.2%</w:t>
            </w:r>
          </w:p>
        </w:tc>
        <w:tc>
          <w:tcPr>
            <w:tcW w:w="1225" w:type="dxa"/>
            <w:hideMark/>
          </w:tcPr>
          <w:p w14:paraId="33702082" w14:textId="77777777" w:rsidR="004E24F2" w:rsidRPr="008A08FD" w:rsidRDefault="004E24F2" w:rsidP="008A08FD">
            <w:pPr>
              <w:pStyle w:val="DHHStabletext"/>
            </w:pPr>
            <w:r w:rsidRPr="008A08FD">
              <w:t>54.6%</w:t>
            </w:r>
          </w:p>
        </w:tc>
      </w:tr>
      <w:tr w:rsidR="004E24F2" w14:paraId="4F6B4519" w14:textId="77777777" w:rsidTr="003F7650">
        <w:trPr>
          <w:trHeight w:val="325"/>
        </w:trPr>
        <w:tc>
          <w:tcPr>
            <w:tcW w:w="2777" w:type="dxa"/>
            <w:vMerge/>
            <w:vAlign w:val="center"/>
            <w:hideMark/>
          </w:tcPr>
          <w:p w14:paraId="4B40D3ED" w14:textId="77777777" w:rsidR="004E24F2" w:rsidRPr="008A08FD" w:rsidRDefault="004E24F2" w:rsidP="008A08FD">
            <w:pPr>
              <w:pStyle w:val="DHHStabletext"/>
              <w:rPr>
                <w:rFonts w:eastAsia="Trebuchet MS"/>
              </w:rPr>
            </w:pPr>
          </w:p>
        </w:tc>
        <w:tc>
          <w:tcPr>
            <w:tcW w:w="3441" w:type="dxa"/>
            <w:hideMark/>
          </w:tcPr>
          <w:p w14:paraId="110F181F" w14:textId="77777777" w:rsidR="004E24F2" w:rsidRPr="008A08FD" w:rsidRDefault="004E24F2" w:rsidP="008A08FD">
            <w:pPr>
              <w:pStyle w:val="DHHStabletext"/>
            </w:pPr>
            <w:r w:rsidRPr="008A08FD">
              <w:t>CAMHS</w:t>
            </w:r>
          </w:p>
        </w:tc>
        <w:tc>
          <w:tcPr>
            <w:tcW w:w="1244" w:type="dxa"/>
            <w:hideMark/>
          </w:tcPr>
          <w:p w14:paraId="0B1D1BC1" w14:textId="77777777" w:rsidR="004E24F2" w:rsidRPr="008A08FD" w:rsidRDefault="004E24F2" w:rsidP="008A08FD">
            <w:pPr>
              <w:pStyle w:val="DHHStabletext"/>
            </w:pPr>
            <w:r w:rsidRPr="008A08FD">
              <w:t>50.4%</w:t>
            </w:r>
          </w:p>
        </w:tc>
        <w:tc>
          <w:tcPr>
            <w:tcW w:w="1244" w:type="dxa"/>
            <w:hideMark/>
          </w:tcPr>
          <w:p w14:paraId="76BE8151" w14:textId="77777777" w:rsidR="004E24F2" w:rsidRPr="008A08FD" w:rsidRDefault="004E24F2" w:rsidP="008A08FD">
            <w:pPr>
              <w:pStyle w:val="DHHStabletext"/>
            </w:pPr>
            <w:r w:rsidRPr="008A08FD">
              <w:t>48.4%</w:t>
            </w:r>
          </w:p>
        </w:tc>
        <w:tc>
          <w:tcPr>
            <w:tcW w:w="1225" w:type="dxa"/>
            <w:hideMark/>
          </w:tcPr>
          <w:p w14:paraId="05740833" w14:textId="77777777" w:rsidR="004E24F2" w:rsidRPr="008A08FD" w:rsidRDefault="004E24F2" w:rsidP="008A08FD">
            <w:pPr>
              <w:pStyle w:val="DHHStabletext"/>
            </w:pPr>
            <w:r w:rsidRPr="008A08FD">
              <w:t>48.4%</w:t>
            </w:r>
          </w:p>
        </w:tc>
      </w:tr>
      <w:tr w:rsidR="004E24F2" w14:paraId="4F5522FF" w14:textId="77777777" w:rsidTr="003F7650">
        <w:trPr>
          <w:trHeight w:val="325"/>
        </w:trPr>
        <w:tc>
          <w:tcPr>
            <w:tcW w:w="2777" w:type="dxa"/>
            <w:vMerge/>
            <w:vAlign w:val="center"/>
            <w:hideMark/>
          </w:tcPr>
          <w:p w14:paraId="6146AF3D" w14:textId="77777777" w:rsidR="004E24F2" w:rsidRPr="008A08FD" w:rsidRDefault="004E24F2" w:rsidP="008A08FD">
            <w:pPr>
              <w:pStyle w:val="DHHStabletext"/>
              <w:rPr>
                <w:rFonts w:eastAsia="Trebuchet MS"/>
              </w:rPr>
            </w:pPr>
          </w:p>
        </w:tc>
        <w:tc>
          <w:tcPr>
            <w:tcW w:w="3441" w:type="dxa"/>
            <w:hideMark/>
          </w:tcPr>
          <w:p w14:paraId="6FBDAB39" w14:textId="77777777" w:rsidR="004E24F2" w:rsidRPr="008A08FD" w:rsidRDefault="004E24F2" w:rsidP="008A08FD">
            <w:pPr>
              <w:pStyle w:val="DHHStabletext"/>
            </w:pPr>
            <w:r w:rsidRPr="008A08FD">
              <w:t>Forensic</w:t>
            </w:r>
          </w:p>
        </w:tc>
        <w:tc>
          <w:tcPr>
            <w:tcW w:w="1244" w:type="dxa"/>
            <w:hideMark/>
          </w:tcPr>
          <w:p w14:paraId="5A5E9168" w14:textId="77777777" w:rsidR="004E24F2" w:rsidRPr="008A08FD" w:rsidRDefault="004E24F2" w:rsidP="008A08FD">
            <w:pPr>
              <w:pStyle w:val="DHHStabletext"/>
            </w:pPr>
            <w:r w:rsidRPr="008A08FD">
              <w:t>20.0%</w:t>
            </w:r>
          </w:p>
        </w:tc>
        <w:tc>
          <w:tcPr>
            <w:tcW w:w="1244" w:type="dxa"/>
            <w:hideMark/>
          </w:tcPr>
          <w:p w14:paraId="78FD2B9A" w14:textId="77777777" w:rsidR="004E24F2" w:rsidRPr="008A08FD" w:rsidRDefault="004E24F2" w:rsidP="008A08FD">
            <w:pPr>
              <w:pStyle w:val="DHHStabletext"/>
            </w:pPr>
            <w:r w:rsidRPr="008A08FD">
              <w:t>28.6%</w:t>
            </w:r>
          </w:p>
        </w:tc>
        <w:tc>
          <w:tcPr>
            <w:tcW w:w="1225" w:type="dxa"/>
            <w:hideMark/>
          </w:tcPr>
          <w:p w14:paraId="237EB792" w14:textId="77777777" w:rsidR="004E24F2" w:rsidRPr="008A08FD" w:rsidRDefault="004E24F2" w:rsidP="008A08FD">
            <w:pPr>
              <w:pStyle w:val="DHHStabletext"/>
            </w:pPr>
            <w:r w:rsidRPr="008A08FD">
              <w:t>42.9%</w:t>
            </w:r>
          </w:p>
        </w:tc>
      </w:tr>
      <w:tr w:rsidR="004E24F2" w14:paraId="4863F472" w14:textId="77777777" w:rsidTr="003F7650">
        <w:trPr>
          <w:trHeight w:val="325"/>
        </w:trPr>
        <w:tc>
          <w:tcPr>
            <w:tcW w:w="2777" w:type="dxa"/>
            <w:vMerge/>
            <w:vAlign w:val="center"/>
            <w:hideMark/>
          </w:tcPr>
          <w:p w14:paraId="102C6B01" w14:textId="77777777" w:rsidR="004E24F2" w:rsidRPr="008A08FD" w:rsidRDefault="004E24F2" w:rsidP="008A08FD">
            <w:pPr>
              <w:pStyle w:val="DHHStabletext"/>
              <w:rPr>
                <w:rFonts w:eastAsia="Trebuchet MS"/>
              </w:rPr>
            </w:pPr>
          </w:p>
        </w:tc>
        <w:tc>
          <w:tcPr>
            <w:tcW w:w="3441" w:type="dxa"/>
            <w:hideMark/>
          </w:tcPr>
          <w:p w14:paraId="1311BB17" w14:textId="77777777" w:rsidR="004E24F2" w:rsidRPr="008A08FD" w:rsidRDefault="004E24F2" w:rsidP="008A08FD">
            <w:pPr>
              <w:pStyle w:val="DHHStabletext"/>
            </w:pPr>
            <w:r w:rsidRPr="008A08FD">
              <w:t>Specialist</w:t>
            </w:r>
          </w:p>
        </w:tc>
        <w:tc>
          <w:tcPr>
            <w:tcW w:w="1244" w:type="dxa"/>
            <w:hideMark/>
          </w:tcPr>
          <w:p w14:paraId="2A431DE6" w14:textId="77777777" w:rsidR="004E24F2" w:rsidRPr="008A08FD" w:rsidRDefault="004E24F2" w:rsidP="008A08FD">
            <w:pPr>
              <w:pStyle w:val="DHHStabletext"/>
            </w:pPr>
            <w:r w:rsidRPr="008A08FD">
              <w:t>60.4%</w:t>
            </w:r>
          </w:p>
        </w:tc>
        <w:tc>
          <w:tcPr>
            <w:tcW w:w="1244" w:type="dxa"/>
            <w:hideMark/>
          </w:tcPr>
          <w:p w14:paraId="6BDED166" w14:textId="77777777" w:rsidR="004E24F2" w:rsidRPr="008A08FD" w:rsidRDefault="004E24F2" w:rsidP="008A08FD">
            <w:pPr>
              <w:pStyle w:val="DHHStabletext"/>
            </w:pPr>
            <w:r w:rsidRPr="008A08FD">
              <w:t>24.3%</w:t>
            </w:r>
          </w:p>
        </w:tc>
        <w:tc>
          <w:tcPr>
            <w:tcW w:w="1225" w:type="dxa"/>
            <w:hideMark/>
          </w:tcPr>
          <w:p w14:paraId="5E1435E1" w14:textId="77777777" w:rsidR="004E24F2" w:rsidRPr="008A08FD" w:rsidRDefault="004E24F2" w:rsidP="008A08FD">
            <w:pPr>
              <w:pStyle w:val="DHHStabletext"/>
            </w:pPr>
            <w:r w:rsidRPr="008A08FD">
              <w:t>20.8%</w:t>
            </w:r>
          </w:p>
        </w:tc>
      </w:tr>
      <w:tr w:rsidR="004E24F2" w14:paraId="00321E84" w14:textId="77777777" w:rsidTr="003F7650">
        <w:trPr>
          <w:trHeight w:val="325"/>
        </w:trPr>
        <w:tc>
          <w:tcPr>
            <w:tcW w:w="2777" w:type="dxa"/>
            <w:vMerge/>
            <w:vAlign w:val="center"/>
            <w:hideMark/>
          </w:tcPr>
          <w:p w14:paraId="3DA58EFC" w14:textId="77777777" w:rsidR="004E24F2" w:rsidRPr="008A08FD" w:rsidRDefault="004E24F2" w:rsidP="008A08FD">
            <w:pPr>
              <w:pStyle w:val="DHHStabletext"/>
              <w:rPr>
                <w:rFonts w:eastAsia="Trebuchet MS"/>
              </w:rPr>
            </w:pPr>
          </w:p>
        </w:tc>
        <w:tc>
          <w:tcPr>
            <w:tcW w:w="3441" w:type="dxa"/>
            <w:shd w:val="clear" w:color="auto" w:fill="DCDDDE"/>
            <w:hideMark/>
          </w:tcPr>
          <w:p w14:paraId="136B1DA9" w14:textId="77777777" w:rsidR="004E24F2" w:rsidRPr="008A08FD" w:rsidRDefault="004E24F2" w:rsidP="008A08FD">
            <w:pPr>
              <w:pStyle w:val="DHHStabletext"/>
            </w:pPr>
            <w:r w:rsidRPr="008A08FD">
              <w:t>Total</w:t>
            </w:r>
          </w:p>
        </w:tc>
        <w:tc>
          <w:tcPr>
            <w:tcW w:w="1244" w:type="dxa"/>
            <w:shd w:val="clear" w:color="auto" w:fill="DCDDDE"/>
            <w:hideMark/>
          </w:tcPr>
          <w:p w14:paraId="0F5D9425" w14:textId="77777777" w:rsidR="004E24F2" w:rsidRPr="008A08FD" w:rsidRDefault="004E24F2" w:rsidP="008A08FD">
            <w:pPr>
              <w:pStyle w:val="DHHStabletext"/>
            </w:pPr>
            <w:r w:rsidRPr="008A08FD">
              <w:t>52.4%</w:t>
            </w:r>
          </w:p>
        </w:tc>
        <w:tc>
          <w:tcPr>
            <w:tcW w:w="1244" w:type="dxa"/>
            <w:shd w:val="clear" w:color="auto" w:fill="DCDDDE"/>
            <w:hideMark/>
          </w:tcPr>
          <w:p w14:paraId="14090851" w14:textId="77777777" w:rsidR="004E24F2" w:rsidRPr="008A08FD" w:rsidRDefault="004E24F2" w:rsidP="008A08FD">
            <w:pPr>
              <w:pStyle w:val="DHHStabletext"/>
            </w:pPr>
            <w:r w:rsidRPr="008A08FD">
              <w:t>52.1%</w:t>
            </w:r>
          </w:p>
        </w:tc>
        <w:tc>
          <w:tcPr>
            <w:tcW w:w="1225" w:type="dxa"/>
            <w:shd w:val="clear" w:color="auto" w:fill="DCDDDE"/>
            <w:hideMark/>
          </w:tcPr>
          <w:p w14:paraId="3990B9BB" w14:textId="77777777" w:rsidR="004E24F2" w:rsidRPr="008A08FD" w:rsidRDefault="004E24F2" w:rsidP="008A08FD">
            <w:pPr>
              <w:pStyle w:val="DHHStabletext"/>
            </w:pPr>
            <w:r w:rsidRPr="008A08FD">
              <w:t>52.2%</w:t>
            </w:r>
          </w:p>
        </w:tc>
      </w:tr>
      <w:tr w:rsidR="004E24F2" w14:paraId="6E3BAA97" w14:textId="77777777" w:rsidTr="003F7650">
        <w:trPr>
          <w:trHeight w:val="404"/>
        </w:trPr>
        <w:tc>
          <w:tcPr>
            <w:tcW w:w="2777" w:type="dxa"/>
            <w:vMerge w:val="restart"/>
            <w:hideMark/>
          </w:tcPr>
          <w:p w14:paraId="1DC970CB" w14:textId="77777777" w:rsidR="004E24F2" w:rsidRPr="008A08FD" w:rsidRDefault="004E24F2" w:rsidP="008A08FD">
            <w:pPr>
              <w:pStyle w:val="DHHStabletext"/>
            </w:pPr>
            <w:r w:rsidRPr="008A08FD">
              <w:t>Community cases stable at case closure (%)**</w:t>
            </w:r>
          </w:p>
        </w:tc>
        <w:tc>
          <w:tcPr>
            <w:tcW w:w="3441" w:type="dxa"/>
            <w:hideMark/>
          </w:tcPr>
          <w:p w14:paraId="53F8D01F" w14:textId="77777777" w:rsidR="004E24F2" w:rsidRPr="008A08FD" w:rsidRDefault="004E24F2" w:rsidP="008A08FD">
            <w:pPr>
              <w:pStyle w:val="DHHStabletext"/>
            </w:pPr>
            <w:r w:rsidRPr="008A08FD">
              <w:t>Adult</w:t>
            </w:r>
          </w:p>
        </w:tc>
        <w:tc>
          <w:tcPr>
            <w:tcW w:w="1244" w:type="dxa"/>
            <w:hideMark/>
          </w:tcPr>
          <w:p w14:paraId="0B551C37" w14:textId="77777777" w:rsidR="004E24F2" w:rsidRPr="008A08FD" w:rsidRDefault="004E24F2" w:rsidP="008A08FD">
            <w:pPr>
              <w:pStyle w:val="DHHStabletext"/>
            </w:pPr>
            <w:r w:rsidRPr="008A08FD">
              <w:t>37.6%</w:t>
            </w:r>
          </w:p>
        </w:tc>
        <w:tc>
          <w:tcPr>
            <w:tcW w:w="1244" w:type="dxa"/>
            <w:hideMark/>
          </w:tcPr>
          <w:p w14:paraId="5B28337C" w14:textId="77777777" w:rsidR="004E24F2" w:rsidRPr="008A08FD" w:rsidRDefault="004E24F2" w:rsidP="008A08FD">
            <w:pPr>
              <w:pStyle w:val="DHHStabletext"/>
            </w:pPr>
            <w:r w:rsidRPr="008A08FD">
              <w:t>38.1%</w:t>
            </w:r>
          </w:p>
        </w:tc>
        <w:tc>
          <w:tcPr>
            <w:tcW w:w="1225" w:type="dxa"/>
            <w:hideMark/>
          </w:tcPr>
          <w:p w14:paraId="304BFD28" w14:textId="77777777" w:rsidR="004E24F2" w:rsidRPr="008A08FD" w:rsidRDefault="004E24F2" w:rsidP="008A08FD">
            <w:pPr>
              <w:pStyle w:val="DHHStabletext"/>
            </w:pPr>
            <w:r w:rsidRPr="008A08FD">
              <w:t>37.8%</w:t>
            </w:r>
          </w:p>
        </w:tc>
      </w:tr>
      <w:tr w:rsidR="004E24F2" w14:paraId="4A2F96D0" w14:textId="77777777" w:rsidTr="003F7650">
        <w:trPr>
          <w:trHeight w:val="330"/>
        </w:trPr>
        <w:tc>
          <w:tcPr>
            <w:tcW w:w="2777" w:type="dxa"/>
            <w:vMerge/>
            <w:vAlign w:val="center"/>
            <w:hideMark/>
          </w:tcPr>
          <w:p w14:paraId="020C5281" w14:textId="77777777" w:rsidR="004E24F2" w:rsidRPr="008A08FD" w:rsidRDefault="004E24F2" w:rsidP="008A08FD">
            <w:pPr>
              <w:pStyle w:val="DHHStabletext"/>
              <w:rPr>
                <w:rFonts w:eastAsia="Trebuchet MS"/>
              </w:rPr>
            </w:pPr>
          </w:p>
        </w:tc>
        <w:tc>
          <w:tcPr>
            <w:tcW w:w="3441" w:type="dxa"/>
            <w:hideMark/>
          </w:tcPr>
          <w:p w14:paraId="2DC5C4DA" w14:textId="77777777" w:rsidR="004E24F2" w:rsidRPr="008A08FD" w:rsidRDefault="004E24F2" w:rsidP="008A08FD">
            <w:pPr>
              <w:pStyle w:val="DHHStabletext"/>
            </w:pPr>
            <w:r w:rsidRPr="008A08FD">
              <w:t>Aged</w:t>
            </w:r>
          </w:p>
        </w:tc>
        <w:tc>
          <w:tcPr>
            <w:tcW w:w="1244" w:type="dxa"/>
            <w:hideMark/>
          </w:tcPr>
          <w:p w14:paraId="171DBC90" w14:textId="77777777" w:rsidR="004E24F2" w:rsidRPr="008A08FD" w:rsidRDefault="004E24F2" w:rsidP="008A08FD">
            <w:pPr>
              <w:pStyle w:val="DHHStabletext"/>
            </w:pPr>
            <w:r w:rsidRPr="008A08FD">
              <w:t>31.9%</w:t>
            </w:r>
          </w:p>
        </w:tc>
        <w:tc>
          <w:tcPr>
            <w:tcW w:w="1244" w:type="dxa"/>
            <w:hideMark/>
          </w:tcPr>
          <w:p w14:paraId="6AD790DD" w14:textId="77777777" w:rsidR="004E24F2" w:rsidRPr="008A08FD" w:rsidRDefault="004E24F2" w:rsidP="008A08FD">
            <w:pPr>
              <w:pStyle w:val="DHHStabletext"/>
            </w:pPr>
            <w:r w:rsidRPr="008A08FD">
              <w:t>39.6%</w:t>
            </w:r>
          </w:p>
        </w:tc>
        <w:tc>
          <w:tcPr>
            <w:tcW w:w="1225" w:type="dxa"/>
            <w:hideMark/>
          </w:tcPr>
          <w:p w14:paraId="6ADD6319" w14:textId="77777777" w:rsidR="004E24F2" w:rsidRPr="008A08FD" w:rsidRDefault="004E24F2" w:rsidP="008A08FD">
            <w:pPr>
              <w:pStyle w:val="DHHStabletext"/>
            </w:pPr>
            <w:r w:rsidRPr="008A08FD">
              <w:t>37.7%</w:t>
            </w:r>
          </w:p>
        </w:tc>
      </w:tr>
      <w:tr w:rsidR="004E24F2" w14:paraId="68DF2768" w14:textId="77777777" w:rsidTr="003F7650">
        <w:trPr>
          <w:trHeight w:val="330"/>
        </w:trPr>
        <w:tc>
          <w:tcPr>
            <w:tcW w:w="2777" w:type="dxa"/>
            <w:vMerge/>
            <w:vAlign w:val="center"/>
            <w:hideMark/>
          </w:tcPr>
          <w:p w14:paraId="1EB99696" w14:textId="77777777" w:rsidR="004E24F2" w:rsidRPr="008A08FD" w:rsidRDefault="004E24F2" w:rsidP="008A08FD">
            <w:pPr>
              <w:pStyle w:val="DHHStabletext"/>
              <w:rPr>
                <w:rFonts w:eastAsia="Trebuchet MS"/>
              </w:rPr>
            </w:pPr>
          </w:p>
        </w:tc>
        <w:tc>
          <w:tcPr>
            <w:tcW w:w="3441" w:type="dxa"/>
            <w:hideMark/>
          </w:tcPr>
          <w:p w14:paraId="50D2B6FB" w14:textId="77777777" w:rsidR="004E24F2" w:rsidRPr="008A08FD" w:rsidRDefault="004E24F2" w:rsidP="008A08FD">
            <w:pPr>
              <w:pStyle w:val="DHHStabletext"/>
            </w:pPr>
            <w:r w:rsidRPr="008A08FD">
              <w:t>CAMHS</w:t>
            </w:r>
          </w:p>
        </w:tc>
        <w:tc>
          <w:tcPr>
            <w:tcW w:w="1244" w:type="dxa"/>
            <w:hideMark/>
          </w:tcPr>
          <w:p w14:paraId="3EC2A7C1" w14:textId="77777777" w:rsidR="004E24F2" w:rsidRPr="008A08FD" w:rsidRDefault="004E24F2" w:rsidP="008A08FD">
            <w:pPr>
              <w:pStyle w:val="DHHStabletext"/>
            </w:pPr>
            <w:r w:rsidRPr="008A08FD">
              <w:t>41.4%</w:t>
            </w:r>
          </w:p>
        </w:tc>
        <w:tc>
          <w:tcPr>
            <w:tcW w:w="1244" w:type="dxa"/>
            <w:hideMark/>
          </w:tcPr>
          <w:p w14:paraId="4CAA7885" w14:textId="77777777" w:rsidR="004E24F2" w:rsidRPr="008A08FD" w:rsidRDefault="004E24F2" w:rsidP="008A08FD">
            <w:pPr>
              <w:pStyle w:val="DHHStabletext"/>
            </w:pPr>
            <w:r w:rsidRPr="008A08FD">
              <w:t>42.2%</w:t>
            </w:r>
          </w:p>
        </w:tc>
        <w:tc>
          <w:tcPr>
            <w:tcW w:w="1225" w:type="dxa"/>
            <w:hideMark/>
          </w:tcPr>
          <w:p w14:paraId="42DE6540" w14:textId="77777777" w:rsidR="004E24F2" w:rsidRPr="008A08FD" w:rsidRDefault="004E24F2" w:rsidP="008A08FD">
            <w:pPr>
              <w:pStyle w:val="DHHStabletext"/>
            </w:pPr>
            <w:r w:rsidRPr="008A08FD">
              <w:t>42.9%</w:t>
            </w:r>
          </w:p>
        </w:tc>
      </w:tr>
      <w:tr w:rsidR="004E24F2" w14:paraId="62045775" w14:textId="77777777" w:rsidTr="003F7650">
        <w:trPr>
          <w:trHeight w:val="330"/>
        </w:trPr>
        <w:tc>
          <w:tcPr>
            <w:tcW w:w="2777" w:type="dxa"/>
            <w:vMerge/>
            <w:vAlign w:val="center"/>
            <w:hideMark/>
          </w:tcPr>
          <w:p w14:paraId="53F7B4D8" w14:textId="77777777" w:rsidR="004E24F2" w:rsidRPr="008A08FD" w:rsidRDefault="004E24F2" w:rsidP="008A08FD">
            <w:pPr>
              <w:pStyle w:val="DHHStabletext"/>
              <w:rPr>
                <w:rFonts w:eastAsia="Trebuchet MS"/>
              </w:rPr>
            </w:pPr>
          </w:p>
        </w:tc>
        <w:tc>
          <w:tcPr>
            <w:tcW w:w="3441" w:type="dxa"/>
            <w:hideMark/>
          </w:tcPr>
          <w:p w14:paraId="60E1AA2B" w14:textId="77777777" w:rsidR="004E24F2" w:rsidRPr="008A08FD" w:rsidRDefault="004E24F2" w:rsidP="008A08FD">
            <w:pPr>
              <w:pStyle w:val="DHHStabletext"/>
            </w:pPr>
            <w:r w:rsidRPr="008A08FD">
              <w:t>Forensic</w:t>
            </w:r>
          </w:p>
        </w:tc>
        <w:tc>
          <w:tcPr>
            <w:tcW w:w="1244" w:type="dxa"/>
            <w:hideMark/>
          </w:tcPr>
          <w:p w14:paraId="4C4A1C72" w14:textId="77777777" w:rsidR="004E24F2" w:rsidRPr="008A08FD" w:rsidRDefault="004E24F2" w:rsidP="008A08FD">
            <w:pPr>
              <w:pStyle w:val="DHHStabletext"/>
            </w:pPr>
            <w:r w:rsidRPr="008A08FD">
              <w:t>60.0%</w:t>
            </w:r>
          </w:p>
        </w:tc>
        <w:tc>
          <w:tcPr>
            <w:tcW w:w="1244" w:type="dxa"/>
            <w:hideMark/>
          </w:tcPr>
          <w:p w14:paraId="52321FAC" w14:textId="77777777" w:rsidR="004E24F2" w:rsidRPr="008A08FD" w:rsidRDefault="004E24F2" w:rsidP="008A08FD">
            <w:pPr>
              <w:pStyle w:val="DHHStabletext"/>
            </w:pPr>
            <w:r w:rsidRPr="008A08FD">
              <w:t>50.0%</w:t>
            </w:r>
          </w:p>
        </w:tc>
        <w:tc>
          <w:tcPr>
            <w:tcW w:w="1225" w:type="dxa"/>
            <w:hideMark/>
          </w:tcPr>
          <w:p w14:paraId="67F5F6A7" w14:textId="77777777" w:rsidR="004E24F2" w:rsidRPr="008A08FD" w:rsidRDefault="004E24F2" w:rsidP="008A08FD">
            <w:pPr>
              <w:pStyle w:val="DHHStabletext"/>
            </w:pPr>
            <w:r w:rsidRPr="008A08FD">
              <w:t>35.7%</w:t>
            </w:r>
          </w:p>
        </w:tc>
      </w:tr>
      <w:tr w:rsidR="004E24F2" w14:paraId="5C8EB660" w14:textId="77777777" w:rsidTr="003F7650">
        <w:trPr>
          <w:trHeight w:val="327"/>
        </w:trPr>
        <w:tc>
          <w:tcPr>
            <w:tcW w:w="2777" w:type="dxa"/>
            <w:vMerge/>
            <w:vAlign w:val="center"/>
            <w:hideMark/>
          </w:tcPr>
          <w:p w14:paraId="5B9C07D5" w14:textId="77777777" w:rsidR="004E24F2" w:rsidRPr="008A08FD" w:rsidRDefault="004E24F2" w:rsidP="008A08FD">
            <w:pPr>
              <w:pStyle w:val="DHHStabletext"/>
              <w:rPr>
                <w:rFonts w:eastAsia="Trebuchet MS"/>
              </w:rPr>
            </w:pPr>
          </w:p>
        </w:tc>
        <w:tc>
          <w:tcPr>
            <w:tcW w:w="3441" w:type="dxa"/>
            <w:hideMark/>
          </w:tcPr>
          <w:p w14:paraId="0BE5588A" w14:textId="77777777" w:rsidR="004E24F2" w:rsidRPr="008A08FD" w:rsidRDefault="004E24F2" w:rsidP="008A08FD">
            <w:pPr>
              <w:pStyle w:val="DHHStabletext"/>
            </w:pPr>
            <w:r w:rsidRPr="008A08FD">
              <w:t>Specialist</w:t>
            </w:r>
          </w:p>
        </w:tc>
        <w:tc>
          <w:tcPr>
            <w:tcW w:w="1244" w:type="dxa"/>
            <w:hideMark/>
          </w:tcPr>
          <w:p w14:paraId="788257A8" w14:textId="77777777" w:rsidR="004E24F2" w:rsidRPr="008A08FD" w:rsidRDefault="004E24F2" w:rsidP="008A08FD">
            <w:pPr>
              <w:pStyle w:val="DHHStabletext"/>
            </w:pPr>
            <w:r w:rsidRPr="008A08FD">
              <w:t>30.7%</w:t>
            </w:r>
          </w:p>
        </w:tc>
        <w:tc>
          <w:tcPr>
            <w:tcW w:w="1244" w:type="dxa"/>
            <w:hideMark/>
          </w:tcPr>
          <w:p w14:paraId="3B69CAB5" w14:textId="77777777" w:rsidR="004E24F2" w:rsidRPr="008A08FD" w:rsidRDefault="004E24F2" w:rsidP="008A08FD">
            <w:pPr>
              <w:pStyle w:val="DHHStabletext"/>
            </w:pPr>
            <w:r w:rsidRPr="008A08FD">
              <w:t>70.6%</w:t>
            </w:r>
          </w:p>
        </w:tc>
        <w:tc>
          <w:tcPr>
            <w:tcW w:w="1225" w:type="dxa"/>
            <w:hideMark/>
          </w:tcPr>
          <w:p w14:paraId="64925333" w14:textId="77777777" w:rsidR="004E24F2" w:rsidRPr="008A08FD" w:rsidRDefault="004E24F2" w:rsidP="008A08FD">
            <w:pPr>
              <w:pStyle w:val="DHHStabletext"/>
            </w:pPr>
            <w:r w:rsidRPr="008A08FD">
              <w:t>74.6%</w:t>
            </w:r>
          </w:p>
        </w:tc>
      </w:tr>
      <w:tr w:rsidR="004E24F2" w14:paraId="1159F17D" w14:textId="77777777" w:rsidTr="003F7650">
        <w:trPr>
          <w:trHeight w:val="347"/>
        </w:trPr>
        <w:tc>
          <w:tcPr>
            <w:tcW w:w="2777" w:type="dxa"/>
            <w:vMerge/>
            <w:vAlign w:val="center"/>
            <w:hideMark/>
          </w:tcPr>
          <w:p w14:paraId="69F75B76" w14:textId="77777777" w:rsidR="004E24F2" w:rsidRPr="008A08FD" w:rsidRDefault="004E24F2" w:rsidP="008A08FD">
            <w:pPr>
              <w:pStyle w:val="DHHStabletext"/>
              <w:rPr>
                <w:rFonts w:eastAsia="Trebuchet MS"/>
              </w:rPr>
            </w:pPr>
          </w:p>
        </w:tc>
        <w:tc>
          <w:tcPr>
            <w:tcW w:w="3441" w:type="dxa"/>
            <w:shd w:val="clear" w:color="auto" w:fill="DCDDDE"/>
            <w:hideMark/>
          </w:tcPr>
          <w:p w14:paraId="517CAEDC" w14:textId="77777777" w:rsidR="004E24F2" w:rsidRPr="008A08FD" w:rsidRDefault="004E24F2" w:rsidP="008A08FD">
            <w:pPr>
              <w:pStyle w:val="DHHStabletext"/>
            </w:pPr>
            <w:r w:rsidRPr="008A08FD">
              <w:t>Total</w:t>
            </w:r>
          </w:p>
        </w:tc>
        <w:tc>
          <w:tcPr>
            <w:tcW w:w="1244" w:type="dxa"/>
            <w:shd w:val="clear" w:color="auto" w:fill="DCDDDE"/>
            <w:hideMark/>
          </w:tcPr>
          <w:p w14:paraId="374D0477" w14:textId="77777777" w:rsidR="004E24F2" w:rsidRPr="008A08FD" w:rsidRDefault="004E24F2" w:rsidP="008A08FD">
            <w:pPr>
              <w:pStyle w:val="DHHStabletext"/>
            </w:pPr>
            <w:r w:rsidRPr="008A08FD">
              <w:t>37.1%</w:t>
            </w:r>
          </w:p>
        </w:tc>
        <w:tc>
          <w:tcPr>
            <w:tcW w:w="1244" w:type="dxa"/>
            <w:shd w:val="clear" w:color="auto" w:fill="DCDDDE"/>
            <w:hideMark/>
          </w:tcPr>
          <w:p w14:paraId="20B11B34" w14:textId="77777777" w:rsidR="004E24F2" w:rsidRPr="008A08FD" w:rsidRDefault="004E24F2" w:rsidP="008A08FD">
            <w:pPr>
              <w:pStyle w:val="DHHStabletext"/>
            </w:pPr>
            <w:r w:rsidRPr="008A08FD">
              <w:t>39.4%</w:t>
            </w:r>
          </w:p>
        </w:tc>
        <w:tc>
          <w:tcPr>
            <w:tcW w:w="1225" w:type="dxa"/>
            <w:shd w:val="clear" w:color="auto" w:fill="DCDDDE"/>
            <w:hideMark/>
          </w:tcPr>
          <w:p w14:paraId="456D68CA" w14:textId="77777777" w:rsidR="004E24F2" w:rsidRPr="008A08FD" w:rsidRDefault="004E24F2" w:rsidP="008A08FD">
            <w:pPr>
              <w:pStyle w:val="DHHStabletext"/>
            </w:pPr>
            <w:r w:rsidRPr="008A08FD">
              <w:t>39.1%</w:t>
            </w:r>
          </w:p>
        </w:tc>
      </w:tr>
    </w:tbl>
    <w:p w14:paraId="734659A2" w14:textId="77777777" w:rsidR="008A08FD" w:rsidRDefault="008A08FD" w:rsidP="00985332">
      <w:pPr>
        <w:pStyle w:val="DHHSbody"/>
      </w:pPr>
    </w:p>
    <w:tbl>
      <w:tblPr>
        <w:tblW w:w="9931"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7"/>
        <w:gridCol w:w="3441"/>
        <w:gridCol w:w="1244"/>
        <w:gridCol w:w="1244"/>
        <w:gridCol w:w="1225"/>
      </w:tblGrid>
      <w:tr w:rsidR="004E24F2" w14:paraId="427A0BBC" w14:textId="77777777" w:rsidTr="003F7650">
        <w:trPr>
          <w:trHeight w:val="457"/>
          <w:tblHeader/>
        </w:trPr>
        <w:tc>
          <w:tcPr>
            <w:tcW w:w="2777" w:type="dxa"/>
            <w:shd w:val="clear" w:color="auto" w:fill="auto"/>
            <w:hideMark/>
          </w:tcPr>
          <w:p w14:paraId="429215A9" w14:textId="77777777" w:rsidR="004E24F2" w:rsidRDefault="004E24F2" w:rsidP="00DF7F88">
            <w:pPr>
              <w:pStyle w:val="DHHStablecolhead"/>
            </w:pPr>
            <w:r>
              <w:rPr>
                <w:w w:val="105"/>
              </w:rPr>
              <w:t>Funding</w:t>
            </w:r>
          </w:p>
        </w:tc>
        <w:tc>
          <w:tcPr>
            <w:tcW w:w="3441" w:type="dxa"/>
            <w:shd w:val="clear" w:color="auto" w:fill="auto"/>
          </w:tcPr>
          <w:p w14:paraId="7955D8A5" w14:textId="77777777" w:rsidR="004E24F2" w:rsidRDefault="004E24F2" w:rsidP="00DF7F88">
            <w:pPr>
              <w:pStyle w:val="DHHStablecolhead"/>
              <w:rPr>
                <w:rFonts w:ascii="Times New Roman"/>
              </w:rPr>
            </w:pPr>
          </w:p>
        </w:tc>
        <w:tc>
          <w:tcPr>
            <w:tcW w:w="1244" w:type="dxa"/>
            <w:shd w:val="clear" w:color="auto" w:fill="auto"/>
            <w:hideMark/>
          </w:tcPr>
          <w:p w14:paraId="6D65337D" w14:textId="77777777" w:rsidR="004E24F2" w:rsidRDefault="004E24F2" w:rsidP="00DF7F88">
            <w:pPr>
              <w:pStyle w:val="DHHStablecolhead"/>
              <w:rPr>
                <w:rFonts w:ascii="Trebuchet MS"/>
              </w:rPr>
            </w:pPr>
            <w:r>
              <w:t>2014–15</w:t>
            </w:r>
          </w:p>
        </w:tc>
        <w:tc>
          <w:tcPr>
            <w:tcW w:w="1244" w:type="dxa"/>
            <w:shd w:val="clear" w:color="auto" w:fill="auto"/>
            <w:hideMark/>
          </w:tcPr>
          <w:p w14:paraId="5E7544DC" w14:textId="77777777" w:rsidR="004E24F2" w:rsidRDefault="004E24F2" w:rsidP="00DF7F88">
            <w:pPr>
              <w:pStyle w:val="DHHStablecolhead"/>
            </w:pPr>
            <w:r>
              <w:t>2015–16</w:t>
            </w:r>
          </w:p>
        </w:tc>
        <w:tc>
          <w:tcPr>
            <w:tcW w:w="1225" w:type="dxa"/>
            <w:shd w:val="clear" w:color="auto" w:fill="auto"/>
            <w:hideMark/>
          </w:tcPr>
          <w:p w14:paraId="53DF8EE7" w14:textId="77777777" w:rsidR="004E24F2" w:rsidRDefault="004E24F2" w:rsidP="00DF7F88">
            <w:pPr>
              <w:pStyle w:val="DHHStablecolhead"/>
            </w:pPr>
            <w:r>
              <w:t>2016–17</w:t>
            </w:r>
          </w:p>
        </w:tc>
      </w:tr>
      <w:tr w:rsidR="004E24F2" w14:paraId="1785BC06" w14:textId="77777777" w:rsidTr="003F7650">
        <w:trPr>
          <w:trHeight w:val="377"/>
        </w:trPr>
        <w:tc>
          <w:tcPr>
            <w:tcW w:w="2777" w:type="dxa"/>
            <w:vMerge w:val="restart"/>
            <w:hideMark/>
          </w:tcPr>
          <w:p w14:paraId="5F2100A3" w14:textId="77777777" w:rsidR="004E24F2" w:rsidRPr="00985332" w:rsidRDefault="004E24F2" w:rsidP="00985332">
            <w:pPr>
              <w:pStyle w:val="DHHStabletext"/>
            </w:pPr>
            <w:r w:rsidRPr="00985332">
              <w:t>Total output cost (Budget paper 3) ($ million)ˆ</w:t>
            </w:r>
          </w:p>
        </w:tc>
        <w:tc>
          <w:tcPr>
            <w:tcW w:w="3441" w:type="dxa"/>
            <w:hideMark/>
          </w:tcPr>
          <w:p w14:paraId="10226926" w14:textId="77777777" w:rsidR="004E24F2" w:rsidRPr="00985332" w:rsidRDefault="004E24F2" w:rsidP="00985332">
            <w:pPr>
              <w:pStyle w:val="DHHStabletext"/>
            </w:pPr>
            <w:r w:rsidRPr="00985332">
              <w:t>Clinical mental health</w:t>
            </w:r>
          </w:p>
        </w:tc>
        <w:tc>
          <w:tcPr>
            <w:tcW w:w="1244" w:type="dxa"/>
            <w:hideMark/>
          </w:tcPr>
          <w:p w14:paraId="13289AEB" w14:textId="77777777" w:rsidR="004E24F2" w:rsidRPr="00985332" w:rsidRDefault="004E24F2" w:rsidP="00985332">
            <w:pPr>
              <w:pStyle w:val="DHHStabletext"/>
            </w:pPr>
            <w:r w:rsidRPr="00985332">
              <w:t>1,082.0</w:t>
            </w:r>
          </w:p>
        </w:tc>
        <w:tc>
          <w:tcPr>
            <w:tcW w:w="1244" w:type="dxa"/>
            <w:hideMark/>
          </w:tcPr>
          <w:p w14:paraId="17CBE11F" w14:textId="77777777" w:rsidR="004E24F2" w:rsidRPr="00985332" w:rsidRDefault="004E24F2" w:rsidP="00985332">
            <w:pPr>
              <w:pStyle w:val="DHHStabletext"/>
            </w:pPr>
            <w:r w:rsidRPr="00985332">
              <w:t>1,142.0</w:t>
            </w:r>
          </w:p>
        </w:tc>
        <w:tc>
          <w:tcPr>
            <w:tcW w:w="1225" w:type="dxa"/>
            <w:hideMark/>
          </w:tcPr>
          <w:p w14:paraId="03881B23" w14:textId="77777777" w:rsidR="004E24F2" w:rsidRPr="00985332" w:rsidRDefault="004E24F2" w:rsidP="00985332">
            <w:pPr>
              <w:pStyle w:val="DHHStabletext"/>
            </w:pPr>
            <w:r w:rsidRPr="00985332">
              <w:t>1,258.0</w:t>
            </w:r>
          </w:p>
        </w:tc>
      </w:tr>
      <w:tr w:rsidR="004E24F2" w14:paraId="275CE84C" w14:textId="77777777" w:rsidTr="003F7650">
        <w:trPr>
          <w:trHeight w:val="608"/>
        </w:trPr>
        <w:tc>
          <w:tcPr>
            <w:tcW w:w="2777" w:type="dxa"/>
            <w:vMerge/>
            <w:vAlign w:val="center"/>
            <w:hideMark/>
          </w:tcPr>
          <w:p w14:paraId="008AEF66" w14:textId="77777777" w:rsidR="004E24F2" w:rsidRPr="00985332" w:rsidRDefault="004E24F2" w:rsidP="00985332">
            <w:pPr>
              <w:pStyle w:val="DHHStabletext"/>
              <w:rPr>
                <w:rFonts w:eastAsia="Trebuchet MS"/>
              </w:rPr>
            </w:pPr>
          </w:p>
        </w:tc>
        <w:tc>
          <w:tcPr>
            <w:tcW w:w="3441" w:type="dxa"/>
            <w:hideMark/>
          </w:tcPr>
          <w:p w14:paraId="6D0EDEE3" w14:textId="77777777" w:rsidR="004E24F2" w:rsidRPr="00985332" w:rsidRDefault="004E24F2" w:rsidP="00985332">
            <w:pPr>
              <w:pStyle w:val="DHHStabletext"/>
            </w:pPr>
            <w:r w:rsidRPr="00985332">
              <w:t>Mental health community support services</w:t>
            </w:r>
          </w:p>
        </w:tc>
        <w:tc>
          <w:tcPr>
            <w:tcW w:w="1244" w:type="dxa"/>
            <w:hideMark/>
          </w:tcPr>
          <w:p w14:paraId="6E89AB91" w14:textId="77777777" w:rsidR="004E24F2" w:rsidRPr="00985332" w:rsidRDefault="004E24F2" w:rsidP="00985332">
            <w:pPr>
              <w:pStyle w:val="DHHStabletext"/>
            </w:pPr>
            <w:r w:rsidRPr="00985332">
              <w:t>123.4</w:t>
            </w:r>
          </w:p>
        </w:tc>
        <w:tc>
          <w:tcPr>
            <w:tcW w:w="1244" w:type="dxa"/>
            <w:hideMark/>
          </w:tcPr>
          <w:p w14:paraId="3287BDDB" w14:textId="77777777" w:rsidR="004E24F2" w:rsidRPr="00985332" w:rsidRDefault="004E24F2" w:rsidP="00985332">
            <w:pPr>
              <w:pStyle w:val="DHHStabletext"/>
            </w:pPr>
            <w:r w:rsidRPr="00985332">
              <w:t>128.1</w:t>
            </w:r>
          </w:p>
        </w:tc>
        <w:tc>
          <w:tcPr>
            <w:tcW w:w="1225" w:type="dxa"/>
            <w:hideMark/>
          </w:tcPr>
          <w:p w14:paraId="1C8B4EDB" w14:textId="77777777" w:rsidR="004E24F2" w:rsidRPr="00985332" w:rsidRDefault="004E24F2" w:rsidP="00985332">
            <w:pPr>
              <w:pStyle w:val="DHHStabletext"/>
            </w:pPr>
            <w:r w:rsidRPr="00985332">
              <w:t>124.8</w:t>
            </w:r>
          </w:p>
        </w:tc>
      </w:tr>
    </w:tbl>
    <w:p w14:paraId="6CE99DDA" w14:textId="77777777" w:rsidR="008A08FD" w:rsidRDefault="008A08FD" w:rsidP="00985332">
      <w:pPr>
        <w:pStyle w:val="DHHSbody"/>
      </w:pPr>
    </w:p>
    <w:tbl>
      <w:tblPr>
        <w:tblW w:w="9931"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2777"/>
        <w:gridCol w:w="3441"/>
        <w:gridCol w:w="1244"/>
        <w:gridCol w:w="1244"/>
        <w:gridCol w:w="1225"/>
      </w:tblGrid>
      <w:tr w:rsidR="004E24F2" w14:paraId="06E1978B" w14:textId="77777777" w:rsidTr="003F7650">
        <w:trPr>
          <w:trHeight w:val="453"/>
          <w:tblHeader/>
        </w:trPr>
        <w:tc>
          <w:tcPr>
            <w:tcW w:w="2777" w:type="dxa"/>
            <w:shd w:val="clear" w:color="auto" w:fill="auto"/>
            <w:hideMark/>
          </w:tcPr>
          <w:p w14:paraId="3248830D" w14:textId="77777777" w:rsidR="004E24F2" w:rsidRDefault="004E24F2" w:rsidP="00DF7F88">
            <w:pPr>
              <w:pStyle w:val="DHHStablecolhead"/>
            </w:pPr>
            <w:r>
              <w:rPr>
                <w:w w:val="105"/>
              </w:rPr>
              <w:t>Service inputs</w:t>
            </w:r>
          </w:p>
        </w:tc>
        <w:tc>
          <w:tcPr>
            <w:tcW w:w="3441" w:type="dxa"/>
            <w:shd w:val="clear" w:color="auto" w:fill="auto"/>
          </w:tcPr>
          <w:p w14:paraId="22D86297" w14:textId="77777777" w:rsidR="004E24F2" w:rsidRDefault="004E24F2" w:rsidP="00DF7F88">
            <w:pPr>
              <w:pStyle w:val="DHHStablecolhead"/>
              <w:rPr>
                <w:rFonts w:ascii="Times New Roman"/>
              </w:rPr>
            </w:pPr>
          </w:p>
        </w:tc>
        <w:tc>
          <w:tcPr>
            <w:tcW w:w="1244" w:type="dxa"/>
            <w:shd w:val="clear" w:color="auto" w:fill="auto"/>
            <w:hideMark/>
          </w:tcPr>
          <w:p w14:paraId="624AFEAA" w14:textId="77777777" w:rsidR="004E24F2" w:rsidRDefault="004E24F2" w:rsidP="00DF7F88">
            <w:pPr>
              <w:pStyle w:val="DHHStablecolhead"/>
              <w:rPr>
                <w:rFonts w:ascii="Trebuchet MS"/>
              </w:rPr>
            </w:pPr>
            <w:r>
              <w:t>2014–15</w:t>
            </w:r>
          </w:p>
        </w:tc>
        <w:tc>
          <w:tcPr>
            <w:tcW w:w="1244" w:type="dxa"/>
            <w:shd w:val="clear" w:color="auto" w:fill="auto"/>
            <w:hideMark/>
          </w:tcPr>
          <w:p w14:paraId="7218A85B" w14:textId="77777777" w:rsidR="004E24F2" w:rsidRDefault="004E24F2" w:rsidP="00DF7F88">
            <w:pPr>
              <w:pStyle w:val="DHHStablecolhead"/>
            </w:pPr>
            <w:r>
              <w:t>2015–16</w:t>
            </w:r>
          </w:p>
        </w:tc>
        <w:tc>
          <w:tcPr>
            <w:tcW w:w="1225" w:type="dxa"/>
            <w:shd w:val="clear" w:color="auto" w:fill="auto"/>
            <w:hideMark/>
          </w:tcPr>
          <w:p w14:paraId="36FF9AC7" w14:textId="77777777" w:rsidR="004E24F2" w:rsidRDefault="004E24F2" w:rsidP="00DF7F88">
            <w:pPr>
              <w:pStyle w:val="DHHStablecolhead"/>
            </w:pPr>
            <w:r>
              <w:t>2016–17</w:t>
            </w:r>
          </w:p>
        </w:tc>
      </w:tr>
      <w:tr w:rsidR="004E24F2" w14:paraId="18DF0BFA" w14:textId="77777777" w:rsidTr="003F7650">
        <w:trPr>
          <w:trHeight w:val="332"/>
        </w:trPr>
        <w:tc>
          <w:tcPr>
            <w:tcW w:w="2777" w:type="dxa"/>
            <w:vMerge w:val="restart"/>
            <w:hideMark/>
          </w:tcPr>
          <w:p w14:paraId="177F5B68" w14:textId="77777777" w:rsidR="004E24F2" w:rsidRPr="00985332" w:rsidRDefault="004E24F2" w:rsidP="00985332">
            <w:pPr>
              <w:pStyle w:val="DHHStabletext"/>
            </w:pPr>
            <w:r w:rsidRPr="00985332">
              <w:t>Specialist mental health beds (from policy and funding guidelines)</w:t>
            </w:r>
          </w:p>
        </w:tc>
        <w:tc>
          <w:tcPr>
            <w:tcW w:w="3441" w:type="dxa"/>
            <w:hideMark/>
          </w:tcPr>
          <w:p w14:paraId="0BE26932" w14:textId="2C46EC16" w:rsidR="004E24F2" w:rsidRPr="00985332" w:rsidRDefault="004E24F2" w:rsidP="00985332">
            <w:pPr>
              <w:pStyle w:val="DHHStabletext"/>
            </w:pPr>
            <w:r w:rsidRPr="00985332">
              <w:t>Admitted</w:t>
            </w:r>
            <w:r w:rsidR="00AE0126">
              <w:t xml:space="preserve"> – </w:t>
            </w:r>
            <w:r w:rsidRPr="00985332">
              <w:t>Acute</w:t>
            </w:r>
          </w:p>
        </w:tc>
        <w:tc>
          <w:tcPr>
            <w:tcW w:w="1244" w:type="dxa"/>
            <w:hideMark/>
          </w:tcPr>
          <w:p w14:paraId="07EA506D" w14:textId="77777777" w:rsidR="004E24F2" w:rsidRPr="00985332" w:rsidRDefault="004E24F2" w:rsidP="00985332">
            <w:pPr>
              <w:pStyle w:val="DHHStabletext"/>
            </w:pPr>
            <w:r w:rsidRPr="00985332">
              <w:t>1,089</w:t>
            </w:r>
          </w:p>
        </w:tc>
        <w:tc>
          <w:tcPr>
            <w:tcW w:w="1244" w:type="dxa"/>
            <w:hideMark/>
          </w:tcPr>
          <w:p w14:paraId="431C0DFC" w14:textId="77777777" w:rsidR="004E24F2" w:rsidRPr="00985332" w:rsidRDefault="004E24F2" w:rsidP="00985332">
            <w:pPr>
              <w:pStyle w:val="DHHStabletext"/>
            </w:pPr>
            <w:r w:rsidRPr="00985332">
              <w:t>1,098</w:t>
            </w:r>
          </w:p>
        </w:tc>
        <w:tc>
          <w:tcPr>
            <w:tcW w:w="1225" w:type="dxa"/>
            <w:hideMark/>
          </w:tcPr>
          <w:p w14:paraId="265152B7" w14:textId="77777777" w:rsidR="004E24F2" w:rsidRPr="00985332" w:rsidRDefault="004E24F2" w:rsidP="00985332">
            <w:pPr>
              <w:pStyle w:val="DHHStabletext"/>
            </w:pPr>
            <w:r w:rsidRPr="00985332">
              <w:t>1,162</w:t>
            </w:r>
          </w:p>
        </w:tc>
      </w:tr>
      <w:tr w:rsidR="004E24F2" w14:paraId="46C4B74B" w14:textId="77777777" w:rsidTr="003F7650">
        <w:trPr>
          <w:trHeight w:val="327"/>
        </w:trPr>
        <w:tc>
          <w:tcPr>
            <w:tcW w:w="2777" w:type="dxa"/>
            <w:vMerge/>
            <w:vAlign w:val="center"/>
            <w:hideMark/>
          </w:tcPr>
          <w:p w14:paraId="3FDB32F6" w14:textId="77777777" w:rsidR="004E24F2" w:rsidRPr="00985332" w:rsidRDefault="004E24F2" w:rsidP="00985332">
            <w:pPr>
              <w:pStyle w:val="DHHStabletext"/>
              <w:rPr>
                <w:rFonts w:eastAsia="Trebuchet MS"/>
              </w:rPr>
            </w:pPr>
          </w:p>
        </w:tc>
        <w:tc>
          <w:tcPr>
            <w:tcW w:w="3441" w:type="dxa"/>
            <w:hideMark/>
          </w:tcPr>
          <w:p w14:paraId="573EE999" w14:textId="07D86C8C" w:rsidR="004E24F2" w:rsidRPr="00985332" w:rsidRDefault="004E24F2" w:rsidP="00985332">
            <w:pPr>
              <w:pStyle w:val="DHHStabletext"/>
            </w:pPr>
            <w:r w:rsidRPr="00985332">
              <w:t>Admitted</w:t>
            </w:r>
            <w:r w:rsidR="00AE0126">
              <w:t xml:space="preserve"> – </w:t>
            </w:r>
            <w:r w:rsidRPr="00985332">
              <w:t>Non Acute</w:t>
            </w:r>
          </w:p>
        </w:tc>
        <w:tc>
          <w:tcPr>
            <w:tcW w:w="1244" w:type="dxa"/>
            <w:hideMark/>
          </w:tcPr>
          <w:p w14:paraId="23947171" w14:textId="77777777" w:rsidR="004E24F2" w:rsidRPr="00985332" w:rsidRDefault="004E24F2" w:rsidP="00985332">
            <w:pPr>
              <w:pStyle w:val="DHHStabletext"/>
            </w:pPr>
            <w:r w:rsidRPr="00985332">
              <w:t>212</w:t>
            </w:r>
          </w:p>
        </w:tc>
        <w:tc>
          <w:tcPr>
            <w:tcW w:w="1244" w:type="dxa"/>
            <w:hideMark/>
          </w:tcPr>
          <w:p w14:paraId="10D0D43F" w14:textId="77777777" w:rsidR="004E24F2" w:rsidRPr="00985332" w:rsidRDefault="004E24F2" w:rsidP="00985332">
            <w:pPr>
              <w:pStyle w:val="DHHStabletext"/>
            </w:pPr>
            <w:r w:rsidRPr="00985332">
              <w:t>212</w:t>
            </w:r>
          </w:p>
        </w:tc>
        <w:tc>
          <w:tcPr>
            <w:tcW w:w="1225" w:type="dxa"/>
            <w:hideMark/>
          </w:tcPr>
          <w:p w14:paraId="366B2059" w14:textId="77777777" w:rsidR="004E24F2" w:rsidRPr="00985332" w:rsidRDefault="004E24F2" w:rsidP="00985332">
            <w:pPr>
              <w:pStyle w:val="DHHStabletext"/>
            </w:pPr>
            <w:r w:rsidRPr="00985332">
              <w:t>244</w:t>
            </w:r>
          </w:p>
        </w:tc>
      </w:tr>
      <w:tr w:rsidR="004E24F2" w14:paraId="1621E944" w14:textId="77777777" w:rsidTr="003F7650">
        <w:trPr>
          <w:trHeight w:val="330"/>
        </w:trPr>
        <w:tc>
          <w:tcPr>
            <w:tcW w:w="2777" w:type="dxa"/>
            <w:vMerge/>
            <w:vAlign w:val="center"/>
            <w:hideMark/>
          </w:tcPr>
          <w:p w14:paraId="03B8A499" w14:textId="77777777" w:rsidR="004E24F2" w:rsidRPr="00985332" w:rsidRDefault="004E24F2" w:rsidP="00985332">
            <w:pPr>
              <w:pStyle w:val="DHHStabletext"/>
              <w:rPr>
                <w:rFonts w:eastAsia="Trebuchet MS"/>
              </w:rPr>
            </w:pPr>
          </w:p>
        </w:tc>
        <w:tc>
          <w:tcPr>
            <w:tcW w:w="3441" w:type="dxa"/>
            <w:hideMark/>
          </w:tcPr>
          <w:p w14:paraId="5D8F27B8" w14:textId="77777777" w:rsidR="004E24F2" w:rsidRPr="00985332" w:rsidRDefault="004E24F2" w:rsidP="00985332">
            <w:pPr>
              <w:pStyle w:val="DHHStabletext"/>
            </w:pPr>
            <w:r w:rsidRPr="00985332">
              <w:t>Admitted Total</w:t>
            </w:r>
          </w:p>
        </w:tc>
        <w:tc>
          <w:tcPr>
            <w:tcW w:w="1244" w:type="dxa"/>
            <w:hideMark/>
          </w:tcPr>
          <w:p w14:paraId="57F3A924" w14:textId="77777777" w:rsidR="004E24F2" w:rsidRPr="00985332" w:rsidRDefault="004E24F2" w:rsidP="00985332">
            <w:pPr>
              <w:pStyle w:val="DHHStabletext"/>
            </w:pPr>
            <w:r w:rsidRPr="00985332">
              <w:t>1,301</w:t>
            </w:r>
          </w:p>
        </w:tc>
        <w:tc>
          <w:tcPr>
            <w:tcW w:w="1244" w:type="dxa"/>
            <w:hideMark/>
          </w:tcPr>
          <w:p w14:paraId="39ACA81D" w14:textId="77777777" w:rsidR="004E24F2" w:rsidRPr="00985332" w:rsidRDefault="004E24F2" w:rsidP="00985332">
            <w:pPr>
              <w:pStyle w:val="DHHStabletext"/>
            </w:pPr>
            <w:r w:rsidRPr="00985332">
              <w:t>1,310</w:t>
            </w:r>
          </w:p>
        </w:tc>
        <w:tc>
          <w:tcPr>
            <w:tcW w:w="1225" w:type="dxa"/>
            <w:hideMark/>
          </w:tcPr>
          <w:p w14:paraId="2FBA38CD" w14:textId="77777777" w:rsidR="004E24F2" w:rsidRPr="00985332" w:rsidRDefault="004E24F2" w:rsidP="00985332">
            <w:pPr>
              <w:pStyle w:val="DHHStabletext"/>
            </w:pPr>
            <w:r w:rsidRPr="00985332">
              <w:t>1,406</w:t>
            </w:r>
          </w:p>
        </w:tc>
      </w:tr>
      <w:tr w:rsidR="004E24F2" w14:paraId="23F447D8" w14:textId="77777777" w:rsidTr="003F7650">
        <w:trPr>
          <w:trHeight w:val="327"/>
        </w:trPr>
        <w:tc>
          <w:tcPr>
            <w:tcW w:w="2777" w:type="dxa"/>
            <w:vMerge/>
            <w:vAlign w:val="center"/>
            <w:hideMark/>
          </w:tcPr>
          <w:p w14:paraId="2DFE928C" w14:textId="77777777" w:rsidR="004E24F2" w:rsidRPr="00985332" w:rsidRDefault="004E24F2" w:rsidP="00985332">
            <w:pPr>
              <w:pStyle w:val="DHHStabletext"/>
              <w:rPr>
                <w:rFonts w:eastAsia="Trebuchet MS"/>
              </w:rPr>
            </w:pPr>
          </w:p>
        </w:tc>
        <w:tc>
          <w:tcPr>
            <w:tcW w:w="3441" w:type="dxa"/>
            <w:hideMark/>
          </w:tcPr>
          <w:p w14:paraId="1A48CB38" w14:textId="7CD53FC3" w:rsidR="004E24F2" w:rsidRPr="00985332" w:rsidRDefault="004E24F2" w:rsidP="00985332">
            <w:pPr>
              <w:pStyle w:val="DHHStabletext"/>
            </w:pPr>
            <w:r w:rsidRPr="00985332">
              <w:t>Non Admitted</w:t>
            </w:r>
            <w:r w:rsidR="00AE0126">
              <w:t xml:space="preserve"> – </w:t>
            </w:r>
            <w:r w:rsidRPr="00985332">
              <w:t>Residential</w:t>
            </w:r>
          </w:p>
        </w:tc>
        <w:tc>
          <w:tcPr>
            <w:tcW w:w="1244" w:type="dxa"/>
            <w:hideMark/>
          </w:tcPr>
          <w:p w14:paraId="75A8EC52" w14:textId="77777777" w:rsidR="004E24F2" w:rsidRPr="00985332" w:rsidRDefault="004E24F2" w:rsidP="00985332">
            <w:pPr>
              <w:pStyle w:val="DHHStabletext"/>
            </w:pPr>
            <w:r w:rsidRPr="00985332">
              <w:t>603</w:t>
            </w:r>
          </w:p>
        </w:tc>
        <w:tc>
          <w:tcPr>
            <w:tcW w:w="1244" w:type="dxa"/>
            <w:hideMark/>
          </w:tcPr>
          <w:p w14:paraId="6C7F02D8" w14:textId="77777777" w:rsidR="004E24F2" w:rsidRPr="00985332" w:rsidRDefault="004E24F2" w:rsidP="00985332">
            <w:pPr>
              <w:pStyle w:val="DHHStabletext"/>
            </w:pPr>
            <w:r w:rsidRPr="00985332">
              <w:t>525</w:t>
            </w:r>
          </w:p>
        </w:tc>
        <w:tc>
          <w:tcPr>
            <w:tcW w:w="1225" w:type="dxa"/>
            <w:hideMark/>
          </w:tcPr>
          <w:p w14:paraId="5F9CF873" w14:textId="77777777" w:rsidR="004E24F2" w:rsidRPr="00985332" w:rsidRDefault="004E24F2" w:rsidP="00985332">
            <w:pPr>
              <w:pStyle w:val="DHHStabletext"/>
            </w:pPr>
            <w:r w:rsidRPr="00985332">
              <w:t>525</w:t>
            </w:r>
          </w:p>
        </w:tc>
      </w:tr>
      <w:tr w:rsidR="004E24F2" w14:paraId="787CE2EF" w14:textId="77777777" w:rsidTr="003F7650">
        <w:trPr>
          <w:trHeight w:val="325"/>
        </w:trPr>
        <w:tc>
          <w:tcPr>
            <w:tcW w:w="2777" w:type="dxa"/>
            <w:vMerge/>
            <w:vAlign w:val="center"/>
            <w:hideMark/>
          </w:tcPr>
          <w:p w14:paraId="6D74EACE" w14:textId="77777777" w:rsidR="004E24F2" w:rsidRPr="00985332" w:rsidRDefault="004E24F2" w:rsidP="00985332">
            <w:pPr>
              <w:pStyle w:val="DHHStabletext"/>
              <w:rPr>
                <w:rFonts w:eastAsia="Trebuchet MS"/>
              </w:rPr>
            </w:pPr>
          </w:p>
        </w:tc>
        <w:tc>
          <w:tcPr>
            <w:tcW w:w="3441" w:type="dxa"/>
            <w:hideMark/>
          </w:tcPr>
          <w:p w14:paraId="3960C9A9" w14:textId="306B1394" w:rsidR="004E24F2" w:rsidRPr="00985332" w:rsidRDefault="004E24F2" w:rsidP="00985332">
            <w:pPr>
              <w:pStyle w:val="DHHStabletext"/>
            </w:pPr>
            <w:r w:rsidRPr="00985332">
              <w:t>Non Admitted</w:t>
            </w:r>
            <w:r w:rsidR="00AE0126">
              <w:t xml:space="preserve"> – </w:t>
            </w:r>
            <w:r w:rsidRPr="00985332">
              <w:t>Sub Acute (CCU)</w:t>
            </w:r>
          </w:p>
        </w:tc>
        <w:tc>
          <w:tcPr>
            <w:tcW w:w="1244" w:type="dxa"/>
            <w:hideMark/>
          </w:tcPr>
          <w:p w14:paraId="512536BB" w14:textId="77777777" w:rsidR="004E24F2" w:rsidRPr="00985332" w:rsidRDefault="004E24F2" w:rsidP="00985332">
            <w:pPr>
              <w:pStyle w:val="DHHStabletext"/>
            </w:pPr>
            <w:r w:rsidRPr="00985332">
              <w:t>358</w:t>
            </w:r>
          </w:p>
        </w:tc>
        <w:tc>
          <w:tcPr>
            <w:tcW w:w="1244" w:type="dxa"/>
            <w:hideMark/>
          </w:tcPr>
          <w:p w14:paraId="1BB171B6" w14:textId="77777777" w:rsidR="004E24F2" w:rsidRPr="00985332" w:rsidRDefault="004E24F2" w:rsidP="00985332">
            <w:pPr>
              <w:pStyle w:val="DHHStabletext"/>
            </w:pPr>
            <w:r w:rsidRPr="00985332">
              <w:t>358</w:t>
            </w:r>
          </w:p>
        </w:tc>
        <w:tc>
          <w:tcPr>
            <w:tcW w:w="1225" w:type="dxa"/>
            <w:hideMark/>
          </w:tcPr>
          <w:p w14:paraId="01641B6D" w14:textId="77777777" w:rsidR="004E24F2" w:rsidRPr="00985332" w:rsidRDefault="004E24F2" w:rsidP="00985332">
            <w:pPr>
              <w:pStyle w:val="DHHStabletext"/>
            </w:pPr>
            <w:r w:rsidRPr="00985332">
              <w:t>358</w:t>
            </w:r>
          </w:p>
        </w:tc>
      </w:tr>
      <w:tr w:rsidR="004E24F2" w14:paraId="7F95CEB0" w14:textId="77777777" w:rsidTr="003F7650">
        <w:trPr>
          <w:trHeight w:val="327"/>
        </w:trPr>
        <w:tc>
          <w:tcPr>
            <w:tcW w:w="2777" w:type="dxa"/>
            <w:vMerge/>
            <w:vAlign w:val="center"/>
            <w:hideMark/>
          </w:tcPr>
          <w:p w14:paraId="6A1AEFD2" w14:textId="77777777" w:rsidR="004E24F2" w:rsidRPr="00985332" w:rsidRDefault="004E24F2" w:rsidP="00985332">
            <w:pPr>
              <w:pStyle w:val="DHHStabletext"/>
              <w:rPr>
                <w:rFonts w:eastAsia="Trebuchet MS"/>
              </w:rPr>
            </w:pPr>
          </w:p>
        </w:tc>
        <w:tc>
          <w:tcPr>
            <w:tcW w:w="3441" w:type="dxa"/>
            <w:hideMark/>
          </w:tcPr>
          <w:p w14:paraId="266F408E" w14:textId="6368D6DF" w:rsidR="004E24F2" w:rsidRPr="00985332" w:rsidRDefault="004E24F2" w:rsidP="00985332">
            <w:pPr>
              <w:pStyle w:val="DHHStabletext"/>
            </w:pPr>
            <w:r w:rsidRPr="00985332">
              <w:t>Non Admitted</w:t>
            </w:r>
            <w:r w:rsidR="00AE0126">
              <w:t xml:space="preserve"> – </w:t>
            </w:r>
            <w:r w:rsidRPr="00985332">
              <w:t>Sub Acute (PARC)</w:t>
            </w:r>
          </w:p>
        </w:tc>
        <w:tc>
          <w:tcPr>
            <w:tcW w:w="1244" w:type="dxa"/>
            <w:hideMark/>
          </w:tcPr>
          <w:p w14:paraId="150C4554" w14:textId="77777777" w:rsidR="004E24F2" w:rsidRPr="00985332" w:rsidRDefault="004E24F2" w:rsidP="00985332">
            <w:pPr>
              <w:pStyle w:val="DHHStabletext"/>
            </w:pPr>
            <w:r w:rsidRPr="00985332">
              <w:t>230</w:t>
            </w:r>
          </w:p>
        </w:tc>
        <w:tc>
          <w:tcPr>
            <w:tcW w:w="1244" w:type="dxa"/>
            <w:hideMark/>
          </w:tcPr>
          <w:p w14:paraId="12CC74C5" w14:textId="77777777" w:rsidR="004E24F2" w:rsidRPr="00985332" w:rsidRDefault="004E24F2" w:rsidP="00985332">
            <w:pPr>
              <w:pStyle w:val="DHHStabletext"/>
            </w:pPr>
            <w:r w:rsidRPr="00985332">
              <w:t>230</w:t>
            </w:r>
          </w:p>
        </w:tc>
        <w:tc>
          <w:tcPr>
            <w:tcW w:w="1225" w:type="dxa"/>
            <w:hideMark/>
          </w:tcPr>
          <w:p w14:paraId="48A86775" w14:textId="77777777" w:rsidR="004E24F2" w:rsidRPr="00985332" w:rsidRDefault="004E24F2" w:rsidP="00985332">
            <w:pPr>
              <w:pStyle w:val="DHHStabletext"/>
            </w:pPr>
            <w:r w:rsidRPr="00985332">
              <w:t>230</w:t>
            </w:r>
          </w:p>
        </w:tc>
      </w:tr>
      <w:tr w:rsidR="004E24F2" w14:paraId="4E7BF87D" w14:textId="77777777" w:rsidTr="003F7650">
        <w:trPr>
          <w:trHeight w:val="330"/>
        </w:trPr>
        <w:tc>
          <w:tcPr>
            <w:tcW w:w="2777" w:type="dxa"/>
            <w:vMerge/>
            <w:vAlign w:val="center"/>
            <w:hideMark/>
          </w:tcPr>
          <w:p w14:paraId="31273850" w14:textId="77777777" w:rsidR="004E24F2" w:rsidRPr="00985332" w:rsidRDefault="004E24F2" w:rsidP="00985332">
            <w:pPr>
              <w:pStyle w:val="DHHStabletext"/>
              <w:rPr>
                <w:rFonts w:eastAsia="Trebuchet MS"/>
              </w:rPr>
            </w:pPr>
          </w:p>
        </w:tc>
        <w:tc>
          <w:tcPr>
            <w:tcW w:w="3441" w:type="dxa"/>
            <w:hideMark/>
          </w:tcPr>
          <w:p w14:paraId="48A83100" w14:textId="77777777" w:rsidR="004E24F2" w:rsidRPr="00985332" w:rsidRDefault="004E24F2" w:rsidP="00985332">
            <w:pPr>
              <w:pStyle w:val="DHHStabletext"/>
            </w:pPr>
            <w:r w:rsidRPr="00985332">
              <w:t>Non Admitted Total</w:t>
            </w:r>
          </w:p>
        </w:tc>
        <w:tc>
          <w:tcPr>
            <w:tcW w:w="1244" w:type="dxa"/>
            <w:hideMark/>
          </w:tcPr>
          <w:p w14:paraId="776CA1F7" w14:textId="77777777" w:rsidR="004E24F2" w:rsidRPr="00985332" w:rsidRDefault="004E24F2" w:rsidP="00985332">
            <w:pPr>
              <w:pStyle w:val="DHHStabletext"/>
            </w:pPr>
            <w:r w:rsidRPr="00985332">
              <w:t>1,191</w:t>
            </w:r>
          </w:p>
        </w:tc>
        <w:tc>
          <w:tcPr>
            <w:tcW w:w="1244" w:type="dxa"/>
            <w:hideMark/>
          </w:tcPr>
          <w:p w14:paraId="1D8E8030" w14:textId="77777777" w:rsidR="004E24F2" w:rsidRPr="00985332" w:rsidRDefault="004E24F2" w:rsidP="00985332">
            <w:pPr>
              <w:pStyle w:val="DHHStabletext"/>
            </w:pPr>
            <w:r w:rsidRPr="00985332">
              <w:t>1,113</w:t>
            </w:r>
          </w:p>
        </w:tc>
        <w:tc>
          <w:tcPr>
            <w:tcW w:w="1225" w:type="dxa"/>
            <w:hideMark/>
          </w:tcPr>
          <w:p w14:paraId="7ED863DC" w14:textId="77777777" w:rsidR="004E24F2" w:rsidRPr="00985332" w:rsidRDefault="004E24F2" w:rsidP="00985332">
            <w:pPr>
              <w:pStyle w:val="DHHStabletext"/>
            </w:pPr>
            <w:r w:rsidRPr="00985332">
              <w:t>1,113</w:t>
            </w:r>
          </w:p>
        </w:tc>
      </w:tr>
      <w:tr w:rsidR="004E24F2" w14:paraId="5CF935AD" w14:textId="77777777" w:rsidTr="003F7650">
        <w:trPr>
          <w:trHeight w:val="350"/>
        </w:trPr>
        <w:tc>
          <w:tcPr>
            <w:tcW w:w="2777" w:type="dxa"/>
            <w:vMerge/>
            <w:vAlign w:val="center"/>
            <w:hideMark/>
          </w:tcPr>
          <w:p w14:paraId="04F8C023" w14:textId="77777777" w:rsidR="004E24F2" w:rsidRPr="00985332" w:rsidRDefault="004E24F2" w:rsidP="00985332">
            <w:pPr>
              <w:pStyle w:val="DHHStabletext"/>
              <w:rPr>
                <w:rFonts w:eastAsia="Trebuchet MS"/>
              </w:rPr>
            </w:pPr>
          </w:p>
        </w:tc>
        <w:tc>
          <w:tcPr>
            <w:tcW w:w="3441" w:type="dxa"/>
            <w:shd w:val="clear" w:color="auto" w:fill="DCDDDE"/>
            <w:hideMark/>
          </w:tcPr>
          <w:p w14:paraId="55EFA155" w14:textId="77777777" w:rsidR="004E24F2" w:rsidRPr="00985332" w:rsidRDefault="004E24F2" w:rsidP="00985332">
            <w:pPr>
              <w:pStyle w:val="DHHStabletext"/>
            </w:pPr>
            <w:r w:rsidRPr="00985332">
              <w:t>Total</w:t>
            </w:r>
          </w:p>
        </w:tc>
        <w:tc>
          <w:tcPr>
            <w:tcW w:w="1244" w:type="dxa"/>
            <w:shd w:val="clear" w:color="auto" w:fill="DCDDDE"/>
            <w:hideMark/>
          </w:tcPr>
          <w:p w14:paraId="650D1092" w14:textId="77777777" w:rsidR="004E24F2" w:rsidRPr="00985332" w:rsidRDefault="004E24F2" w:rsidP="00985332">
            <w:pPr>
              <w:pStyle w:val="DHHStabletext"/>
            </w:pPr>
            <w:r w:rsidRPr="00985332">
              <w:t>2,492</w:t>
            </w:r>
          </w:p>
        </w:tc>
        <w:tc>
          <w:tcPr>
            <w:tcW w:w="1244" w:type="dxa"/>
            <w:shd w:val="clear" w:color="auto" w:fill="DCDDDE"/>
            <w:hideMark/>
          </w:tcPr>
          <w:p w14:paraId="414190F3" w14:textId="77777777" w:rsidR="004E24F2" w:rsidRPr="00985332" w:rsidRDefault="004E24F2" w:rsidP="00985332">
            <w:pPr>
              <w:pStyle w:val="DHHStabletext"/>
            </w:pPr>
            <w:r w:rsidRPr="00985332">
              <w:t>2,423</w:t>
            </w:r>
          </w:p>
        </w:tc>
        <w:tc>
          <w:tcPr>
            <w:tcW w:w="1225" w:type="dxa"/>
            <w:shd w:val="clear" w:color="auto" w:fill="DCDDDE"/>
            <w:hideMark/>
          </w:tcPr>
          <w:p w14:paraId="0B6280F0" w14:textId="77777777" w:rsidR="004E24F2" w:rsidRPr="00985332" w:rsidRDefault="004E24F2" w:rsidP="00985332">
            <w:pPr>
              <w:pStyle w:val="DHHStabletext"/>
            </w:pPr>
            <w:r w:rsidRPr="00985332">
              <w:t>2,519</w:t>
            </w:r>
          </w:p>
        </w:tc>
      </w:tr>
      <w:tr w:rsidR="004E24F2" w14:paraId="020EA98E" w14:textId="77777777" w:rsidTr="003F7650">
        <w:trPr>
          <w:trHeight w:val="327"/>
        </w:trPr>
        <w:tc>
          <w:tcPr>
            <w:tcW w:w="2777" w:type="dxa"/>
            <w:vMerge w:val="restart"/>
            <w:hideMark/>
          </w:tcPr>
          <w:p w14:paraId="5F8D1A6B" w14:textId="77777777" w:rsidR="004E24F2" w:rsidRPr="00985332" w:rsidRDefault="004E24F2" w:rsidP="00985332">
            <w:pPr>
              <w:pStyle w:val="DHHStabletext"/>
            </w:pPr>
            <w:r w:rsidRPr="00985332">
              <w:t>Full-time equivalent staff by workforce type</w:t>
            </w:r>
          </w:p>
        </w:tc>
        <w:tc>
          <w:tcPr>
            <w:tcW w:w="3441" w:type="dxa"/>
            <w:hideMark/>
          </w:tcPr>
          <w:p w14:paraId="433B5C47" w14:textId="77777777" w:rsidR="004E24F2" w:rsidRPr="00985332" w:rsidRDefault="004E24F2" w:rsidP="00985332">
            <w:pPr>
              <w:pStyle w:val="DHHStabletext"/>
            </w:pPr>
            <w:r w:rsidRPr="00985332">
              <w:t>Administrative and clerical staff</w:t>
            </w:r>
          </w:p>
        </w:tc>
        <w:tc>
          <w:tcPr>
            <w:tcW w:w="1244" w:type="dxa"/>
            <w:hideMark/>
          </w:tcPr>
          <w:p w14:paraId="574FEEBA" w14:textId="77777777" w:rsidR="004E24F2" w:rsidRPr="00985332" w:rsidRDefault="004E24F2" w:rsidP="00985332">
            <w:pPr>
              <w:pStyle w:val="DHHStabletext"/>
            </w:pPr>
            <w:r w:rsidRPr="00985332">
              <w:t>546</w:t>
            </w:r>
          </w:p>
        </w:tc>
        <w:tc>
          <w:tcPr>
            <w:tcW w:w="1244" w:type="dxa"/>
            <w:hideMark/>
          </w:tcPr>
          <w:p w14:paraId="308634BB" w14:textId="77777777" w:rsidR="004E24F2" w:rsidRPr="00985332" w:rsidRDefault="004E24F2" w:rsidP="00985332">
            <w:pPr>
              <w:pStyle w:val="DHHStabletext"/>
            </w:pPr>
            <w:r w:rsidRPr="00985332">
              <w:t>566</w:t>
            </w:r>
          </w:p>
        </w:tc>
        <w:tc>
          <w:tcPr>
            <w:tcW w:w="1225" w:type="dxa"/>
            <w:hideMark/>
          </w:tcPr>
          <w:p w14:paraId="27A1B7A3" w14:textId="77777777" w:rsidR="004E24F2" w:rsidRPr="00985332" w:rsidRDefault="004E24F2" w:rsidP="00985332">
            <w:pPr>
              <w:pStyle w:val="DHHStabletext"/>
            </w:pPr>
            <w:r w:rsidRPr="00985332">
              <w:t>n/a</w:t>
            </w:r>
          </w:p>
        </w:tc>
      </w:tr>
      <w:tr w:rsidR="004E24F2" w14:paraId="16D9814D" w14:textId="77777777" w:rsidTr="003F7650">
        <w:trPr>
          <w:trHeight w:val="563"/>
        </w:trPr>
        <w:tc>
          <w:tcPr>
            <w:tcW w:w="2777" w:type="dxa"/>
            <w:vMerge/>
            <w:vAlign w:val="center"/>
            <w:hideMark/>
          </w:tcPr>
          <w:p w14:paraId="078B6F0D" w14:textId="77777777" w:rsidR="004E24F2" w:rsidRPr="00985332" w:rsidRDefault="004E24F2" w:rsidP="00985332">
            <w:pPr>
              <w:pStyle w:val="DHHStabletext"/>
              <w:rPr>
                <w:rFonts w:eastAsia="Trebuchet MS"/>
              </w:rPr>
            </w:pPr>
          </w:p>
        </w:tc>
        <w:tc>
          <w:tcPr>
            <w:tcW w:w="3441" w:type="dxa"/>
            <w:hideMark/>
          </w:tcPr>
          <w:p w14:paraId="0B2FFDA0" w14:textId="77777777" w:rsidR="004E24F2" w:rsidRPr="00985332" w:rsidRDefault="004E24F2" w:rsidP="00985332">
            <w:pPr>
              <w:pStyle w:val="DHHStabletext"/>
            </w:pPr>
            <w:r w:rsidRPr="00985332">
              <w:t>Allied health and diagnostic</w:t>
            </w:r>
          </w:p>
          <w:p w14:paraId="4B219A90" w14:textId="77777777" w:rsidR="004E24F2" w:rsidRPr="00985332" w:rsidRDefault="004E24F2" w:rsidP="00985332">
            <w:pPr>
              <w:pStyle w:val="DHHStabletext"/>
            </w:pPr>
            <w:r w:rsidRPr="00985332">
              <w:t>professionals</w:t>
            </w:r>
          </w:p>
        </w:tc>
        <w:tc>
          <w:tcPr>
            <w:tcW w:w="1244" w:type="dxa"/>
            <w:hideMark/>
          </w:tcPr>
          <w:p w14:paraId="633360C7" w14:textId="77777777" w:rsidR="004E24F2" w:rsidRPr="00985332" w:rsidRDefault="004E24F2" w:rsidP="00985332">
            <w:pPr>
              <w:pStyle w:val="DHHStabletext"/>
            </w:pPr>
            <w:r w:rsidRPr="00985332">
              <w:t>1,404</w:t>
            </w:r>
          </w:p>
        </w:tc>
        <w:tc>
          <w:tcPr>
            <w:tcW w:w="1244" w:type="dxa"/>
            <w:hideMark/>
          </w:tcPr>
          <w:p w14:paraId="45149CC4" w14:textId="77777777" w:rsidR="004E24F2" w:rsidRPr="00985332" w:rsidRDefault="004E24F2" w:rsidP="00985332">
            <w:pPr>
              <w:pStyle w:val="DHHStabletext"/>
            </w:pPr>
            <w:r w:rsidRPr="00985332">
              <w:t>1,420</w:t>
            </w:r>
          </w:p>
        </w:tc>
        <w:tc>
          <w:tcPr>
            <w:tcW w:w="1225" w:type="dxa"/>
            <w:hideMark/>
          </w:tcPr>
          <w:p w14:paraId="42CEE950" w14:textId="77777777" w:rsidR="004E24F2" w:rsidRPr="00985332" w:rsidRDefault="004E24F2" w:rsidP="00985332">
            <w:pPr>
              <w:pStyle w:val="DHHStabletext"/>
            </w:pPr>
            <w:r w:rsidRPr="00985332">
              <w:t>n/a</w:t>
            </w:r>
          </w:p>
        </w:tc>
      </w:tr>
      <w:tr w:rsidR="004E24F2" w14:paraId="2C94DCED" w14:textId="77777777" w:rsidTr="003F7650">
        <w:trPr>
          <w:trHeight w:val="325"/>
        </w:trPr>
        <w:tc>
          <w:tcPr>
            <w:tcW w:w="2777" w:type="dxa"/>
            <w:vMerge/>
            <w:vAlign w:val="center"/>
            <w:hideMark/>
          </w:tcPr>
          <w:p w14:paraId="31421548" w14:textId="77777777" w:rsidR="004E24F2" w:rsidRPr="00985332" w:rsidRDefault="004E24F2" w:rsidP="00985332">
            <w:pPr>
              <w:pStyle w:val="DHHStabletext"/>
              <w:rPr>
                <w:rFonts w:eastAsia="Trebuchet MS"/>
              </w:rPr>
            </w:pPr>
          </w:p>
        </w:tc>
        <w:tc>
          <w:tcPr>
            <w:tcW w:w="3441" w:type="dxa"/>
            <w:hideMark/>
          </w:tcPr>
          <w:p w14:paraId="4F37285F" w14:textId="77777777" w:rsidR="004E24F2" w:rsidRPr="00985332" w:rsidRDefault="004E24F2" w:rsidP="00985332">
            <w:pPr>
              <w:pStyle w:val="DHHStabletext"/>
            </w:pPr>
            <w:r w:rsidRPr="00985332">
              <w:t>Carer workers</w:t>
            </w:r>
          </w:p>
        </w:tc>
        <w:tc>
          <w:tcPr>
            <w:tcW w:w="1244" w:type="dxa"/>
            <w:hideMark/>
          </w:tcPr>
          <w:p w14:paraId="1214ADB7" w14:textId="77777777" w:rsidR="004E24F2" w:rsidRPr="00985332" w:rsidRDefault="004E24F2" w:rsidP="00985332">
            <w:pPr>
              <w:pStyle w:val="DHHStabletext"/>
            </w:pPr>
            <w:r w:rsidRPr="00985332">
              <w:t>19</w:t>
            </w:r>
          </w:p>
        </w:tc>
        <w:tc>
          <w:tcPr>
            <w:tcW w:w="1244" w:type="dxa"/>
            <w:hideMark/>
          </w:tcPr>
          <w:p w14:paraId="3E58F9DB" w14:textId="77777777" w:rsidR="004E24F2" w:rsidRPr="00985332" w:rsidRDefault="004E24F2" w:rsidP="00985332">
            <w:pPr>
              <w:pStyle w:val="DHHStabletext"/>
            </w:pPr>
            <w:r w:rsidRPr="00985332">
              <w:t>17</w:t>
            </w:r>
          </w:p>
        </w:tc>
        <w:tc>
          <w:tcPr>
            <w:tcW w:w="1225" w:type="dxa"/>
            <w:hideMark/>
          </w:tcPr>
          <w:p w14:paraId="76761F1F" w14:textId="77777777" w:rsidR="004E24F2" w:rsidRPr="00985332" w:rsidRDefault="004E24F2" w:rsidP="00985332">
            <w:pPr>
              <w:pStyle w:val="DHHStabletext"/>
            </w:pPr>
            <w:r w:rsidRPr="00985332">
              <w:t>n/a</w:t>
            </w:r>
          </w:p>
        </w:tc>
      </w:tr>
      <w:tr w:rsidR="004E24F2" w14:paraId="5AFC16FC" w14:textId="77777777" w:rsidTr="003F7650">
        <w:trPr>
          <w:trHeight w:val="325"/>
        </w:trPr>
        <w:tc>
          <w:tcPr>
            <w:tcW w:w="2777" w:type="dxa"/>
            <w:vMerge/>
            <w:vAlign w:val="center"/>
            <w:hideMark/>
          </w:tcPr>
          <w:p w14:paraId="65EC42E4" w14:textId="77777777" w:rsidR="004E24F2" w:rsidRPr="00985332" w:rsidRDefault="004E24F2" w:rsidP="00985332">
            <w:pPr>
              <w:pStyle w:val="DHHStabletext"/>
              <w:rPr>
                <w:rFonts w:eastAsia="Trebuchet MS"/>
              </w:rPr>
            </w:pPr>
          </w:p>
        </w:tc>
        <w:tc>
          <w:tcPr>
            <w:tcW w:w="3441" w:type="dxa"/>
            <w:hideMark/>
          </w:tcPr>
          <w:p w14:paraId="33CF1A04" w14:textId="77777777" w:rsidR="004E24F2" w:rsidRPr="00985332" w:rsidRDefault="004E24F2" w:rsidP="00985332">
            <w:pPr>
              <w:pStyle w:val="DHHStabletext"/>
            </w:pPr>
            <w:r w:rsidRPr="00985332">
              <w:t>Consumer workers</w:t>
            </w:r>
          </w:p>
        </w:tc>
        <w:tc>
          <w:tcPr>
            <w:tcW w:w="1244" w:type="dxa"/>
            <w:hideMark/>
          </w:tcPr>
          <w:p w14:paraId="2B25E897" w14:textId="77777777" w:rsidR="004E24F2" w:rsidRPr="00985332" w:rsidRDefault="004E24F2" w:rsidP="00985332">
            <w:pPr>
              <w:pStyle w:val="DHHStabletext"/>
            </w:pPr>
            <w:r w:rsidRPr="00985332">
              <w:t>19</w:t>
            </w:r>
          </w:p>
        </w:tc>
        <w:tc>
          <w:tcPr>
            <w:tcW w:w="1244" w:type="dxa"/>
            <w:hideMark/>
          </w:tcPr>
          <w:p w14:paraId="6858BA3A" w14:textId="77777777" w:rsidR="004E24F2" w:rsidRPr="00985332" w:rsidRDefault="004E24F2" w:rsidP="00985332">
            <w:pPr>
              <w:pStyle w:val="DHHStabletext"/>
            </w:pPr>
            <w:r w:rsidRPr="00985332">
              <w:t>18</w:t>
            </w:r>
          </w:p>
        </w:tc>
        <w:tc>
          <w:tcPr>
            <w:tcW w:w="1225" w:type="dxa"/>
            <w:hideMark/>
          </w:tcPr>
          <w:p w14:paraId="2EED26F3" w14:textId="77777777" w:rsidR="004E24F2" w:rsidRPr="00985332" w:rsidRDefault="004E24F2" w:rsidP="00985332">
            <w:pPr>
              <w:pStyle w:val="DHHStabletext"/>
            </w:pPr>
            <w:r w:rsidRPr="00985332">
              <w:t>n/a</w:t>
            </w:r>
          </w:p>
        </w:tc>
      </w:tr>
      <w:tr w:rsidR="004E24F2" w14:paraId="5D4A611B" w14:textId="77777777" w:rsidTr="003F7650">
        <w:trPr>
          <w:trHeight w:val="325"/>
        </w:trPr>
        <w:tc>
          <w:tcPr>
            <w:tcW w:w="2777" w:type="dxa"/>
            <w:vMerge/>
            <w:vAlign w:val="center"/>
            <w:hideMark/>
          </w:tcPr>
          <w:p w14:paraId="140AB22B" w14:textId="77777777" w:rsidR="004E24F2" w:rsidRPr="00985332" w:rsidRDefault="004E24F2" w:rsidP="00985332">
            <w:pPr>
              <w:pStyle w:val="DHHStabletext"/>
              <w:rPr>
                <w:rFonts w:eastAsia="Trebuchet MS"/>
              </w:rPr>
            </w:pPr>
          </w:p>
        </w:tc>
        <w:tc>
          <w:tcPr>
            <w:tcW w:w="3441" w:type="dxa"/>
            <w:hideMark/>
          </w:tcPr>
          <w:p w14:paraId="7961CF52" w14:textId="77777777" w:rsidR="004E24F2" w:rsidRPr="00985332" w:rsidRDefault="004E24F2" w:rsidP="00985332">
            <w:pPr>
              <w:pStyle w:val="DHHStabletext"/>
            </w:pPr>
            <w:r w:rsidRPr="00985332">
              <w:t>Domestic staff</w:t>
            </w:r>
          </w:p>
        </w:tc>
        <w:tc>
          <w:tcPr>
            <w:tcW w:w="1244" w:type="dxa"/>
            <w:hideMark/>
          </w:tcPr>
          <w:p w14:paraId="385B635E" w14:textId="77777777" w:rsidR="004E24F2" w:rsidRPr="00985332" w:rsidRDefault="004E24F2" w:rsidP="00985332">
            <w:pPr>
              <w:pStyle w:val="DHHStabletext"/>
            </w:pPr>
            <w:r w:rsidRPr="00985332">
              <w:t>152</w:t>
            </w:r>
          </w:p>
        </w:tc>
        <w:tc>
          <w:tcPr>
            <w:tcW w:w="1244" w:type="dxa"/>
            <w:hideMark/>
          </w:tcPr>
          <w:p w14:paraId="24FFDA40" w14:textId="77777777" w:rsidR="004E24F2" w:rsidRPr="00985332" w:rsidRDefault="004E24F2" w:rsidP="00985332">
            <w:pPr>
              <w:pStyle w:val="DHHStabletext"/>
            </w:pPr>
            <w:r w:rsidRPr="00985332">
              <w:t>153</w:t>
            </w:r>
          </w:p>
        </w:tc>
        <w:tc>
          <w:tcPr>
            <w:tcW w:w="1225" w:type="dxa"/>
            <w:hideMark/>
          </w:tcPr>
          <w:p w14:paraId="06649F92" w14:textId="77777777" w:rsidR="004E24F2" w:rsidRPr="00985332" w:rsidRDefault="004E24F2" w:rsidP="00985332">
            <w:pPr>
              <w:pStyle w:val="DHHStabletext"/>
            </w:pPr>
            <w:r w:rsidRPr="00985332">
              <w:t>n/a</w:t>
            </w:r>
          </w:p>
        </w:tc>
      </w:tr>
      <w:tr w:rsidR="004E24F2" w14:paraId="6124E7E8" w14:textId="77777777" w:rsidTr="003F7650">
        <w:trPr>
          <w:trHeight w:val="325"/>
        </w:trPr>
        <w:tc>
          <w:tcPr>
            <w:tcW w:w="2777" w:type="dxa"/>
            <w:vMerge/>
            <w:vAlign w:val="center"/>
            <w:hideMark/>
          </w:tcPr>
          <w:p w14:paraId="097C2413" w14:textId="77777777" w:rsidR="004E24F2" w:rsidRPr="00985332" w:rsidRDefault="004E24F2" w:rsidP="00985332">
            <w:pPr>
              <w:pStyle w:val="DHHStabletext"/>
              <w:rPr>
                <w:rFonts w:eastAsia="Trebuchet MS"/>
              </w:rPr>
            </w:pPr>
          </w:p>
        </w:tc>
        <w:tc>
          <w:tcPr>
            <w:tcW w:w="3441" w:type="dxa"/>
            <w:hideMark/>
          </w:tcPr>
          <w:p w14:paraId="7A80A984" w14:textId="77777777" w:rsidR="004E24F2" w:rsidRPr="00985332" w:rsidRDefault="004E24F2" w:rsidP="00985332">
            <w:pPr>
              <w:pStyle w:val="DHHStabletext"/>
            </w:pPr>
            <w:r w:rsidRPr="00985332">
              <w:t>Medical Ofﬁcers</w:t>
            </w:r>
          </w:p>
        </w:tc>
        <w:tc>
          <w:tcPr>
            <w:tcW w:w="1244" w:type="dxa"/>
            <w:hideMark/>
          </w:tcPr>
          <w:p w14:paraId="34F42B22" w14:textId="77777777" w:rsidR="004E24F2" w:rsidRPr="00985332" w:rsidRDefault="004E24F2" w:rsidP="00985332">
            <w:pPr>
              <w:pStyle w:val="DHHStabletext"/>
            </w:pPr>
            <w:r w:rsidRPr="00985332">
              <w:t>771</w:t>
            </w:r>
          </w:p>
        </w:tc>
        <w:tc>
          <w:tcPr>
            <w:tcW w:w="1244" w:type="dxa"/>
            <w:hideMark/>
          </w:tcPr>
          <w:p w14:paraId="16278CB3" w14:textId="77777777" w:rsidR="004E24F2" w:rsidRPr="00985332" w:rsidRDefault="004E24F2" w:rsidP="00985332">
            <w:pPr>
              <w:pStyle w:val="DHHStabletext"/>
            </w:pPr>
            <w:r w:rsidRPr="00985332">
              <w:t>812</w:t>
            </w:r>
          </w:p>
        </w:tc>
        <w:tc>
          <w:tcPr>
            <w:tcW w:w="1225" w:type="dxa"/>
            <w:hideMark/>
          </w:tcPr>
          <w:p w14:paraId="064D5E3C" w14:textId="77777777" w:rsidR="004E24F2" w:rsidRPr="00985332" w:rsidRDefault="004E24F2" w:rsidP="00985332">
            <w:pPr>
              <w:pStyle w:val="DHHStabletext"/>
            </w:pPr>
            <w:r w:rsidRPr="00985332">
              <w:t>n/a</w:t>
            </w:r>
          </w:p>
        </w:tc>
      </w:tr>
      <w:tr w:rsidR="004E24F2" w14:paraId="4F3E6427" w14:textId="77777777" w:rsidTr="003F7650">
        <w:trPr>
          <w:trHeight w:val="325"/>
        </w:trPr>
        <w:tc>
          <w:tcPr>
            <w:tcW w:w="2777" w:type="dxa"/>
            <w:vMerge/>
            <w:vAlign w:val="center"/>
            <w:hideMark/>
          </w:tcPr>
          <w:p w14:paraId="5FE18D64" w14:textId="77777777" w:rsidR="004E24F2" w:rsidRPr="00985332" w:rsidRDefault="004E24F2" w:rsidP="00985332">
            <w:pPr>
              <w:pStyle w:val="DHHStabletext"/>
              <w:rPr>
                <w:rFonts w:eastAsia="Trebuchet MS"/>
              </w:rPr>
            </w:pPr>
          </w:p>
        </w:tc>
        <w:tc>
          <w:tcPr>
            <w:tcW w:w="3441" w:type="dxa"/>
            <w:hideMark/>
          </w:tcPr>
          <w:p w14:paraId="6AFA148F" w14:textId="77777777" w:rsidR="004E24F2" w:rsidRPr="00985332" w:rsidRDefault="004E24F2" w:rsidP="00985332">
            <w:pPr>
              <w:pStyle w:val="DHHStabletext"/>
            </w:pPr>
            <w:r w:rsidRPr="00985332">
              <w:t>Nurses</w:t>
            </w:r>
          </w:p>
        </w:tc>
        <w:tc>
          <w:tcPr>
            <w:tcW w:w="1244" w:type="dxa"/>
            <w:hideMark/>
          </w:tcPr>
          <w:p w14:paraId="16F3ACFC" w14:textId="77777777" w:rsidR="004E24F2" w:rsidRPr="00985332" w:rsidRDefault="004E24F2" w:rsidP="00985332">
            <w:pPr>
              <w:pStyle w:val="DHHStabletext"/>
            </w:pPr>
            <w:r w:rsidRPr="00985332">
              <w:t>4,028</w:t>
            </w:r>
          </w:p>
        </w:tc>
        <w:tc>
          <w:tcPr>
            <w:tcW w:w="1244" w:type="dxa"/>
            <w:hideMark/>
          </w:tcPr>
          <w:p w14:paraId="1D3FFCEA" w14:textId="77777777" w:rsidR="004E24F2" w:rsidRPr="00985332" w:rsidRDefault="004E24F2" w:rsidP="00985332">
            <w:pPr>
              <w:pStyle w:val="DHHStabletext"/>
            </w:pPr>
            <w:r w:rsidRPr="00985332">
              <w:t>3,999</w:t>
            </w:r>
          </w:p>
        </w:tc>
        <w:tc>
          <w:tcPr>
            <w:tcW w:w="1225" w:type="dxa"/>
            <w:hideMark/>
          </w:tcPr>
          <w:p w14:paraId="3AD66DC8" w14:textId="77777777" w:rsidR="004E24F2" w:rsidRPr="00985332" w:rsidRDefault="004E24F2" w:rsidP="00985332">
            <w:pPr>
              <w:pStyle w:val="DHHStabletext"/>
            </w:pPr>
            <w:r w:rsidRPr="00985332">
              <w:t>n/a</w:t>
            </w:r>
          </w:p>
        </w:tc>
      </w:tr>
      <w:tr w:rsidR="004E24F2" w14:paraId="0F4F0876" w14:textId="77777777" w:rsidTr="003F7650">
        <w:trPr>
          <w:trHeight w:val="325"/>
        </w:trPr>
        <w:tc>
          <w:tcPr>
            <w:tcW w:w="2777" w:type="dxa"/>
            <w:vMerge/>
            <w:vAlign w:val="center"/>
            <w:hideMark/>
          </w:tcPr>
          <w:p w14:paraId="2795057C" w14:textId="77777777" w:rsidR="004E24F2" w:rsidRPr="00985332" w:rsidRDefault="004E24F2" w:rsidP="00985332">
            <w:pPr>
              <w:pStyle w:val="DHHStabletext"/>
              <w:rPr>
                <w:rFonts w:eastAsia="Trebuchet MS"/>
              </w:rPr>
            </w:pPr>
          </w:p>
        </w:tc>
        <w:tc>
          <w:tcPr>
            <w:tcW w:w="3441" w:type="dxa"/>
            <w:hideMark/>
          </w:tcPr>
          <w:p w14:paraId="1B002D4E" w14:textId="77777777" w:rsidR="004E24F2" w:rsidRPr="00985332" w:rsidRDefault="004E24F2" w:rsidP="00985332">
            <w:pPr>
              <w:pStyle w:val="DHHStabletext"/>
            </w:pPr>
            <w:r w:rsidRPr="00985332">
              <w:t>Other personal care staff</w:t>
            </w:r>
          </w:p>
        </w:tc>
        <w:tc>
          <w:tcPr>
            <w:tcW w:w="1244" w:type="dxa"/>
            <w:hideMark/>
          </w:tcPr>
          <w:p w14:paraId="70D6D935" w14:textId="77777777" w:rsidR="004E24F2" w:rsidRPr="00985332" w:rsidRDefault="004E24F2" w:rsidP="00985332">
            <w:pPr>
              <w:pStyle w:val="DHHStabletext"/>
            </w:pPr>
            <w:r w:rsidRPr="00985332">
              <w:t>214</w:t>
            </w:r>
          </w:p>
        </w:tc>
        <w:tc>
          <w:tcPr>
            <w:tcW w:w="1244" w:type="dxa"/>
            <w:hideMark/>
          </w:tcPr>
          <w:p w14:paraId="7D57B837" w14:textId="77777777" w:rsidR="004E24F2" w:rsidRPr="00985332" w:rsidRDefault="004E24F2" w:rsidP="00985332">
            <w:pPr>
              <w:pStyle w:val="DHHStabletext"/>
            </w:pPr>
            <w:r w:rsidRPr="00985332">
              <w:t>222</w:t>
            </w:r>
          </w:p>
        </w:tc>
        <w:tc>
          <w:tcPr>
            <w:tcW w:w="1225" w:type="dxa"/>
            <w:hideMark/>
          </w:tcPr>
          <w:p w14:paraId="294320D3" w14:textId="77777777" w:rsidR="004E24F2" w:rsidRPr="00985332" w:rsidRDefault="004E24F2" w:rsidP="00985332">
            <w:pPr>
              <w:pStyle w:val="DHHStabletext"/>
            </w:pPr>
            <w:r w:rsidRPr="00985332">
              <w:t>n/a</w:t>
            </w:r>
          </w:p>
        </w:tc>
      </w:tr>
    </w:tbl>
    <w:p w14:paraId="6604471E" w14:textId="77777777" w:rsidR="004E24F2" w:rsidRDefault="004E24F2" w:rsidP="004E24F2">
      <w:pPr>
        <w:rPr>
          <w:sz w:val="19"/>
        </w:rPr>
        <w:sectPr w:rsidR="004E24F2" w:rsidSect="004E24F2">
          <w:pgSz w:w="11910" w:h="16840"/>
          <w:pgMar w:top="1699" w:right="1310" w:bottom="1138" w:left="1310" w:header="1" w:footer="493" w:gutter="0"/>
          <w:cols w:space="720"/>
        </w:sectPr>
      </w:pPr>
    </w:p>
    <w:p w14:paraId="43EA1AAB" w14:textId="40B1A3F5" w:rsidR="004E24F2" w:rsidRPr="00985332" w:rsidRDefault="00985332" w:rsidP="00985332">
      <w:pPr>
        <w:pStyle w:val="DHHStablecaption"/>
      </w:pPr>
      <w:r w:rsidRPr="00985332">
        <w:lastRenderedPageBreak/>
        <w:t>People accessing mental health community support services</w:t>
      </w:r>
    </w:p>
    <w:p w14:paraId="070DF69B" w14:textId="77777777" w:rsidR="004E24F2" w:rsidRDefault="004E24F2" w:rsidP="004E24F2">
      <w:pPr>
        <w:pStyle w:val="BodyText"/>
        <w:spacing w:before="1"/>
        <w:rPr>
          <w:rFonts w:ascii="Times New Roman"/>
          <w:sz w:val="3"/>
        </w:rPr>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6236"/>
        <w:gridCol w:w="1244"/>
        <w:gridCol w:w="1244"/>
        <w:gridCol w:w="1198"/>
      </w:tblGrid>
      <w:tr w:rsidR="004E24F2" w14:paraId="1E752C77" w14:textId="77777777" w:rsidTr="003F7650">
        <w:trPr>
          <w:trHeight w:val="320"/>
          <w:tblHeader/>
        </w:trPr>
        <w:tc>
          <w:tcPr>
            <w:tcW w:w="6236" w:type="dxa"/>
            <w:shd w:val="clear" w:color="auto" w:fill="auto"/>
            <w:hideMark/>
          </w:tcPr>
          <w:p w14:paraId="3DBA3BAD" w14:textId="77777777" w:rsidR="004E24F2" w:rsidRPr="00985332" w:rsidRDefault="004E24F2" w:rsidP="00985332">
            <w:pPr>
              <w:pStyle w:val="DHHStablecolhead"/>
            </w:pPr>
            <w:r w:rsidRPr="00985332">
              <w:t>Clients</w:t>
            </w:r>
          </w:p>
        </w:tc>
        <w:tc>
          <w:tcPr>
            <w:tcW w:w="1244" w:type="dxa"/>
            <w:shd w:val="clear" w:color="auto" w:fill="auto"/>
            <w:hideMark/>
          </w:tcPr>
          <w:p w14:paraId="2C902B7F" w14:textId="77777777" w:rsidR="004E24F2" w:rsidRPr="00985332" w:rsidRDefault="004E24F2" w:rsidP="00985332">
            <w:pPr>
              <w:pStyle w:val="DHHStablecolhead"/>
            </w:pPr>
            <w:r w:rsidRPr="00985332">
              <w:t>2014–15</w:t>
            </w:r>
          </w:p>
        </w:tc>
        <w:tc>
          <w:tcPr>
            <w:tcW w:w="1244" w:type="dxa"/>
            <w:shd w:val="clear" w:color="auto" w:fill="auto"/>
            <w:hideMark/>
          </w:tcPr>
          <w:p w14:paraId="31E18433" w14:textId="77777777" w:rsidR="004E24F2" w:rsidRPr="00985332" w:rsidRDefault="004E24F2" w:rsidP="00985332">
            <w:pPr>
              <w:pStyle w:val="DHHStablecolhead"/>
            </w:pPr>
            <w:r w:rsidRPr="00985332">
              <w:t>2015–16</w:t>
            </w:r>
          </w:p>
        </w:tc>
        <w:tc>
          <w:tcPr>
            <w:tcW w:w="1198" w:type="dxa"/>
            <w:shd w:val="clear" w:color="auto" w:fill="auto"/>
            <w:hideMark/>
          </w:tcPr>
          <w:p w14:paraId="339962EF" w14:textId="77777777" w:rsidR="004E24F2" w:rsidRDefault="004E24F2" w:rsidP="00DF7F88">
            <w:pPr>
              <w:pStyle w:val="DHHStablecolhead"/>
              <w:rPr>
                <w:sz w:val="19"/>
              </w:rPr>
            </w:pPr>
            <w:r>
              <w:rPr>
                <w:sz w:val="19"/>
              </w:rPr>
              <w:t>2016–17</w:t>
            </w:r>
          </w:p>
        </w:tc>
      </w:tr>
      <w:tr w:rsidR="004E24F2" w14:paraId="2ADEF39C" w14:textId="77777777" w:rsidTr="003F7650">
        <w:trPr>
          <w:trHeight w:val="345"/>
        </w:trPr>
        <w:tc>
          <w:tcPr>
            <w:tcW w:w="6236" w:type="dxa"/>
            <w:hideMark/>
          </w:tcPr>
          <w:p w14:paraId="10378935" w14:textId="77777777" w:rsidR="004E24F2" w:rsidRPr="00985332" w:rsidRDefault="004E24F2" w:rsidP="00985332">
            <w:pPr>
              <w:pStyle w:val="DHHStabletext"/>
            </w:pPr>
            <w:r w:rsidRPr="00985332">
              <w:t>Total clients accessing mental health community support servicesˆ</w:t>
            </w:r>
          </w:p>
        </w:tc>
        <w:tc>
          <w:tcPr>
            <w:tcW w:w="1244" w:type="dxa"/>
            <w:hideMark/>
          </w:tcPr>
          <w:p w14:paraId="3D975DAB" w14:textId="77777777" w:rsidR="004E24F2" w:rsidRPr="00985332" w:rsidRDefault="004E24F2" w:rsidP="00985332">
            <w:pPr>
              <w:pStyle w:val="DHHStabletext"/>
            </w:pPr>
            <w:r w:rsidRPr="00985332">
              <w:t>11,918</w:t>
            </w:r>
          </w:p>
        </w:tc>
        <w:tc>
          <w:tcPr>
            <w:tcW w:w="1244" w:type="dxa"/>
            <w:hideMark/>
          </w:tcPr>
          <w:p w14:paraId="72F1316D" w14:textId="77777777" w:rsidR="004E24F2" w:rsidRPr="00985332" w:rsidRDefault="004E24F2" w:rsidP="00985332">
            <w:pPr>
              <w:pStyle w:val="DHHStabletext"/>
            </w:pPr>
            <w:r w:rsidRPr="00985332">
              <w:t>12,354</w:t>
            </w:r>
          </w:p>
        </w:tc>
        <w:tc>
          <w:tcPr>
            <w:tcW w:w="1198" w:type="dxa"/>
            <w:hideMark/>
          </w:tcPr>
          <w:p w14:paraId="2A02074E" w14:textId="77777777" w:rsidR="004E24F2" w:rsidRPr="00985332" w:rsidRDefault="004E24F2" w:rsidP="00985332">
            <w:pPr>
              <w:pStyle w:val="DHHStabletext"/>
            </w:pPr>
            <w:r w:rsidRPr="00985332">
              <w:t>11,337</w:t>
            </w:r>
          </w:p>
        </w:tc>
      </w:tr>
    </w:tbl>
    <w:p w14:paraId="595993BA" w14:textId="77777777" w:rsidR="008A08FD" w:rsidRDefault="008A08FD" w:rsidP="00985332">
      <w:pPr>
        <w:pStyle w:val="DHHSbody"/>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4E24F2" w14:paraId="14E16472" w14:textId="77777777" w:rsidTr="003F7650">
        <w:trPr>
          <w:trHeight w:val="448"/>
          <w:tblHeader/>
        </w:trPr>
        <w:tc>
          <w:tcPr>
            <w:tcW w:w="4677" w:type="dxa"/>
            <w:shd w:val="clear" w:color="auto" w:fill="auto"/>
            <w:hideMark/>
          </w:tcPr>
          <w:p w14:paraId="46346AF5" w14:textId="77777777" w:rsidR="004E24F2" w:rsidRDefault="004E24F2" w:rsidP="00DF7F88">
            <w:pPr>
              <w:pStyle w:val="DHHStablecolhead"/>
            </w:pPr>
            <w:r>
              <w:rPr>
                <w:w w:val="105"/>
              </w:rPr>
              <w:t>Client demographics</w:t>
            </w:r>
          </w:p>
        </w:tc>
        <w:tc>
          <w:tcPr>
            <w:tcW w:w="1559" w:type="dxa"/>
            <w:shd w:val="clear" w:color="auto" w:fill="auto"/>
          </w:tcPr>
          <w:p w14:paraId="63F81730" w14:textId="60105925" w:rsidR="004E24F2" w:rsidRPr="00AE0126" w:rsidRDefault="00AE0126" w:rsidP="00AE0126">
            <w:pPr>
              <w:pStyle w:val="DHHStablecolhead"/>
            </w:pPr>
            <w:r>
              <w:t>Cohort</w:t>
            </w:r>
          </w:p>
        </w:tc>
        <w:tc>
          <w:tcPr>
            <w:tcW w:w="1244" w:type="dxa"/>
            <w:shd w:val="clear" w:color="auto" w:fill="auto"/>
            <w:hideMark/>
          </w:tcPr>
          <w:p w14:paraId="3F9E72A4" w14:textId="77777777" w:rsidR="004E24F2" w:rsidRDefault="004E24F2" w:rsidP="00DF7F88">
            <w:pPr>
              <w:pStyle w:val="DHHStablecolhead"/>
              <w:rPr>
                <w:rFonts w:ascii="Trebuchet MS"/>
              </w:rPr>
            </w:pPr>
            <w:r>
              <w:t>2014–15</w:t>
            </w:r>
          </w:p>
        </w:tc>
        <w:tc>
          <w:tcPr>
            <w:tcW w:w="1244" w:type="dxa"/>
            <w:shd w:val="clear" w:color="auto" w:fill="auto"/>
            <w:hideMark/>
          </w:tcPr>
          <w:p w14:paraId="3CA0CE20" w14:textId="77777777" w:rsidR="004E24F2" w:rsidRDefault="004E24F2" w:rsidP="00DF7F88">
            <w:pPr>
              <w:pStyle w:val="DHHStablecolhead"/>
            </w:pPr>
            <w:r>
              <w:t>2015–16</w:t>
            </w:r>
          </w:p>
        </w:tc>
        <w:tc>
          <w:tcPr>
            <w:tcW w:w="1198" w:type="dxa"/>
            <w:shd w:val="clear" w:color="auto" w:fill="auto"/>
            <w:hideMark/>
          </w:tcPr>
          <w:p w14:paraId="00108595" w14:textId="77777777" w:rsidR="004E24F2" w:rsidRDefault="004E24F2" w:rsidP="00DF7F88">
            <w:pPr>
              <w:pStyle w:val="DHHStablecolhead"/>
            </w:pPr>
            <w:r>
              <w:t>2016–17</w:t>
            </w:r>
          </w:p>
        </w:tc>
      </w:tr>
      <w:tr w:rsidR="004E24F2" w14:paraId="285676BD" w14:textId="77777777" w:rsidTr="003F7650">
        <w:trPr>
          <w:trHeight w:val="335"/>
        </w:trPr>
        <w:tc>
          <w:tcPr>
            <w:tcW w:w="4677" w:type="dxa"/>
            <w:vMerge w:val="restart"/>
            <w:hideMark/>
          </w:tcPr>
          <w:p w14:paraId="25D72F8D" w14:textId="77777777" w:rsidR="004E24F2" w:rsidRPr="008A08FD" w:rsidRDefault="004E24F2" w:rsidP="008A08FD">
            <w:pPr>
              <w:pStyle w:val="DHHStabletext"/>
            </w:pPr>
            <w:r w:rsidRPr="008A08FD">
              <w:t>Gender (%)</w:t>
            </w:r>
          </w:p>
        </w:tc>
        <w:tc>
          <w:tcPr>
            <w:tcW w:w="1559" w:type="dxa"/>
            <w:hideMark/>
          </w:tcPr>
          <w:p w14:paraId="4B47F5F4" w14:textId="77777777" w:rsidR="004E24F2" w:rsidRPr="008A08FD" w:rsidRDefault="004E24F2" w:rsidP="008A08FD">
            <w:pPr>
              <w:pStyle w:val="DHHStabletext"/>
            </w:pPr>
            <w:r w:rsidRPr="008A08FD">
              <w:t>Female</w:t>
            </w:r>
          </w:p>
        </w:tc>
        <w:tc>
          <w:tcPr>
            <w:tcW w:w="1244" w:type="dxa"/>
            <w:hideMark/>
          </w:tcPr>
          <w:p w14:paraId="22B36F14" w14:textId="77777777" w:rsidR="004E24F2" w:rsidRPr="008A08FD" w:rsidRDefault="004E24F2" w:rsidP="008A08FD">
            <w:pPr>
              <w:pStyle w:val="DHHStabletext"/>
            </w:pPr>
            <w:r w:rsidRPr="008A08FD">
              <w:t>52.9%</w:t>
            </w:r>
          </w:p>
        </w:tc>
        <w:tc>
          <w:tcPr>
            <w:tcW w:w="1244" w:type="dxa"/>
            <w:hideMark/>
          </w:tcPr>
          <w:p w14:paraId="58B91926" w14:textId="77777777" w:rsidR="004E24F2" w:rsidRPr="008A08FD" w:rsidRDefault="004E24F2" w:rsidP="008A08FD">
            <w:pPr>
              <w:pStyle w:val="DHHStabletext"/>
            </w:pPr>
            <w:r w:rsidRPr="008A08FD">
              <w:t>55.4%</w:t>
            </w:r>
          </w:p>
        </w:tc>
        <w:tc>
          <w:tcPr>
            <w:tcW w:w="1198" w:type="dxa"/>
            <w:hideMark/>
          </w:tcPr>
          <w:p w14:paraId="50069A33" w14:textId="77777777" w:rsidR="004E24F2" w:rsidRPr="008A08FD" w:rsidRDefault="004E24F2" w:rsidP="008A08FD">
            <w:pPr>
              <w:pStyle w:val="DHHStabletext"/>
            </w:pPr>
            <w:r w:rsidRPr="008A08FD">
              <w:t>56.0%</w:t>
            </w:r>
          </w:p>
        </w:tc>
      </w:tr>
      <w:tr w:rsidR="004E24F2" w14:paraId="7E4A2E8D" w14:textId="77777777" w:rsidTr="003F7650">
        <w:trPr>
          <w:trHeight w:val="330"/>
        </w:trPr>
        <w:tc>
          <w:tcPr>
            <w:tcW w:w="4677" w:type="dxa"/>
            <w:vMerge/>
            <w:vAlign w:val="center"/>
            <w:hideMark/>
          </w:tcPr>
          <w:p w14:paraId="1815ECD5" w14:textId="77777777" w:rsidR="004E24F2" w:rsidRPr="008A08FD" w:rsidRDefault="004E24F2" w:rsidP="008A08FD">
            <w:pPr>
              <w:pStyle w:val="DHHStabletext"/>
              <w:rPr>
                <w:rFonts w:eastAsia="Trebuchet MS"/>
              </w:rPr>
            </w:pPr>
          </w:p>
        </w:tc>
        <w:tc>
          <w:tcPr>
            <w:tcW w:w="1559" w:type="dxa"/>
            <w:hideMark/>
          </w:tcPr>
          <w:p w14:paraId="1C2B5563" w14:textId="77777777" w:rsidR="004E24F2" w:rsidRPr="008A08FD" w:rsidRDefault="004E24F2" w:rsidP="008A08FD">
            <w:pPr>
              <w:pStyle w:val="DHHStabletext"/>
            </w:pPr>
            <w:r w:rsidRPr="008A08FD">
              <w:t>Male</w:t>
            </w:r>
          </w:p>
        </w:tc>
        <w:tc>
          <w:tcPr>
            <w:tcW w:w="1244" w:type="dxa"/>
            <w:hideMark/>
          </w:tcPr>
          <w:p w14:paraId="45777EAC" w14:textId="77777777" w:rsidR="004E24F2" w:rsidRPr="008A08FD" w:rsidRDefault="004E24F2" w:rsidP="008A08FD">
            <w:pPr>
              <w:pStyle w:val="DHHStabletext"/>
            </w:pPr>
            <w:r w:rsidRPr="008A08FD">
              <w:t>45.6%</w:t>
            </w:r>
          </w:p>
        </w:tc>
        <w:tc>
          <w:tcPr>
            <w:tcW w:w="1244" w:type="dxa"/>
            <w:hideMark/>
          </w:tcPr>
          <w:p w14:paraId="14435FCF" w14:textId="77777777" w:rsidR="004E24F2" w:rsidRPr="008A08FD" w:rsidRDefault="004E24F2" w:rsidP="008A08FD">
            <w:pPr>
              <w:pStyle w:val="DHHStabletext"/>
            </w:pPr>
            <w:r w:rsidRPr="008A08FD">
              <w:t>44.0%</w:t>
            </w:r>
          </w:p>
        </w:tc>
        <w:tc>
          <w:tcPr>
            <w:tcW w:w="1198" w:type="dxa"/>
            <w:hideMark/>
          </w:tcPr>
          <w:p w14:paraId="77BF3B13" w14:textId="77777777" w:rsidR="004E24F2" w:rsidRPr="008A08FD" w:rsidRDefault="004E24F2" w:rsidP="008A08FD">
            <w:pPr>
              <w:pStyle w:val="DHHStabletext"/>
            </w:pPr>
            <w:r w:rsidRPr="008A08FD">
              <w:t>43.4%</w:t>
            </w:r>
          </w:p>
        </w:tc>
      </w:tr>
      <w:tr w:rsidR="004E24F2" w14:paraId="7DC6C9FB" w14:textId="77777777" w:rsidTr="003F7650">
        <w:trPr>
          <w:trHeight w:val="538"/>
        </w:trPr>
        <w:tc>
          <w:tcPr>
            <w:tcW w:w="4677" w:type="dxa"/>
            <w:vMerge/>
            <w:vAlign w:val="center"/>
            <w:hideMark/>
          </w:tcPr>
          <w:p w14:paraId="7EE8D1BA" w14:textId="77777777" w:rsidR="004E24F2" w:rsidRPr="008A08FD" w:rsidRDefault="004E24F2" w:rsidP="008A08FD">
            <w:pPr>
              <w:pStyle w:val="DHHStabletext"/>
              <w:rPr>
                <w:rFonts w:eastAsia="Trebuchet MS"/>
              </w:rPr>
            </w:pPr>
          </w:p>
        </w:tc>
        <w:tc>
          <w:tcPr>
            <w:tcW w:w="1559" w:type="dxa"/>
            <w:hideMark/>
          </w:tcPr>
          <w:p w14:paraId="44C2CC2C" w14:textId="77777777" w:rsidR="004E24F2" w:rsidRPr="008A08FD" w:rsidRDefault="004E24F2" w:rsidP="008A08FD">
            <w:pPr>
              <w:pStyle w:val="DHHStabletext"/>
            </w:pPr>
            <w:r w:rsidRPr="008A08FD">
              <w:t>Other/ unknown</w:t>
            </w:r>
          </w:p>
        </w:tc>
        <w:tc>
          <w:tcPr>
            <w:tcW w:w="1244" w:type="dxa"/>
            <w:hideMark/>
          </w:tcPr>
          <w:p w14:paraId="001F9AB7" w14:textId="77777777" w:rsidR="004E24F2" w:rsidRPr="008A08FD" w:rsidRDefault="004E24F2" w:rsidP="008A08FD">
            <w:pPr>
              <w:pStyle w:val="DHHStabletext"/>
            </w:pPr>
            <w:r w:rsidRPr="008A08FD">
              <w:t>1.5%</w:t>
            </w:r>
          </w:p>
        </w:tc>
        <w:tc>
          <w:tcPr>
            <w:tcW w:w="1244" w:type="dxa"/>
            <w:hideMark/>
          </w:tcPr>
          <w:p w14:paraId="577F1314" w14:textId="77777777" w:rsidR="004E24F2" w:rsidRPr="008A08FD" w:rsidRDefault="004E24F2" w:rsidP="008A08FD">
            <w:pPr>
              <w:pStyle w:val="DHHStabletext"/>
            </w:pPr>
            <w:r w:rsidRPr="008A08FD">
              <w:t>0.6%</w:t>
            </w:r>
          </w:p>
        </w:tc>
        <w:tc>
          <w:tcPr>
            <w:tcW w:w="1198" w:type="dxa"/>
            <w:hideMark/>
          </w:tcPr>
          <w:p w14:paraId="410BD3BD" w14:textId="77777777" w:rsidR="004E24F2" w:rsidRPr="008A08FD" w:rsidRDefault="004E24F2" w:rsidP="008A08FD">
            <w:pPr>
              <w:pStyle w:val="DHHStabletext"/>
            </w:pPr>
            <w:r w:rsidRPr="008A08FD">
              <w:t>0.6%</w:t>
            </w:r>
          </w:p>
        </w:tc>
      </w:tr>
      <w:tr w:rsidR="004E24F2" w14:paraId="35780748" w14:textId="77777777" w:rsidTr="003F7650">
        <w:trPr>
          <w:trHeight w:val="330"/>
        </w:trPr>
        <w:tc>
          <w:tcPr>
            <w:tcW w:w="4677" w:type="dxa"/>
            <w:vMerge w:val="restart"/>
            <w:hideMark/>
          </w:tcPr>
          <w:p w14:paraId="4E3F9798" w14:textId="77777777" w:rsidR="004E24F2" w:rsidRPr="008A08FD" w:rsidRDefault="004E24F2" w:rsidP="008A08FD">
            <w:pPr>
              <w:pStyle w:val="DHHStabletext"/>
            </w:pPr>
            <w:r w:rsidRPr="008A08FD">
              <w:t>Age group (%)</w:t>
            </w:r>
          </w:p>
        </w:tc>
        <w:tc>
          <w:tcPr>
            <w:tcW w:w="1559" w:type="dxa"/>
            <w:hideMark/>
          </w:tcPr>
          <w:p w14:paraId="78A79455" w14:textId="77777777" w:rsidR="004E24F2" w:rsidRPr="008A08FD" w:rsidRDefault="004E24F2" w:rsidP="008A08FD">
            <w:pPr>
              <w:pStyle w:val="DHHStabletext"/>
            </w:pPr>
            <w:r w:rsidRPr="008A08FD">
              <w:t>0–4</w:t>
            </w:r>
          </w:p>
        </w:tc>
        <w:tc>
          <w:tcPr>
            <w:tcW w:w="1244" w:type="dxa"/>
            <w:hideMark/>
          </w:tcPr>
          <w:p w14:paraId="4FF27338" w14:textId="77777777" w:rsidR="004E24F2" w:rsidRPr="008A08FD" w:rsidRDefault="004E24F2" w:rsidP="008A08FD">
            <w:pPr>
              <w:pStyle w:val="DHHStabletext"/>
            </w:pPr>
            <w:r w:rsidRPr="008A08FD">
              <w:t>0.5%</w:t>
            </w:r>
          </w:p>
        </w:tc>
        <w:tc>
          <w:tcPr>
            <w:tcW w:w="1244" w:type="dxa"/>
            <w:hideMark/>
          </w:tcPr>
          <w:p w14:paraId="233B0C61" w14:textId="77777777" w:rsidR="004E24F2" w:rsidRPr="008A08FD" w:rsidRDefault="004E24F2" w:rsidP="008A08FD">
            <w:pPr>
              <w:pStyle w:val="DHHStabletext"/>
            </w:pPr>
            <w:r w:rsidRPr="008A08FD">
              <w:t>0.3%</w:t>
            </w:r>
          </w:p>
        </w:tc>
        <w:tc>
          <w:tcPr>
            <w:tcW w:w="1198" w:type="dxa"/>
            <w:hideMark/>
          </w:tcPr>
          <w:p w14:paraId="2B56A155" w14:textId="77777777" w:rsidR="004E24F2" w:rsidRPr="008A08FD" w:rsidRDefault="004E24F2" w:rsidP="008A08FD">
            <w:pPr>
              <w:pStyle w:val="DHHStabletext"/>
            </w:pPr>
            <w:r w:rsidRPr="008A08FD">
              <w:t>0.3%</w:t>
            </w:r>
          </w:p>
        </w:tc>
      </w:tr>
      <w:tr w:rsidR="004E24F2" w14:paraId="03B8BB73" w14:textId="77777777" w:rsidTr="003F7650">
        <w:trPr>
          <w:trHeight w:val="330"/>
        </w:trPr>
        <w:tc>
          <w:tcPr>
            <w:tcW w:w="4677" w:type="dxa"/>
            <w:vMerge/>
            <w:vAlign w:val="center"/>
            <w:hideMark/>
          </w:tcPr>
          <w:p w14:paraId="58BC20FC" w14:textId="77777777" w:rsidR="004E24F2" w:rsidRPr="008A08FD" w:rsidRDefault="004E24F2" w:rsidP="008A08FD">
            <w:pPr>
              <w:pStyle w:val="DHHStabletext"/>
              <w:rPr>
                <w:rFonts w:eastAsia="Trebuchet MS"/>
              </w:rPr>
            </w:pPr>
          </w:p>
        </w:tc>
        <w:tc>
          <w:tcPr>
            <w:tcW w:w="1559" w:type="dxa"/>
            <w:hideMark/>
          </w:tcPr>
          <w:p w14:paraId="444A367E" w14:textId="77777777" w:rsidR="004E24F2" w:rsidRPr="008A08FD" w:rsidRDefault="004E24F2" w:rsidP="008A08FD">
            <w:pPr>
              <w:pStyle w:val="DHHStabletext"/>
            </w:pPr>
            <w:r w:rsidRPr="008A08FD">
              <w:t>5–14</w:t>
            </w:r>
          </w:p>
        </w:tc>
        <w:tc>
          <w:tcPr>
            <w:tcW w:w="1244" w:type="dxa"/>
            <w:hideMark/>
          </w:tcPr>
          <w:p w14:paraId="6E195C88" w14:textId="77777777" w:rsidR="004E24F2" w:rsidRPr="008A08FD" w:rsidRDefault="004E24F2" w:rsidP="008A08FD">
            <w:pPr>
              <w:pStyle w:val="DHHStabletext"/>
            </w:pPr>
            <w:r w:rsidRPr="008A08FD">
              <w:t>1.1%</w:t>
            </w:r>
          </w:p>
        </w:tc>
        <w:tc>
          <w:tcPr>
            <w:tcW w:w="1244" w:type="dxa"/>
            <w:hideMark/>
          </w:tcPr>
          <w:p w14:paraId="5DFFC8A9" w14:textId="77777777" w:rsidR="004E24F2" w:rsidRPr="008A08FD" w:rsidRDefault="004E24F2" w:rsidP="008A08FD">
            <w:pPr>
              <w:pStyle w:val="DHHStabletext"/>
            </w:pPr>
            <w:r w:rsidRPr="008A08FD">
              <w:t>1.6%</w:t>
            </w:r>
          </w:p>
        </w:tc>
        <w:tc>
          <w:tcPr>
            <w:tcW w:w="1198" w:type="dxa"/>
            <w:hideMark/>
          </w:tcPr>
          <w:p w14:paraId="38C1F3F4" w14:textId="77777777" w:rsidR="004E24F2" w:rsidRPr="008A08FD" w:rsidRDefault="004E24F2" w:rsidP="008A08FD">
            <w:pPr>
              <w:pStyle w:val="DHHStabletext"/>
            </w:pPr>
            <w:r w:rsidRPr="008A08FD">
              <w:t>1.8%</w:t>
            </w:r>
          </w:p>
        </w:tc>
      </w:tr>
      <w:tr w:rsidR="004E24F2" w14:paraId="43BF21CD" w14:textId="77777777" w:rsidTr="003F7650">
        <w:trPr>
          <w:trHeight w:val="330"/>
        </w:trPr>
        <w:tc>
          <w:tcPr>
            <w:tcW w:w="4677" w:type="dxa"/>
            <w:vMerge/>
            <w:vAlign w:val="center"/>
            <w:hideMark/>
          </w:tcPr>
          <w:p w14:paraId="60FBDC27" w14:textId="77777777" w:rsidR="004E24F2" w:rsidRPr="008A08FD" w:rsidRDefault="004E24F2" w:rsidP="008A08FD">
            <w:pPr>
              <w:pStyle w:val="DHHStabletext"/>
              <w:rPr>
                <w:rFonts w:eastAsia="Trebuchet MS"/>
              </w:rPr>
            </w:pPr>
          </w:p>
        </w:tc>
        <w:tc>
          <w:tcPr>
            <w:tcW w:w="1559" w:type="dxa"/>
            <w:hideMark/>
          </w:tcPr>
          <w:p w14:paraId="3939B8E8" w14:textId="77777777" w:rsidR="004E24F2" w:rsidRPr="008A08FD" w:rsidRDefault="004E24F2" w:rsidP="008A08FD">
            <w:pPr>
              <w:pStyle w:val="DHHStabletext"/>
            </w:pPr>
            <w:r w:rsidRPr="008A08FD">
              <w:t>15–24</w:t>
            </w:r>
          </w:p>
        </w:tc>
        <w:tc>
          <w:tcPr>
            <w:tcW w:w="1244" w:type="dxa"/>
            <w:hideMark/>
          </w:tcPr>
          <w:p w14:paraId="767775F8" w14:textId="77777777" w:rsidR="004E24F2" w:rsidRPr="008A08FD" w:rsidRDefault="004E24F2" w:rsidP="008A08FD">
            <w:pPr>
              <w:pStyle w:val="DHHStabletext"/>
            </w:pPr>
            <w:r w:rsidRPr="008A08FD">
              <w:t>10.3%</w:t>
            </w:r>
          </w:p>
        </w:tc>
        <w:tc>
          <w:tcPr>
            <w:tcW w:w="1244" w:type="dxa"/>
            <w:hideMark/>
          </w:tcPr>
          <w:p w14:paraId="5FF59531" w14:textId="77777777" w:rsidR="004E24F2" w:rsidRPr="008A08FD" w:rsidRDefault="004E24F2" w:rsidP="008A08FD">
            <w:pPr>
              <w:pStyle w:val="DHHStabletext"/>
            </w:pPr>
            <w:r w:rsidRPr="008A08FD">
              <w:t>13.3%</w:t>
            </w:r>
          </w:p>
        </w:tc>
        <w:tc>
          <w:tcPr>
            <w:tcW w:w="1198" w:type="dxa"/>
            <w:hideMark/>
          </w:tcPr>
          <w:p w14:paraId="6B695A6E" w14:textId="77777777" w:rsidR="004E24F2" w:rsidRPr="008A08FD" w:rsidRDefault="004E24F2" w:rsidP="008A08FD">
            <w:pPr>
              <w:pStyle w:val="DHHStabletext"/>
            </w:pPr>
            <w:r w:rsidRPr="008A08FD">
              <w:t>13.0%</w:t>
            </w:r>
          </w:p>
        </w:tc>
      </w:tr>
      <w:tr w:rsidR="004E24F2" w14:paraId="4F3F56AD" w14:textId="77777777" w:rsidTr="003F7650">
        <w:trPr>
          <w:trHeight w:val="330"/>
        </w:trPr>
        <w:tc>
          <w:tcPr>
            <w:tcW w:w="4677" w:type="dxa"/>
            <w:vMerge/>
            <w:vAlign w:val="center"/>
            <w:hideMark/>
          </w:tcPr>
          <w:p w14:paraId="1680886C" w14:textId="77777777" w:rsidR="004E24F2" w:rsidRPr="008A08FD" w:rsidRDefault="004E24F2" w:rsidP="008A08FD">
            <w:pPr>
              <w:pStyle w:val="DHHStabletext"/>
              <w:rPr>
                <w:rFonts w:eastAsia="Trebuchet MS"/>
              </w:rPr>
            </w:pPr>
          </w:p>
        </w:tc>
        <w:tc>
          <w:tcPr>
            <w:tcW w:w="1559" w:type="dxa"/>
            <w:hideMark/>
          </w:tcPr>
          <w:p w14:paraId="5BFE4DA2" w14:textId="77777777" w:rsidR="004E24F2" w:rsidRPr="008A08FD" w:rsidRDefault="004E24F2" w:rsidP="008A08FD">
            <w:pPr>
              <w:pStyle w:val="DHHStabletext"/>
            </w:pPr>
            <w:r w:rsidRPr="008A08FD">
              <w:t>25–34</w:t>
            </w:r>
          </w:p>
        </w:tc>
        <w:tc>
          <w:tcPr>
            <w:tcW w:w="1244" w:type="dxa"/>
            <w:hideMark/>
          </w:tcPr>
          <w:p w14:paraId="45F514BF" w14:textId="77777777" w:rsidR="004E24F2" w:rsidRPr="008A08FD" w:rsidRDefault="004E24F2" w:rsidP="008A08FD">
            <w:pPr>
              <w:pStyle w:val="DHHStabletext"/>
            </w:pPr>
            <w:r w:rsidRPr="008A08FD">
              <w:t>18.5%</w:t>
            </w:r>
          </w:p>
        </w:tc>
        <w:tc>
          <w:tcPr>
            <w:tcW w:w="1244" w:type="dxa"/>
            <w:hideMark/>
          </w:tcPr>
          <w:p w14:paraId="6629B582" w14:textId="77777777" w:rsidR="004E24F2" w:rsidRPr="008A08FD" w:rsidRDefault="004E24F2" w:rsidP="008A08FD">
            <w:pPr>
              <w:pStyle w:val="DHHStabletext"/>
            </w:pPr>
            <w:r w:rsidRPr="008A08FD">
              <w:t>19.1%</w:t>
            </w:r>
          </w:p>
        </w:tc>
        <w:tc>
          <w:tcPr>
            <w:tcW w:w="1198" w:type="dxa"/>
            <w:hideMark/>
          </w:tcPr>
          <w:p w14:paraId="6925190F" w14:textId="77777777" w:rsidR="004E24F2" w:rsidRPr="008A08FD" w:rsidRDefault="004E24F2" w:rsidP="008A08FD">
            <w:pPr>
              <w:pStyle w:val="DHHStabletext"/>
            </w:pPr>
            <w:r w:rsidRPr="008A08FD">
              <w:t>19.1%</w:t>
            </w:r>
          </w:p>
        </w:tc>
      </w:tr>
      <w:tr w:rsidR="004E24F2" w14:paraId="67BD40B9" w14:textId="77777777" w:rsidTr="003F7650">
        <w:trPr>
          <w:trHeight w:val="327"/>
        </w:trPr>
        <w:tc>
          <w:tcPr>
            <w:tcW w:w="4677" w:type="dxa"/>
            <w:vMerge/>
            <w:vAlign w:val="center"/>
            <w:hideMark/>
          </w:tcPr>
          <w:p w14:paraId="4BECF8D9" w14:textId="77777777" w:rsidR="004E24F2" w:rsidRPr="008A08FD" w:rsidRDefault="004E24F2" w:rsidP="008A08FD">
            <w:pPr>
              <w:pStyle w:val="DHHStabletext"/>
              <w:rPr>
                <w:rFonts w:eastAsia="Trebuchet MS"/>
              </w:rPr>
            </w:pPr>
          </w:p>
        </w:tc>
        <w:tc>
          <w:tcPr>
            <w:tcW w:w="1559" w:type="dxa"/>
            <w:hideMark/>
          </w:tcPr>
          <w:p w14:paraId="5D137A0B" w14:textId="77777777" w:rsidR="004E24F2" w:rsidRPr="008A08FD" w:rsidRDefault="004E24F2" w:rsidP="008A08FD">
            <w:pPr>
              <w:pStyle w:val="DHHStabletext"/>
            </w:pPr>
            <w:r w:rsidRPr="008A08FD">
              <w:t>35–44</w:t>
            </w:r>
          </w:p>
        </w:tc>
        <w:tc>
          <w:tcPr>
            <w:tcW w:w="1244" w:type="dxa"/>
            <w:hideMark/>
          </w:tcPr>
          <w:p w14:paraId="4F3DD056" w14:textId="77777777" w:rsidR="004E24F2" w:rsidRPr="008A08FD" w:rsidRDefault="004E24F2" w:rsidP="008A08FD">
            <w:pPr>
              <w:pStyle w:val="DHHStabletext"/>
            </w:pPr>
            <w:r w:rsidRPr="008A08FD">
              <w:t>25.4%</w:t>
            </w:r>
          </w:p>
        </w:tc>
        <w:tc>
          <w:tcPr>
            <w:tcW w:w="1244" w:type="dxa"/>
            <w:hideMark/>
          </w:tcPr>
          <w:p w14:paraId="116E5301" w14:textId="77777777" w:rsidR="004E24F2" w:rsidRPr="008A08FD" w:rsidRDefault="004E24F2" w:rsidP="008A08FD">
            <w:pPr>
              <w:pStyle w:val="DHHStabletext"/>
            </w:pPr>
            <w:r w:rsidRPr="008A08FD">
              <w:t>24.1%</w:t>
            </w:r>
          </w:p>
        </w:tc>
        <w:tc>
          <w:tcPr>
            <w:tcW w:w="1198" w:type="dxa"/>
            <w:hideMark/>
          </w:tcPr>
          <w:p w14:paraId="50730615" w14:textId="77777777" w:rsidR="004E24F2" w:rsidRPr="008A08FD" w:rsidRDefault="004E24F2" w:rsidP="008A08FD">
            <w:pPr>
              <w:pStyle w:val="DHHStabletext"/>
            </w:pPr>
            <w:r w:rsidRPr="008A08FD">
              <w:t>23.1%</w:t>
            </w:r>
          </w:p>
        </w:tc>
      </w:tr>
      <w:tr w:rsidR="004E24F2" w14:paraId="3FB14A8D" w14:textId="77777777" w:rsidTr="003F7650">
        <w:trPr>
          <w:trHeight w:val="327"/>
        </w:trPr>
        <w:tc>
          <w:tcPr>
            <w:tcW w:w="4677" w:type="dxa"/>
            <w:vMerge/>
            <w:vAlign w:val="center"/>
            <w:hideMark/>
          </w:tcPr>
          <w:p w14:paraId="6268E507" w14:textId="77777777" w:rsidR="004E24F2" w:rsidRPr="008A08FD" w:rsidRDefault="004E24F2" w:rsidP="008A08FD">
            <w:pPr>
              <w:pStyle w:val="DHHStabletext"/>
              <w:rPr>
                <w:rFonts w:eastAsia="Trebuchet MS"/>
              </w:rPr>
            </w:pPr>
          </w:p>
        </w:tc>
        <w:tc>
          <w:tcPr>
            <w:tcW w:w="1559" w:type="dxa"/>
            <w:hideMark/>
          </w:tcPr>
          <w:p w14:paraId="6D2725FE" w14:textId="77777777" w:rsidR="004E24F2" w:rsidRPr="008A08FD" w:rsidRDefault="004E24F2" w:rsidP="008A08FD">
            <w:pPr>
              <w:pStyle w:val="DHHStabletext"/>
            </w:pPr>
            <w:r w:rsidRPr="008A08FD">
              <w:t>45–54</w:t>
            </w:r>
          </w:p>
        </w:tc>
        <w:tc>
          <w:tcPr>
            <w:tcW w:w="1244" w:type="dxa"/>
            <w:hideMark/>
          </w:tcPr>
          <w:p w14:paraId="11E9630F" w14:textId="77777777" w:rsidR="004E24F2" w:rsidRPr="008A08FD" w:rsidRDefault="004E24F2" w:rsidP="008A08FD">
            <w:pPr>
              <w:pStyle w:val="DHHStabletext"/>
            </w:pPr>
            <w:r w:rsidRPr="008A08FD">
              <w:t>24.4%</w:t>
            </w:r>
          </w:p>
        </w:tc>
        <w:tc>
          <w:tcPr>
            <w:tcW w:w="1244" w:type="dxa"/>
            <w:hideMark/>
          </w:tcPr>
          <w:p w14:paraId="4189EB93" w14:textId="77777777" w:rsidR="004E24F2" w:rsidRPr="008A08FD" w:rsidRDefault="004E24F2" w:rsidP="008A08FD">
            <w:pPr>
              <w:pStyle w:val="DHHStabletext"/>
            </w:pPr>
            <w:r w:rsidRPr="008A08FD">
              <w:t>23.0%</w:t>
            </w:r>
          </w:p>
        </w:tc>
        <w:tc>
          <w:tcPr>
            <w:tcW w:w="1198" w:type="dxa"/>
            <w:hideMark/>
          </w:tcPr>
          <w:p w14:paraId="631F37EC" w14:textId="77777777" w:rsidR="004E24F2" w:rsidRPr="008A08FD" w:rsidRDefault="004E24F2" w:rsidP="008A08FD">
            <w:pPr>
              <w:pStyle w:val="DHHStabletext"/>
            </w:pPr>
            <w:r w:rsidRPr="008A08FD">
              <w:t>23.6%</w:t>
            </w:r>
          </w:p>
        </w:tc>
      </w:tr>
      <w:tr w:rsidR="004E24F2" w14:paraId="21879A08" w14:textId="77777777" w:rsidTr="003F7650">
        <w:trPr>
          <w:trHeight w:val="330"/>
        </w:trPr>
        <w:tc>
          <w:tcPr>
            <w:tcW w:w="4677" w:type="dxa"/>
            <w:vMerge/>
            <w:vAlign w:val="center"/>
            <w:hideMark/>
          </w:tcPr>
          <w:p w14:paraId="0F85D9B1" w14:textId="77777777" w:rsidR="004E24F2" w:rsidRPr="008A08FD" w:rsidRDefault="004E24F2" w:rsidP="008A08FD">
            <w:pPr>
              <w:pStyle w:val="DHHStabletext"/>
              <w:rPr>
                <w:rFonts w:eastAsia="Trebuchet MS"/>
              </w:rPr>
            </w:pPr>
          </w:p>
        </w:tc>
        <w:tc>
          <w:tcPr>
            <w:tcW w:w="1559" w:type="dxa"/>
            <w:hideMark/>
          </w:tcPr>
          <w:p w14:paraId="1CFD264E" w14:textId="77777777" w:rsidR="004E24F2" w:rsidRPr="008A08FD" w:rsidRDefault="004E24F2" w:rsidP="008A08FD">
            <w:pPr>
              <w:pStyle w:val="DHHStabletext"/>
            </w:pPr>
            <w:r w:rsidRPr="008A08FD">
              <w:t>55–64</w:t>
            </w:r>
          </w:p>
        </w:tc>
        <w:tc>
          <w:tcPr>
            <w:tcW w:w="1244" w:type="dxa"/>
            <w:hideMark/>
          </w:tcPr>
          <w:p w14:paraId="36B3515B" w14:textId="77777777" w:rsidR="004E24F2" w:rsidRPr="008A08FD" w:rsidRDefault="004E24F2" w:rsidP="008A08FD">
            <w:pPr>
              <w:pStyle w:val="DHHStabletext"/>
            </w:pPr>
            <w:r w:rsidRPr="008A08FD">
              <w:t>14.6%</w:t>
            </w:r>
          </w:p>
        </w:tc>
        <w:tc>
          <w:tcPr>
            <w:tcW w:w="1244" w:type="dxa"/>
            <w:hideMark/>
          </w:tcPr>
          <w:p w14:paraId="1844F3CA" w14:textId="77777777" w:rsidR="004E24F2" w:rsidRPr="008A08FD" w:rsidRDefault="004E24F2" w:rsidP="008A08FD">
            <w:pPr>
              <w:pStyle w:val="DHHStabletext"/>
            </w:pPr>
            <w:r w:rsidRPr="008A08FD">
              <w:t>13.4%</w:t>
            </w:r>
          </w:p>
        </w:tc>
        <w:tc>
          <w:tcPr>
            <w:tcW w:w="1198" w:type="dxa"/>
            <w:hideMark/>
          </w:tcPr>
          <w:p w14:paraId="28495D28" w14:textId="77777777" w:rsidR="004E24F2" w:rsidRPr="008A08FD" w:rsidRDefault="004E24F2" w:rsidP="008A08FD">
            <w:pPr>
              <w:pStyle w:val="DHHStabletext"/>
            </w:pPr>
            <w:r w:rsidRPr="008A08FD">
              <w:t>14.5%</w:t>
            </w:r>
          </w:p>
        </w:tc>
      </w:tr>
      <w:tr w:rsidR="004E24F2" w14:paraId="11986B64" w14:textId="77777777" w:rsidTr="003F7650">
        <w:trPr>
          <w:trHeight w:val="330"/>
        </w:trPr>
        <w:tc>
          <w:tcPr>
            <w:tcW w:w="4677" w:type="dxa"/>
            <w:vMerge/>
            <w:vAlign w:val="center"/>
            <w:hideMark/>
          </w:tcPr>
          <w:p w14:paraId="6A2CD7DB" w14:textId="77777777" w:rsidR="004E24F2" w:rsidRPr="008A08FD" w:rsidRDefault="004E24F2" w:rsidP="008A08FD">
            <w:pPr>
              <w:pStyle w:val="DHHStabletext"/>
              <w:rPr>
                <w:rFonts w:eastAsia="Trebuchet MS"/>
              </w:rPr>
            </w:pPr>
          </w:p>
        </w:tc>
        <w:tc>
          <w:tcPr>
            <w:tcW w:w="1559" w:type="dxa"/>
            <w:hideMark/>
          </w:tcPr>
          <w:p w14:paraId="5561DA2D" w14:textId="77777777" w:rsidR="004E24F2" w:rsidRPr="008A08FD" w:rsidRDefault="004E24F2" w:rsidP="008A08FD">
            <w:pPr>
              <w:pStyle w:val="DHHStabletext"/>
            </w:pPr>
            <w:r w:rsidRPr="008A08FD">
              <w:t>65–74</w:t>
            </w:r>
          </w:p>
        </w:tc>
        <w:tc>
          <w:tcPr>
            <w:tcW w:w="1244" w:type="dxa"/>
            <w:hideMark/>
          </w:tcPr>
          <w:p w14:paraId="25FBE696" w14:textId="77777777" w:rsidR="004E24F2" w:rsidRPr="008A08FD" w:rsidRDefault="004E24F2" w:rsidP="008A08FD">
            <w:pPr>
              <w:pStyle w:val="DHHStabletext"/>
            </w:pPr>
            <w:r w:rsidRPr="008A08FD">
              <w:t>2.8%</w:t>
            </w:r>
          </w:p>
        </w:tc>
        <w:tc>
          <w:tcPr>
            <w:tcW w:w="1244" w:type="dxa"/>
            <w:hideMark/>
          </w:tcPr>
          <w:p w14:paraId="4BC9D418" w14:textId="77777777" w:rsidR="004E24F2" w:rsidRPr="008A08FD" w:rsidRDefault="004E24F2" w:rsidP="008A08FD">
            <w:pPr>
              <w:pStyle w:val="DHHStabletext"/>
            </w:pPr>
            <w:r w:rsidRPr="008A08FD">
              <w:t>1.8%</w:t>
            </w:r>
          </w:p>
        </w:tc>
        <w:tc>
          <w:tcPr>
            <w:tcW w:w="1198" w:type="dxa"/>
            <w:hideMark/>
          </w:tcPr>
          <w:p w14:paraId="18DA8120" w14:textId="77777777" w:rsidR="004E24F2" w:rsidRPr="008A08FD" w:rsidRDefault="004E24F2" w:rsidP="008A08FD">
            <w:pPr>
              <w:pStyle w:val="DHHStabletext"/>
            </w:pPr>
            <w:r w:rsidRPr="008A08FD">
              <w:t>2.0%</w:t>
            </w:r>
          </w:p>
        </w:tc>
      </w:tr>
      <w:tr w:rsidR="004E24F2" w14:paraId="5497262A" w14:textId="77777777" w:rsidTr="003F7650">
        <w:trPr>
          <w:trHeight w:val="330"/>
        </w:trPr>
        <w:tc>
          <w:tcPr>
            <w:tcW w:w="4677" w:type="dxa"/>
            <w:vMerge/>
            <w:vAlign w:val="center"/>
            <w:hideMark/>
          </w:tcPr>
          <w:p w14:paraId="1F5C88BD" w14:textId="77777777" w:rsidR="004E24F2" w:rsidRPr="008A08FD" w:rsidRDefault="004E24F2" w:rsidP="008A08FD">
            <w:pPr>
              <w:pStyle w:val="DHHStabletext"/>
              <w:rPr>
                <w:rFonts w:eastAsia="Trebuchet MS"/>
              </w:rPr>
            </w:pPr>
          </w:p>
        </w:tc>
        <w:tc>
          <w:tcPr>
            <w:tcW w:w="1559" w:type="dxa"/>
            <w:hideMark/>
          </w:tcPr>
          <w:p w14:paraId="3BF670FC" w14:textId="77777777" w:rsidR="004E24F2" w:rsidRPr="008A08FD" w:rsidRDefault="004E24F2" w:rsidP="008A08FD">
            <w:pPr>
              <w:pStyle w:val="DHHStabletext"/>
            </w:pPr>
            <w:r w:rsidRPr="008A08FD">
              <w:t>75–84</w:t>
            </w:r>
          </w:p>
        </w:tc>
        <w:tc>
          <w:tcPr>
            <w:tcW w:w="1244" w:type="dxa"/>
            <w:hideMark/>
          </w:tcPr>
          <w:p w14:paraId="78594178" w14:textId="77777777" w:rsidR="004E24F2" w:rsidRPr="008A08FD" w:rsidRDefault="004E24F2" w:rsidP="008A08FD">
            <w:pPr>
              <w:pStyle w:val="DHHStabletext"/>
            </w:pPr>
            <w:r w:rsidRPr="008A08FD">
              <w:t>0.5%</w:t>
            </w:r>
          </w:p>
        </w:tc>
        <w:tc>
          <w:tcPr>
            <w:tcW w:w="1244" w:type="dxa"/>
            <w:hideMark/>
          </w:tcPr>
          <w:p w14:paraId="13319534" w14:textId="77777777" w:rsidR="004E24F2" w:rsidRPr="008A08FD" w:rsidRDefault="004E24F2" w:rsidP="008A08FD">
            <w:pPr>
              <w:pStyle w:val="DHHStabletext"/>
            </w:pPr>
            <w:r w:rsidRPr="008A08FD">
              <w:t>0.3%</w:t>
            </w:r>
          </w:p>
        </w:tc>
        <w:tc>
          <w:tcPr>
            <w:tcW w:w="1198" w:type="dxa"/>
            <w:hideMark/>
          </w:tcPr>
          <w:p w14:paraId="7035A210" w14:textId="77777777" w:rsidR="004E24F2" w:rsidRPr="008A08FD" w:rsidRDefault="004E24F2" w:rsidP="008A08FD">
            <w:pPr>
              <w:pStyle w:val="DHHStabletext"/>
            </w:pPr>
            <w:r w:rsidRPr="008A08FD">
              <w:t>0.4%</w:t>
            </w:r>
          </w:p>
        </w:tc>
      </w:tr>
      <w:tr w:rsidR="004E24F2" w14:paraId="76851929" w14:textId="77777777" w:rsidTr="003F7650">
        <w:trPr>
          <w:trHeight w:val="327"/>
        </w:trPr>
        <w:tc>
          <w:tcPr>
            <w:tcW w:w="4677" w:type="dxa"/>
            <w:vMerge/>
            <w:vAlign w:val="center"/>
            <w:hideMark/>
          </w:tcPr>
          <w:p w14:paraId="459FF7E4" w14:textId="77777777" w:rsidR="004E24F2" w:rsidRPr="008A08FD" w:rsidRDefault="004E24F2" w:rsidP="008A08FD">
            <w:pPr>
              <w:pStyle w:val="DHHStabletext"/>
              <w:rPr>
                <w:rFonts w:eastAsia="Trebuchet MS"/>
              </w:rPr>
            </w:pPr>
          </w:p>
        </w:tc>
        <w:tc>
          <w:tcPr>
            <w:tcW w:w="1559" w:type="dxa"/>
            <w:hideMark/>
          </w:tcPr>
          <w:p w14:paraId="24F5CF7B" w14:textId="77777777" w:rsidR="004E24F2" w:rsidRPr="008A08FD" w:rsidRDefault="004E24F2" w:rsidP="008A08FD">
            <w:pPr>
              <w:pStyle w:val="DHHStabletext"/>
            </w:pPr>
            <w:r w:rsidRPr="008A08FD">
              <w:t>85–94</w:t>
            </w:r>
          </w:p>
        </w:tc>
        <w:tc>
          <w:tcPr>
            <w:tcW w:w="1244" w:type="dxa"/>
            <w:hideMark/>
          </w:tcPr>
          <w:p w14:paraId="05255982" w14:textId="77777777" w:rsidR="004E24F2" w:rsidRPr="008A08FD" w:rsidRDefault="004E24F2" w:rsidP="008A08FD">
            <w:pPr>
              <w:pStyle w:val="DHHStabletext"/>
            </w:pPr>
            <w:r w:rsidRPr="008A08FD">
              <w:t>0.1%</w:t>
            </w:r>
          </w:p>
        </w:tc>
        <w:tc>
          <w:tcPr>
            <w:tcW w:w="1244" w:type="dxa"/>
            <w:hideMark/>
          </w:tcPr>
          <w:p w14:paraId="04E79012" w14:textId="77777777" w:rsidR="004E24F2" w:rsidRPr="008A08FD" w:rsidRDefault="004E24F2" w:rsidP="008A08FD">
            <w:pPr>
              <w:pStyle w:val="DHHStabletext"/>
            </w:pPr>
            <w:r w:rsidRPr="008A08FD">
              <w:t>0.0%</w:t>
            </w:r>
          </w:p>
        </w:tc>
        <w:tc>
          <w:tcPr>
            <w:tcW w:w="1198" w:type="dxa"/>
            <w:hideMark/>
          </w:tcPr>
          <w:p w14:paraId="428EACB9" w14:textId="77777777" w:rsidR="004E24F2" w:rsidRPr="008A08FD" w:rsidRDefault="004E24F2" w:rsidP="008A08FD">
            <w:pPr>
              <w:pStyle w:val="DHHStabletext"/>
            </w:pPr>
            <w:r w:rsidRPr="008A08FD">
              <w:t>0.0%</w:t>
            </w:r>
          </w:p>
        </w:tc>
      </w:tr>
      <w:tr w:rsidR="004E24F2" w14:paraId="2E25BCD8" w14:textId="77777777" w:rsidTr="003F7650">
        <w:trPr>
          <w:trHeight w:val="327"/>
        </w:trPr>
        <w:tc>
          <w:tcPr>
            <w:tcW w:w="4677" w:type="dxa"/>
            <w:vMerge/>
            <w:vAlign w:val="center"/>
            <w:hideMark/>
          </w:tcPr>
          <w:p w14:paraId="6B231F92" w14:textId="77777777" w:rsidR="004E24F2" w:rsidRPr="008A08FD" w:rsidRDefault="004E24F2" w:rsidP="008A08FD">
            <w:pPr>
              <w:pStyle w:val="DHHStabletext"/>
              <w:rPr>
                <w:rFonts w:eastAsia="Trebuchet MS"/>
              </w:rPr>
            </w:pPr>
          </w:p>
        </w:tc>
        <w:tc>
          <w:tcPr>
            <w:tcW w:w="1559" w:type="dxa"/>
            <w:hideMark/>
          </w:tcPr>
          <w:p w14:paraId="3D7F109C" w14:textId="77777777" w:rsidR="004E24F2" w:rsidRPr="008A08FD" w:rsidRDefault="004E24F2" w:rsidP="008A08FD">
            <w:pPr>
              <w:pStyle w:val="DHHStabletext"/>
            </w:pPr>
            <w:r w:rsidRPr="008A08FD">
              <w:t>95+</w:t>
            </w:r>
          </w:p>
        </w:tc>
        <w:tc>
          <w:tcPr>
            <w:tcW w:w="1244" w:type="dxa"/>
            <w:hideMark/>
          </w:tcPr>
          <w:p w14:paraId="4EAD1227" w14:textId="77777777" w:rsidR="004E24F2" w:rsidRPr="008A08FD" w:rsidRDefault="004E24F2" w:rsidP="008A08FD">
            <w:pPr>
              <w:pStyle w:val="DHHStabletext"/>
            </w:pPr>
            <w:r w:rsidRPr="008A08FD">
              <w:t>0.9%</w:t>
            </w:r>
          </w:p>
        </w:tc>
        <w:tc>
          <w:tcPr>
            <w:tcW w:w="1244" w:type="dxa"/>
            <w:hideMark/>
          </w:tcPr>
          <w:p w14:paraId="609E4812" w14:textId="77777777" w:rsidR="004E24F2" w:rsidRPr="008A08FD" w:rsidRDefault="004E24F2" w:rsidP="008A08FD">
            <w:pPr>
              <w:pStyle w:val="DHHStabletext"/>
            </w:pPr>
            <w:r w:rsidRPr="008A08FD">
              <w:t>2.5%</w:t>
            </w:r>
          </w:p>
        </w:tc>
        <w:tc>
          <w:tcPr>
            <w:tcW w:w="1198" w:type="dxa"/>
            <w:hideMark/>
          </w:tcPr>
          <w:p w14:paraId="333FB594" w14:textId="77777777" w:rsidR="004E24F2" w:rsidRPr="008A08FD" w:rsidRDefault="004E24F2" w:rsidP="008A08FD">
            <w:pPr>
              <w:pStyle w:val="DHHStabletext"/>
            </w:pPr>
            <w:r w:rsidRPr="008A08FD">
              <w:t>1.8%</w:t>
            </w:r>
          </w:p>
        </w:tc>
      </w:tr>
      <w:tr w:rsidR="004E24F2" w14:paraId="214EB722" w14:textId="77777777" w:rsidTr="003F7650">
        <w:trPr>
          <w:trHeight w:val="330"/>
        </w:trPr>
        <w:tc>
          <w:tcPr>
            <w:tcW w:w="4677" w:type="dxa"/>
            <w:vMerge/>
            <w:vAlign w:val="center"/>
            <w:hideMark/>
          </w:tcPr>
          <w:p w14:paraId="78CA6848" w14:textId="77777777" w:rsidR="004E24F2" w:rsidRPr="008A08FD" w:rsidRDefault="004E24F2" w:rsidP="008A08FD">
            <w:pPr>
              <w:pStyle w:val="DHHStabletext"/>
              <w:rPr>
                <w:rFonts w:eastAsia="Trebuchet MS"/>
              </w:rPr>
            </w:pPr>
          </w:p>
        </w:tc>
        <w:tc>
          <w:tcPr>
            <w:tcW w:w="1559" w:type="dxa"/>
            <w:hideMark/>
          </w:tcPr>
          <w:p w14:paraId="080F8CBE" w14:textId="77777777" w:rsidR="004E24F2" w:rsidRPr="008A08FD" w:rsidRDefault="004E24F2" w:rsidP="008A08FD">
            <w:pPr>
              <w:pStyle w:val="DHHStabletext"/>
            </w:pPr>
            <w:r w:rsidRPr="008A08FD">
              <w:t>Unknown</w:t>
            </w:r>
          </w:p>
        </w:tc>
        <w:tc>
          <w:tcPr>
            <w:tcW w:w="1244" w:type="dxa"/>
            <w:hideMark/>
          </w:tcPr>
          <w:p w14:paraId="57970ECB" w14:textId="77777777" w:rsidR="004E24F2" w:rsidRPr="008A08FD" w:rsidRDefault="004E24F2" w:rsidP="008A08FD">
            <w:pPr>
              <w:pStyle w:val="DHHStabletext"/>
            </w:pPr>
            <w:r w:rsidRPr="008A08FD">
              <w:t>0.9%</w:t>
            </w:r>
          </w:p>
        </w:tc>
        <w:tc>
          <w:tcPr>
            <w:tcW w:w="1244" w:type="dxa"/>
            <w:hideMark/>
          </w:tcPr>
          <w:p w14:paraId="591F5D4F" w14:textId="77777777" w:rsidR="004E24F2" w:rsidRPr="008A08FD" w:rsidRDefault="004E24F2" w:rsidP="008A08FD">
            <w:pPr>
              <w:pStyle w:val="DHHStabletext"/>
            </w:pPr>
            <w:r w:rsidRPr="008A08FD">
              <w:t>0.6%</w:t>
            </w:r>
          </w:p>
        </w:tc>
        <w:tc>
          <w:tcPr>
            <w:tcW w:w="1198" w:type="dxa"/>
            <w:hideMark/>
          </w:tcPr>
          <w:p w14:paraId="234B7831" w14:textId="77777777" w:rsidR="004E24F2" w:rsidRPr="008A08FD" w:rsidRDefault="004E24F2" w:rsidP="008A08FD">
            <w:pPr>
              <w:pStyle w:val="DHHStabletext"/>
            </w:pPr>
            <w:r w:rsidRPr="008A08FD">
              <w:t>0.3%</w:t>
            </w:r>
          </w:p>
        </w:tc>
      </w:tr>
      <w:tr w:rsidR="004E24F2" w14:paraId="2188931D" w14:textId="77777777" w:rsidTr="003F7650">
        <w:trPr>
          <w:trHeight w:val="406"/>
        </w:trPr>
        <w:tc>
          <w:tcPr>
            <w:tcW w:w="4677" w:type="dxa"/>
            <w:hideMark/>
          </w:tcPr>
          <w:p w14:paraId="63D46A31" w14:textId="77777777" w:rsidR="004E24F2" w:rsidRPr="008A08FD" w:rsidRDefault="004E24F2" w:rsidP="008A08FD">
            <w:pPr>
              <w:pStyle w:val="DHHStabletext"/>
            </w:pPr>
            <w:r w:rsidRPr="008A08FD">
              <w:t>Aboriginal or Torres Strait Islander (%)</w:t>
            </w:r>
          </w:p>
        </w:tc>
        <w:tc>
          <w:tcPr>
            <w:tcW w:w="1559" w:type="dxa"/>
            <w:hideMark/>
          </w:tcPr>
          <w:p w14:paraId="66FAC7A5" w14:textId="77777777" w:rsidR="004E24F2" w:rsidRPr="008A08FD" w:rsidRDefault="004E24F2" w:rsidP="008A08FD">
            <w:pPr>
              <w:pStyle w:val="DHHStabletext"/>
            </w:pPr>
            <w:r w:rsidRPr="008A08FD">
              <w:t>Indigenous</w:t>
            </w:r>
          </w:p>
        </w:tc>
        <w:tc>
          <w:tcPr>
            <w:tcW w:w="1244" w:type="dxa"/>
            <w:hideMark/>
          </w:tcPr>
          <w:p w14:paraId="3DC9E9B8" w14:textId="77777777" w:rsidR="004E24F2" w:rsidRPr="008A08FD" w:rsidRDefault="004E24F2" w:rsidP="008A08FD">
            <w:pPr>
              <w:pStyle w:val="DHHStabletext"/>
            </w:pPr>
            <w:r w:rsidRPr="008A08FD">
              <w:t>4.7%</w:t>
            </w:r>
          </w:p>
        </w:tc>
        <w:tc>
          <w:tcPr>
            <w:tcW w:w="1244" w:type="dxa"/>
            <w:hideMark/>
          </w:tcPr>
          <w:p w14:paraId="06181D73" w14:textId="77777777" w:rsidR="004E24F2" w:rsidRPr="008A08FD" w:rsidRDefault="004E24F2" w:rsidP="008A08FD">
            <w:pPr>
              <w:pStyle w:val="DHHStabletext"/>
            </w:pPr>
            <w:r w:rsidRPr="008A08FD">
              <w:t>2.2%</w:t>
            </w:r>
          </w:p>
        </w:tc>
        <w:tc>
          <w:tcPr>
            <w:tcW w:w="1198" w:type="dxa"/>
            <w:hideMark/>
          </w:tcPr>
          <w:p w14:paraId="662E83F1" w14:textId="77777777" w:rsidR="004E24F2" w:rsidRPr="008A08FD" w:rsidRDefault="004E24F2" w:rsidP="008A08FD">
            <w:pPr>
              <w:pStyle w:val="DHHStabletext"/>
            </w:pPr>
            <w:r w:rsidRPr="008A08FD">
              <w:t>2.2%</w:t>
            </w:r>
          </w:p>
        </w:tc>
      </w:tr>
      <w:tr w:rsidR="004E24F2" w14:paraId="59E979D1" w14:textId="77777777" w:rsidTr="003F7650">
        <w:trPr>
          <w:trHeight w:val="406"/>
        </w:trPr>
        <w:tc>
          <w:tcPr>
            <w:tcW w:w="4677" w:type="dxa"/>
            <w:hideMark/>
          </w:tcPr>
          <w:p w14:paraId="0F807BDB" w14:textId="77777777" w:rsidR="004E24F2" w:rsidRPr="008A08FD" w:rsidRDefault="004E24F2" w:rsidP="008A08FD">
            <w:pPr>
              <w:pStyle w:val="DHHStabletext"/>
            </w:pPr>
            <w:r w:rsidRPr="008A08FD">
              <w:t>CALD status (%)</w:t>
            </w:r>
          </w:p>
        </w:tc>
        <w:tc>
          <w:tcPr>
            <w:tcW w:w="1559" w:type="dxa"/>
            <w:hideMark/>
          </w:tcPr>
          <w:p w14:paraId="4F1C3C80" w14:textId="77777777" w:rsidR="004E24F2" w:rsidRPr="008A08FD" w:rsidRDefault="004E24F2" w:rsidP="008A08FD">
            <w:pPr>
              <w:pStyle w:val="DHHStabletext"/>
            </w:pPr>
            <w:r w:rsidRPr="008A08FD">
              <w:t>Yes</w:t>
            </w:r>
          </w:p>
        </w:tc>
        <w:tc>
          <w:tcPr>
            <w:tcW w:w="1244" w:type="dxa"/>
            <w:hideMark/>
          </w:tcPr>
          <w:p w14:paraId="0949E055" w14:textId="77777777" w:rsidR="004E24F2" w:rsidRPr="008A08FD" w:rsidRDefault="004E24F2" w:rsidP="008A08FD">
            <w:pPr>
              <w:pStyle w:val="DHHStabletext"/>
            </w:pPr>
            <w:r w:rsidRPr="008A08FD">
              <w:t>4.3%</w:t>
            </w:r>
          </w:p>
        </w:tc>
        <w:tc>
          <w:tcPr>
            <w:tcW w:w="1244" w:type="dxa"/>
            <w:hideMark/>
          </w:tcPr>
          <w:p w14:paraId="722FCA95" w14:textId="77777777" w:rsidR="004E24F2" w:rsidRPr="008A08FD" w:rsidRDefault="004E24F2" w:rsidP="008A08FD">
            <w:pPr>
              <w:pStyle w:val="DHHStabletext"/>
            </w:pPr>
            <w:r w:rsidRPr="008A08FD">
              <w:t>4.4%</w:t>
            </w:r>
          </w:p>
        </w:tc>
        <w:tc>
          <w:tcPr>
            <w:tcW w:w="1198" w:type="dxa"/>
            <w:hideMark/>
          </w:tcPr>
          <w:p w14:paraId="2E7BAEB1" w14:textId="77777777" w:rsidR="004E24F2" w:rsidRPr="008A08FD" w:rsidRDefault="004E24F2" w:rsidP="008A08FD">
            <w:pPr>
              <w:pStyle w:val="DHHStabletext"/>
            </w:pPr>
            <w:r w:rsidRPr="008A08FD">
              <w:t>4.4%</w:t>
            </w:r>
          </w:p>
        </w:tc>
      </w:tr>
    </w:tbl>
    <w:p w14:paraId="5C853730" w14:textId="77777777" w:rsidR="008A08FD" w:rsidRDefault="008A08FD" w:rsidP="00985332">
      <w:pPr>
        <w:pStyle w:val="DHHSbody"/>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6236"/>
        <w:gridCol w:w="1244"/>
        <w:gridCol w:w="1244"/>
        <w:gridCol w:w="1198"/>
      </w:tblGrid>
      <w:tr w:rsidR="004E24F2" w14:paraId="5C9E0396" w14:textId="77777777" w:rsidTr="003F7650">
        <w:trPr>
          <w:trHeight w:val="434"/>
          <w:tblHeader/>
        </w:trPr>
        <w:tc>
          <w:tcPr>
            <w:tcW w:w="6236" w:type="dxa"/>
            <w:shd w:val="clear" w:color="auto" w:fill="auto"/>
            <w:hideMark/>
          </w:tcPr>
          <w:p w14:paraId="6CF325A2" w14:textId="77777777" w:rsidR="004E24F2" w:rsidRPr="00985332" w:rsidRDefault="004E24F2" w:rsidP="00985332">
            <w:pPr>
              <w:pStyle w:val="DHHStablecolhead"/>
            </w:pPr>
            <w:r w:rsidRPr="00985332">
              <w:t>Service activity</w:t>
            </w:r>
          </w:p>
        </w:tc>
        <w:tc>
          <w:tcPr>
            <w:tcW w:w="1244" w:type="dxa"/>
            <w:shd w:val="clear" w:color="auto" w:fill="auto"/>
            <w:hideMark/>
          </w:tcPr>
          <w:p w14:paraId="46F7A878" w14:textId="77777777" w:rsidR="004E24F2" w:rsidRPr="00985332" w:rsidRDefault="004E24F2" w:rsidP="00985332">
            <w:pPr>
              <w:pStyle w:val="DHHStablecolhead"/>
            </w:pPr>
            <w:r w:rsidRPr="00985332">
              <w:t>2014–15</w:t>
            </w:r>
          </w:p>
        </w:tc>
        <w:tc>
          <w:tcPr>
            <w:tcW w:w="1244" w:type="dxa"/>
            <w:shd w:val="clear" w:color="auto" w:fill="auto"/>
            <w:hideMark/>
          </w:tcPr>
          <w:p w14:paraId="2606DDBC" w14:textId="77777777" w:rsidR="004E24F2" w:rsidRDefault="004E24F2" w:rsidP="00DF7F88">
            <w:pPr>
              <w:pStyle w:val="DHHStablecolhead"/>
              <w:rPr>
                <w:sz w:val="19"/>
              </w:rPr>
            </w:pPr>
            <w:r>
              <w:rPr>
                <w:sz w:val="19"/>
              </w:rPr>
              <w:t>2015–16</w:t>
            </w:r>
          </w:p>
        </w:tc>
        <w:tc>
          <w:tcPr>
            <w:tcW w:w="1198" w:type="dxa"/>
            <w:shd w:val="clear" w:color="auto" w:fill="auto"/>
            <w:hideMark/>
          </w:tcPr>
          <w:p w14:paraId="70753C7A" w14:textId="77777777" w:rsidR="004E24F2" w:rsidRDefault="004E24F2" w:rsidP="00DF7F88">
            <w:pPr>
              <w:pStyle w:val="DHHStablecolhead"/>
              <w:rPr>
                <w:sz w:val="19"/>
              </w:rPr>
            </w:pPr>
            <w:r>
              <w:rPr>
                <w:sz w:val="19"/>
              </w:rPr>
              <w:t>2016–17</w:t>
            </w:r>
          </w:p>
        </w:tc>
      </w:tr>
      <w:tr w:rsidR="004E24F2" w14:paraId="48352393" w14:textId="77777777" w:rsidTr="003F7650">
        <w:trPr>
          <w:trHeight w:val="411"/>
        </w:trPr>
        <w:tc>
          <w:tcPr>
            <w:tcW w:w="6236" w:type="dxa"/>
            <w:hideMark/>
          </w:tcPr>
          <w:p w14:paraId="34FC87A8" w14:textId="77777777" w:rsidR="004E24F2" w:rsidRPr="00985332" w:rsidRDefault="004E24F2" w:rsidP="00985332">
            <w:pPr>
              <w:pStyle w:val="DHHStabletext"/>
            </w:pPr>
            <w:r w:rsidRPr="00985332">
              <w:t>Community Service Units (CSUs)</w:t>
            </w:r>
          </w:p>
        </w:tc>
        <w:tc>
          <w:tcPr>
            <w:tcW w:w="1244" w:type="dxa"/>
            <w:hideMark/>
          </w:tcPr>
          <w:p w14:paraId="56ECFCAA" w14:textId="77777777" w:rsidR="004E24F2" w:rsidRPr="00985332" w:rsidRDefault="004E24F2" w:rsidP="00985332">
            <w:pPr>
              <w:pStyle w:val="DHHStabletext"/>
            </w:pPr>
            <w:r w:rsidRPr="00985332">
              <w:t>661,855</w:t>
            </w:r>
          </w:p>
        </w:tc>
        <w:tc>
          <w:tcPr>
            <w:tcW w:w="1244" w:type="dxa"/>
            <w:hideMark/>
          </w:tcPr>
          <w:p w14:paraId="5CA5EE48" w14:textId="77777777" w:rsidR="004E24F2" w:rsidRPr="00985332" w:rsidRDefault="004E24F2" w:rsidP="00985332">
            <w:pPr>
              <w:pStyle w:val="DHHStabletext"/>
            </w:pPr>
            <w:r w:rsidRPr="00985332">
              <w:t>790,213</w:t>
            </w:r>
          </w:p>
        </w:tc>
        <w:tc>
          <w:tcPr>
            <w:tcW w:w="1198" w:type="dxa"/>
            <w:hideMark/>
          </w:tcPr>
          <w:p w14:paraId="64B328E7" w14:textId="77777777" w:rsidR="004E24F2" w:rsidRPr="00985332" w:rsidRDefault="004E24F2" w:rsidP="00985332">
            <w:pPr>
              <w:pStyle w:val="DHHStabletext"/>
            </w:pPr>
            <w:r w:rsidRPr="00985332">
              <w:t>757,236</w:t>
            </w:r>
          </w:p>
        </w:tc>
      </w:tr>
      <w:tr w:rsidR="004E24F2" w14:paraId="690C20E2" w14:textId="77777777" w:rsidTr="003F7650">
        <w:trPr>
          <w:trHeight w:val="406"/>
        </w:trPr>
        <w:tc>
          <w:tcPr>
            <w:tcW w:w="6236" w:type="dxa"/>
            <w:hideMark/>
          </w:tcPr>
          <w:p w14:paraId="39A28955" w14:textId="77777777" w:rsidR="004E24F2" w:rsidRPr="00985332" w:rsidRDefault="004E24F2" w:rsidP="00985332">
            <w:pPr>
              <w:pStyle w:val="DHHStabletext"/>
            </w:pPr>
            <w:r w:rsidRPr="00985332">
              <w:t>Residential Rehabilitation Bed Days</w:t>
            </w:r>
          </w:p>
        </w:tc>
        <w:tc>
          <w:tcPr>
            <w:tcW w:w="1244" w:type="dxa"/>
            <w:hideMark/>
          </w:tcPr>
          <w:p w14:paraId="2B7B4DEF" w14:textId="77777777" w:rsidR="004E24F2" w:rsidRPr="00985332" w:rsidRDefault="004E24F2" w:rsidP="00985332">
            <w:pPr>
              <w:pStyle w:val="DHHStabletext"/>
            </w:pPr>
            <w:r w:rsidRPr="00985332">
              <w:t>73,672</w:t>
            </w:r>
          </w:p>
        </w:tc>
        <w:tc>
          <w:tcPr>
            <w:tcW w:w="1244" w:type="dxa"/>
            <w:hideMark/>
          </w:tcPr>
          <w:p w14:paraId="34698B50" w14:textId="77777777" w:rsidR="004E24F2" w:rsidRPr="00985332" w:rsidRDefault="004E24F2" w:rsidP="00985332">
            <w:pPr>
              <w:pStyle w:val="DHHStabletext"/>
            </w:pPr>
            <w:r w:rsidRPr="00985332">
              <w:t>78,456</w:t>
            </w:r>
          </w:p>
        </w:tc>
        <w:tc>
          <w:tcPr>
            <w:tcW w:w="1198" w:type="dxa"/>
            <w:hideMark/>
          </w:tcPr>
          <w:p w14:paraId="50124C76" w14:textId="77777777" w:rsidR="004E24F2" w:rsidRPr="00985332" w:rsidRDefault="004E24F2" w:rsidP="00985332">
            <w:pPr>
              <w:pStyle w:val="DHHStabletext"/>
            </w:pPr>
            <w:r w:rsidRPr="00985332">
              <w:t>81,130</w:t>
            </w:r>
          </w:p>
        </w:tc>
      </w:tr>
    </w:tbl>
    <w:p w14:paraId="7DA3067F" w14:textId="77777777" w:rsidR="008A08FD" w:rsidRDefault="008A08FD" w:rsidP="00985332">
      <w:pPr>
        <w:pStyle w:val="DHHSbody"/>
      </w:pPr>
    </w:p>
    <w:tbl>
      <w:tblPr>
        <w:tblW w:w="9922" w:type="dxa"/>
        <w:tblBorders>
          <w:top w:val="single" w:sz="4" w:space="0" w:color="BBBDC0"/>
          <w:left w:val="single" w:sz="4" w:space="0" w:color="BBBDC0"/>
          <w:bottom w:val="single" w:sz="4" w:space="0" w:color="BBBDC0"/>
          <w:right w:val="single" w:sz="4" w:space="0" w:color="BBBDC0"/>
          <w:insideH w:val="single" w:sz="4" w:space="0" w:color="BBBDC0"/>
          <w:insideV w:val="single" w:sz="4" w:space="0" w:color="BBBDC0"/>
        </w:tblBorders>
        <w:tblLayout w:type="fixed"/>
        <w:tblCellMar>
          <w:left w:w="0" w:type="dxa"/>
          <w:right w:w="0" w:type="dxa"/>
        </w:tblCellMar>
        <w:tblLook w:val="01E0" w:firstRow="1" w:lastRow="1" w:firstColumn="1" w:lastColumn="1" w:noHBand="0" w:noVBand="0"/>
      </w:tblPr>
      <w:tblGrid>
        <w:gridCol w:w="4677"/>
        <w:gridCol w:w="1559"/>
        <w:gridCol w:w="1244"/>
        <w:gridCol w:w="1244"/>
        <w:gridCol w:w="1198"/>
      </w:tblGrid>
      <w:tr w:rsidR="004E24F2" w14:paraId="14BC660C" w14:textId="77777777" w:rsidTr="003F7650">
        <w:trPr>
          <w:trHeight w:val="442"/>
          <w:tblHeader/>
        </w:trPr>
        <w:tc>
          <w:tcPr>
            <w:tcW w:w="4677" w:type="dxa"/>
            <w:shd w:val="clear" w:color="auto" w:fill="auto"/>
            <w:hideMark/>
          </w:tcPr>
          <w:p w14:paraId="11566C06" w14:textId="77777777" w:rsidR="004E24F2" w:rsidRPr="00985332" w:rsidRDefault="004E24F2" w:rsidP="00985332">
            <w:pPr>
              <w:pStyle w:val="DHHStablecolhead"/>
            </w:pPr>
            <w:r w:rsidRPr="00985332">
              <w:t>Service inputs</w:t>
            </w:r>
          </w:p>
        </w:tc>
        <w:tc>
          <w:tcPr>
            <w:tcW w:w="1559" w:type="dxa"/>
            <w:shd w:val="clear" w:color="auto" w:fill="auto"/>
            <w:hideMark/>
          </w:tcPr>
          <w:p w14:paraId="3B7AE790" w14:textId="77777777" w:rsidR="004E24F2" w:rsidRPr="00985332" w:rsidRDefault="004E24F2" w:rsidP="00985332">
            <w:pPr>
              <w:pStyle w:val="DHHStablecolhead"/>
            </w:pPr>
            <w:r w:rsidRPr="00985332">
              <w:t>Population</w:t>
            </w:r>
          </w:p>
        </w:tc>
        <w:tc>
          <w:tcPr>
            <w:tcW w:w="1244" w:type="dxa"/>
            <w:shd w:val="clear" w:color="auto" w:fill="auto"/>
            <w:hideMark/>
          </w:tcPr>
          <w:p w14:paraId="751260CB" w14:textId="77777777" w:rsidR="004E24F2" w:rsidRDefault="004E24F2" w:rsidP="00DF7F88">
            <w:pPr>
              <w:pStyle w:val="DHHStablecolhead"/>
              <w:rPr>
                <w:sz w:val="19"/>
              </w:rPr>
            </w:pPr>
            <w:r>
              <w:rPr>
                <w:sz w:val="19"/>
              </w:rPr>
              <w:t>2014–15</w:t>
            </w:r>
          </w:p>
        </w:tc>
        <w:tc>
          <w:tcPr>
            <w:tcW w:w="1244" w:type="dxa"/>
            <w:shd w:val="clear" w:color="auto" w:fill="auto"/>
            <w:hideMark/>
          </w:tcPr>
          <w:p w14:paraId="5D1831A6" w14:textId="77777777" w:rsidR="004E24F2" w:rsidRDefault="004E24F2" w:rsidP="00DF7F88">
            <w:pPr>
              <w:pStyle w:val="DHHStablecolhead"/>
              <w:rPr>
                <w:sz w:val="19"/>
              </w:rPr>
            </w:pPr>
            <w:r>
              <w:rPr>
                <w:sz w:val="19"/>
              </w:rPr>
              <w:t>2015–16</w:t>
            </w:r>
          </w:p>
        </w:tc>
        <w:tc>
          <w:tcPr>
            <w:tcW w:w="1198" w:type="dxa"/>
            <w:shd w:val="clear" w:color="auto" w:fill="auto"/>
            <w:hideMark/>
          </w:tcPr>
          <w:p w14:paraId="04358859" w14:textId="77777777" w:rsidR="004E24F2" w:rsidRDefault="004E24F2" w:rsidP="00DF7F88">
            <w:pPr>
              <w:pStyle w:val="DHHStablecolhead"/>
              <w:rPr>
                <w:sz w:val="19"/>
              </w:rPr>
            </w:pPr>
            <w:r>
              <w:rPr>
                <w:sz w:val="19"/>
              </w:rPr>
              <w:t>2016–17</w:t>
            </w:r>
          </w:p>
        </w:tc>
      </w:tr>
      <w:tr w:rsidR="004E24F2" w14:paraId="16F42B65" w14:textId="77777777" w:rsidTr="003F7650">
        <w:trPr>
          <w:trHeight w:val="332"/>
        </w:trPr>
        <w:tc>
          <w:tcPr>
            <w:tcW w:w="4677" w:type="dxa"/>
            <w:vMerge w:val="restart"/>
          </w:tcPr>
          <w:p w14:paraId="1111CA92" w14:textId="77777777" w:rsidR="004E24F2" w:rsidRPr="008A08FD" w:rsidRDefault="004E24F2" w:rsidP="008A08FD">
            <w:pPr>
              <w:pStyle w:val="DHHStabletext"/>
            </w:pPr>
            <w:r w:rsidRPr="008A08FD">
              <w:t>Residential Rehabilitation Beds</w:t>
            </w:r>
          </w:p>
        </w:tc>
        <w:tc>
          <w:tcPr>
            <w:tcW w:w="1559" w:type="dxa"/>
            <w:hideMark/>
          </w:tcPr>
          <w:p w14:paraId="7294FCCE" w14:textId="77777777" w:rsidR="004E24F2" w:rsidRPr="008A08FD" w:rsidRDefault="004E24F2" w:rsidP="008A08FD">
            <w:pPr>
              <w:pStyle w:val="DHHStabletext"/>
            </w:pPr>
            <w:r w:rsidRPr="008A08FD">
              <w:t>Other</w:t>
            </w:r>
          </w:p>
        </w:tc>
        <w:tc>
          <w:tcPr>
            <w:tcW w:w="1244" w:type="dxa"/>
            <w:hideMark/>
          </w:tcPr>
          <w:p w14:paraId="58B36CC3" w14:textId="77777777" w:rsidR="004E24F2" w:rsidRPr="008A08FD" w:rsidRDefault="004E24F2" w:rsidP="008A08FD">
            <w:pPr>
              <w:pStyle w:val="DHHStabletext"/>
            </w:pPr>
            <w:r w:rsidRPr="008A08FD">
              <w:t>103</w:t>
            </w:r>
          </w:p>
        </w:tc>
        <w:tc>
          <w:tcPr>
            <w:tcW w:w="1244" w:type="dxa"/>
            <w:hideMark/>
          </w:tcPr>
          <w:p w14:paraId="76604D7A" w14:textId="77777777" w:rsidR="004E24F2" w:rsidRPr="008A08FD" w:rsidRDefault="004E24F2" w:rsidP="008A08FD">
            <w:pPr>
              <w:pStyle w:val="DHHStabletext"/>
            </w:pPr>
            <w:r w:rsidRPr="008A08FD">
              <w:t>101</w:t>
            </w:r>
          </w:p>
        </w:tc>
        <w:tc>
          <w:tcPr>
            <w:tcW w:w="1198" w:type="dxa"/>
            <w:hideMark/>
          </w:tcPr>
          <w:p w14:paraId="67893CF3" w14:textId="77777777" w:rsidR="004E24F2" w:rsidRPr="008A08FD" w:rsidRDefault="004E24F2" w:rsidP="008A08FD">
            <w:pPr>
              <w:pStyle w:val="DHHStabletext"/>
            </w:pPr>
            <w:r w:rsidRPr="008A08FD">
              <w:t>101</w:t>
            </w:r>
          </w:p>
        </w:tc>
      </w:tr>
      <w:tr w:rsidR="004E24F2" w14:paraId="7FD83365" w14:textId="77777777" w:rsidTr="003F7650">
        <w:trPr>
          <w:trHeight w:val="325"/>
        </w:trPr>
        <w:tc>
          <w:tcPr>
            <w:tcW w:w="4677" w:type="dxa"/>
            <w:vMerge/>
            <w:vAlign w:val="center"/>
            <w:hideMark/>
          </w:tcPr>
          <w:p w14:paraId="3031717F" w14:textId="77777777" w:rsidR="004E24F2" w:rsidRPr="008A08FD" w:rsidRDefault="004E24F2" w:rsidP="008A08FD">
            <w:pPr>
              <w:pStyle w:val="DHHStabletext"/>
              <w:rPr>
                <w:rFonts w:eastAsia="Trebuchet MS"/>
              </w:rPr>
            </w:pPr>
          </w:p>
        </w:tc>
        <w:tc>
          <w:tcPr>
            <w:tcW w:w="1559" w:type="dxa"/>
            <w:hideMark/>
          </w:tcPr>
          <w:p w14:paraId="73DBEAA1" w14:textId="77777777" w:rsidR="004E24F2" w:rsidRPr="008A08FD" w:rsidRDefault="004E24F2" w:rsidP="008A08FD">
            <w:pPr>
              <w:pStyle w:val="DHHStabletext"/>
            </w:pPr>
            <w:r w:rsidRPr="008A08FD">
              <w:t>Youth</w:t>
            </w:r>
          </w:p>
        </w:tc>
        <w:tc>
          <w:tcPr>
            <w:tcW w:w="1244" w:type="dxa"/>
            <w:hideMark/>
          </w:tcPr>
          <w:p w14:paraId="56C505FE" w14:textId="77777777" w:rsidR="004E24F2" w:rsidRPr="008A08FD" w:rsidRDefault="004E24F2" w:rsidP="008A08FD">
            <w:pPr>
              <w:pStyle w:val="DHHStabletext"/>
            </w:pPr>
            <w:r w:rsidRPr="008A08FD">
              <w:t>159</w:t>
            </w:r>
          </w:p>
        </w:tc>
        <w:tc>
          <w:tcPr>
            <w:tcW w:w="1244" w:type="dxa"/>
            <w:hideMark/>
          </w:tcPr>
          <w:p w14:paraId="5F83C381" w14:textId="77777777" w:rsidR="004E24F2" w:rsidRPr="008A08FD" w:rsidRDefault="004E24F2" w:rsidP="008A08FD">
            <w:pPr>
              <w:pStyle w:val="DHHStabletext"/>
            </w:pPr>
            <w:r w:rsidRPr="008A08FD">
              <w:t>159</w:t>
            </w:r>
          </w:p>
        </w:tc>
        <w:tc>
          <w:tcPr>
            <w:tcW w:w="1198" w:type="dxa"/>
            <w:hideMark/>
          </w:tcPr>
          <w:p w14:paraId="5CF00AB9" w14:textId="77777777" w:rsidR="004E24F2" w:rsidRPr="008A08FD" w:rsidRDefault="004E24F2" w:rsidP="008A08FD">
            <w:pPr>
              <w:pStyle w:val="DHHStabletext"/>
            </w:pPr>
            <w:r w:rsidRPr="008A08FD">
              <w:t>159</w:t>
            </w:r>
          </w:p>
        </w:tc>
      </w:tr>
      <w:tr w:rsidR="004E24F2" w14:paraId="5E7D7305" w14:textId="77777777" w:rsidTr="003F7650">
        <w:trPr>
          <w:trHeight w:val="325"/>
        </w:trPr>
        <w:tc>
          <w:tcPr>
            <w:tcW w:w="4677" w:type="dxa"/>
            <w:vMerge/>
            <w:vAlign w:val="center"/>
            <w:hideMark/>
          </w:tcPr>
          <w:p w14:paraId="2438A1E1" w14:textId="77777777" w:rsidR="004E24F2" w:rsidRPr="008A08FD" w:rsidRDefault="004E24F2" w:rsidP="008A08FD">
            <w:pPr>
              <w:pStyle w:val="DHHStabletext"/>
              <w:rPr>
                <w:rFonts w:eastAsia="Trebuchet MS"/>
              </w:rPr>
            </w:pPr>
          </w:p>
        </w:tc>
        <w:tc>
          <w:tcPr>
            <w:tcW w:w="1559" w:type="dxa"/>
            <w:hideMark/>
          </w:tcPr>
          <w:p w14:paraId="2BA6F5B4" w14:textId="77777777" w:rsidR="004E24F2" w:rsidRPr="008A08FD" w:rsidRDefault="004E24F2" w:rsidP="008A08FD">
            <w:pPr>
              <w:pStyle w:val="DHHStabletext"/>
            </w:pPr>
            <w:r w:rsidRPr="008A08FD">
              <w:t>Total</w:t>
            </w:r>
          </w:p>
        </w:tc>
        <w:tc>
          <w:tcPr>
            <w:tcW w:w="1244" w:type="dxa"/>
            <w:hideMark/>
          </w:tcPr>
          <w:p w14:paraId="3F2CC060" w14:textId="77777777" w:rsidR="004E24F2" w:rsidRPr="008A08FD" w:rsidRDefault="004E24F2" w:rsidP="008A08FD">
            <w:pPr>
              <w:pStyle w:val="DHHStabletext"/>
            </w:pPr>
            <w:r w:rsidRPr="008A08FD">
              <w:t>262</w:t>
            </w:r>
          </w:p>
        </w:tc>
        <w:tc>
          <w:tcPr>
            <w:tcW w:w="1244" w:type="dxa"/>
            <w:hideMark/>
          </w:tcPr>
          <w:p w14:paraId="32DCEF61" w14:textId="77777777" w:rsidR="004E24F2" w:rsidRPr="008A08FD" w:rsidRDefault="004E24F2" w:rsidP="008A08FD">
            <w:pPr>
              <w:pStyle w:val="DHHStabletext"/>
            </w:pPr>
            <w:r w:rsidRPr="008A08FD">
              <w:t>260</w:t>
            </w:r>
          </w:p>
        </w:tc>
        <w:tc>
          <w:tcPr>
            <w:tcW w:w="1198" w:type="dxa"/>
            <w:hideMark/>
          </w:tcPr>
          <w:p w14:paraId="60D8212C" w14:textId="77777777" w:rsidR="004E24F2" w:rsidRPr="008A08FD" w:rsidRDefault="004E24F2" w:rsidP="008A08FD">
            <w:pPr>
              <w:pStyle w:val="DHHStabletext"/>
            </w:pPr>
            <w:r w:rsidRPr="008A08FD">
              <w:t>260</w:t>
            </w:r>
          </w:p>
        </w:tc>
      </w:tr>
    </w:tbl>
    <w:p w14:paraId="0DB25F16" w14:textId="77777777" w:rsidR="004E24F2" w:rsidRPr="003A2798" w:rsidRDefault="004E24F2" w:rsidP="003A2798">
      <w:pPr>
        <w:pStyle w:val="DHHStablefigurenote"/>
        <w:rPr>
          <w:rFonts w:eastAsia="Trebuchet MS"/>
          <w:b/>
          <w:bCs/>
        </w:rPr>
      </w:pPr>
      <w:r w:rsidRPr="003A2798">
        <w:rPr>
          <w:b/>
          <w:bCs/>
        </w:rPr>
        <w:t>Key and notes</w:t>
      </w:r>
    </w:p>
    <w:p w14:paraId="0EF6816C" w14:textId="77777777" w:rsidR="004E24F2" w:rsidRPr="003A2798" w:rsidRDefault="004E24F2" w:rsidP="003A2798">
      <w:pPr>
        <w:pStyle w:val="DHHStablefigurenote"/>
      </w:pPr>
      <w:r w:rsidRPr="003A2798">
        <w:t>Population estimate is based on Victoria in Future 2014 projections.</w:t>
      </w:r>
    </w:p>
    <w:p w14:paraId="21CFC914" w14:textId="77777777" w:rsidR="004E24F2" w:rsidRPr="003A2798" w:rsidRDefault="004E24F2" w:rsidP="003A2798">
      <w:pPr>
        <w:pStyle w:val="DHHStablefigurenote"/>
      </w:pPr>
      <w:r w:rsidRPr="003A2798">
        <w:lastRenderedPageBreak/>
        <w:t>** 2015–16 and 2016–17 data collection was affected by industrial activity. The collection of non-clinical and administrative data was affected, with impacts on the recording of community mental health service activity and client outcome measures.</w:t>
      </w:r>
    </w:p>
    <w:p w14:paraId="3B61CAA0" w14:textId="77777777" w:rsidR="004E24F2" w:rsidRPr="003A2798" w:rsidRDefault="004E24F2" w:rsidP="003A2798">
      <w:pPr>
        <w:pStyle w:val="DHHStablefigurenote"/>
      </w:pPr>
      <w:r w:rsidRPr="003A2798">
        <w:t># Sum of rows will not equal total as one client can access multiple services</w:t>
      </w:r>
    </w:p>
    <w:p w14:paraId="31A7251B" w14:textId="77777777" w:rsidR="004E24F2" w:rsidRPr="003A2798" w:rsidRDefault="004E24F2" w:rsidP="003A2798">
      <w:pPr>
        <w:pStyle w:val="DHHStablefigurenote"/>
      </w:pPr>
      <w:r w:rsidRPr="003A2798">
        <w:t>† Calculation of Occupied Bed Days and Bed Occupancy Rates modiﬁed to include episodes still open at time of data extraction  n/a: No data available for this period</w:t>
      </w:r>
    </w:p>
    <w:p w14:paraId="65F6BC77" w14:textId="77777777" w:rsidR="00A6269A" w:rsidRDefault="004E24F2" w:rsidP="003A2798">
      <w:pPr>
        <w:pStyle w:val="DHHStablefigurenote"/>
      </w:pPr>
      <w:r w:rsidRPr="003A2798">
        <w:t>ˆ Apparent reduction in MHCSS ﬁgure due to transfer to NDIS</w:t>
      </w:r>
    </w:p>
    <w:p w14:paraId="4E756B63" w14:textId="2BA14C3E" w:rsidR="007B1263" w:rsidRPr="00A6269A" w:rsidRDefault="004E24F2" w:rsidP="003A2798">
      <w:pPr>
        <w:pStyle w:val="DHHStablefigurenote"/>
      </w:pPr>
      <w:r w:rsidRPr="003A2798">
        <w:t xml:space="preserve"> Note that</w:t>
      </w:r>
      <w:r>
        <w:rPr>
          <w:spacing w:val="-18"/>
          <w:w w:val="115"/>
          <w:sz w:val="15"/>
        </w:rPr>
        <w:t xml:space="preserve"> </w:t>
      </w:r>
      <w:r w:rsidRPr="00A6269A">
        <w:t>some data may not sum due to rounding</w:t>
      </w:r>
    </w:p>
    <w:p w14:paraId="611BFC9F" w14:textId="77777777" w:rsidR="00893462" w:rsidRPr="00A6269A" w:rsidRDefault="00893462" w:rsidP="00A6269A">
      <w:pPr>
        <w:pStyle w:val="DHHStablefigurenote"/>
      </w:pPr>
      <w:r>
        <w:br w:type="page"/>
      </w:r>
    </w:p>
    <w:p w14:paraId="02D99C9E" w14:textId="6AE7FE84" w:rsidR="007B1263" w:rsidRDefault="00893462" w:rsidP="00893462">
      <w:pPr>
        <w:pStyle w:val="Heading1"/>
      </w:pPr>
      <w:bookmarkStart w:id="38" w:name="_Toc28340212"/>
      <w:r>
        <w:lastRenderedPageBreak/>
        <w:t xml:space="preserve">Appendix </w:t>
      </w:r>
      <w:r w:rsidR="007B1263">
        <w:t>3: V</w:t>
      </w:r>
      <w:r>
        <w:t>ictoria’s public mental health system</w:t>
      </w:r>
      <w:bookmarkEnd w:id="38"/>
    </w:p>
    <w:p w14:paraId="4F5F46ED" w14:textId="4AA089AF" w:rsidR="003A2798" w:rsidRDefault="003A2798" w:rsidP="00276E7A">
      <w:pPr>
        <w:pStyle w:val="Heading2"/>
      </w:pPr>
      <w:bookmarkStart w:id="39" w:name="_Hlk26623529"/>
      <w:bookmarkStart w:id="40" w:name="_Toc28340213"/>
      <w:r w:rsidRPr="009F0C73">
        <w:t>Area-based clinical services</w:t>
      </w:r>
      <w:bookmarkEnd w:id="40"/>
    </w:p>
    <w:p w14:paraId="0BCEDD10" w14:textId="5B13F68D" w:rsidR="00276E7A" w:rsidRPr="00276E7A" w:rsidRDefault="00276E7A" w:rsidP="00276E7A">
      <w:pPr>
        <w:pStyle w:val="Heading3"/>
      </w:pPr>
      <w:r w:rsidRPr="00276E7A">
        <w:t>Child and adolescent services (0–18 years)**</w:t>
      </w:r>
    </w:p>
    <w:p w14:paraId="1530C4AC" w14:textId="77777777" w:rsidR="003A2798" w:rsidRPr="009F0C73" w:rsidRDefault="003A2798" w:rsidP="003A2798">
      <w:pPr>
        <w:pStyle w:val="DHHSbullet1"/>
      </w:pPr>
      <w:r w:rsidRPr="009F0C73">
        <w:t>Acute inpatient services</w:t>
      </w:r>
    </w:p>
    <w:p w14:paraId="0AF5B468" w14:textId="77777777" w:rsidR="003A2798" w:rsidRPr="009F0C73" w:rsidRDefault="003A2798" w:rsidP="003A2798">
      <w:pPr>
        <w:pStyle w:val="DHHSbullet1"/>
      </w:pPr>
      <w:r w:rsidRPr="009F0C73">
        <w:t>Autism assessment</w:t>
      </w:r>
    </w:p>
    <w:p w14:paraId="0F16BCEC" w14:textId="77777777" w:rsidR="003A2798" w:rsidRPr="009F0C73" w:rsidRDefault="003A2798" w:rsidP="003A2798">
      <w:pPr>
        <w:pStyle w:val="DHHSbullet1"/>
      </w:pPr>
      <w:r w:rsidRPr="009F0C73">
        <w:t>Consultation and liaison psychiatry</w:t>
      </w:r>
    </w:p>
    <w:p w14:paraId="765A539E" w14:textId="77777777" w:rsidR="003A2798" w:rsidRPr="009F0C73" w:rsidRDefault="003A2798" w:rsidP="003A2798">
      <w:pPr>
        <w:pStyle w:val="DHHSbullet1"/>
      </w:pPr>
      <w:r w:rsidRPr="009F0C73">
        <w:t>Continuing care</w:t>
      </w:r>
    </w:p>
    <w:p w14:paraId="0246C2D9" w14:textId="77777777" w:rsidR="003A2798" w:rsidRPr="009F0C73" w:rsidRDefault="003A2798" w:rsidP="003A2798">
      <w:pPr>
        <w:pStyle w:val="DHHSbullet1"/>
      </w:pPr>
      <w:r w:rsidRPr="009F0C73">
        <w:t>Day programs</w:t>
      </w:r>
    </w:p>
    <w:p w14:paraId="6FADA86A" w14:textId="77777777" w:rsidR="003A2798" w:rsidRPr="009F0C73" w:rsidRDefault="003A2798" w:rsidP="003A2798">
      <w:pPr>
        <w:pStyle w:val="DHHSbullet1"/>
      </w:pPr>
      <w:r w:rsidRPr="009F0C73">
        <w:t>Intensive mobile youth outreach services</w:t>
      </w:r>
    </w:p>
    <w:p w14:paraId="7422E371" w14:textId="77777777" w:rsidR="003A2798" w:rsidRPr="009F0C73" w:rsidRDefault="003A2798" w:rsidP="003A2798">
      <w:pPr>
        <w:pStyle w:val="DHHSbullet1lastline"/>
      </w:pPr>
      <w:r w:rsidRPr="009F0C73">
        <w:t>School-based early intervention programs</w:t>
      </w:r>
    </w:p>
    <w:p w14:paraId="797C5D69" w14:textId="77777777" w:rsidR="003A2798" w:rsidRPr="009F0C73" w:rsidRDefault="003A2798" w:rsidP="00276E7A">
      <w:pPr>
        <w:pStyle w:val="Heading3"/>
      </w:pPr>
      <w:r w:rsidRPr="009F0C73">
        <w:t>Adult services (16–64 years)**</w:t>
      </w:r>
    </w:p>
    <w:p w14:paraId="33186C9F" w14:textId="77777777" w:rsidR="003A2798" w:rsidRPr="009F0C73" w:rsidRDefault="003A2798" w:rsidP="003A2798">
      <w:pPr>
        <w:pStyle w:val="DHHSbullet1"/>
      </w:pPr>
      <w:r w:rsidRPr="009F0C73">
        <w:t>Acute community intervention services</w:t>
      </w:r>
    </w:p>
    <w:p w14:paraId="4B0BE3C2" w14:textId="77777777" w:rsidR="003A2798" w:rsidRPr="009F0C73" w:rsidRDefault="003A2798" w:rsidP="003A2798">
      <w:pPr>
        <w:pStyle w:val="DHHSbullet1"/>
      </w:pPr>
      <w:r w:rsidRPr="009F0C73">
        <w:t>Acute inpatient services</w:t>
      </w:r>
    </w:p>
    <w:p w14:paraId="222D54B5" w14:textId="77777777" w:rsidR="003A2798" w:rsidRPr="009F0C73" w:rsidRDefault="003A2798" w:rsidP="003A2798">
      <w:pPr>
        <w:pStyle w:val="DHHSbullet1"/>
      </w:pPr>
      <w:r w:rsidRPr="009F0C73">
        <w:t>Psychiatric assessment and planning units</w:t>
      </w:r>
    </w:p>
    <w:p w14:paraId="40176551" w14:textId="77777777" w:rsidR="003A2798" w:rsidRPr="009F0C73" w:rsidRDefault="003A2798" w:rsidP="003A2798">
      <w:pPr>
        <w:pStyle w:val="DHHSbullet1"/>
      </w:pPr>
      <w:r w:rsidRPr="009F0C73">
        <w:t>Secure extended care and inpatient services</w:t>
      </w:r>
    </w:p>
    <w:p w14:paraId="5C96ABCA" w14:textId="77777777" w:rsidR="003A2798" w:rsidRPr="009F0C73" w:rsidRDefault="003A2798" w:rsidP="003A2798">
      <w:pPr>
        <w:pStyle w:val="DHHSbullet1"/>
      </w:pPr>
      <w:r w:rsidRPr="009F0C73">
        <w:t>Combined continuing care</w:t>
      </w:r>
    </w:p>
    <w:p w14:paraId="1B495CA5" w14:textId="77777777" w:rsidR="003A2798" w:rsidRPr="009F0C73" w:rsidRDefault="003A2798" w:rsidP="003A2798">
      <w:pPr>
        <w:pStyle w:val="DHHSbullet1"/>
      </w:pPr>
      <w:r w:rsidRPr="009F0C73">
        <w:t>Consultation and liaison psychiatry</w:t>
      </w:r>
    </w:p>
    <w:p w14:paraId="6873EDDF" w14:textId="77777777" w:rsidR="003A2798" w:rsidRPr="009F0C73" w:rsidRDefault="003A2798" w:rsidP="003A2798">
      <w:pPr>
        <w:pStyle w:val="DHHSbullet1"/>
      </w:pPr>
      <w:r w:rsidRPr="009F0C73">
        <w:t>Community care units</w:t>
      </w:r>
    </w:p>
    <w:p w14:paraId="42796C3D" w14:textId="77777777" w:rsidR="003A2798" w:rsidRPr="009F0C73" w:rsidRDefault="003A2798" w:rsidP="003A2798">
      <w:pPr>
        <w:pStyle w:val="DHHSbullet1"/>
      </w:pPr>
      <w:r w:rsidRPr="009F0C73">
        <w:t>Prevention and recovery care (PARC)</w:t>
      </w:r>
    </w:p>
    <w:p w14:paraId="473A2D09" w14:textId="77777777" w:rsidR="003A2798" w:rsidRPr="009F0C73" w:rsidRDefault="003A2798" w:rsidP="003A2798">
      <w:pPr>
        <w:pStyle w:val="DHHSbullet1"/>
      </w:pPr>
      <w:r w:rsidRPr="009F0C73">
        <w:t>Early psychosis (16–25 years)</w:t>
      </w:r>
    </w:p>
    <w:p w14:paraId="1DDE9A0C" w14:textId="77777777" w:rsidR="003A2798" w:rsidRPr="009F0C73" w:rsidRDefault="003A2798" w:rsidP="003A2798">
      <w:pPr>
        <w:pStyle w:val="DHHSbullet1lastline"/>
      </w:pPr>
      <w:r w:rsidRPr="009F0C73">
        <w:t>Youth PARC (16–25 years)</w:t>
      </w:r>
    </w:p>
    <w:p w14:paraId="7FC887C9" w14:textId="77777777" w:rsidR="003A2798" w:rsidRPr="009F0C73" w:rsidRDefault="003A2798" w:rsidP="00276E7A">
      <w:pPr>
        <w:pStyle w:val="Heading3"/>
      </w:pPr>
      <w:r w:rsidRPr="009F0C73">
        <w:t xml:space="preserve">Aged persons services (65+ years) </w:t>
      </w:r>
    </w:p>
    <w:p w14:paraId="4B0E2A85" w14:textId="77777777" w:rsidR="003A2798" w:rsidRPr="009F0C73" w:rsidRDefault="003A2798" w:rsidP="003A2798">
      <w:pPr>
        <w:pStyle w:val="DHHSbullet1"/>
        <w:rPr>
          <w:rStyle w:val="A1"/>
          <w:rFonts w:ascii="Arial" w:hAnsi="Arial" w:cs="Times New Roman"/>
          <w:color w:val="auto"/>
          <w:sz w:val="20"/>
          <w:szCs w:val="20"/>
        </w:rPr>
      </w:pPr>
      <w:r w:rsidRPr="009F0C73">
        <w:rPr>
          <w:rStyle w:val="A1"/>
          <w:rFonts w:ascii="Arial" w:hAnsi="Arial" w:cs="Times New Roman"/>
          <w:color w:val="auto"/>
          <w:sz w:val="20"/>
          <w:szCs w:val="20"/>
        </w:rPr>
        <w:t>Acute inpatient services</w:t>
      </w:r>
    </w:p>
    <w:p w14:paraId="79821DEF" w14:textId="77777777" w:rsidR="003A2798" w:rsidRPr="009F0C73" w:rsidRDefault="003A2798" w:rsidP="003A2798">
      <w:pPr>
        <w:pStyle w:val="DHHSbullet1"/>
      </w:pPr>
      <w:r w:rsidRPr="009F0C73">
        <w:t xml:space="preserve">Aged persons mental health residential services </w:t>
      </w:r>
    </w:p>
    <w:p w14:paraId="0FC35010" w14:textId="77777777" w:rsidR="003A2798" w:rsidRPr="009F0C73" w:rsidRDefault="003A2798" w:rsidP="003A2798">
      <w:pPr>
        <w:pStyle w:val="DHHSbullet1lastline"/>
      </w:pPr>
      <w:r w:rsidRPr="009F0C73">
        <w:rPr>
          <w:rStyle w:val="A29"/>
          <w:rFonts w:cs="Times New Roman"/>
          <w:color w:val="auto"/>
        </w:rPr>
        <w:t>Aged persons mental health community teams</w:t>
      </w:r>
    </w:p>
    <w:p w14:paraId="52E34190" w14:textId="361629DE" w:rsidR="003A2798" w:rsidRPr="009F0C73" w:rsidRDefault="003A2798" w:rsidP="00276E7A">
      <w:pPr>
        <w:pStyle w:val="Heading2"/>
      </w:pPr>
      <w:bookmarkStart w:id="41" w:name="_Toc28340214"/>
      <w:r w:rsidRPr="009F0C73">
        <w:t>Statewide specialist services</w:t>
      </w:r>
      <w:bookmarkEnd w:id="41"/>
    </w:p>
    <w:p w14:paraId="735723A6" w14:textId="77777777" w:rsidR="003A2798" w:rsidRPr="009F0C73" w:rsidRDefault="003A2798" w:rsidP="003A2798">
      <w:pPr>
        <w:pStyle w:val="DHHSbullet1"/>
      </w:pPr>
      <w:r w:rsidRPr="009F0C73">
        <w:t>Aboriginal services</w:t>
      </w:r>
    </w:p>
    <w:p w14:paraId="70FF9E8C" w14:textId="77777777" w:rsidR="003A2798" w:rsidRPr="009F0C73" w:rsidRDefault="003A2798" w:rsidP="003A2798">
      <w:pPr>
        <w:pStyle w:val="DHHSbullet1"/>
      </w:pPr>
      <w:r w:rsidRPr="009F0C73">
        <w:t>Brain disorder services</w:t>
      </w:r>
    </w:p>
    <w:p w14:paraId="19725BD2" w14:textId="77777777" w:rsidR="003A2798" w:rsidRPr="009F0C73" w:rsidRDefault="003A2798" w:rsidP="003A2798">
      <w:pPr>
        <w:pStyle w:val="DHHSbullet1"/>
      </w:pPr>
      <w:r w:rsidRPr="009F0C73">
        <w:t>Dual diagnosis services</w:t>
      </w:r>
    </w:p>
    <w:p w14:paraId="53393D9C" w14:textId="77777777" w:rsidR="003A2798" w:rsidRPr="009F0C73" w:rsidRDefault="003A2798" w:rsidP="003A2798">
      <w:pPr>
        <w:pStyle w:val="DHHSbullet1"/>
      </w:pPr>
      <w:r w:rsidRPr="009F0C73">
        <w:t>Dual disability services</w:t>
      </w:r>
    </w:p>
    <w:p w14:paraId="55FD7DF6" w14:textId="77777777" w:rsidR="003A2798" w:rsidRPr="009F0C73" w:rsidRDefault="003A2798" w:rsidP="003A2798">
      <w:pPr>
        <w:pStyle w:val="DHHSbullet1"/>
      </w:pPr>
      <w:r w:rsidRPr="009F0C73">
        <w:t>Eating disorder services</w:t>
      </w:r>
    </w:p>
    <w:p w14:paraId="78D61C9B" w14:textId="77777777" w:rsidR="003A2798" w:rsidRPr="009F0C73" w:rsidRDefault="003A2798" w:rsidP="003A2798">
      <w:pPr>
        <w:pStyle w:val="DHHSbullet1"/>
      </w:pPr>
      <w:r w:rsidRPr="009F0C73">
        <w:t>Mother and baby services</w:t>
      </w:r>
    </w:p>
    <w:p w14:paraId="49146922" w14:textId="77777777" w:rsidR="003A2798" w:rsidRPr="009F0C73" w:rsidRDefault="003A2798" w:rsidP="003A2798">
      <w:pPr>
        <w:pStyle w:val="DHHSbullet1"/>
      </w:pPr>
      <w:r w:rsidRPr="009F0C73">
        <w:t>Neuropsychiatry</w:t>
      </w:r>
    </w:p>
    <w:p w14:paraId="2F121CE3" w14:textId="77777777" w:rsidR="003A2798" w:rsidRPr="009F0C73" w:rsidRDefault="003A2798" w:rsidP="003A2798">
      <w:pPr>
        <w:pStyle w:val="DHHSbullet1"/>
      </w:pPr>
      <w:r w:rsidRPr="009F0C73">
        <w:t>Personality disorder services</w:t>
      </w:r>
    </w:p>
    <w:p w14:paraId="64EAFAA4" w14:textId="77777777" w:rsidR="003A2798" w:rsidRPr="009F0C73" w:rsidRDefault="003A2798" w:rsidP="003A2798">
      <w:pPr>
        <w:pStyle w:val="DHHSbullet1"/>
      </w:pPr>
      <w:r w:rsidRPr="009F0C73">
        <w:t>Torture and trauma counselling</w:t>
      </w:r>
    </w:p>
    <w:p w14:paraId="259E5F0A" w14:textId="77777777" w:rsidR="003A2798" w:rsidRPr="009F0C73" w:rsidRDefault="003A2798" w:rsidP="003A2798">
      <w:pPr>
        <w:pStyle w:val="DHHSbullet1"/>
      </w:pPr>
      <w:r w:rsidRPr="009F0C73">
        <w:t>Victorian Institute of Forensic Mental Health (Forensicare)</w:t>
      </w:r>
    </w:p>
    <w:p w14:paraId="47B0C6F8" w14:textId="0B50E944" w:rsidR="003A2798" w:rsidRDefault="003A2798" w:rsidP="003A2798">
      <w:pPr>
        <w:pStyle w:val="DHHSbullet1"/>
      </w:pPr>
      <w:r w:rsidRPr="009F0C73">
        <w:t>Victorian Transcultural Mental Health</w:t>
      </w:r>
    </w:p>
    <w:p w14:paraId="76128278" w14:textId="55CA0A51" w:rsidR="00276E7A" w:rsidRDefault="00276E7A" w:rsidP="00276E7A">
      <w:pPr>
        <w:pStyle w:val="Heading2"/>
        <w:rPr>
          <w:lang w:eastAsia="en-AU"/>
        </w:rPr>
      </w:pPr>
      <w:bookmarkStart w:id="42" w:name="_Toc28340215"/>
      <w:r>
        <w:rPr>
          <w:lang w:eastAsia="en-AU"/>
        </w:rPr>
        <w:lastRenderedPageBreak/>
        <w:t>Mental health community support services</w:t>
      </w:r>
      <w:bookmarkEnd w:id="42"/>
    </w:p>
    <w:p w14:paraId="3A119159" w14:textId="1900B15A" w:rsidR="00276E7A" w:rsidRPr="00276E7A" w:rsidRDefault="00276E7A" w:rsidP="00276E7A">
      <w:pPr>
        <w:pStyle w:val="DHHSbody"/>
      </w:pPr>
      <w:r w:rsidRPr="00276E7A">
        <w:t>Services include individual support packages, youth and adult residential rehabilitation, supported</w:t>
      </w:r>
      <w:r>
        <w:t xml:space="preserve"> </w:t>
      </w:r>
      <w:r w:rsidRPr="00276E7A">
        <w:t>accommodation, planned respite, Aboriginal programs, mutual support, self-help and community</w:t>
      </w:r>
      <w:r>
        <w:t xml:space="preserve"> </w:t>
      </w:r>
      <w:r w:rsidRPr="00276E7A">
        <w:t>support services.</w:t>
      </w:r>
    </w:p>
    <w:bookmarkEnd w:id="39"/>
    <w:p w14:paraId="63CDE4BE" w14:textId="77777777" w:rsidR="003A2798" w:rsidRPr="009F0C73" w:rsidRDefault="003A2798" w:rsidP="003A2798">
      <w:pPr>
        <w:pStyle w:val="DHHStablefigurenote"/>
      </w:pPr>
      <w:r w:rsidRPr="009F0C73">
        <w:t>* Delivery of activities varies between area mental health services. Some services have separate teams for the various activities; others operate ‘integrated teams’ performing a number of different functions.</w:t>
      </w:r>
    </w:p>
    <w:p w14:paraId="6CCD4641" w14:textId="77777777" w:rsidR="003A2798" w:rsidRPr="009F0C73" w:rsidRDefault="003A2798" w:rsidP="003A2798">
      <w:pPr>
        <w:pStyle w:val="DHHStablefigurenote"/>
      </w:pPr>
      <w:r w:rsidRPr="009F0C73">
        <w:t>** All child and adolescent and adult services are expected to respond to the needs of youth (16–25 years).</w:t>
      </w:r>
    </w:p>
    <w:p w14:paraId="56CD47BC" w14:textId="77777777" w:rsidR="00893462" w:rsidRDefault="00893462">
      <w:pPr>
        <w:rPr>
          <w:rFonts w:ascii="Arial" w:eastAsia="Times" w:hAnsi="Arial"/>
        </w:rPr>
      </w:pPr>
      <w:r>
        <w:br w:type="page"/>
      </w:r>
    </w:p>
    <w:p w14:paraId="01EE9260" w14:textId="3F356936" w:rsidR="007B1263" w:rsidRDefault="00893462" w:rsidP="00AE0126">
      <w:pPr>
        <w:pStyle w:val="Heading1"/>
      </w:pPr>
      <w:bookmarkStart w:id="43" w:name="_Toc28340216"/>
      <w:r>
        <w:lastRenderedPageBreak/>
        <w:t>Abbreviations used in this report</w:t>
      </w:r>
      <w:bookmarkEnd w:id="43"/>
    </w:p>
    <w:p w14:paraId="40ABCBAB" w14:textId="76AF0BE2" w:rsidR="007B1263" w:rsidRDefault="007B1263" w:rsidP="007B1263">
      <w:pPr>
        <w:pStyle w:val="DHHSbody"/>
      </w:pPr>
      <w:r>
        <w:t xml:space="preserve">CAMHS </w:t>
      </w:r>
      <w:r w:rsidR="00893462">
        <w:tab/>
      </w:r>
      <w:r>
        <w:t>child and adolescent mental health services</w:t>
      </w:r>
    </w:p>
    <w:p w14:paraId="19B12748" w14:textId="3467DCA1" w:rsidR="007B1263" w:rsidRDefault="007B1263" w:rsidP="007B1263">
      <w:pPr>
        <w:pStyle w:val="DHHSbody"/>
      </w:pPr>
      <w:r>
        <w:t>CASEA</w:t>
      </w:r>
      <w:r>
        <w:tab/>
      </w:r>
      <w:r w:rsidR="00893462">
        <w:tab/>
      </w:r>
      <w:r>
        <w:t>Child and Adolescent Schools Early Action [program]</w:t>
      </w:r>
    </w:p>
    <w:p w14:paraId="3C3CA58F" w14:textId="0F87EC53" w:rsidR="007B1263" w:rsidRDefault="007B1263" w:rsidP="007B1263">
      <w:pPr>
        <w:pStyle w:val="DHHSbody"/>
      </w:pPr>
      <w:proofErr w:type="spellStart"/>
      <w:r>
        <w:t>FaPMI</w:t>
      </w:r>
      <w:proofErr w:type="spellEnd"/>
      <w:r>
        <w:tab/>
      </w:r>
      <w:r w:rsidR="00893462">
        <w:tab/>
      </w:r>
      <w:r>
        <w:t>Families where a Parent has a Mental Illness [program]</w:t>
      </w:r>
    </w:p>
    <w:p w14:paraId="7DA845D3" w14:textId="6C81EBD7" w:rsidR="007B1263" w:rsidRDefault="007B1263" w:rsidP="007B1263">
      <w:pPr>
        <w:pStyle w:val="DHHSbody"/>
      </w:pPr>
      <w:r>
        <w:t>GP</w:t>
      </w:r>
      <w:r>
        <w:tab/>
      </w:r>
      <w:r w:rsidR="00893462">
        <w:tab/>
      </w:r>
      <w:r>
        <w:t>general practitioner</w:t>
      </w:r>
    </w:p>
    <w:p w14:paraId="3B8B988D" w14:textId="4F418014" w:rsidR="007B1263" w:rsidRDefault="007B1263" w:rsidP="007B1263">
      <w:pPr>
        <w:pStyle w:val="DHHSbody"/>
      </w:pPr>
      <w:proofErr w:type="spellStart"/>
      <w:r>
        <w:t>HoNOS</w:t>
      </w:r>
      <w:proofErr w:type="spellEnd"/>
      <w:r>
        <w:tab/>
      </w:r>
      <w:r w:rsidR="00893462">
        <w:tab/>
      </w:r>
      <w:r>
        <w:t>Health of the Nation Outcomes Scales</w:t>
      </w:r>
    </w:p>
    <w:p w14:paraId="75683E73" w14:textId="1EDB6B8A" w:rsidR="007B1263" w:rsidRDefault="007B1263" w:rsidP="007B1263">
      <w:pPr>
        <w:pStyle w:val="DHHSbody"/>
      </w:pPr>
      <w:r>
        <w:t>HOPE</w:t>
      </w:r>
      <w:r>
        <w:tab/>
      </w:r>
      <w:r w:rsidR="00893462">
        <w:tab/>
      </w:r>
      <w:r>
        <w:t>Hospital Outreach Post-suicidal Engagement</w:t>
      </w:r>
    </w:p>
    <w:p w14:paraId="551653F7" w14:textId="2EA92302" w:rsidR="007B1263" w:rsidRDefault="007B1263" w:rsidP="007B1263">
      <w:pPr>
        <w:pStyle w:val="DHHSbody"/>
      </w:pPr>
      <w:r>
        <w:t>ISS</w:t>
      </w:r>
      <w:r>
        <w:tab/>
      </w:r>
      <w:r w:rsidR="00893462">
        <w:tab/>
      </w:r>
      <w:r>
        <w:t>Intensive Support Service</w:t>
      </w:r>
    </w:p>
    <w:p w14:paraId="54A01979" w14:textId="29B0DFAA" w:rsidR="007B1263" w:rsidRDefault="007B1263" w:rsidP="007B1263">
      <w:pPr>
        <w:pStyle w:val="DHHSbody"/>
      </w:pPr>
      <w:r>
        <w:t>LGBTI</w:t>
      </w:r>
      <w:r>
        <w:tab/>
      </w:r>
      <w:r w:rsidR="00893462">
        <w:tab/>
      </w:r>
      <w:r>
        <w:t>lesbian, gay, bisexual, transgender and intersex</w:t>
      </w:r>
    </w:p>
    <w:p w14:paraId="1CFE22A2" w14:textId="77777777" w:rsidR="007B1263" w:rsidRDefault="007B1263" w:rsidP="007B1263">
      <w:pPr>
        <w:pStyle w:val="DHHSbody"/>
      </w:pPr>
      <w:r>
        <w:t>MHCSS</w:t>
      </w:r>
      <w:r>
        <w:tab/>
        <w:t>mental health community support services</w:t>
      </w:r>
    </w:p>
    <w:p w14:paraId="1A969D1D" w14:textId="77777777" w:rsidR="00893462" w:rsidRDefault="007B1263" w:rsidP="007B1263">
      <w:pPr>
        <w:pStyle w:val="DHHSbody"/>
      </w:pPr>
      <w:r>
        <w:t>NDIA</w:t>
      </w:r>
      <w:r>
        <w:tab/>
      </w:r>
      <w:r w:rsidR="00893462">
        <w:tab/>
      </w:r>
      <w:r>
        <w:t xml:space="preserve">National Disability Insurance Agency </w:t>
      </w:r>
    </w:p>
    <w:p w14:paraId="78CDC900" w14:textId="77777777" w:rsidR="00893462" w:rsidRDefault="007B1263" w:rsidP="007B1263">
      <w:pPr>
        <w:pStyle w:val="DHHSbody"/>
      </w:pPr>
      <w:r>
        <w:t>NDIS</w:t>
      </w:r>
      <w:r>
        <w:tab/>
      </w:r>
      <w:r w:rsidR="00893462">
        <w:tab/>
      </w:r>
      <w:r>
        <w:t xml:space="preserve">National Disability Insurance Scheme </w:t>
      </w:r>
    </w:p>
    <w:p w14:paraId="5C835500" w14:textId="09A4F22D" w:rsidR="007B1263" w:rsidRDefault="007B1263" w:rsidP="007B1263">
      <w:pPr>
        <w:pStyle w:val="DHHSbody"/>
      </w:pPr>
      <w:r>
        <w:t>PARC</w:t>
      </w:r>
      <w:r>
        <w:tab/>
      </w:r>
      <w:r w:rsidR="00893462">
        <w:tab/>
      </w:r>
      <w:r>
        <w:t>prevention and recovery care</w:t>
      </w:r>
    </w:p>
    <w:p w14:paraId="3560CB06" w14:textId="17EB4E7D" w:rsidR="007B1263" w:rsidRDefault="007B1263" w:rsidP="007B1263">
      <w:pPr>
        <w:pStyle w:val="DHHSbody"/>
      </w:pPr>
      <w:r>
        <w:t>PHN</w:t>
      </w:r>
      <w:r>
        <w:tab/>
      </w:r>
      <w:r w:rsidR="00893462">
        <w:tab/>
      </w:r>
      <w:r>
        <w:t>Primary Health Network</w:t>
      </w:r>
    </w:p>
    <w:p w14:paraId="5D597FD7" w14:textId="392ED658" w:rsidR="007B1263" w:rsidRDefault="007B1263" w:rsidP="007B1263">
      <w:pPr>
        <w:pStyle w:val="DHHSbody"/>
      </w:pPr>
      <w:r>
        <w:t>VMIAC</w:t>
      </w:r>
      <w:r>
        <w:tab/>
      </w:r>
      <w:r w:rsidR="00893462">
        <w:tab/>
      </w:r>
      <w:r>
        <w:t>Victorian Mental Illness Awareness Council</w:t>
      </w:r>
    </w:p>
    <w:p w14:paraId="1A991451" w14:textId="77777777" w:rsidR="00893462" w:rsidRDefault="00893462">
      <w:pPr>
        <w:rPr>
          <w:rFonts w:ascii="Arial" w:eastAsia="Times" w:hAnsi="Arial"/>
        </w:rPr>
      </w:pPr>
      <w:r>
        <w:br w:type="page"/>
      </w:r>
    </w:p>
    <w:p w14:paraId="7C8945D6" w14:textId="70B9AFF9" w:rsidR="007B1263" w:rsidRDefault="00893462" w:rsidP="00893462">
      <w:pPr>
        <w:pStyle w:val="Heading1"/>
      </w:pPr>
      <w:bookmarkStart w:id="44" w:name="_Toc28340217"/>
      <w:r>
        <w:lastRenderedPageBreak/>
        <w:t>Endnotes</w:t>
      </w:r>
      <w:bookmarkEnd w:id="44"/>
    </w:p>
    <w:p w14:paraId="4441C182" w14:textId="3F8C4B6C" w:rsidR="007B1263" w:rsidRDefault="007B1263" w:rsidP="007B1263">
      <w:pPr>
        <w:pStyle w:val="DHHSbody"/>
      </w:pPr>
      <w:r>
        <w:t>1</w:t>
      </w:r>
      <w:r>
        <w:tab/>
        <w:t xml:space="preserve">Compulsory treatment is governed under </w:t>
      </w:r>
      <w:r w:rsidRPr="003F7650">
        <w:rPr>
          <w:i/>
        </w:rPr>
        <w:t>Victoria’s Mental Health Act 2014</w:t>
      </w:r>
      <w:r>
        <w:t>. Treatment orders are made where a person with a mental illness</w:t>
      </w:r>
      <w:r w:rsidR="00AE0126">
        <w:t xml:space="preserve"> </w:t>
      </w:r>
      <w:r>
        <w:t>needs immediate treatment to prevent serious deterioration in their mental or physical health, or to prevent serious harm to the person, or any other person.</w:t>
      </w:r>
    </w:p>
    <w:p w14:paraId="29A971D8" w14:textId="77777777" w:rsidR="007B1263" w:rsidRDefault="007B1263" w:rsidP="007B1263">
      <w:pPr>
        <w:pStyle w:val="DHHSbody"/>
      </w:pPr>
      <w:r>
        <w:t>2</w:t>
      </w:r>
      <w:r>
        <w:tab/>
        <w:t>In order to distinguish between clients requiring very long admissions and other clients, data on length of stay refers to stays under and over a certain number of days. For people requiring acute bed-based care, ‘trimmed length of stay’ refers to people who are admitted for a period of up to and including 35 days.</w:t>
      </w:r>
    </w:p>
    <w:p w14:paraId="6481283C" w14:textId="77777777" w:rsidR="007B1263" w:rsidRDefault="007B1263" w:rsidP="007B1263">
      <w:pPr>
        <w:pStyle w:val="DHHSbody"/>
      </w:pPr>
      <w:r>
        <w:t>3</w:t>
      </w:r>
      <w:r>
        <w:tab/>
        <w:t>This data was affected by industrial activity during the year. The collection of non-clinical and administrative data was affected, with impacts on the recording of community mental health service activity and client outcome measures.</w:t>
      </w:r>
    </w:p>
    <w:p w14:paraId="49F16B8D" w14:textId="709C3CD4" w:rsidR="007B1263" w:rsidRDefault="007B1263" w:rsidP="007B1263">
      <w:pPr>
        <w:pStyle w:val="DHHSbody"/>
      </w:pPr>
      <w:r>
        <w:t>4</w:t>
      </w:r>
      <w:r>
        <w:tab/>
        <w:t>This data may have been affected by industrial activity during the year. The collection of non-clinical and administrative data was affected, with impacts on community mental health service activity and client outcome measures.</w:t>
      </w:r>
    </w:p>
    <w:p w14:paraId="07AC27BA" w14:textId="4E703E62" w:rsidR="007B1263" w:rsidRDefault="007B1263" w:rsidP="007B1263">
      <w:pPr>
        <w:pStyle w:val="DHHSbody"/>
      </w:pPr>
      <w:r>
        <w:t>5</w:t>
      </w:r>
      <w:r>
        <w:tab/>
        <w:t xml:space="preserve">National Mental Health Commission, </w:t>
      </w:r>
      <w:r w:rsidRPr="003F7650">
        <w:rPr>
          <w:i/>
        </w:rPr>
        <w:t>Equally Well Consensus Statement: Improving the physical health and wellbeing of people living</w:t>
      </w:r>
      <w:r w:rsidR="00AE0126" w:rsidRPr="003F7650">
        <w:rPr>
          <w:i/>
        </w:rPr>
        <w:t xml:space="preserve"> </w:t>
      </w:r>
      <w:r w:rsidRPr="003F7650">
        <w:rPr>
          <w:i/>
        </w:rPr>
        <w:t>with mental illness in Australia</w:t>
      </w:r>
      <w:r>
        <w:t xml:space="preserve">, Sydney NMHC, 2016. Victoria Institute of Strategic Economic Studies 2016, </w:t>
      </w:r>
      <w:r w:rsidRPr="003F7650">
        <w:rPr>
          <w:i/>
        </w:rPr>
        <w:t>The economic cost of serious mental illness and comorbidities in Australia and New Zealand</w:t>
      </w:r>
      <w:r>
        <w:t>, Royal Australian and New Zealand College of Psychiatrists, Melbourne.</w:t>
      </w:r>
    </w:p>
    <w:p w14:paraId="727CB98C" w14:textId="77777777" w:rsidR="007B1263" w:rsidRDefault="007B1263" w:rsidP="007B1263">
      <w:pPr>
        <w:pStyle w:val="DHHSbody"/>
      </w:pPr>
      <w:r>
        <w:t>6</w:t>
      </w:r>
      <w:r>
        <w:tab/>
        <w:t>The data relating to diabetes and tobacco is based on registered mental health clients who have had a hospital admission (for any cause) during the year.</w:t>
      </w:r>
    </w:p>
    <w:p w14:paraId="35E72BCB" w14:textId="2EC3147B" w:rsidR="007B1263" w:rsidRDefault="007B1263" w:rsidP="007B1263">
      <w:pPr>
        <w:pStyle w:val="DHHSbody"/>
      </w:pPr>
      <w:r>
        <w:t>7</w:t>
      </w:r>
      <w:r>
        <w:tab/>
        <w:t xml:space="preserve">Department of Health and Human Services 2017, </w:t>
      </w:r>
      <w:r w:rsidRPr="003F7650">
        <w:rPr>
          <w:i/>
        </w:rPr>
        <w:t>Victorian Population Health Survey 2015: Selected survey ﬁndings</w:t>
      </w:r>
      <w:r>
        <w:t>, State of Victoria, Melbourne available at &lt;https://www2.health.vic.gov.au/ public-health/population-health-systems/health-status-of-victorians/survey-data-and-reports/victorian-population-health-survey/victorian-population-health-survey-2015 accessed 20 July 2017&gt;.</w:t>
      </w:r>
    </w:p>
    <w:p w14:paraId="0087CF03" w14:textId="407940BE" w:rsidR="007B1263" w:rsidRDefault="007B1263" w:rsidP="007B1263">
      <w:pPr>
        <w:pStyle w:val="DHHSbody"/>
      </w:pPr>
      <w:r>
        <w:t>8</w:t>
      </w:r>
      <w:r>
        <w:tab/>
        <w:t>For registered clients aged 15</w:t>
      </w:r>
      <w:r w:rsidR="00AE0126">
        <w:t>–</w:t>
      </w:r>
      <w:r>
        <w:t xml:space="preserve">19 years, the smoking rate is 26.6 per cent. In the general population both 12–17 and 18–19 year </w:t>
      </w:r>
      <w:proofErr w:type="spellStart"/>
      <w:r>
        <w:t>olds</w:t>
      </w:r>
      <w:proofErr w:type="spellEnd"/>
      <w:r>
        <w:t xml:space="preserve"> have reported signiﬁcant declines in daily smoking between 2013 and 2016 (from 3.4 per cent to 1.5 per cent and 10.8 per cent to 4.6 per cent respectively). The daily smoking rate for teenagers has declined by approximately 80 per cent since 2001.</w:t>
      </w:r>
    </w:p>
    <w:p w14:paraId="36C988EB" w14:textId="06B59BC8" w:rsidR="007B1263" w:rsidRDefault="007B1263" w:rsidP="007B1263">
      <w:pPr>
        <w:pStyle w:val="DHHSbody"/>
      </w:pPr>
      <w:r>
        <w:t>9</w:t>
      </w:r>
      <w:r>
        <w:tab/>
        <w:t>The Victorian Population Health Survey does not record tobacco information relating to people aged under 18 years, hence national data has been used. See &lt;http://www.aihw.gov.au/alcohol-and-other-drugs/data-sources/ndshs-2016/ tobacco/&gt;.</w:t>
      </w:r>
    </w:p>
    <w:sectPr w:rsidR="007B1263" w:rsidSect="004E24F2">
      <w:headerReference w:type="default" r:id="rId19"/>
      <w:pgSz w:w="11906" w:h="16838"/>
      <w:pgMar w:top="1699" w:right="1310" w:bottom="1138" w:left="131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1626" w14:textId="77777777" w:rsidR="0028342A" w:rsidRDefault="0028342A">
      <w:r>
        <w:separator/>
      </w:r>
    </w:p>
  </w:endnote>
  <w:endnote w:type="continuationSeparator" w:id="0">
    <w:p w14:paraId="3C2A886D" w14:textId="77777777" w:rsidR="0028342A" w:rsidRDefault="0028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VIC">
    <w:altName w:val="VIC"/>
    <w:panose1 w:val="00000500000000000000"/>
    <w:charset w:val="00"/>
    <w:family w:val="auto"/>
    <w:pitch w:val="variable"/>
    <w:sig w:usb0="00000007" w:usb1="00000000" w:usb2="00000000" w:usb3="00000000" w:csb0="00000093" w:csb1="00000000"/>
  </w:font>
  <w:font w:name="VIC-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A009" w14:textId="601A2DD9" w:rsidR="0028342A" w:rsidRDefault="0028342A" w:rsidP="008F2D2C">
    <w:pPr>
      <w:pStyle w:val="DHHSfooter"/>
    </w:pPr>
    <w:r>
      <w:t xml:space="preserve">Page </w:t>
    </w:r>
    <w:r w:rsidRPr="005A39EC">
      <w:fldChar w:fldCharType="begin"/>
    </w:r>
    <w:r w:rsidRPr="005A39EC">
      <w:instrText xml:space="preserve"> PAGE </w:instrText>
    </w:r>
    <w:r w:rsidRPr="005A39EC">
      <w:fldChar w:fldCharType="separate"/>
    </w:r>
    <w:r>
      <w:t>22</w:t>
    </w:r>
    <w:r w:rsidRPr="005A39EC">
      <w:fldChar w:fldCharType="end"/>
    </w:r>
    <w:r>
      <w:tab/>
    </w:r>
    <w:r w:rsidRPr="00242534">
      <w:t>Victoria’s mental health services annual report 201</w:t>
    </w:r>
    <w:r>
      <w:t>6</w:t>
    </w:r>
    <w:r w:rsidRPr="00242534">
      <w:t>–1</w:t>
    </w:r>
    <w: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AD7D" w14:textId="2BE41DD4" w:rsidR="0028342A" w:rsidRDefault="0028342A" w:rsidP="008F2D2C">
    <w:pPr>
      <w:pStyle w:val="DHHSfooter"/>
    </w:pPr>
    <w:r w:rsidRPr="00242534">
      <w:t>Victoria’s mental health services annual report 201</w:t>
    </w:r>
    <w:r>
      <w:t>6</w:t>
    </w:r>
    <w:r w:rsidRPr="00242534">
      <w:t>–1</w:t>
    </w:r>
    <w:r>
      <w:t>7</w:t>
    </w:r>
    <w:r w:rsidRPr="0031753A">
      <w:tab/>
      <w:t xml:space="preserve">Page </w:t>
    </w:r>
    <w:r w:rsidRPr="0031753A">
      <w:fldChar w:fldCharType="begin"/>
    </w:r>
    <w:r w:rsidRPr="0031753A">
      <w:instrText xml:space="preserve"> PAGE </w:instrText>
    </w:r>
    <w:r w:rsidRPr="0031753A">
      <w:fldChar w:fldCharType="separate"/>
    </w:r>
    <w:r>
      <w:t>21</w:t>
    </w:r>
    <w:r w:rsidRPr="0031753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A5CAC" w14:textId="77777777" w:rsidR="0028342A" w:rsidRDefault="0028342A">
      <w:r>
        <w:separator/>
      </w:r>
    </w:p>
  </w:footnote>
  <w:footnote w:type="continuationSeparator" w:id="0">
    <w:p w14:paraId="3DBDDC12" w14:textId="77777777" w:rsidR="0028342A" w:rsidRDefault="0028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756B" w14:textId="77777777" w:rsidR="0028342A" w:rsidRDefault="0028342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70A"/>
    <w:multiLevelType w:val="hybridMultilevel"/>
    <w:tmpl w:val="C67E774E"/>
    <w:lvl w:ilvl="0" w:tplc="555C047E">
      <w:start w:val="5"/>
      <w:numFmt w:val="decimal"/>
      <w:lvlText w:val="%1."/>
      <w:lvlJc w:val="left"/>
      <w:pPr>
        <w:ind w:left="461" w:hanging="341"/>
      </w:pPr>
      <w:rPr>
        <w:rFonts w:ascii="Trebuchet MS" w:eastAsia="Trebuchet MS" w:hAnsi="Trebuchet MS" w:cs="Trebuchet MS" w:hint="default"/>
        <w:color w:val="231F20"/>
        <w:spacing w:val="-1"/>
        <w:w w:val="85"/>
        <w:sz w:val="18"/>
        <w:szCs w:val="18"/>
      </w:rPr>
    </w:lvl>
    <w:lvl w:ilvl="1" w:tplc="9C46C04C">
      <w:numFmt w:val="bullet"/>
      <w:lvlText w:val="•"/>
      <w:lvlJc w:val="left"/>
      <w:pPr>
        <w:ind w:left="1173" w:hanging="341"/>
      </w:pPr>
    </w:lvl>
    <w:lvl w:ilvl="2" w:tplc="DBE0E422">
      <w:numFmt w:val="bullet"/>
      <w:lvlText w:val="•"/>
      <w:lvlJc w:val="left"/>
      <w:pPr>
        <w:ind w:left="1887" w:hanging="341"/>
      </w:pPr>
    </w:lvl>
    <w:lvl w:ilvl="3" w:tplc="783C1D58">
      <w:numFmt w:val="bullet"/>
      <w:lvlText w:val="•"/>
      <w:lvlJc w:val="left"/>
      <w:pPr>
        <w:ind w:left="2600" w:hanging="341"/>
      </w:pPr>
    </w:lvl>
    <w:lvl w:ilvl="4" w:tplc="0A1A0A8A">
      <w:numFmt w:val="bullet"/>
      <w:lvlText w:val="•"/>
      <w:lvlJc w:val="left"/>
      <w:pPr>
        <w:ind w:left="3314" w:hanging="341"/>
      </w:pPr>
    </w:lvl>
    <w:lvl w:ilvl="5" w:tplc="8AFEBA9A">
      <w:numFmt w:val="bullet"/>
      <w:lvlText w:val="•"/>
      <w:lvlJc w:val="left"/>
      <w:pPr>
        <w:ind w:left="4027" w:hanging="341"/>
      </w:pPr>
    </w:lvl>
    <w:lvl w:ilvl="6" w:tplc="4FA60F58">
      <w:numFmt w:val="bullet"/>
      <w:lvlText w:val="•"/>
      <w:lvlJc w:val="left"/>
      <w:pPr>
        <w:ind w:left="4741" w:hanging="341"/>
      </w:pPr>
    </w:lvl>
    <w:lvl w:ilvl="7" w:tplc="E1A624B4">
      <w:numFmt w:val="bullet"/>
      <w:lvlText w:val="•"/>
      <w:lvlJc w:val="left"/>
      <w:pPr>
        <w:ind w:left="5454" w:hanging="341"/>
      </w:pPr>
    </w:lvl>
    <w:lvl w:ilvl="8" w:tplc="91722A8E">
      <w:numFmt w:val="bullet"/>
      <w:lvlText w:val="•"/>
      <w:lvlJc w:val="left"/>
      <w:pPr>
        <w:ind w:left="6168" w:hanging="341"/>
      </w:pPr>
    </w:lvl>
  </w:abstractNum>
  <w:abstractNum w:abstractNumId="1" w15:restartNumberingAfterBreak="0">
    <w:nsid w:val="0E6C7516"/>
    <w:multiLevelType w:val="hybridMultilevel"/>
    <w:tmpl w:val="3ED0138A"/>
    <w:lvl w:ilvl="0" w:tplc="F8D6CB08">
      <w:numFmt w:val="bullet"/>
      <w:lvlText w:val="•"/>
      <w:lvlJc w:val="left"/>
      <w:pPr>
        <w:ind w:left="365" w:hanging="227"/>
      </w:pPr>
      <w:rPr>
        <w:rFonts w:ascii="Lucida Sans" w:eastAsia="Lucida Sans" w:hAnsi="Lucida Sans" w:cs="Lucida Sans" w:hint="default"/>
        <w:color w:val="231F20"/>
        <w:w w:val="64"/>
        <w:sz w:val="19"/>
        <w:szCs w:val="19"/>
        <w:lang w:val="en-US" w:eastAsia="en-US" w:bidi="en-US"/>
      </w:rPr>
    </w:lvl>
    <w:lvl w:ilvl="1" w:tplc="8372146A">
      <w:numFmt w:val="bullet"/>
      <w:lvlText w:val="•"/>
      <w:lvlJc w:val="left"/>
      <w:pPr>
        <w:ind w:left="820" w:hanging="227"/>
      </w:pPr>
      <w:rPr>
        <w:rFonts w:hint="default"/>
        <w:lang w:val="en-US" w:eastAsia="en-US" w:bidi="en-US"/>
      </w:rPr>
    </w:lvl>
    <w:lvl w:ilvl="2" w:tplc="91A045CC">
      <w:numFmt w:val="bullet"/>
      <w:lvlText w:val="•"/>
      <w:lvlJc w:val="left"/>
      <w:pPr>
        <w:ind w:left="1280" w:hanging="227"/>
      </w:pPr>
      <w:rPr>
        <w:rFonts w:hint="default"/>
        <w:lang w:val="en-US" w:eastAsia="en-US" w:bidi="en-US"/>
      </w:rPr>
    </w:lvl>
    <w:lvl w:ilvl="3" w:tplc="0B8EAF2A">
      <w:numFmt w:val="bullet"/>
      <w:lvlText w:val="•"/>
      <w:lvlJc w:val="left"/>
      <w:pPr>
        <w:ind w:left="1740" w:hanging="227"/>
      </w:pPr>
      <w:rPr>
        <w:rFonts w:hint="default"/>
        <w:lang w:val="en-US" w:eastAsia="en-US" w:bidi="en-US"/>
      </w:rPr>
    </w:lvl>
    <w:lvl w:ilvl="4" w:tplc="5A70EAC0">
      <w:numFmt w:val="bullet"/>
      <w:lvlText w:val="•"/>
      <w:lvlJc w:val="left"/>
      <w:pPr>
        <w:ind w:left="2200" w:hanging="227"/>
      </w:pPr>
      <w:rPr>
        <w:rFonts w:hint="default"/>
        <w:lang w:val="en-US" w:eastAsia="en-US" w:bidi="en-US"/>
      </w:rPr>
    </w:lvl>
    <w:lvl w:ilvl="5" w:tplc="7AF8ECCC">
      <w:numFmt w:val="bullet"/>
      <w:lvlText w:val="•"/>
      <w:lvlJc w:val="left"/>
      <w:pPr>
        <w:ind w:left="2660" w:hanging="227"/>
      </w:pPr>
      <w:rPr>
        <w:rFonts w:hint="default"/>
        <w:lang w:val="en-US" w:eastAsia="en-US" w:bidi="en-US"/>
      </w:rPr>
    </w:lvl>
    <w:lvl w:ilvl="6" w:tplc="08EA63CA">
      <w:numFmt w:val="bullet"/>
      <w:lvlText w:val="•"/>
      <w:lvlJc w:val="left"/>
      <w:pPr>
        <w:ind w:left="3120" w:hanging="227"/>
      </w:pPr>
      <w:rPr>
        <w:rFonts w:hint="default"/>
        <w:lang w:val="en-US" w:eastAsia="en-US" w:bidi="en-US"/>
      </w:rPr>
    </w:lvl>
    <w:lvl w:ilvl="7" w:tplc="C2C0BC7C">
      <w:numFmt w:val="bullet"/>
      <w:lvlText w:val="•"/>
      <w:lvlJc w:val="left"/>
      <w:pPr>
        <w:ind w:left="3580" w:hanging="227"/>
      </w:pPr>
      <w:rPr>
        <w:rFonts w:hint="default"/>
        <w:lang w:val="en-US" w:eastAsia="en-US" w:bidi="en-US"/>
      </w:rPr>
    </w:lvl>
    <w:lvl w:ilvl="8" w:tplc="78CEF538">
      <w:numFmt w:val="bullet"/>
      <w:lvlText w:val="•"/>
      <w:lvlJc w:val="left"/>
      <w:pPr>
        <w:ind w:left="4040" w:hanging="227"/>
      </w:pPr>
      <w:rPr>
        <w:rFonts w:hint="default"/>
        <w:lang w:val="en-US" w:eastAsia="en-US" w:bidi="en-US"/>
      </w:rPr>
    </w:lvl>
  </w:abstractNum>
  <w:abstractNum w:abstractNumId="2" w15:restartNumberingAfterBreak="0">
    <w:nsid w:val="0F141AB6"/>
    <w:multiLevelType w:val="hybridMultilevel"/>
    <w:tmpl w:val="D06AF3A8"/>
    <w:lvl w:ilvl="0" w:tplc="FDA8B19E">
      <w:start w:val="13"/>
      <w:numFmt w:val="decimal"/>
      <w:lvlText w:val="%1."/>
      <w:lvlJc w:val="left"/>
      <w:pPr>
        <w:ind w:left="461" w:hanging="341"/>
      </w:pPr>
      <w:rPr>
        <w:rFonts w:ascii="Lucida Sans" w:eastAsia="Lucida Sans" w:hAnsi="Lucida Sans" w:cs="Lucida Sans" w:hint="default"/>
        <w:color w:val="231F20"/>
        <w:spacing w:val="-2"/>
        <w:w w:val="56"/>
        <w:sz w:val="18"/>
        <w:szCs w:val="18"/>
        <w:lang w:val="en-US" w:eastAsia="en-US" w:bidi="en-US"/>
      </w:rPr>
    </w:lvl>
    <w:lvl w:ilvl="1" w:tplc="70E8CF98">
      <w:numFmt w:val="bullet"/>
      <w:lvlText w:val="•"/>
      <w:lvlJc w:val="left"/>
      <w:pPr>
        <w:ind w:left="1173" w:hanging="341"/>
      </w:pPr>
      <w:rPr>
        <w:rFonts w:hint="default"/>
        <w:lang w:val="en-US" w:eastAsia="en-US" w:bidi="en-US"/>
      </w:rPr>
    </w:lvl>
    <w:lvl w:ilvl="2" w:tplc="8A1A7B1A">
      <w:numFmt w:val="bullet"/>
      <w:lvlText w:val="•"/>
      <w:lvlJc w:val="left"/>
      <w:pPr>
        <w:ind w:left="1887" w:hanging="341"/>
      </w:pPr>
      <w:rPr>
        <w:rFonts w:hint="default"/>
        <w:lang w:val="en-US" w:eastAsia="en-US" w:bidi="en-US"/>
      </w:rPr>
    </w:lvl>
    <w:lvl w:ilvl="3" w:tplc="3156378A">
      <w:numFmt w:val="bullet"/>
      <w:lvlText w:val="•"/>
      <w:lvlJc w:val="left"/>
      <w:pPr>
        <w:ind w:left="2600" w:hanging="341"/>
      </w:pPr>
      <w:rPr>
        <w:rFonts w:hint="default"/>
        <w:lang w:val="en-US" w:eastAsia="en-US" w:bidi="en-US"/>
      </w:rPr>
    </w:lvl>
    <w:lvl w:ilvl="4" w:tplc="21AAD13A">
      <w:numFmt w:val="bullet"/>
      <w:lvlText w:val="•"/>
      <w:lvlJc w:val="left"/>
      <w:pPr>
        <w:ind w:left="3314" w:hanging="341"/>
      </w:pPr>
      <w:rPr>
        <w:rFonts w:hint="default"/>
        <w:lang w:val="en-US" w:eastAsia="en-US" w:bidi="en-US"/>
      </w:rPr>
    </w:lvl>
    <w:lvl w:ilvl="5" w:tplc="40127960">
      <w:numFmt w:val="bullet"/>
      <w:lvlText w:val="•"/>
      <w:lvlJc w:val="left"/>
      <w:pPr>
        <w:ind w:left="4027" w:hanging="341"/>
      </w:pPr>
      <w:rPr>
        <w:rFonts w:hint="default"/>
        <w:lang w:val="en-US" w:eastAsia="en-US" w:bidi="en-US"/>
      </w:rPr>
    </w:lvl>
    <w:lvl w:ilvl="6" w:tplc="BA1C5EBA">
      <w:numFmt w:val="bullet"/>
      <w:lvlText w:val="•"/>
      <w:lvlJc w:val="left"/>
      <w:pPr>
        <w:ind w:left="4741" w:hanging="341"/>
      </w:pPr>
      <w:rPr>
        <w:rFonts w:hint="default"/>
        <w:lang w:val="en-US" w:eastAsia="en-US" w:bidi="en-US"/>
      </w:rPr>
    </w:lvl>
    <w:lvl w:ilvl="7" w:tplc="5E9E4B02">
      <w:numFmt w:val="bullet"/>
      <w:lvlText w:val="•"/>
      <w:lvlJc w:val="left"/>
      <w:pPr>
        <w:ind w:left="5454" w:hanging="341"/>
      </w:pPr>
      <w:rPr>
        <w:rFonts w:hint="default"/>
        <w:lang w:val="en-US" w:eastAsia="en-US" w:bidi="en-US"/>
      </w:rPr>
    </w:lvl>
    <w:lvl w:ilvl="8" w:tplc="FC4A485E">
      <w:numFmt w:val="bullet"/>
      <w:lvlText w:val="•"/>
      <w:lvlJc w:val="left"/>
      <w:pPr>
        <w:ind w:left="6168" w:hanging="341"/>
      </w:pPr>
      <w:rPr>
        <w:rFonts w:hint="default"/>
        <w:lang w:val="en-US" w:eastAsia="en-US" w:bidi="en-US"/>
      </w:rPr>
    </w:lvl>
  </w:abstractNum>
  <w:abstractNum w:abstractNumId="3" w15:restartNumberingAfterBreak="0">
    <w:nsid w:val="111748F2"/>
    <w:multiLevelType w:val="hybridMultilevel"/>
    <w:tmpl w:val="500433AE"/>
    <w:lvl w:ilvl="0" w:tplc="0BD8C3FA">
      <w:numFmt w:val="bullet"/>
      <w:lvlText w:val="•"/>
      <w:lvlJc w:val="left"/>
      <w:pPr>
        <w:ind w:left="276" w:hanging="227"/>
      </w:pPr>
      <w:rPr>
        <w:rFonts w:ascii="Lucida Sans" w:eastAsia="Lucida Sans" w:hAnsi="Lucida Sans" w:cs="Lucida Sans" w:hint="default"/>
        <w:color w:val="231F20"/>
        <w:w w:val="62"/>
        <w:sz w:val="19"/>
        <w:szCs w:val="19"/>
        <w:lang w:val="en-US" w:eastAsia="en-US" w:bidi="en-US"/>
      </w:rPr>
    </w:lvl>
    <w:lvl w:ilvl="1" w:tplc="F25A0ED8">
      <w:numFmt w:val="bullet"/>
      <w:lvlText w:val="•"/>
      <w:lvlJc w:val="left"/>
      <w:pPr>
        <w:ind w:left="754" w:hanging="227"/>
      </w:pPr>
      <w:rPr>
        <w:rFonts w:hint="default"/>
        <w:lang w:val="en-US" w:eastAsia="en-US" w:bidi="en-US"/>
      </w:rPr>
    </w:lvl>
    <w:lvl w:ilvl="2" w:tplc="EC0ADFD8">
      <w:numFmt w:val="bullet"/>
      <w:lvlText w:val="•"/>
      <w:lvlJc w:val="left"/>
      <w:pPr>
        <w:ind w:left="1229" w:hanging="227"/>
      </w:pPr>
      <w:rPr>
        <w:rFonts w:hint="default"/>
        <w:lang w:val="en-US" w:eastAsia="en-US" w:bidi="en-US"/>
      </w:rPr>
    </w:lvl>
    <w:lvl w:ilvl="3" w:tplc="214820BE">
      <w:numFmt w:val="bullet"/>
      <w:lvlText w:val="•"/>
      <w:lvlJc w:val="left"/>
      <w:pPr>
        <w:ind w:left="1703" w:hanging="227"/>
      </w:pPr>
      <w:rPr>
        <w:rFonts w:hint="default"/>
        <w:lang w:val="en-US" w:eastAsia="en-US" w:bidi="en-US"/>
      </w:rPr>
    </w:lvl>
    <w:lvl w:ilvl="4" w:tplc="84789452">
      <w:numFmt w:val="bullet"/>
      <w:lvlText w:val="•"/>
      <w:lvlJc w:val="left"/>
      <w:pPr>
        <w:ind w:left="2178" w:hanging="227"/>
      </w:pPr>
      <w:rPr>
        <w:rFonts w:hint="default"/>
        <w:lang w:val="en-US" w:eastAsia="en-US" w:bidi="en-US"/>
      </w:rPr>
    </w:lvl>
    <w:lvl w:ilvl="5" w:tplc="9C5CE748">
      <w:numFmt w:val="bullet"/>
      <w:lvlText w:val="•"/>
      <w:lvlJc w:val="left"/>
      <w:pPr>
        <w:ind w:left="2653" w:hanging="227"/>
      </w:pPr>
      <w:rPr>
        <w:rFonts w:hint="default"/>
        <w:lang w:val="en-US" w:eastAsia="en-US" w:bidi="en-US"/>
      </w:rPr>
    </w:lvl>
    <w:lvl w:ilvl="6" w:tplc="35DEF8D4">
      <w:numFmt w:val="bullet"/>
      <w:lvlText w:val="•"/>
      <w:lvlJc w:val="left"/>
      <w:pPr>
        <w:ind w:left="3127" w:hanging="227"/>
      </w:pPr>
      <w:rPr>
        <w:rFonts w:hint="default"/>
        <w:lang w:val="en-US" w:eastAsia="en-US" w:bidi="en-US"/>
      </w:rPr>
    </w:lvl>
    <w:lvl w:ilvl="7" w:tplc="8E8E871C">
      <w:numFmt w:val="bullet"/>
      <w:lvlText w:val="•"/>
      <w:lvlJc w:val="left"/>
      <w:pPr>
        <w:ind w:left="3602" w:hanging="227"/>
      </w:pPr>
      <w:rPr>
        <w:rFonts w:hint="default"/>
        <w:lang w:val="en-US" w:eastAsia="en-US" w:bidi="en-US"/>
      </w:rPr>
    </w:lvl>
    <w:lvl w:ilvl="8" w:tplc="DFE4C8C6">
      <w:numFmt w:val="bullet"/>
      <w:lvlText w:val="•"/>
      <w:lvlJc w:val="left"/>
      <w:pPr>
        <w:ind w:left="4076" w:hanging="227"/>
      </w:pPr>
      <w:rPr>
        <w:rFonts w:hint="default"/>
        <w:lang w:val="en-US" w:eastAsia="en-US" w:bidi="en-US"/>
      </w:rPr>
    </w:lvl>
  </w:abstractNum>
  <w:abstractNum w:abstractNumId="4" w15:restartNumberingAfterBreak="0">
    <w:nsid w:val="1762349E"/>
    <w:multiLevelType w:val="hybridMultilevel"/>
    <w:tmpl w:val="7D10527E"/>
    <w:lvl w:ilvl="0" w:tplc="FD843C04">
      <w:numFmt w:val="bullet"/>
      <w:lvlText w:val="–"/>
      <w:lvlJc w:val="left"/>
      <w:pPr>
        <w:ind w:left="681" w:hanging="164"/>
      </w:pPr>
      <w:rPr>
        <w:rFonts w:ascii="Lucida Sans" w:eastAsia="Lucida Sans" w:hAnsi="Lucida Sans" w:cs="Lucida Sans" w:hint="default"/>
        <w:color w:val="231F20"/>
        <w:w w:val="124"/>
        <w:sz w:val="19"/>
        <w:szCs w:val="19"/>
        <w:lang w:val="en-US" w:eastAsia="en-US" w:bidi="en-US"/>
      </w:rPr>
    </w:lvl>
    <w:lvl w:ilvl="1" w:tplc="E8A82BFC">
      <w:numFmt w:val="bullet"/>
      <w:lvlText w:val="•"/>
      <w:lvlJc w:val="left"/>
      <w:pPr>
        <w:ind w:left="1076" w:hanging="227"/>
      </w:pPr>
      <w:rPr>
        <w:rFonts w:ascii="Lucida Sans" w:eastAsia="Lucida Sans" w:hAnsi="Lucida Sans" w:cs="Lucida Sans" w:hint="default"/>
        <w:color w:val="231F20"/>
        <w:w w:val="62"/>
        <w:sz w:val="19"/>
        <w:szCs w:val="19"/>
        <w:lang w:val="en-US" w:eastAsia="en-US" w:bidi="en-US"/>
      </w:rPr>
    </w:lvl>
    <w:lvl w:ilvl="2" w:tplc="B4C20DA6">
      <w:numFmt w:val="bullet"/>
      <w:lvlText w:val="•"/>
      <w:lvlJc w:val="left"/>
      <w:pPr>
        <w:ind w:left="933" w:hanging="227"/>
      </w:pPr>
      <w:rPr>
        <w:rFonts w:hint="default"/>
        <w:lang w:val="en-US" w:eastAsia="en-US" w:bidi="en-US"/>
      </w:rPr>
    </w:lvl>
    <w:lvl w:ilvl="3" w:tplc="E644534C">
      <w:numFmt w:val="bullet"/>
      <w:lvlText w:val="•"/>
      <w:lvlJc w:val="left"/>
      <w:pPr>
        <w:ind w:left="787" w:hanging="227"/>
      </w:pPr>
      <w:rPr>
        <w:rFonts w:hint="default"/>
        <w:lang w:val="en-US" w:eastAsia="en-US" w:bidi="en-US"/>
      </w:rPr>
    </w:lvl>
    <w:lvl w:ilvl="4" w:tplc="0B8081AC">
      <w:numFmt w:val="bullet"/>
      <w:lvlText w:val="•"/>
      <w:lvlJc w:val="left"/>
      <w:pPr>
        <w:ind w:left="641" w:hanging="227"/>
      </w:pPr>
      <w:rPr>
        <w:rFonts w:hint="default"/>
        <w:lang w:val="en-US" w:eastAsia="en-US" w:bidi="en-US"/>
      </w:rPr>
    </w:lvl>
    <w:lvl w:ilvl="5" w:tplc="4B5ECA54">
      <w:numFmt w:val="bullet"/>
      <w:lvlText w:val="•"/>
      <w:lvlJc w:val="left"/>
      <w:pPr>
        <w:ind w:left="494" w:hanging="227"/>
      </w:pPr>
      <w:rPr>
        <w:rFonts w:hint="default"/>
        <w:lang w:val="en-US" w:eastAsia="en-US" w:bidi="en-US"/>
      </w:rPr>
    </w:lvl>
    <w:lvl w:ilvl="6" w:tplc="7F043EBC">
      <w:numFmt w:val="bullet"/>
      <w:lvlText w:val="•"/>
      <w:lvlJc w:val="left"/>
      <w:pPr>
        <w:ind w:left="348" w:hanging="227"/>
      </w:pPr>
      <w:rPr>
        <w:rFonts w:hint="default"/>
        <w:lang w:val="en-US" w:eastAsia="en-US" w:bidi="en-US"/>
      </w:rPr>
    </w:lvl>
    <w:lvl w:ilvl="7" w:tplc="1CAA1F80">
      <w:numFmt w:val="bullet"/>
      <w:lvlText w:val="•"/>
      <w:lvlJc w:val="left"/>
      <w:pPr>
        <w:ind w:left="202" w:hanging="227"/>
      </w:pPr>
      <w:rPr>
        <w:rFonts w:hint="default"/>
        <w:lang w:val="en-US" w:eastAsia="en-US" w:bidi="en-US"/>
      </w:rPr>
    </w:lvl>
    <w:lvl w:ilvl="8" w:tplc="EF22A4BA">
      <w:numFmt w:val="bullet"/>
      <w:lvlText w:val="•"/>
      <w:lvlJc w:val="left"/>
      <w:pPr>
        <w:ind w:left="56" w:hanging="227"/>
      </w:pPr>
      <w:rPr>
        <w:rFonts w:hint="default"/>
        <w:lang w:val="en-US" w:eastAsia="en-US" w:bidi="en-US"/>
      </w:rPr>
    </w:lvl>
  </w:abstractNum>
  <w:abstractNum w:abstractNumId="5" w15:restartNumberingAfterBreak="0">
    <w:nsid w:val="1B1F39CD"/>
    <w:multiLevelType w:val="hybridMultilevel"/>
    <w:tmpl w:val="75D84AD4"/>
    <w:lvl w:ilvl="0" w:tplc="3CDE9B0A">
      <w:numFmt w:val="bullet"/>
      <w:lvlText w:val="•"/>
      <w:lvlJc w:val="left"/>
      <w:pPr>
        <w:ind w:left="122" w:hanging="123"/>
      </w:pPr>
      <w:rPr>
        <w:rFonts w:ascii="Lucida Sans" w:eastAsia="Lucida Sans" w:hAnsi="Lucida Sans" w:cs="Lucida Sans" w:hint="default"/>
        <w:color w:val="231F20"/>
        <w:w w:val="62"/>
        <w:sz w:val="19"/>
        <w:szCs w:val="19"/>
        <w:lang w:val="en-US" w:eastAsia="en-US" w:bidi="en-US"/>
      </w:rPr>
    </w:lvl>
    <w:lvl w:ilvl="1" w:tplc="67EEA152">
      <w:numFmt w:val="bullet"/>
      <w:lvlText w:val="•"/>
      <w:lvlJc w:val="left"/>
      <w:pPr>
        <w:ind w:left="380" w:hanging="123"/>
      </w:pPr>
      <w:rPr>
        <w:rFonts w:hint="default"/>
        <w:lang w:val="en-US" w:eastAsia="en-US" w:bidi="en-US"/>
      </w:rPr>
    </w:lvl>
    <w:lvl w:ilvl="2" w:tplc="3DCC4998">
      <w:numFmt w:val="bullet"/>
      <w:lvlText w:val="•"/>
      <w:lvlJc w:val="left"/>
      <w:pPr>
        <w:ind w:left="640" w:hanging="123"/>
      </w:pPr>
      <w:rPr>
        <w:rFonts w:hint="default"/>
        <w:lang w:val="en-US" w:eastAsia="en-US" w:bidi="en-US"/>
      </w:rPr>
    </w:lvl>
    <w:lvl w:ilvl="3" w:tplc="C9B4738C">
      <w:numFmt w:val="bullet"/>
      <w:lvlText w:val="•"/>
      <w:lvlJc w:val="left"/>
      <w:pPr>
        <w:ind w:left="900" w:hanging="123"/>
      </w:pPr>
      <w:rPr>
        <w:rFonts w:hint="default"/>
        <w:lang w:val="en-US" w:eastAsia="en-US" w:bidi="en-US"/>
      </w:rPr>
    </w:lvl>
    <w:lvl w:ilvl="4" w:tplc="6360B198">
      <w:numFmt w:val="bullet"/>
      <w:lvlText w:val="•"/>
      <w:lvlJc w:val="left"/>
      <w:pPr>
        <w:ind w:left="1160" w:hanging="123"/>
      </w:pPr>
      <w:rPr>
        <w:rFonts w:hint="default"/>
        <w:lang w:val="en-US" w:eastAsia="en-US" w:bidi="en-US"/>
      </w:rPr>
    </w:lvl>
    <w:lvl w:ilvl="5" w:tplc="BF12C0E8">
      <w:numFmt w:val="bullet"/>
      <w:lvlText w:val="•"/>
      <w:lvlJc w:val="left"/>
      <w:pPr>
        <w:ind w:left="1420" w:hanging="123"/>
      </w:pPr>
      <w:rPr>
        <w:rFonts w:hint="default"/>
        <w:lang w:val="en-US" w:eastAsia="en-US" w:bidi="en-US"/>
      </w:rPr>
    </w:lvl>
    <w:lvl w:ilvl="6" w:tplc="F9BC3724">
      <w:numFmt w:val="bullet"/>
      <w:lvlText w:val="•"/>
      <w:lvlJc w:val="left"/>
      <w:pPr>
        <w:ind w:left="1680" w:hanging="123"/>
      </w:pPr>
      <w:rPr>
        <w:rFonts w:hint="default"/>
        <w:lang w:val="en-US" w:eastAsia="en-US" w:bidi="en-US"/>
      </w:rPr>
    </w:lvl>
    <w:lvl w:ilvl="7" w:tplc="A8705D76">
      <w:numFmt w:val="bullet"/>
      <w:lvlText w:val="•"/>
      <w:lvlJc w:val="left"/>
      <w:pPr>
        <w:ind w:left="1940" w:hanging="123"/>
      </w:pPr>
      <w:rPr>
        <w:rFonts w:hint="default"/>
        <w:lang w:val="en-US" w:eastAsia="en-US" w:bidi="en-US"/>
      </w:rPr>
    </w:lvl>
    <w:lvl w:ilvl="8" w:tplc="D53E6126">
      <w:numFmt w:val="bullet"/>
      <w:lvlText w:val="•"/>
      <w:lvlJc w:val="left"/>
      <w:pPr>
        <w:ind w:left="2200" w:hanging="123"/>
      </w:pPr>
      <w:rPr>
        <w:rFonts w:hint="default"/>
        <w:lang w:val="en-US" w:eastAsia="en-US" w:bidi="en-US"/>
      </w:rPr>
    </w:lvl>
  </w:abstractNum>
  <w:abstractNum w:abstractNumId="6" w15:restartNumberingAfterBreak="0">
    <w:nsid w:val="1F33301F"/>
    <w:multiLevelType w:val="hybridMultilevel"/>
    <w:tmpl w:val="9F643472"/>
    <w:lvl w:ilvl="0" w:tplc="8990FF54">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EE0E2F7C">
      <w:numFmt w:val="bullet"/>
      <w:lvlText w:val="•"/>
      <w:lvlJc w:val="left"/>
      <w:pPr>
        <w:ind w:left="566" w:hanging="124"/>
      </w:pPr>
      <w:rPr>
        <w:rFonts w:hint="default"/>
        <w:lang w:val="en-US" w:eastAsia="en-US" w:bidi="en-US"/>
      </w:rPr>
    </w:lvl>
    <w:lvl w:ilvl="2" w:tplc="1E84F8FC">
      <w:numFmt w:val="bullet"/>
      <w:lvlText w:val="•"/>
      <w:lvlJc w:val="left"/>
      <w:pPr>
        <w:ind w:left="1012" w:hanging="124"/>
      </w:pPr>
      <w:rPr>
        <w:rFonts w:hint="default"/>
        <w:lang w:val="en-US" w:eastAsia="en-US" w:bidi="en-US"/>
      </w:rPr>
    </w:lvl>
    <w:lvl w:ilvl="3" w:tplc="6B24B642">
      <w:numFmt w:val="bullet"/>
      <w:lvlText w:val="•"/>
      <w:lvlJc w:val="left"/>
      <w:pPr>
        <w:ind w:left="1458" w:hanging="124"/>
      </w:pPr>
      <w:rPr>
        <w:rFonts w:hint="default"/>
        <w:lang w:val="en-US" w:eastAsia="en-US" w:bidi="en-US"/>
      </w:rPr>
    </w:lvl>
    <w:lvl w:ilvl="4" w:tplc="96D62BA8">
      <w:numFmt w:val="bullet"/>
      <w:lvlText w:val="•"/>
      <w:lvlJc w:val="left"/>
      <w:pPr>
        <w:ind w:left="1904" w:hanging="124"/>
      </w:pPr>
      <w:rPr>
        <w:rFonts w:hint="default"/>
        <w:lang w:val="en-US" w:eastAsia="en-US" w:bidi="en-US"/>
      </w:rPr>
    </w:lvl>
    <w:lvl w:ilvl="5" w:tplc="568A7240">
      <w:numFmt w:val="bullet"/>
      <w:lvlText w:val="•"/>
      <w:lvlJc w:val="left"/>
      <w:pPr>
        <w:ind w:left="2350" w:hanging="124"/>
      </w:pPr>
      <w:rPr>
        <w:rFonts w:hint="default"/>
        <w:lang w:val="en-US" w:eastAsia="en-US" w:bidi="en-US"/>
      </w:rPr>
    </w:lvl>
    <w:lvl w:ilvl="6" w:tplc="99E2F616">
      <w:numFmt w:val="bullet"/>
      <w:lvlText w:val="•"/>
      <w:lvlJc w:val="left"/>
      <w:pPr>
        <w:ind w:left="2797" w:hanging="124"/>
      </w:pPr>
      <w:rPr>
        <w:rFonts w:hint="default"/>
        <w:lang w:val="en-US" w:eastAsia="en-US" w:bidi="en-US"/>
      </w:rPr>
    </w:lvl>
    <w:lvl w:ilvl="7" w:tplc="5394B0D8">
      <w:numFmt w:val="bullet"/>
      <w:lvlText w:val="•"/>
      <w:lvlJc w:val="left"/>
      <w:pPr>
        <w:ind w:left="3243" w:hanging="124"/>
      </w:pPr>
      <w:rPr>
        <w:rFonts w:hint="default"/>
        <w:lang w:val="en-US" w:eastAsia="en-US" w:bidi="en-US"/>
      </w:rPr>
    </w:lvl>
    <w:lvl w:ilvl="8" w:tplc="BBE8271E">
      <w:numFmt w:val="bullet"/>
      <w:lvlText w:val="•"/>
      <w:lvlJc w:val="left"/>
      <w:pPr>
        <w:ind w:left="3689" w:hanging="124"/>
      </w:pPr>
      <w:rPr>
        <w:rFonts w:hint="default"/>
        <w:lang w:val="en-US" w:eastAsia="en-US" w:bidi="en-US"/>
      </w:rPr>
    </w:lvl>
  </w:abstractNum>
  <w:abstractNum w:abstractNumId="7" w15:restartNumberingAfterBreak="0">
    <w:nsid w:val="20BB692C"/>
    <w:multiLevelType w:val="hybridMultilevel"/>
    <w:tmpl w:val="2000ED80"/>
    <w:lvl w:ilvl="0" w:tplc="FA60DA36">
      <w:numFmt w:val="bullet"/>
      <w:lvlText w:val="•"/>
      <w:lvlJc w:val="left"/>
      <w:pPr>
        <w:ind w:left="396" w:hanging="227"/>
      </w:pPr>
      <w:rPr>
        <w:rFonts w:ascii="Lucida Sans" w:eastAsia="Lucida Sans" w:hAnsi="Lucida Sans" w:cs="Lucida Sans" w:hint="default"/>
        <w:color w:val="231F20"/>
        <w:w w:val="62"/>
        <w:sz w:val="19"/>
        <w:szCs w:val="19"/>
        <w:lang w:val="en-US" w:eastAsia="en-US" w:bidi="en-US"/>
      </w:rPr>
    </w:lvl>
    <w:lvl w:ilvl="1" w:tplc="C212A79E">
      <w:numFmt w:val="bullet"/>
      <w:lvlText w:val="•"/>
      <w:lvlJc w:val="left"/>
      <w:pPr>
        <w:ind w:left="827" w:hanging="227"/>
      </w:pPr>
      <w:rPr>
        <w:rFonts w:hint="default"/>
        <w:lang w:val="en-US" w:eastAsia="en-US" w:bidi="en-US"/>
      </w:rPr>
    </w:lvl>
    <w:lvl w:ilvl="2" w:tplc="E9446C56">
      <w:numFmt w:val="bullet"/>
      <w:lvlText w:val="•"/>
      <w:lvlJc w:val="left"/>
      <w:pPr>
        <w:ind w:left="1255" w:hanging="227"/>
      </w:pPr>
      <w:rPr>
        <w:rFonts w:hint="default"/>
        <w:lang w:val="en-US" w:eastAsia="en-US" w:bidi="en-US"/>
      </w:rPr>
    </w:lvl>
    <w:lvl w:ilvl="3" w:tplc="9E6E5708">
      <w:numFmt w:val="bullet"/>
      <w:lvlText w:val="•"/>
      <w:lvlJc w:val="left"/>
      <w:pPr>
        <w:ind w:left="1683" w:hanging="227"/>
      </w:pPr>
      <w:rPr>
        <w:rFonts w:hint="default"/>
        <w:lang w:val="en-US" w:eastAsia="en-US" w:bidi="en-US"/>
      </w:rPr>
    </w:lvl>
    <w:lvl w:ilvl="4" w:tplc="64ACB3A0">
      <w:numFmt w:val="bullet"/>
      <w:lvlText w:val="•"/>
      <w:lvlJc w:val="left"/>
      <w:pPr>
        <w:ind w:left="2110" w:hanging="227"/>
      </w:pPr>
      <w:rPr>
        <w:rFonts w:hint="default"/>
        <w:lang w:val="en-US" w:eastAsia="en-US" w:bidi="en-US"/>
      </w:rPr>
    </w:lvl>
    <w:lvl w:ilvl="5" w:tplc="8F0C5AB2">
      <w:numFmt w:val="bullet"/>
      <w:lvlText w:val="•"/>
      <w:lvlJc w:val="left"/>
      <w:pPr>
        <w:ind w:left="2538" w:hanging="227"/>
      </w:pPr>
      <w:rPr>
        <w:rFonts w:hint="default"/>
        <w:lang w:val="en-US" w:eastAsia="en-US" w:bidi="en-US"/>
      </w:rPr>
    </w:lvl>
    <w:lvl w:ilvl="6" w:tplc="C854B82A">
      <w:numFmt w:val="bullet"/>
      <w:lvlText w:val="•"/>
      <w:lvlJc w:val="left"/>
      <w:pPr>
        <w:ind w:left="2966" w:hanging="227"/>
      </w:pPr>
      <w:rPr>
        <w:rFonts w:hint="default"/>
        <w:lang w:val="en-US" w:eastAsia="en-US" w:bidi="en-US"/>
      </w:rPr>
    </w:lvl>
    <w:lvl w:ilvl="7" w:tplc="CE4854FE">
      <w:numFmt w:val="bullet"/>
      <w:lvlText w:val="•"/>
      <w:lvlJc w:val="left"/>
      <w:pPr>
        <w:ind w:left="3394" w:hanging="227"/>
      </w:pPr>
      <w:rPr>
        <w:rFonts w:hint="default"/>
        <w:lang w:val="en-US" w:eastAsia="en-US" w:bidi="en-US"/>
      </w:rPr>
    </w:lvl>
    <w:lvl w:ilvl="8" w:tplc="2B7EED1E">
      <w:numFmt w:val="bullet"/>
      <w:lvlText w:val="•"/>
      <w:lvlJc w:val="left"/>
      <w:pPr>
        <w:ind w:left="3821" w:hanging="227"/>
      </w:pPr>
      <w:rPr>
        <w:rFonts w:hint="default"/>
        <w:lang w:val="en-US" w:eastAsia="en-US" w:bidi="en-US"/>
      </w:rPr>
    </w:lvl>
  </w:abstractNum>
  <w:abstractNum w:abstractNumId="8" w15:restartNumberingAfterBreak="0">
    <w:nsid w:val="22664B7C"/>
    <w:multiLevelType w:val="hybridMultilevel"/>
    <w:tmpl w:val="511C2B1A"/>
    <w:lvl w:ilvl="0" w:tplc="F5602A30">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FFC26A42">
      <w:numFmt w:val="bullet"/>
      <w:lvlText w:val="•"/>
      <w:lvlJc w:val="left"/>
      <w:pPr>
        <w:ind w:left="463" w:hanging="124"/>
      </w:pPr>
      <w:rPr>
        <w:rFonts w:hint="default"/>
        <w:lang w:val="en-US" w:eastAsia="en-US" w:bidi="en-US"/>
      </w:rPr>
    </w:lvl>
    <w:lvl w:ilvl="2" w:tplc="D026C8AE">
      <w:numFmt w:val="bullet"/>
      <w:lvlText w:val="•"/>
      <w:lvlJc w:val="left"/>
      <w:pPr>
        <w:ind w:left="806" w:hanging="124"/>
      </w:pPr>
      <w:rPr>
        <w:rFonts w:hint="default"/>
        <w:lang w:val="en-US" w:eastAsia="en-US" w:bidi="en-US"/>
      </w:rPr>
    </w:lvl>
    <w:lvl w:ilvl="3" w:tplc="673853B0">
      <w:numFmt w:val="bullet"/>
      <w:lvlText w:val="•"/>
      <w:lvlJc w:val="left"/>
      <w:pPr>
        <w:ind w:left="1150" w:hanging="124"/>
      </w:pPr>
      <w:rPr>
        <w:rFonts w:hint="default"/>
        <w:lang w:val="en-US" w:eastAsia="en-US" w:bidi="en-US"/>
      </w:rPr>
    </w:lvl>
    <w:lvl w:ilvl="4" w:tplc="DA4C1764">
      <w:numFmt w:val="bullet"/>
      <w:lvlText w:val="•"/>
      <w:lvlJc w:val="left"/>
      <w:pPr>
        <w:ind w:left="1493" w:hanging="124"/>
      </w:pPr>
      <w:rPr>
        <w:rFonts w:hint="default"/>
        <w:lang w:val="en-US" w:eastAsia="en-US" w:bidi="en-US"/>
      </w:rPr>
    </w:lvl>
    <w:lvl w:ilvl="5" w:tplc="DE948BFE">
      <w:numFmt w:val="bullet"/>
      <w:lvlText w:val="•"/>
      <w:lvlJc w:val="left"/>
      <w:pPr>
        <w:ind w:left="1837" w:hanging="124"/>
      </w:pPr>
      <w:rPr>
        <w:rFonts w:hint="default"/>
        <w:lang w:val="en-US" w:eastAsia="en-US" w:bidi="en-US"/>
      </w:rPr>
    </w:lvl>
    <w:lvl w:ilvl="6" w:tplc="26FA96E8">
      <w:numFmt w:val="bullet"/>
      <w:lvlText w:val="•"/>
      <w:lvlJc w:val="left"/>
      <w:pPr>
        <w:ind w:left="2180" w:hanging="124"/>
      </w:pPr>
      <w:rPr>
        <w:rFonts w:hint="default"/>
        <w:lang w:val="en-US" w:eastAsia="en-US" w:bidi="en-US"/>
      </w:rPr>
    </w:lvl>
    <w:lvl w:ilvl="7" w:tplc="CE960F68">
      <w:numFmt w:val="bullet"/>
      <w:lvlText w:val="•"/>
      <w:lvlJc w:val="left"/>
      <w:pPr>
        <w:ind w:left="2524" w:hanging="124"/>
      </w:pPr>
      <w:rPr>
        <w:rFonts w:hint="default"/>
        <w:lang w:val="en-US" w:eastAsia="en-US" w:bidi="en-US"/>
      </w:rPr>
    </w:lvl>
    <w:lvl w:ilvl="8" w:tplc="70F621EE">
      <w:numFmt w:val="bullet"/>
      <w:lvlText w:val="•"/>
      <w:lvlJc w:val="left"/>
      <w:pPr>
        <w:ind w:left="2867" w:hanging="124"/>
      </w:pPr>
      <w:rPr>
        <w:rFonts w:hint="default"/>
        <w:lang w:val="en-US" w:eastAsia="en-US" w:bidi="en-US"/>
      </w:rPr>
    </w:lvl>
  </w:abstractNum>
  <w:abstractNum w:abstractNumId="9" w15:restartNumberingAfterBreak="0">
    <w:nsid w:val="28D51B47"/>
    <w:multiLevelType w:val="multilevel"/>
    <w:tmpl w:val="4B4E7622"/>
    <w:numStyleLink w:val="ZZNumbers"/>
  </w:abstractNum>
  <w:abstractNum w:abstractNumId="10" w15:restartNumberingAfterBreak="0">
    <w:nsid w:val="2D0839DD"/>
    <w:multiLevelType w:val="hybridMultilevel"/>
    <w:tmpl w:val="492EC498"/>
    <w:lvl w:ilvl="0" w:tplc="B2B0BA24">
      <w:numFmt w:val="bullet"/>
      <w:lvlText w:val="•"/>
      <w:lvlJc w:val="left"/>
      <w:pPr>
        <w:ind w:left="1354" w:hanging="227"/>
      </w:pPr>
      <w:rPr>
        <w:rFonts w:ascii="Lucida Sans" w:eastAsia="Lucida Sans" w:hAnsi="Lucida Sans" w:cs="Lucida Sans" w:hint="default"/>
        <w:color w:val="231F20"/>
        <w:w w:val="62"/>
        <w:sz w:val="19"/>
        <w:szCs w:val="19"/>
        <w:lang w:val="en-US" w:eastAsia="en-US" w:bidi="en-US"/>
      </w:rPr>
    </w:lvl>
    <w:lvl w:ilvl="1" w:tplc="824E595E">
      <w:numFmt w:val="bullet"/>
      <w:lvlText w:val="•"/>
      <w:lvlJc w:val="left"/>
      <w:pPr>
        <w:ind w:left="1791" w:hanging="227"/>
      </w:pPr>
      <w:rPr>
        <w:rFonts w:hint="default"/>
        <w:lang w:val="en-US" w:eastAsia="en-US" w:bidi="en-US"/>
      </w:rPr>
    </w:lvl>
    <w:lvl w:ilvl="2" w:tplc="D220C36E">
      <w:numFmt w:val="bullet"/>
      <w:lvlText w:val="•"/>
      <w:lvlJc w:val="left"/>
      <w:pPr>
        <w:ind w:left="2223" w:hanging="227"/>
      </w:pPr>
      <w:rPr>
        <w:rFonts w:hint="default"/>
        <w:lang w:val="en-US" w:eastAsia="en-US" w:bidi="en-US"/>
      </w:rPr>
    </w:lvl>
    <w:lvl w:ilvl="3" w:tplc="034CC6CA">
      <w:numFmt w:val="bullet"/>
      <w:lvlText w:val="•"/>
      <w:lvlJc w:val="left"/>
      <w:pPr>
        <w:ind w:left="2655" w:hanging="227"/>
      </w:pPr>
      <w:rPr>
        <w:rFonts w:hint="default"/>
        <w:lang w:val="en-US" w:eastAsia="en-US" w:bidi="en-US"/>
      </w:rPr>
    </w:lvl>
    <w:lvl w:ilvl="4" w:tplc="D8362C12">
      <w:numFmt w:val="bullet"/>
      <w:lvlText w:val="•"/>
      <w:lvlJc w:val="left"/>
      <w:pPr>
        <w:ind w:left="3086" w:hanging="227"/>
      </w:pPr>
      <w:rPr>
        <w:rFonts w:hint="default"/>
        <w:lang w:val="en-US" w:eastAsia="en-US" w:bidi="en-US"/>
      </w:rPr>
    </w:lvl>
    <w:lvl w:ilvl="5" w:tplc="23D2862A">
      <w:numFmt w:val="bullet"/>
      <w:lvlText w:val="•"/>
      <w:lvlJc w:val="left"/>
      <w:pPr>
        <w:ind w:left="3518" w:hanging="227"/>
      </w:pPr>
      <w:rPr>
        <w:rFonts w:hint="default"/>
        <w:lang w:val="en-US" w:eastAsia="en-US" w:bidi="en-US"/>
      </w:rPr>
    </w:lvl>
    <w:lvl w:ilvl="6" w:tplc="6900C5CA">
      <w:numFmt w:val="bullet"/>
      <w:lvlText w:val="•"/>
      <w:lvlJc w:val="left"/>
      <w:pPr>
        <w:ind w:left="3950" w:hanging="227"/>
      </w:pPr>
      <w:rPr>
        <w:rFonts w:hint="default"/>
        <w:lang w:val="en-US" w:eastAsia="en-US" w:bidi="en-US"/>
      </w:rPr>
    </w:lvl>
    <w:lvl w:ilvl="7" w:tplc="84E00EE8">
      <w:numFmt w:val="bullet"/>
      <w:lvlText w:val="•"/>
      <w:lvlJc w:val="left"/>
      <w:pPr>
        <w:ind w:left="4382" w:hanging="227"/>
      </w:pPr>
      <w:rPr>
        <w:rFonts w:hint="default"/>
        <w:lang w:val="en-US" w:eastAsia="en-US" w:bidi="en-US"/>
      </w:rPr>
    </w:lvl>
    <w:lvl w:ilvl="8" w:tplc="421C9924">
      <w:numFmt w:val="bullet"/>
      <w:lvlText w:val="•"/>
      <w:lvlJc w:val="left"/>
      <w:pPr>
        <w:ind w:left="4813" w:hanging="227"/>
      </w:pPr>
      <w:rPr>
        <w:rFonts w:hint="default"/>
        <w:lang w:val="en-US" w:eastAsia="en-US" w:bidi="en-US"/>
      </w:rPr>
    </w:lvl>
  </w:abstractNum>
  <w:abstractNum w:abstractNumId="11" w15:restartNumberingAfterBreak="0">
    <w:nsid w:val="31BA614A"/>
    <w:multiLevelType w:val="hybridMultilevel"/>
    <w:tmpl w:val="642C57E4"/>
    <w:lvl w:ilvl="0" w:tplc="276CE328">
      <w:numFmt w:val="bullet"/>
      <w:lvlText w:val="•"/>
      <w:lvlJc w:val="left"/>
      <w:pPr>
        <w:ind w:left="1077" w:hanging="227"/>
      </w:pPr>
      <w:rPr>
        <w:rFonts w:ascii="Lucida Sans" w:eastAsia="Lucida Sans" w:hAnsi="Lucida Sans" w:cs="Lucida Sans" w:hint="default"/>
        <w:color w:val="231F20"/>
        <w:w w:val="62"/>
        <w:sz w:val="19"/>
        <w:szCs w:val="19"/>
        <w:lang w:val="en-US" w:eastAsia="en-US" w:bidi="en-US"/>
      </w:rPr>
    </w:lvl>
    <w:lvl w:ilvl="1" w:tplc="28F81972">
      <w:numFmt w:val="bullet"/>
      <w:lvlText w:val="•"/>
      <w:lvlJc w:val="left"/>
      <w:pPr>
        <w:ind w:left="1524" w:hanging="227"/>
      </w:pPr>
      <w:rPr>
        <w:rFonts w:hint="default"/>
        <w:lang w:val="en-US" w:eastAsia="en-US" w:bidi="en-US"/>
      </w:rPr>
    </w:lvl>
    <w:lvl w:ilvl="2" w:tplc="8F7E3B54">
      <w:numFmt w:val="bullet"/>
      <w:lvlText w:val="•"/>
      <w:lvlJc w:val="left"/>
      <w:pPr>
        <w:ind w:left="1969" w:hanging="227"/>
      </w:pPr>
      <w:rPr>
        <w:rFonts w:hint="default"/>
        <w:lang w:val="en-US" w:eastAsia="en-US" w:bidi="en-US"/>
      </w:rPr>
    </w:lvl>
    <w:lvl w:ilvl="3" w:tplc="610EBDDE">
      <w:numFmt w:val="bullet"/>
      <w:lvlText w:val="•"/>
      <w:lvlJc w:val="left"/>
      <w:pPr>
        <w:ind w:left="2414" w:hanging="227"/>
      </w:pPr>
      <w:rPr>
        <w:rFonts w:hint="default"/>
        <w:lang w:val="en-US" w:eastAsia="en-US" w:bidi="en-US"/>
      </w:rPr>
    </w:lvl>
    <w:lvl w:ilvl="4" w:tplc="A260DF26">
      <w:numFmt w:val="bullet"/>
      <w:lvlText w:val="•"/>
      <w:lvlJc w:val="left"/>
      <w:pPr>
        <w:ind w:left="2858" w:hanging="227"/>
      </w:pPr>
      <w:rPr>
        <w:rFonts w:hint="default"/>
        <w:lang w:val="en-US" w:eastAsia="en-US" w:bidi="en-US"/>
      </w:rPr>
    </w:lvl>
    <w:lvl w:ilvl="5" w:tplc="4102499E">
      <w:numFmt w:val="bullet"/>
      <w:lvlText w:val="•"/>
      <w:lvlJc w:val="left"/>
      <w:pPr>
        <w:ind w:left="3303" w:hanging="227"/>
      </w:pPr>
      <w:rPr>
        <w:rFonts w:hint="default"/>
        <w:lang w:val="en-US" w:eastAsia="en-US" w:bidi="en-US"/>
      </w:rPr>
    </w:lvl>
    <w:lvl w:ilvl="6" w:tplc="BD30526C">
      <w:numFmt w:val="bullet"/>
      <w:lvlText w:val="•"/>
      <w:lvlJc w:val="left"/>
      <w:pPr>
        <w:ind w:left="3748" w:hanging="227"/>
      </w:pPr>
      <w:rPr>
        <w:rFonts w:hint="default"/>
        <w:lang w:val="en-US" w:eastAsia="en-US" w:bidi="en-US"/>
      </w:rPr>
    </w:lvl>
    <w:lvl w:ilvl="7" w:tplc="53206170">
      <w:numFmt w:val="bullet"/>
      <w:lvlText w:val="•"/>
      <w:lvlJc w:val="left"/>
      <w:pPr>
        <w:ind w:left="4192" w:hanging="227"/>
      </w:pPr>
      <w:rPr>
        <w:rFonts w:hint="default"/>
        <w:lang w:val="en-US" w:eastAsia="en-US" w:bidi="en-US"/>
      </w:rPr>
    </w:lvl>
    <w:lvl w:ilvl="8" w:tplc="5C965FB8">
      <w:numFmt w:val="bullet"/>
      <w:lvlText w:val="•"/>
      <w:lvlJc w:val="left"/>
      <w:pPr>
        <w:ind w:left="4637" w:hanging="227"/>
      </w:pPr>
      <w:rPr>
        <w:rFonts w:hint="default"/>
        <w:lang w:val="en-US" w:eastAsia="en-US" w:bidi="en-US"/>
      </w:rPr>
    </w:lvl>
  </w:abstractNum>
  <w:abstractNum w:abstractNumId="12" w15:restartNumberingAfterBreak="0">
    <w:nsid w:val="35F82963"/>
    <w:multiLevelType w:val="hybridMultilevel"/>
    <w:tmpl w:val="EFF648A8"/>
    <w:lvl w:ilvl="0" w:tplc="E16A3490">
      <w:numFmt w:val="bullet"/>
      <w:lvlText w:val="•"/>
      <w:lvlJc w:val="left"/>
      <w:pPr>
        <w:ind w:left="276" w:hanging="227"/>
      </w:pPr>
      <w:rPr>
        <w:rFonts w:ascii="Lucida Sans" w:eastAsia="Lucida Sans" w:hAnsi="Lucida Sans" w:cs="Lucida Sans" w:hint="default"/>
        <w:color w:val="231F20"/>
        <w:w w:val="62"/>
        <w:sz w:val="19"/>
        <w:szCs w:val="19"/>
        <w:lang w:val="en-US" w:eastAsia="en-US" w:bidi="en-US"/>
      </w:rPr>
    </w:lvl>
    <w:lvl w:ilvl="1" w:tplc="DB40CE18">
      <w:numFmt w:val="bullet"/>
      <w:lvlText w:val="•"/>
      <w:lvlJc w:val="left"/>
      <w:pPr>
        <w:ind w:left="754" w:hanging="227"/>
      </w:pPr>
      <w:rPr>
        <w:rFonts w:hint="default"/>
        <w:lang w:val="en-US" w:eastAsia="en-US" w:bidi="en-US"/>
      </w:rPr>
    </w:lvl>
    <w:lvl w:ilvl="2" w:tplc="F6ACB15E">
      <w:numFmt w:val="bullet"/>
      <w:lvlText w:val="•"/>
      <w:lvlJc w:val="left"/>
      <w:pPr>
        <w:ind w:left="1229" w:hanging="227"/>
      </w:pPr>
      <w:rPr>
        <w:rFonts w:hint="default"/>
        <w:lang w:val="en-US" w:eastAsia="en-US" w:bidi="en-US"/>
      </w:rPr>
    </w:lvl>
    <w:lvl w:ilvl="3" w:tplc="053E7462">
      <w:numFmt w:val="bullet"/>
      <w:lvlText w:val="•"/>
      <w:lvlJc w:val="left"/>
      <w:pPr>
        <w:ind w:left="1703" w:hanging="227"/>
      </w:pPr>
      <w:rPr>
        <w:rFonts w:hint="default"/>
        <w:lang w:val="en-US" w:eastAsia="en-US" w:bidi="en-US"/>
      </w:rPr>
    </w:lvl>
    <w:lvl w:ilvl="4" w:tplc="4E907F34">
      <w:numFmt w:val="bullet"/>
      <w:lvlText w:val="•"/>
      <w:lvlJc w:val="left"/>
      <w:pPr>
        <w:ind w:left="2178" w:hanging="227"/>
      </w:pPr>
      <w:rPr>
        <w:rFonts w:hint="default"/>
        <w:lang w:val="en-US" w:eastAsia="en-US" w:bidi="en-US"/>
      </w:rPr>
    </w:lvl>
    <w:lvl w:ilvl="5" w:tplc="68DAFAD0">
      <w:numFmt w:val="bullet"/>
      <w:lvlText w:val="•"/>
      <w:lvlJc w:val="left"/>
      <w:pPr>
        <w:ind w:left="2653" w:hanging="227"/>
      </w:pPr>
      <w:rPr>
        <w:rFonts w:hint="default"/>
        <w:lang w:val="en-US" w:eastAsia="en-US" w:bidi="en-US"/>
      </w:rPr>
    </w:lvl>
    <w:lvl w:ilvl="6" w:tplc="7EF29706">
      <w:numFmt w:val="bullet"/>
      <w:lvlText w:val="•"/>
      <w:lvlJc w:val="left"/>
      <w:pPr>
        <w:ind w:left="3127" w:hanging="227"/>
      </w:pPr>
      <w:rPr>
        <w:rFonts w:hint="default"/>
        <w:lang w:val="en-US" w:eastAsia="en-US" w:bidi="en-US"/>
      </w:rPr>
    </w:lvl>
    <w:lvl w:ilvl="7" w:tplc="37B2179C">
      <w:numFmt w:val="bullet"/>
      <w:lvlText w:val="•"/>
      <w:lvlJc w:val="left"/>
      <w:pPr>
        <w:ind w:left="3602" w:hanging="227"/>
      </w:pPr>
      <w:rPr>
        <w:rFonts w:hint="default"/>
        <w:lang w:val="en-US" w:eastAsia="en-US" w:bidi="en-US"/>
      </w:rPr>
    </w:lvl>
    <w:lvl w:ilvl="8" w:tplc="F9D64F88">
      <w:numFmt w:val="bullet"/>
      <w:lvlText w:val="•"/>
      <w:lvlJc w:val="left"/>
      <w:pPr>
        <w:ind w:left="4076" w:hanging="227"/>
      </w:pPr>
      <w:rPr>
        <w:rFonts w:hint="default"/>
        <w:lang w:val="en-US" w:eastAsia="en-US" w:bidi="en-US"/>
      </w:rPr>
    </w:lvl>
  </w:abstractNum>
  <w:abstractNum w:abstractNumId="13" w15:restartNumberingAfterBreak="0">
    <w:nsid w:val="36EE0B03"/>
    <w:multiLevelType w:val="hybridMultilevel"/>
    <w:tmpl w:val="5082FB1C"/>
    <w:lvl w:ilvl="0" w:tplc="2B4C47CC">
      <w:numFmt w:val="bullet"/>
      <w:lvlText w:val="•"/>
      <w:lvlJc w:val="left"/>
      <w:pPr>
        <w:ind w:left="276" w:hanging="227"/>
      </w:pPr>
      <w:rPr>
        <w:rFonts w:ascii="Lucida Sans" w:eastAsia="Lucida Sans" w:hAnsi="Lucida Sans" w:cs="Lucida Sans" w:hint="default"/>
        <w:color w:val="231F20"/>
        <w:w w:val="62"/>
        <w:sz w:val="19"/>
        <w:szCs w:val="19"/>
        <w:lang w:val="en-US" w:eastAsia="en-US" w:bidi="en-US"/>
      </w:rPr>
    </w:lvl>
    <w:lvl w:ilvl="1" w:tplc="AD54FC2C">
      <w:numFmt w:val="bullet"/>
      <w:lvlText w:val="•"/>
      <w:lvlJc w:val="left"/>
      <w:pPr>
        <w:ind w:left="754" w:hanging="227"/>
      </w:pPr>
      <w:rPr>
        <w:rFonts w:hint="default"/>
        <w:lang w:val="en-US" w:eastAsia="en-US" w:bidi="en-US"/>
      </w:rPr>
    </w:lvl>
    <w:lvl w:ilvl="2" w:tplc="BCEC2012">
      <w:numFmt w:val="bullet"/>
      <w:lvlText w:val="•"/>
      <w:lvlJc w:val="left"/>
      <w:pPr>
        <w:ind w:left="1229" w:hanging="227"/>
      </w:pPr>
      <w:rPr>
        <w:rFonts w:hint="default"/>
        <w:lang w:val="en-US" w:eastAsia="en-US" w:bidi="en-US"/>
      </w:rPr>
    </w:lvl>
    <w:lvl w:ilvl="3" w:tplc="D3840866">
      <w:numFmt w:val="bullet"/>
      <w:lvlText w:val="•"/>
      <w:lvlJc w:val="left"/>
      <w:pPr>
        <w:ind w:left="1703" w:hanging="227"/>
      </w:pPr>
      <w:rPr>
        <w:rFonts w:hint="default"/>
        <w:lang w:val="en-US" w:eastAsia="en-US" w:bidi="en-US"/>
      </w:rPr>
    </w:lvl>
    <w:lvl w:ilvl="4" w:tplc="926A798C">
      <w:numFmt w:val="bullet"/>
      <w:lvlText w:val="•"/>
      <w:lvlJc w:val="left"/>
      <w:pPr>
        <w:ind w:left="2178" w:hanging="227"/>
      </w:pPr>
      <w:rPr>
        <w:rFonts w:hint="default"/>
        <w:lang w:val="en-US" w:eastAsia="en-US" w:bidi="en-US"/>
      </w:rPr>
    </w:lvl>
    <w:lvl w:ilvl="5" w:tplc="5B5C379E">
      <w:numFmt w:val="bullet"/>
      <w:lvlText w:val="•"/>
      <w:lvlJc w:val="left"/>
      <w:pPr>
        <w:ind w:left="2653" w:hanging="227"/>
      </w:pPr>
      <w:rPr>
        <w:rFonts w:hint="default"/>
        <w:lang w:val="en-US" w:eastAsia="en-US" w:bidi="en-US"/>
      </w:rPr>
    </w:lvl>
    <w:lvl w:ilvl="6" w:tplc="359ABE4A">
      <w:numFmt w:val="bullet"/>
      <w:lvlText w:val="•"/>
      <w:lvlJc w:val="left"/>
      <w:pPr>
        <w:ind w:left="3127" w:hanging="227"/>
      </w:pPr>
      <w:rPr>
        <w:rFonts w:hint="default"/>
        <w:lang w:val="en-US" w:eastAsia="en-US" w:bidi="en-US"/>
      </w:rPr>
    </w:lvl>
    <w:lvl w:ilvl="7" w:tplc="D66A3E66">
      <w:numFmt w:val="bullet"/>
      <w:lvlText w:val="•"/>
      <w:lvlJc w:val="left"/>
      <w:pPr>
        <w:ind w:left="3602" w:hanging="227"/>
      </w:pPr>
      <w:rPr>
        <w:rFonts w:hint="default"/>
        <w:lang w:val="en-US" w:eastAsia="en-US" w:bidi="en-US"/>
      </w:rPr>
    </w:lvl>
    <w:lvl w:ilvl="8" w:tplc="50A2A54E">
      <w:numFmt w:val="bullet"/>
      <w:lvlText w:val="•"/>
      <w:lvlJc w:val="left"/>
      <w:pPr>
        <w:ind w:left="4076" w:hanging="227"/>
      </w:pPr>
      <w:rPr>
        <w:rFonts w:hint="default"/>
        <w:lang w:val="en-US" w:eastAsia="en-US" w:bidi="en-US"/>
      </w:rPr>
    </w:lvl>
  </w:abstractNum>
  <w:abstractNum w:abstractNumId="1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DB6365C"/>
    <w:multiLevelType w:val="hybridMultilevel"/>
    <w:tmpl w:val="6E88C17C"/>
    <w:lvl w:ilvl="0" w:tplc="51021C7C">
      <w:numFmt w:val="bullet"/>
      <w:lvlText w:val="*"/>
      <w:lvlJc w:val="left"/>
      <w:pPr>
        <w:ind w:left="1235" w:hanging="102"/>
      </w:pPr>
      <w:rPr>
        <w:rFonts w:ascii="Trebuchet MS" w:eastAsia="Trebuchet MS" w:hAnsi="Trebuchet MS" w:cs="Trebuchet MS" w:hint="default"/>
        <w:color w:val="231F20"/>
        <w:w w:val="116"/>
        <w:sz w:val="15"/>
        <w:szCs w:val="15"/>
      </w:rPr>
    </w:lvl>
    <w:lvl w:ilvl="1" w:tplc="3474A7EE">
      <w:numFmt w:val="bullet"/>
      <w:lvlText w:val="•"/>
      <w:lvlJc w:val="left"/>
      <w:pPr>
        <w:ind w:left="1597" w:hanging="124"/>
      </w:pPr>
      <w:rPr>
        <w:rFonts w:ascii="Trebuchet MS" w:eastAsia="Trebuchet MS" w:hAnsi="Trebuchet MS" w:cs="Trebuchet MS" w:hint="default"/>
        <w:color w:val="231F20"/>
        <w:w w:val="75"/>
        <w:sz w:val="19"/>
        <w:szCs w:val="19"/>
      </w:rPr>
    </w:lvl>
    <w:lvl w:ilvl="2" w:tplc="D7E02F9A">
      <w:numFmt w:val="bullet"/>
      <w:lvlText w:val="•"/>
      <w:lvlJc w:val="left"/>
      <w:pPr>
        <w:ind w:left="1870" w:hanging="124"/>
      </w:pPr>
    </w:lvl>
    <w:lvl w:ilvl="3" w:tplc="78549290">
      <w:numFmt w:val="bullet"/>
      <w:lvlText w:val="•"/>
      <w:lvlJc w:val="left"/>
      <w:pPr>
        <w:ind w:left="2140" w:hanging="124"/>
      </w:pPr>
    </w:lvl>
    <w:lvl w:ilvl="4" w:tplc="19BCA56C">
      <w:numFmt w:val="bullet"/>
      <w:lvlText w:val="•"/>
      <w:lvlJc w:val="left"/>
      <w:pPr>
        <w:ind w:left="2411" w:hanging="124"/>
      </w:pPr>
    </w:lvl>
    <w:lvl w:ilvl="5" w:tplc="A880AA0E">
      <w:numFmt w:val="bullet"/>
      <w:lvlText w:val="•"/>
      <w:lvlJc w:val="left"/>
      <w:pPr>
        <w:ind w:left="2681" w:hanging="124"/>
      </w:pPr>
    </w:lvl>
    <w:lvl w:ilvl="6" w:tplc="591E5228">
      <w:numFmt w:val="bullet"/>
      <w:lvlText w:val="•"/>
      <w:lvlJc w:val="left"/>
      <w:pPr>
        <w:ind w:left="2952" w:hanging="124"/>
      </w:pPr>
    </w:lvl>
    <w:lvl w:ilvl="7" w:tplc="250CB334">
      <w:numFmt w:val="bullet"/>
      <w:lvlText w:val="•"/>
      <w:lvlJc w:val="left"/>
      <w:pPr>
        <w:ind w:left="3222" w:hanging="124"/>
      </w:pPr>
    </w:lvl>
    <w:lvl w:ilvl="8" w:tplc="51A21E8A">
      <w:numFmt w:val="bullet"/>
      <w:lvlText w:val="•"/>
      <w:lvlJc w:val="left"/>
      <w:pPr>
        <w:ind w:left="3492" w:hanging="124"/>
      </w:pPr>
    </w:lvl>
  </w:abstractNum>
  <w:abstractNum w:abstractNumId="16" w15:restartNumberingAfterBreak="0">
    <w:nsid w:val="494E01B6"/>
    <w:multiLevelType w:val="hybridMultilevel"/>
    <w:tmpl w:val="AA5E55F0"/>
    <w:lvl w:ilvl="0" w:tplc="3950FB7A">
      <w:numFmt w:val="bullet"/>
      <w:lvlText w:val="•"/>
      <w:lvlJc w:val="left"/>
      <w:pPr>
        <w:ind w:left="1077" w:hanging="227"/>
      </w:pPr>
      <w:rPr>
        <w:rFonts w:ascii="Lucida Sans" w:eastAsia="Lucida Sans" w:hAnsi="Lucida Sans" w:cs="Lucida Sans" w:hint="default"/>
        <w:color w:val="231F20"/>
        <w:w w:val="62"/>
        <w:sz w:val="19"/>
        <w:szCs w:val="19"/>
        <w:lang w:val="en-US" w:eastAsia="en-US" w:bidi="en-US"/>
      </w:rPr>
    </w:lvl>
    <w:lvl w:ilvl="1" w:tplc="29DE7512">
      <w:numFmt w:val="bullet"/>
      <w:lvlText w:val="•"/>
      <w:lvlJc w:val="left"/>
      <w:pPr>
        <w:ind w:left="1509" w:hanging="227"/>
      </w:pPr>
      <w:rPr>
        <w:rFonts w:hint="default"/>
        <w:lang w:val="en-US" w:eastAsia="en-US" w:bidi="en-US"/>
      </w:rPr>
    </w:lvl>
    <w:lvl w:ilvl="2" w:tplc="B6AA3868">
      <w:numFmt w:val="bullet"/>
      <w:lvlText w:val="•"/>
      <w:lvlJc w:val="left"/>
      <w:pPr>
        <w:ind w:left="1938" w:hanging="227"/>
      </w:pPr>
      <w:rPr>
        <w:rFonts w:hint="default"/>
        <w:lang w:val="en-US" w:eastAsia="en-US" w:bidi="en-US"/>
      </w:rPr>
    </w:lvl>
    <w:lvl w:ilvl="3" w:tplc="70D65852">
      <w:numFmt w:val="bullet"/>
      <w:lvlText w:val="•"/>
      <w:lvlJc w:val="left"/>
      <w:pPr>
        <w:ind w:left="2368" w:hanging="227"/>
      </w:pPr>
      <w:rPr>
        <w:rFonts w:hint="default"/>
        <w:lang w:val="en-US" w:eastAsia="en-US" w:bidi="en-US"/>
      </w:rPr>
    </w:lvl>
    <w:lvl w:ilvl="4" w:tplc="9F4C8F5A">
      <w:numFmt w:val="bullet"/>
      <w:lvlText w:val="•"/>
      <w:lvlJc w:val="left"/>
      <w:pPr>
        <w:ind w:left="2797" w:hanging="227"/>
      </w:pPr>
      <w:rPr>
        <w:rFonts w:hint="default"/>
        <w:lang w:val="en-US" w:eastAsia="en-US" w:bidi="en-US"/>
      </w:rPr>
    </w:lvl>
    <w:lvl w:ilvl="5" w:tplc="135E4626">
      <w:numFmt w:val="bullet"/>
      <w:lvlText w:val="•"/>
      <w:lvlJc w:val="left"/>
      <w:pPr>
        <w:ind w:left="3227" w:hanging="227"/>
      </w:pPr>
      <w:rPr>
        <w:rFonts w:hint="default"/>
        <w:lang w:val="en-US" w:eastAsia="en-US" w:bidi="en-US"/>
      </w:rPr>
    </w:lvl>
    <w:lvl w:ilvl="6" w:tplc="8DC8AE94">
      <w:numFmt w:val="bullet"/>
      <w:lvlText w:val="•"/>
      <w:lvlJc w:val="left"/>
      <w:pPr>
        <w:ind w:left="3656" w:hanging="227"/>
      </w:pPr>
      <w:rPr>
        <w:rFonts w:hint="default"/>
        <w:lang w:val="en-US" w:eastAsia="en-US" w:bidi="en-US"/>
      </w:rPr>
    </w:lvl>
    <w:lvl w:ilvl="7" w:tplc="EC6C7658">
      <w:numFmt w:val="bullet"/>
      <w:lvlText w:val="•"/>
      <w:lvlJc w:val="left"/>
      <w:pPr>
        <w:ind w:left="4086" w:hanging="227"/>
      </w:pPr>
      <w:rPr>
        <w:rFonts w:hint="default"/>
        <w:lang w:val="en-US" w:eastAsia="en-US" w:bidi="en-US"/>
      </w:rPr>
    </w:lvl>
    <w:lvl w:ilvl="8" w:tplc="A2A897AE">
      <w:numFmt w:val="bullet"/>
      <w:lvlText w:val="•"/>
      <w:lvlJc w:val="left"/>
      <w:pPr>
        <w:ind w:left="4515" w:hanging="227"/>
      </w:pPr>
      <w:rPr>
        <w:rFonts w:hint="default"/>
        <w:lang w:val="en-US" w:eastAsia="en-US" w:bidi="en-US"/>
      </w:rPr>
    </w:lvl>
  </w:abstractNum>
  <w:abstractNum w:abstractNumId="17" w15:restartNumberingAfterBreak="0">
    <w:nsid w:val="4C4F2FBF"/>
    <w:multiLevelType w:val="hybridMultilevel"/>
    <w:tmpl w:val="C452F492"/>
    <w:lvl w:ilvl="0" w:tplc="4B2EAEC2">
      <w:numFmt w:val="bullet"/>
      <w:lvlText w:val="–"/>
      <w:lvlJc w:val="left"/>
      <w:pPr>
        <w:ind w:left="527" w:hanging="165"/>
      </w:pPr>
      <w:rPr>
        <w:rFonts w:ascii="Lucida Sans" w:eastAsia="Lucida Sans" w:hAnsi="Lucida Sans" w:cs="Lucida Sans" w:hint="default"/>
        <w:color w:val="FFFFFF"/>
        <w:w w:val="124"/>
        <w:sz w:val="19"/>
        <w:szCs w:val="19"/>
        <w:lang w:val="en-US" w:eastAsia="en-US" w:bidi="en-US"/>
      </w:rPr>
    </w:lvl>
    <w:lvl w:ilvl="1" w:tplc="EA1259B2">
      <w:numFmt w:val="bullet"/>
      <w:lvlText w:val="•"/>
      <w:lvlJc w:val="left"/>
      <w:pPr>
        <w:ind w:left="937" w:hanging="227"/>
      </w:pPr>
      <w:rPr>
        <w:rFonts w:ascii="Lucida Sans" w:eastAsia="Lucida Sans" w:hAnsi="Lucida Sans" w:cs="Lucida Sans" w:hint="default"/>
        <w:color w:val="231F20"/>
        <w:w w:val="62"/>
        <w:sz w:val="19"/>
        <w:szCs w:val="19"/>
        <w:lang w:val="en-US" w:eastAsia="en-US" w:bidi="en-US"/>
      </w:rPr>
    </w:lvl>
    <w:lvl w:ilvl="2" w:tplc="72D6FF62">
      <w:numFmt w:val="bullet"/>
      <w:lvlText w:val="•"/>
      <w:lvlJc w:val="left"/>
      <w:pPr>
        <w:ind w:left="1077" w:hanging="227"/>
      </w:pPr>
      <w:rPr>
        <w:rFonts w:ascii="Lucida Sans" w:eastAsia="Lucida Sans" w:hAnsi="Lucida Sans" w:cs="Lucida Sans" w:hint="default"/>
        <w:color w:val="231F20"/>
        <w:w w:val="62"/>
        <w:sz w:val="19"/>
        <w:szCs w:val="19"/>
        <w:lang w:val="en-US" w:eastAsia="en-US" w:bidi="en-US"/>
      </w:rPr>
    </w:lvl>
    <w:lvl w:ilvl="3" w:tplc="18002876">
      <w:numFmt w:val="bullet"/>
      <w:lvlText w:val="•"/>
      <w:lvlJc w:val="left"/>
      <w:pPr>
        <w:ind w:left="901" w:hanging="227"/>
      </w:pPr>
      <w:rPr>
        <w:rFonts w:hint="default"/>
        <w:lang w:val="en-US" w:eastAsia="en-US" w:bidi="en-US"/>
      </w:rPr>
    </w:lvl>
    <w:lvl w:ilvl="4" w:tplc="C0E80A22">
      <w:numFmt w:val="bullet"/>
      <w:lvlText w:val="•"/>
      <w:lvlJc w:val="left"/>
      <w:pPr>
        <w:ind w:left="723" w:hanging="227"/>
      </w:pPr>
      <w:rPr>
        <w:rFonts w:hint="default"/>
        <w:lang w:val="en-US" w:eastAsia="en-US" w:bidi="en-US"/>
      </w:rPr>
    </w:lvl>
    <w:lvl w:ilvl="5" w:tplc="31ACEAFE">
      <w:numFmt w:val="bullet"/>
      <w:lvlText w:val="•"/>
      <w:lvlJc w:val="left"/>
      <w:pPr>
        <w:ind w:left="545" w:hanging="227"/>
      </w:pPr>
      <w:rPr>
        <w:rFonts w:hint="default"/>
        <w:lang w:val="en-US" w:eastAsia="en-US" w:bidi="en-US"/>
      </w:rPr>
    </w:lvl>
    <w:lvl w:ilvl="6" w:tplc="9EDCF89E">
      <w:numFmt w:val="bullet"/>
      <w:lvlText w:val="•"/>
      <w:lvlJc w:val="left"/>
      <w:pPr>
        <w:ind w:left="367" w:hanging="227"/>
      </w:pPr>
      <w:rPr>
        <w:rFonts w:hint="default"/>
        <w:lang w:val="en-US" w:eastAsia="en-US" w:bidi="en-US"/>
      </w:rPr>
    </w:lvl>
    <w:lvl w:ilvl="7" w:tplc="581E0270">
      <w:numFmt w:val="bullet"/>
      <w:lvlText w:val="•"/>
      <w:lvlJc w:val="left"/>
      <w:pPr>
        <w:ind w:left="189" w:hanging="227"/>
      </w:pPr>
      <w:rPr>
        <w:rFonts w:hint="default"/>
        <w:lang w:val="en-US" w:eastAsia="en-US" w:bidi="en-US"/>
      </w:rPr>
    </w:lvl>
    <w:lvl w:ilvl="8" w:tplc="C3AE640E">
      <w:numFmt w:val="bullet"/>
      <w:lvlText w:val="•"/>
      <w:lvlJc w:val="left"/>
      <w:pPr>
        <w:ind w:left="11" w:hanging="227"/>
      </w:pPr>
      <w:rPr>
        <w:rFonts w:hint="default"/>
        <w:lang w:val="en-US" w:eastAsia="en-US" w:bidi="en-US"/>
      </w:rPr>
    </w:lvl>
  </w:abstractNum>
  <w:abstractNum w:abstractNumId="18" w15:restartNumberingAfterBreak="0">
    <w:nsid w:val="503958EC"/>
    <w:multiLevelType w:val="hybridMultilevel"/>
    <w:tmpl w:val="4176D232"/>
    <w:lvl w:ilvl="0" w:tplc="7670493C">
      <w:numFmt w:val="bullet"/>
      <w:lvlText w:val="•"/>
      <w:lvlJc w:val="left"/>
      <w:pPr>
        <w:ind w:left="396" w:hanging="227"/>
      </w:pPr>
      <w:rPr>
        <w:rFonts w:ascii="Lucida Sans" w:eastAsia="Lucida Sans" w:hAnsi="Lucida Sans" w:cs="Lucida Sans" w:hint="default"/>
        <w:color w:val="231F20"/>
        <w:w w:val="62"/>
        <w:sz w:val="19"/>
        <w:szCs w:val="19"/>
        <w:lang w:val="en-US" w:eastAsia="en-US" w:bidi="en-US"/>
      </w:rPr>
    </w:lvl>
    <w:lvl w:ilvl="1" w:tplc="CF0454F8">
      <w:numFmt w:val="bullet"/>
      <w:lvlText w:val="•"/>
      <w:lvlJc w:val="left"/>
      <w:pPr>
        <w:ind w:left="827" w:hanging="227"/>
      </w:pPr>
      <w:rPr>
        <w:rFonts w:hint="default"/>
        <w:lang w:val="en-US" w:eastAsia="en-US" w:bidi="en-US"/>
      </w:rPr>
    </w:lvl>
    <w:lvl w:ilvl="2" w:tplc="118C765C">
      <w:numFmt w:val="bullet"/>
      <w:lvlText w:val="•"/>
      <w:lvlJc w:val="left"/>
      <w:pPr>
        <w:ind w:left="1255" w:hanging="227"/>
      </w:pPr>
      <w:rPr>
        <w:rFonts w:hint="default"/>
        <w:lang w:val="en-US" w:eastAsia="en-US" w:bidi="en-US"/>
      </w:rPr>
    </w:lvl>
    <w:lvl w:ilvl="3" w:tplc="06A8B022">
      <w:numFmt w:val="bullet"/>
      <w:lvlText w:val="•"/>
      <w:lvlJc w:val="left"/>
      <w:pPr>
        <w:ind w:left="1683" w:hanging="227"/>
      </w:pPr>
      <w:rPr>
        <w:rFonts w:hint="default"/>
        <w:lang w:val="en-US" w:eastAsia="en-US" w:bidi="en-US"/>
      </w:rPr>
    </w:lvl>
    <w:lvl w:ilvl="4" w:tplc="9898AEF6">
      <w:numFmt w:val="bullet"/>
      <w:lvlText w:val="•"/>
      <w:lvlJc w:val="left"/>
      <w:pPr>
        <w:ind w:left="2110" w:hanging="227"/>
      </w:pPr>
      <w:rPr>
        <w:rFonts w:hint="default"/>
        <w:lang w:val="en-US" w:eastAsia="en-US" w:bidi="en-US"/>
      </w:rPr>
    </w:lvl>
    <w:lvl w:ilvl="5" w:tplc="876804B8">
      <w:numFmt w:val="bullet"/>
      <w:lvlText w:val="•"/>
      <w:lvlJc w:val="left"/>
      <w:pPr>
        <w:ind w:left="2538" w:hanging="227"/>
      </w:pPr>
      <w:rPr>
        <w:rFonts w:hint="default"/>
        <w:lang w:val="en-US" w:eastAsia="en-US" w:bidi="en-US"/>
      </w:rPr>
    </w:lvl>
    <w:lvl w:ilvl="6" w:tplc="47C0068C">
      <w:numFmt w:val="bullet"/>
      <w:lvlText w:val="•"/>
      <w:lvlJc w:val="left"/>
      <w:pPr>
        <w:ind w:left="2966" w:hanging="227"/>
      </w:pPr>
      <w:rPr>
        <w:rFonts w:hint="default"/>
        <w:lang w:val="en-US" w:eastAsia="en-US" w:bidi="en-US"/>
      </w:rPr>
    </w:lvl>
    <w:lvl w:ilvl="7" w:tplc="68D07B76">
      <w:numFmt w:val="bullet"/>
      <w:lvlText w:val="•"/>
      <w:lvlJc w:val="left"/>
      <w:pPr>
        <w:ind w:left="3394" w:hanging="227"/>
      </w:pPr>
      <w:rPr>
        <w:rFonts w:hint="default"/>
        <w:lang w:val="en-US" w:eastAsia="en-US" w:bidi="en-US"/>
      </w:rPr>
    </w:lvl>
    <w:lvl w:ilvl="8" w:tplc="C730F602">
      <w:numFmt w:val="bullet"/>
      <w:lvlText w:val="•"/>
      <w:lvlJc w:val="left"/>
      <w:pPr>
        <w:ind w:left="3821" w:hanging="227"/>
      </w:pPr>
      <w:rPr>
        <w:rFonts w:hint="default"/>
        <w:lang w:val="en-US" w:eastAsia="en-US" w:bidi="en-US"/>
      </w:rPr>
    </w:lvl>
  </w:abstractNum>
  <w:abstractNum w:abstractNumId="19" w15:restartNumberingAfterBreak="0">
    <w:nsid w:val="52E31BC8"/>
    <w:multiLevelType w:val="hybridMultilevel"/>
    <w:tmpl w:val="1CB6BE90"/>
    <w:lvl w:ilvl="0" w:tplc="2D823DE2">
      <w:start w:val="1"/>
      <w:numFmt w:val="decimal"/>
      <w:lvlText w:val="%1."/>
      <w:lvlJc w:val="left"/>
      <w:pPr>
        <w:ind w:left="1870" w:hanging="171"/>
      </w:pPr>
      <w:rPr>
        <w:rFonts w:ascii="Lucida Sans" w:eastAsia="Lucida Sans" w:hAnsi="Lucida Sans" w:cs="Lucida Sans" w:hint="default"/>
        <w:color w:val="0076BE"/>
        <w:w w:val="68"/>
        <w:sz w:val="20"/>
        <w:szCs w:val="20"/>
        <w:lang w:val="en-US" w:eastAsia="en-US" w:bidi="en-US"/>
      </w:rPr>
    </w:lvl>
    <w:lvl w:ilvl="1" w:tplc="6C9ACF30">
      <w:numFmt w:val="bullet"/>
      <w:lvlText w:val="•"/>
      <w:lvlJc w:val="left"/>
      <w:pPr>
        <w:ind w:left="3800" w:hanging="171"/>
      </w:pPr>
      <w:rPr>
        <w:rFonts w:hint="default"/>
        <w:lang w:val="en-US" w:eastAsia="en-US" w:bidi="en-US"/>
      </w:rPr>
    </w:lvl>
    <w:lvl w:ilvl="2" w:tplc="F8CEB132">
      <w:numFmt w:val="bullet"/>
      <w:lvlText w:val="•"/>
      <w:lvlJc w:val="left"/>
      <w:pPr>
        <w:ind w:left="4700" w:hanging="171"/>
      </w:pPr>
      <w:rPr>
        <w:rFonts w:hint="default"/>
        <w:lang w:val="en-US" w:eastAsia="en-US" w:bidi="en-US"/>
      </w:rPr>
    </w:lvl>
    <w:lvl w:ilvl="3" w:tplc="6CE861E0">
      <w:numFmt w:val="bullet"/>
      <w:lvlText w:val="•"/>
      <w:lvlJc w:val="left"/>
      <w:pPr>
        <w:ind w:left="5601" w:hanging="171"/>
      </w:pPr>
      <w:rPr>
        <w:rFonts w:hint="default"/>
        <w:lang w:val="en-US" w:eastAsia="en-US" w:bidi="en-US"/>
      </w:rPr>
    </w:lvl>
    <w:lvl w:ilvl="4" w:tplc="5A782B9C">
      <w:numFmt w:val="bullet"/>
      <w:lvlText w:val="•"/>
      <w:lvlJc w:val="left"/>
      <w:pPr>
        <w:ind w:left="6501" w:hanging="171"/>
      </w:pPr>
      <w:rPr>
        <w:rFonts w:hint="default"/>
        <w:lang w:val="en-US" w:eastAsia="en-US" w:bidi="en-US"/>
      </w:rPr>
    </w:lvl>
    <w:lvl w:ilvl="5" w:tplc="7FC6415A">
      <w:numFmt w:val="bullet"/>
      <w:lvlText w:val="•"/>
      <w:lvlJc w:val="left"/>
      <w:pPr>
        <w:ind w:left="7402" w:hanging="171"/>
      </w:pPr>
      <w:rPr>
        <w:rFonts w:hint="default"/>
        <w:lang w:val="en-US" w:eastAsia="en-US" w:bidi="en-US"/>
      </w:rPr>
    </w:lvl>
    <w:lvl w:ilvl="6" w:tplc="6CD0E4A4">
      <w:numFmt w:val="bullet"/>
      <w:lvlText w:val="•"/>
      <w:lvlJc w:val="left"/>
      <w:pPr>
        <w:ind w:left="8303" w:hanging="171"/>
      </w:pPr>
      <w:rPr>
        <w:rFonts w:hint="default"/>
        <w:lang w:val="en-US" w:eastAsia="en-US" w:bidi="en-US"/>
      </w:rPr>
    </w:lvl>
    <w:lvl w:ilvl="7" w:tplc="F7668ADE">
      <w:numFmt w:val="bullet"/>
      <w:lvlText w:val="•"/>
      <w:lvlJc w:val="left"/>
      <w:pPr>
        <w:ind w:left="9203" w:hanging="171"/>
      </w:pPr>
      <w:rPr>
        <w:rFonts w:hint="default"/>
        <w:lang w:val="en-US" w:eastAsia="en-US" w:bidi="en-US"/>
      </w:rPr>
    </w:lvl>
    <w:lvl w:ilvl="8" w:tplc="D3C6CB98">
      <w:numFmt w:val="bullet"/>
      <w:lvlText w:val="•"/>
      <w:lvlJc w:val="left"/>
      <w:pPr>
        <w:ind w:left="10104" w:hanging="171"/>
      </w:pPr>
      <w:rPr>
        <w:rFonts w:hint="default"/>
        <w:lang w:val="en-US" w:eastAsia="en-US" w:bidi="en-US"/>
      </w:rPr>
    </w:lvl>
  </w:abstractNum>
  <w:abstractNum w:abstractNumId="2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61A78D0"/>
    <w:multiLevelType w:val="hybridMultilevel"/>
    <w:tmpl w:val="16C286FE"/>
    <w:lvl w:ilvl="0" w:tplc="41B04976">
      <w:numFmt w:val="bullet"/>
      <w:lvlText w:val=""/>
      <w:lvlJc w:val="left"/>
      <w:pPr>
        <w:ind w:left="1089" w:hanging="240"/>
      </w:pPr>
      <w:rPr>
        <w:w w:val="100"/>
      </w:rPr>
    </w:lvl>
    <w:lvl w:ilvl="1" w:tplc="92EAA45A">
      <w:numFmt w:val="bullet"/>
      <w:lvlText w:val="•"/>
      <w:lvlJc w:val="left"/>
      <w:pPr>
        <w:ind w:left="1266" w:hanging="240"/>
      </w:pPr>
    </w:lvl>
    <w:lvl w:ilvl="2" w:tplc="B404A0EE">
      <w:numFmt w:val="bullet"/>
      <w:lvlText w:val="•"/>
      <w:lvlJc w:val="left"/>
      <w:pPr>
        <w:ind w:left="1453" w:hanging="240"/>
      </w:pPr>
    </w:lvl>
    <w:lvl w:ilvl="3" w:tplc="55EE2212">
      <w:numFmt w:val="bullet"/>
      <w:lvlText w:val="•"/>
      <w:lvlJc w:val="left"/>
      <w:pPr>
        <w:ind w:left="1640" w:hanging="240"/>
      </w:pPr>
    </w:lvl>
    <w:lvl w:ilvl="4" w:tplc="71E6E71E">
      <w:numFmt w:val="bullet"/>
      <w:lvlText w:val="•"/>
      <w:lvlJc w:val="left"/>
      <w:pPr>
        <w:ind w:left="1826" w:hanging="240"/>
      </w:pPr>
    </w:lvl>
    <w:lvl w:ilvl="5" w:tplc="E842C97C">
      <w:numFmt w:val="bullet"/>
      <w:lvlText w:val="•"/>
      <w:lvlJc w:val="left"/>
      <w:pPr>
        <w:ind w:left="2013" w:hanging="240"/>
      </w:pPr>
    </w:lvl>
    <w:lvl w:ilvl="6" w:tplc="2ACAFADC">
      <w:numFmt w:val="bullet"/>
      <w:lvlText w:val="•"/>
      <w:lvlJc w:val="left"/>
      <w:pPr>
        <w:ind w:left="2200" w:hanging="240"/>
      </w:pPr>
    </w:lvl>
    <w:lvl w:ilvl="7" w:tplc="5EBA7078">
      <w:numFmt w:val="bullet"/>
      <w:lvlText w:val="•"/>
      <w:lvlJc w:val="left"/>
      <w:pPr>
        <w:ind w:left="2387" w:hanging="240"/>
      </w:pPr>
    </w:lvl>
    <w:lvl w:ilvl="8" w:tplc="1458CC5E">
      <w:numFmt w:val="bullet"/>
      <w:lvlText w:val="•"/>
      <w:lvlJc w:val="left"/>
      <w:pPr>
        <w:ind w:left="2573" w:hanging="240"/>
      </w:pPr>
    </w:lvl>
  </w:abstractNum>
  <w:abstractNum w:abstractNumId="22" w15:restartNumberingAfterBreak="0">
    <w:nsid w:val="600E5177"/>
    <w:multiLevelType w:val="hybridMultilevel"/>
    <w:tmpl w:val="32C64808"/>
    <w:lvl w:ilvl="0" w:tplc="DD94F94A">
      <w:numFmt w:val="bullet"/>
      <w:lvlText w:val="•"/>
      <w:lvlJc w:val="left"/>
      <w:pPr>
        <w:ind w:left="1360" w:hanging="227"/>
      </w:pPr>
      <w:rPr>
        <w:rFonts w:ascii="Lucida Sans" w:eastAsia="Lucida Sans" w:hAnsi="Lucida Sans" w:cs="Lucida Sans" w:hint="default"/>
        <w:color w:val="231F20"/>
        <w:w w:val="62"/>
        <w:sz w:val="19"/>
        <w:szCs w:val="19"/>
        <w:lang w:val="en-US" w:eastAsia="en-US" w:bidi="en-US"/>
      </w:rPr>
    </w:lvl>
    <w:lvl w:ilvl="1" w:tplc="4B320D60">
      <w:numFmt w:val="bullet"/>
      <w:lvlText w:val="•"/>
      <w:lvlJc w:val="left"/>
      <w:pPr>
        <w:ind w:left="1789" w:hanging="227"/>
      </w:pPr>
      <w:rPr>
        <w:rFonts w:hint="default"/>
        <w:lang w:val="en-US" w:eastAsia="en-US" w:bidi="en-US"/>
      </w:rPr>
    </w:lvl>
    <w:lvl w:ilvl="2" w:tplc="6E5C516C">
      <w:numFmt w:val="bullet"/>
      <w:lvlText w:val="•"/>
      <w:lvlJc w:val="left"/>
      <w:pPr>
        <w:ind w:left="2219" w:hanging="227"/>
      </w:pPr>
      <w:rPr>
        <w:rFonts w:hint="default"/>
        <w:lang w:val="en-US" w:eastAsia="en-US" w:bidi="en-US"/>
      </w:rPr>
    </w:lvl>
    <w:lvl w:ilvl="3" w:tplc="28FCD0B6">
      <w:numFmt w:val="bullet"/>
      <w:lvlText w:val="•"/>
      <w:lvlJc w:val="left"/>
      <w:pPr>
        <w:ind w:left="2648" w:hanging="227"/>
      </w:pPr>
      <w:rPr>
        <w:rFonts w:hint="default"/>
        <w:lang w:val="en-US" w:eastAsia="en-US" w:bidi="en-US"/>
      </w:rPr>
    </w:lvl>
    <w:lvl w:ilvl="4" w:tplc="8E442BF8">
      <w:numFmt w:val="bullet"/>
      <w:lvlText w:val="•"/>
      <w:lvlJc w:val="left"/>
      <w:pPr>
        <w:ind w:left="3078" w:hanging="227"/>
      </w:pPr>
      <w:rPr>
        <w:rFonts w:hint="default"/>
        <w:lang w:val="en-US" w:eastAsia="en-US" w:bidi="en-US"/>
      </w:rPr>
    </w:lvl>
    <w:lvl w:ilvl="5" w:tplc="130E3C82">
      <w:numFmt w:val="bullet"/>
      <w:lvlText w:val="•"/>
      <w:lvlJc w:val="left"/>
      <w:pPr>
        <w:ind w:left="3508" w:hanging="227"/>
      </w:pPr>
      <w:rPr>
        <w:rFonts w:hint="default"/>
        <w:lang w:val="en-US" w:eastAsia="en-US" w:bidi="en-US"/>
      </w:rPr>
    </w:lvl>
    <w:lvl w:ilvl="6" w:tplc="995E399C">
      <w:numFmt w:val="bullet"/>
      <w:lvlText w:val="•"/>
      <w:lvlJc w:val="left"/>
      <w:pPr>
        <w:ind w:left="3937" w:hanging="227"/>
      </w:pPr>
      <w:rPr>
        <w:rFonts w:hint="default"/>
        <w:lang w:val="en-US" w:eastAsia="en-US" w:bidi="en-US"/>
      </w:rPr>
    </w:lvl>
    <w:lvl w:ilvl="7" w:tplc="A43870E4">
      <w:numFmt w:val="bullet"/>
      <w:lvlText w:val="•"/>
      <w:lvlJc w:val="left"/>
      <w:pPr>
        <w:ind w:left="4367" w:hanging="227"/>
      </w:pPr>
      <w:rPr>
        <w:rFonts w:hint="default"/>
        <w:lang w:val="en-US" w:eastAsia="en-US" w:bidi="en-US"/>
      </w:rPr>
    </w:lvl>
    <w:lvl w:ilvl="8" w:tplc="5DA642E4">
      <w:numFmt w:val="bullet"/>
      <w:lvlText w:val="•"/>
      <w:lvlJc w:val="left"/>
      <w:pPr>
        <w:ind w:left="4797" w:hanging="227"/>
      </w:pPr>
      <w:rPr>
        <w:rFonts w:hint="default"/>
        <w:lang w:val="en-US" w:eastAsia="en-US" w:bidi="en-US"/>
      </w:rPr>
    </w:lvl>
  </w:abstractNum>
  <w:abstractNum w:abstractNumId="23" w15:restartNumberingAfterBreak="0">
    <w:nsid w:val="62965A0C"/>
    <w:multiLevelType w:val="hybridMultilevel"/>
    <w:tmpl w:val="7BBC748E"/>
    <w:lvl w:ilvl="0" w:tplc="D4EC1E4C">
      <w:start w:val="7"/>
      <w:numFmt w:val="decimal"/>
      <w:lvlText w:val="%1."/>
      <w:lvlJc w:val="left"/>
      <w:pPr>
        <w:ind w:left="461" w:hanging="329"/>
      </w:pPr>
      <w:rPr>
        <w:rFonts w:ascii="Trebuchet MS" w:eastAsia="Trebuchet MS" w:hAnsi="Trebuchet MS" w:cs="Trebuchet MS" w:hint="default"/>
        <w:color w:val="231F20"/>
        <w:spacing w:val="-28"/>
        <w:w w:val="78"/>
        <w:sz w:val="18"/>
        <w:szCs w:val="18"/>
      </w:rPr>
    </w:lvl>
    <w:lvl w:ilvl="1" w:tplc="93B6511C">
      <w:numFmt w:val="bullet"/>
      <w:lvlText w:val="•"/>
      <w:lvlJc w:val="left"/>
      <w:pPr>
        <w:ind w:left="1173" w:hanging="329"/>
      </w:pPr>
    </w:lvl>
    <w:lvl w:ilvl="2" w:tplc="291A4D68">
      <w:numFmt w:val="bullet"/>
      <w:lvlText w:val="•"/>
      <w:lvlJc w:val="left"/>
      <w:pPr>
        <w:ind w:left="1887" w:hanging="329"/>
      </w:pPr>
    </w:lvl>
    <w:lvl w:ilvl="3" w:tplc="21401C4A">
      <w:numFmt w:val="bullet"/>
      <w:lvlText w:val="•"/>
      <w:lvlJc w:val="left"/>
      <w:pPr>
        <w:ind w:left="2600" w:hanging="329"/>
      </w:pPr>
    </w:lvl>
    <w:lvl w:ilvl="4" w:tplc="921013FC">
      <w:numFmt w:val="bullet"/>
      <w:lvlText w:val="•"/>
      <w:lvlJc w:val="left"/>
      <w:pPr>
        <w:ind w:left="3314" w:hanging="329"/>
      </w:pPr>
    </w:lvl>
    <w:lvl w:ilvl="5" w:tplc="028AD232">
      <w:numFmt w:val="bullet"/>
      <w:lvlText w:val="•"/>
      <w:lvlJc w:val="left"/>
      <w:pPr>
        <w:ind w:left="4027" w:hanging="329"/>
      </w:pPr>
    </w:lvl>
    <w:lvl w:ilvl="6" w:tplc="772EC2F8">
      <w:numFmt w:val="bullet"/>
      <w:lvlText w:val="•"/>
      <w:lvlJc w:val="left"/>
      <w:pPr>
        <w:ind w:left="4741" w:hanging="329"/>
      </w:pPr>
    </w:lvl>
    <w:lvl w:ilvl="7" w:tplc="37FC263E">
      <w:numFmt w:val="bullet"/>
      <w:lvlText w:val="•"/>
      <w:lvlJc w:val="left"/>
      <w:pPr>
        <w:ind w:left="5454" w:hanging="329"/>
      </w:pPr>
    </w:lvl>
    <w:lvl w:ilvl="8" w:tplc="6584FA32">
      <w:numFmt w:val="bullet"/>
      <w:lvlText w:val="•"/>
      <w:lvlJc w:val="left"/>
      <w:pPr>
        <w:ind w:left="6168" w:hanging="329"/>
      </w:pPr>
    </w:lvl>
  </w:abstractNum>
  <w:abstractNum w:abstractNumId="24" w15:restartNumberingAfterBreak="0">
    <w:nsid w:val="63FA2B80"/>
    <w:multiLevelType w:val="hybridMultilevel"/>
    <w:tmpl w:val="2D34A436"/>
    <w:lvl w:ilvl="0" w:tplc="163A134A">
      <w:start w:val="5"/>
      <w:numFmt w:val="decimal"/>
      <w:lvlText w:val="%1."/>
      <w:lvlJc w:val="left"/>
      <w:pPr>
        <w:ind w:left="461" w:hanging="341"/>
      </w:pPr>
      <w:rPr>
        <w:rFonts w:ascii="Lucida Sans" w:eastAsia="Lucida Sans" w:hAnsi="Lucida Sans" w:cs="Lucida Sans" w:hint="default"/>
        <w:color w:val="231F20"/>
        <w:w w:val="80"/>
        <w:sz w:val="18"/>
        <w:szCs w:val="18"/>
        <w:lang w:val="en-US" w:eastAsia="en-US" w:bidi="en-US"/>
      </w:rPr>
    </w:lvl>
    <w:lvl w:ilvl="1" w:tplc="5380E9D6">
      <w:numFmt w:val="bullet"/>
      <w:lvlText w:val="•"/>
      <w:lvlJc w:val="left"/>
      <w:pPr>
        <w:ind w:left="1173" w:hanging="341"/>
      </w:pPr>
      <w:rPr>
        <w:rFonts w:hint="default"/>
        <w:lang w:val="en-US" w:eastAsia="en-US" w:bidi="en-US"/>
      </w:rPr>
    </w:lvl>
    <w:lvl w:ilvl="2" w:tplc="7910E772">
      <w:numFmt w:val="bullet"/>
      <w:lvlText w:val="•"/>
      <w:lvlJc w:val="left"/>
      <w:pPr>
        <w:ind w:left="1887" w:hanging="341"/>
      </w:pPr>
      <w:rPr>
        <w:rFonts w:hint="default"/>
        <w:lang w:val="en-US" w:eastAsia="en-US" w:bidi="en-US"/>
      </w:rPr>
    </w:lvl>
    <w:lvl w:ilvl="3" w:tplc="969A410A">
      <w:numFmt w:val="bullet"/>
      <w:lvlText w:val="•"/>
      <w:lvlJc w:val="left"/>
      <w:pPr>
        <w:ind w:left="2600" w:hanging="341"/>
      </w:pPr>
      <w:rPr>
        <w:rFonts w:hint="default"/>
        <w:lang w:val="en-US" w:eastAsia="en-US" w:bidi="en-US"/>
      </w:rPr>
    </w:lvl>
    <w:lvl w:ilvl="4" w:tplc="8C3E9C46">
      <w:numFmt w:val="bullet"/>
      <w:lvlText w:val="•"/>
      <w:lvlJc w:val="left"/>
      <w:pPr>
        <w:ind w:left="3314" w:hanging="341"/>
      </w:pPr>
      <w:rPr>
        <w:rFonts w:hint="default"/>
        <w:lang w:val="en-US" w:eastAsia="en-US" w:bidi="en-US"/>
      </w:rPr>
    </w:lvl>
    <w:lvl w:ilvl="5" w:tplc="9968CA84">
      <w:numFmt w:val="bullet"/>
      <w:lvlText w:val="•"/>
      <w:lvlJc w:val="left"/>
      <w:pPr>
        <w:ind w:left="4027" w:hanging="341"/>
      </w:pPr>
      <w:rPr>
        <w:rFonts w:hint="default"/>
        <w:lang w:val="en-US" w:eastAsia="en-US" w:bidi="en-US"/>
      </w:rPr>
    </w:lvl>
    <w:lvl w:ilvl="6" w:tplc="CE622ACE">
      <w:numFmt w:val="bullet"/>
      <w:lvlText w:val="•"/>
      <w:lvlJc w:val="left"/>
      <w:pPr>
        <w:ind w:left="4741" w:hanging="341"/>
      </w:pPr>
      <w:rPr>
        <w:rFonts w:hint="default"/>
        <w:lang w:val="en-US" w:eastAsia="en-US" w:bidi="en-US"/>
      </w:rPr>
    </w:lvl>
    <w:lvl w:ilvl="7" w:tplc="8F24EBB2">
      <w:numFmt w:val="bullet"/>
      <w:lvlText w:val="•"/>
      <w:lvlJc w:val="left"/>
      <w:pPr>
        <w:ind w:left="5454" w:hanging="341"/>
      </w:pPr>
      <w:rPr>
        <w:rFonts w:hint="default"/>
        <w:lang w:val="en-US" w:eastAsia="en-US" w:bidi="en-US"/>
      </w:rPr>
    </w:lvl>
    <w:lvl w:ilvl="8" w:tplc="BA802ED4">
      <w:numFmt w:val="bullet"/>
      <w:lvlText w:val="•"/>
      <w:lvlJc w:val="left"/>
      <w:pPr>
        <w:ind w:left="6168" w:hanging="341"/>
      </w:pPr>
      <w:rPr>
        <w:rFonts w:hint="default"/>
        <w:lang w:val="en-US" w:eastAsia="en-US" w:bidi="en-US"/>
      </w:rPr>
    </w:lvl>
  </w:abstractNum>
  <w:abstractNum w:abstractNumId="25" w15:restartNumberingAfterBreak="0">
    <w:nsid w:val="65C455BC"/>
    <w:multiLevelType w:val="hybridMultilevel"/>
    <w:tmpl w:val="8A546118"/>
    <w:lvl w:ilvl="0" w:tplc="4E92CB42">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19A42916">
      <w:numFmt w:val="bullet"/>
      <w:lvlText w:val="•"/>
      <w:lvlJc w:val="left"/>
      <w:pPr>
        <w:ind w:left="1005" w:hanging="124"/>
      </w:pPr>
      <w:rPr>
        <w:rFonts w:hint="default"/>
        <w:lang w:val="en-US" w:eastAsia="en-US" w:bidi="en-US"/>
      </w:rPr>
    </w:lvl>
    <w:lvl w:ilvl="2" w:tplc="7F28BCAC">
      <w:numFmt w:val="bullet"/>
      <w:lvlText w:val="•"/>
      <w:lvlJc w:val="left"/>
      <w:pPr>
        <w:ind w:left="1890" w:hanging="124"/>
      </w:pPr>
      <w:rPr>
        <w:rFonts w:hint="default"/>
        <w:lang w:val="en-US" w:eastAsia="en-US" w:bidi="en-US"/>
      </w:rPr>
    </w:lvl>
    <w:lvl w:ilvl="3" w:tplc="972AA324">
      <w:numFmt w:val="bullet"/>
      <w:lvlText w:val="•"/>
      <w:lvlJc w:val="left"/>
      <w:pPr>
        <w:ind w:left="2775" w:hanging="124"/>
      </w:pPr>
      <w:rPr>
        <w:rFonts w:hint="default"/>
        <w:lang w:val="en-US" w:eastAsia="en-US" w:bidi="en-US"/>
      </w:rPr>
    </w:lvl>
    <w:lvl w:ilvl="4" w:tplc="4228646E">
      <w:numFmt w:val="bullet"/>
      <w:lvlText w:val="•"/>
      <w:lvlJc w:val="left"/>
      <w:pPr>
        <w:ind w:left="3661" w:hanging="124"/>
      </w:pPr>
      <w:rPr>
        <w:rFonts w:hint="default"/>
        <w:lang w:val="en-US" w:eastAsia="en-US" w:bidi="en-US"/>
      </w:rPr>
    </w:lvl>
    <w:lvl w:ilvl="5" w:tplc="4FD87776">
      <w:numFmt w:val="bullet"/>
      <w:lvlText w:val="•"/>
      <w:lvlJc w:val="left"/>
      <w:pPr>
        <w:ind w:left="4546" w:hanging="124"/>
      </w:pPr>
      <w:rPr>
        <w:rFonts w:hint="default"/>
        <w:lang w:val="en-US" w:eastAsia="en-US" w:bidi="en-US"/>
      </w:rPr>
    </w:lvl>
    <w:lvl w:ilvl="6" w:tplc="7EC49526">
      <w:numFmt w:val="bullet"/>
      <w:lvlText w:val="•"/>
      <w:lvlJc w:val="left"/>
      <w:pPr>
        <w:ind w:left="5431" w:hanging="124"/>
      </w:pPr>
      <w:rPr>
        <w:rFonts w:hint="default"/>
        <w:lang w:val="en-US" w:eastAsia="en-US" w:bidi="en-US"/>
      </w:rPr>
    </w:lvl>
    <w:lvl w:ilvl="7" w:tplc="48EAD132">
      <w:numFmt w:val="bullet"/>
      <w:lvlText w:val="•"/>
      <w:lvlJc w:val="left"/>
      <w:pPr>
        <w:ind w:left="6317" w:hanging="124"/>
      </w:pPr>
      <w:rPr>
        <w:rFonts w:hint="default"/>
        <w:lang w:val="en-US" w:eastAsia="en-US" w:bidi="en-US"/>
      </w:rPr>
    </w:lvl>
    <w:lvl w:ilvl="8" w:tplc="E0AE17CA">
      <w:numFmt w:val="bullet"/>
      <w:lvlText w:val="•"/>
      <w:lvlJc w:val="left"/>
      <w:pPr>
        <w:ind w:left="7202" w:hanging="124"/>
      </w:pPr>
      <w:rPr>
        <w:rFonts w:hint="default"/>
        <w:lang w:val="en-US" w:eastAsia="en-US" w:bidi="en-US"/>
      </w:rPr>
    </w:lvl>
  </w:abstractNum>
  <w:abstractNum w:abstractNumId="26" w15:restartNumberingAfterBreak="0">
    <w:nsid w:val="697748C8"/>
    <w:multiLevelType w:val="hybridMultilevel"/>
    <w:tmpl w:val="E74C0706"/>
    <w:lvl w:ilvl="0" w:tplc="F058F560">
      <w:start w:val="7"/>
      <w:numFmt w:val="decimal"/>
      <w:lvlText w:val="%1."/>
      <w:lvlJc w:val="left"/>
      <w:pPr>
        <w:ind w:left="461" w:hanging="329"/>
      </w:pPr>
      <w:rPr>
        <w:rFonts w:ascii="Lucida Sans" w:eastAsia="Lucida Sans" w:hAnsi="Lucida Sans" w:cs="Lucida Sans" w:hint="default"/>
        <w:color w:val="231F20"/>
        <w:spacing w:val="-28"/>
        <w:w w:val="64"/>
        <w:sz w:val="18"/>
        <w:szCs w:val="18"/>
        <w:lang w:val="en-US" w:eastAsia="en-US" w:bidi="en-US"/>
      </w:rPr>
    </w:lvl>
    <w:lvl w:ilvl="1" w:tplc="E3ACCCDA">
      <w:numFmt w:val="bullet"/>
      <w:lvlText w:val="•"/>
      <w:lvlJc w:val="left"/>
      <w:pPr>
        <w:ind w:left="1173" w:hanging="329"/>
      </w:pPr>
      <w:rPr>
        <w:rFonts w:hint="default"/>
        <w:lang w:val="en-US" w:eastAsia="en-US" w:bidi="en-US"/>
      </w:rPr>
    </w:lvl>
    <w:lvl w:ilvl="2" w:tplc="86B44130">
      <w:numFmt w:val="bullet"/>
      <w:lvlText w:val="•"/>
      <w:lvlJc w:val="left"/>
      <w:pPr>
        <w:ind w:left="1887" w:hanging="329"/>
      </w:pPr>
      <w:rPr>
        <w:rFonts w:hint="default"/>
        <w:lang w:val="en-US" w:eastAsia="en-US" w:bidi="en-US"/>
      </w:rPr>
    </w:lvl>
    <w:lvl w:ilvl="3" w:tplc="56346364">
      <w:numFmt w:val="bullet"/>
      <w:lvlText w:val="•"/>
      <w:lvlJc w:val="left"/>
      <w:pPr>
        <w:ind w:left="2600" w:hanging="329"/>
      </w:pPr>
      <w:rPr>
        <w:rFonts w:hint="default"/>
        <w:lang w:val="en-US" w:eastAsia="en-US" w:bidi="en-US"/>
      </w:rPr>
    </w:lvl>
    <w:lvl w:ilvl="4" w:tplc="86A2760E">
      <w:numFmt w:val="bullet"/>
      <w:lvlText w:val="•"/>
      <w:lvlJc w:val="left"/>
      <w:pPr>
        <w:ind w:left="3314" w:hanging="329"/>
      </w:pPr>
      <w:rPr>
        <w:rFonts w:hint="default"/>
        <w:lang w:val="en-US" w:eastAsia="en-US" w:bidi="en-US"/>
      </w:rPr>
    </w:lvl>
    <w:lvl w:ilvl="5" w:tplc="6A802902">
      <w:numFmt w:val="bullet"/>
      <w:lvlText w:val="•"/>
      <w:lvlJc w:val="left"/>
      <w:pPr>
        <w:ind w:left="4027" w:hanging="329"/>
      </w:pPr>
      <w:rPr>
        <w:rFonts w:hint="default"/>
        <w:lang w:val="en-US" w:eastAsia="en-US" w:bidi="en-US"/>
      </w:rPr>
    </w:lvl>
    <w:lvl w:ilvl="6" w:tplc="7B9A25C2">
      <w:numFmt w:val="bullet"/>
      <w:lvlText w:val="•"/>
      <w:lvlJc w:val="left"/>
      <w:pPr>
        <w:ind w:left="4741" w:hanging="329"/>
      </w:pPr>
      <w:rPr>
        <w:rFonts w:hint="default"/>
        <w:lang w:val="en-US" w:eastAsia="en-US" w:bidi="en-US"/>
      </w:rPr>
    </w:lvl>
    <w:lvl w:ilvl="7" w:tplc="E8968360">
      <w:numFmt w:val="bullet"/>
      <w:lvlText w:val="•"/>
      <w:lvlJc w:val="left"/>
      <w:pPr>
        <w:ind w:left="5454" w:hanging="329"/>
      </w:pPr>
      <w:rPr>
        <w:rFonts w:hint="default"/>
        <w:lang w:val="en-US" w:eastAsia="en-US" w:bidi="en-US"/>
      </w:rPr>
    </w:lvl>
    <w:lvl w:ilvl="8" w:tplc="9D72C352">
      <w:numFmt w:val="bullet"/>
      <w:lvlText w:val="•"/>
      <w:lvlJc w:val="left"/>
      <w:pPr>
        <w:ind w:left="6168" w:hanging="329"/>
      </w:pPr>
      <w:rPr>
        <w:rFonts w:hint="default"/>
        <w:lang w:val="en-US" w:eastAsia="en-US" w:bidi="en-US"/>
      </w:rPr>
    </w:lvl>
  </w:abstractNum>
  <w:abstractNum w:abstractNumId="27" w15:restartNumberingAfterBreak="0">
    <w:nsid w:val="69826F84"/>
    <w:multiLevelType w:val="hybridMultilevel"/>
    <w:tmpl w:val="CF44DE6E"/>
    <w:lvl w:ilvl="0" w:tplc="B2169AEE">
      <w:start w:val="1"/>
      <w:numFmt w:val="decimal"/>
      <w:lvlText w:val="%1."/>
      <w:lvlJc w:val="left"/>
      <w:pPr>
        <w:ind w:left="461" w:hanging="341"/>
      </w:pPr>
      <w:rPr>
        <w:rFonts w:ascii="Lucida Sans" w:eastAsia="Lucida Sans" w:hAnsi="Lucida Sans" w:cs="Lucida Sans" w:hint="default"/>
        <w:color w:val="231F20"/>
        <w:w w:val="58"/>
        <w:sz w:val="18"/>
        <w:szCs w:val="18"/>
        <w:lang w:val="en-US" w:eastAsia="en-US" w:bidi="en-US"/>
      </w:rPr>
    </w:lvl>
    <w:lvl w:ilvl="1" w:tplc="2708BBAC">
      <w:numFmt w:val="bullet"/>
      <w:lvlText w:val="•"/>
      <w:lvlJc w:val="left"/>
      <w:pPr>
        <w:ind w:left="1173" w:hanging="341"/>
      </w:pPr>
      <w:rPr>
        <w:rFonts w:hint="default"/>
        <w:lang w:val="en-US" w:eastAsia="en-US" w:bidi="en-US"/>
      </w:rPr>
    </w:lvl>
    <w:lvl w:ilvl="2" w:tplc="55C6F0BC">
      <w:numFmt w:val="bullet"/>
      <w:lvlText w:val="•"/>
      <w:lvlJc w:val="left"/>
      <w:pPr>
        <w:ind w:left="1887" w:hanging="341"/>
      </w:pPr>
      <w:rPr>
        <w:rFonts w:hint="default"/>
        <w:lang w:val="en-US" w:eastAsia="en-US" w:bidi="en-US"/>
      </w:rPr>
    </w:lvl>
    <w:lvl w:ilvl="3" w:tplc="17381FD2">
      <w:numFmt w:val="bullet"/>
      <w:lvlText w:val="•"/>
      <w:lvlJc w:val="left"/>
      <w:pPr>
        <w:ind w:left="2600" w:hanging="341"/>
      </w:pPr>
      <w:rPr>
        <w:rFonts w:hint="default"/>
        <w:lang w:val="en-US" w:eastAsia="en-US" w:bidi="en-US"/>
      </w:rPr>
    </w:lvl>
    <w:lvl w:ilvl="4" w:tplc="2266E966">
      <w:numFmt w:val="bullet"/>
      <w:lvlText w:val="•"/>
      <w:lvlJc w:val="left"/>
      <w:pPr>
        <w:ind w:left="3314" w:hanging="341"/>
      </w:pPr>
      <w:rPr>
        <w:rFonts w:hint="default"/>
        <w:lang w:val="en-US" w:eastAsia="en-US" w:bidi="en-US"/>
      </w:rPr>
    </w:lvl>
    <w:lvl w:ilvl="5" w:tplc="8080532A">
      <w:numFmt w:val="bullet"/>
      <w:lvlText w:val="•"/>
      <w:lvlJc w:val="left"/>
      <w:pPr>
        <w:ind w:left="4027" w:hanging="341"/>
      </w:pPr>
      <w:rPr>
        <w:rFonts w:hint="default"/>
        <w:lang w:val="en-US" w:eastAsia="en-US" w:bidi="en-US"/>
      </w:rPr>
    </w:lvl>
    <w:lvl w:ilvl="6" w:tplc="E0D25F7A">
      <w:numFmt w:val="bullet"/>
      <w:lvlText w:val="•"/>
      <w:lvlJc w:val="left"/>
      <w:pPr>
        <w:ind w:left="4741" w:hanging="341"/>
      </w:pPr>
      <w:rPr>
        <w:rFonts w:hint="default"/>
        <w:lang w:val="en-US" w:eastAsia="en-US" w:bidi="en-US"/>
      </w:rPr>
    </w:lvl>
    <w:lvl w:ilvl="7" w:tplc="32F2FBBE">
      <w:numFmt w:val="bullet"/>
      <w:lvlText w:val="•"/>
      <w:lvlJc w:val="left"/>
      <w:pPr>
        <w:ind w:left="5454" w:hanging="341"/>
      </w:pPr>
      <w:rPr>
        <w:rFonts w:hint="default"/>
        <w:lang w:val="en-US" w:eastAsia="en-US" w:bidi="en-US"/>
      </w:rPr>
    </w:lvl>
    <w:lvl w:ilvl="8" w:tplc="68981F30">
      <w:numFmt w:val="bullet"/>
      <w:lvlText w:val="•"/>
      <w:lvlJc w:val="left"/>
      <w:pPr>
        <w:ind w:left="6168" w:hanging="341"/>
      </w:pPr>
      <w:rPr>
        <w:rFonts w:hint="default"/>
        <w:lang w:val="en-US" w:eastAsia="en-US" w:bidi="en-US"/>
      </w:rPr>
    </w:lvl>
  </w:abstractNum>
  <w:abstractNum w:abstractNumId="28" w15:restartNumberingAfterBreak="0">
    <w:nsid w:val="6B8A53B7"/>
    <w:multiLevelType w:val="hybridMultilevel"/>
    <w:tmpl w:val="9DC2C7C4"/>
    <w:lvl w:ilvl="0" w:tplc="2C04FF86">
      <w:numFmt w:val="bullet"/>
      <w:lvlText w:val="•"/>
      <w:lvlJc w:val="left"/>
      <w:pPr>
        <w:ind w:left="365" w:hanging="227"/>
      </w:pPr>
      <w:rPr>
        <w:rFonts w:ascii="Lucida Sans" w:eastAsia="Lucida Sans" w:hAnsi="Lucida Sans" w:cs="Lucida Sans" w:hint="default"/>
        <w:color w:val="231F20"/>
        <w:w w:val="64"/>
        <w:sz w:val="19"/>
        <w:szCs w:val="19"/>
        <w:lang w:val="en-US" w:eastAsia="en-US" w:bidi="en-US"/>
      </w:rPr>
    </w:lvl>
    <w:lvl w:ilvl="1" w:tplc="66763C04">
      <w:numFmt w:val="bullet"/>
      <w:lvlText w:val="•"/>
      <w:lvlJc w:val="left"/>
      <w:pPr>
        <w:ind w:left="820" w:hanging="227"/>
      </w:pPr>
      <w:rPr>
        <w:rFonts w:hint="default"/>
        <w:lang w:val="en-US" w:eastAsia="en-US" w:bidi="en-US"/>
      </w:rPr>
    </w:lvl>
    <w:lvl w:ilvl="2" w:tplc="E9D09074">
      <w:numFmt w:val="bullet"/>
      <w:lvlText w:val="•"/>
      <w:lvlJc w:val="left"/>
      <w:pPr>
        <w:ind w:left="1280" w:hanging="227"/>
      </w:pPr>
      <w:rPr>
        <w:rFonts w:hint="default"/>
        <w:lang w:val="en-US" w:eastAsia="en-US" w:bidi="en-US"/>
      </w:rPr>
    </w:lvl>
    <w:lvl w:ilvl="3" w:tplc="28EC4466">
      <w:numFmt w:val="bullet"/>
      <w:lvlText w:val="•"/>
      <w:lvlJc w:val="left"/>
      <w:pPr>
        <w:ind w:left="1740" w:hanging="227"/>
      </w:pPr>
      <w:rPr>
        <w:rFonts w:hint="default"/>
        <w:lang w:val="en-US" w:eastAsia="en-US" w:bidi="en-US"/>
      </w:rPr>
    </w:lvl>
    <w:lvl w:ilvl="4" w:tplc="548A848E">
      <w:numFmt w:val="bullet"/>
      <w:lvlText w:val="•"/>
      <w:lvlJc w:val="left"/>
      <w:pPr>
        <w:ind w:left="2200" w:hanging="227"/>
      </w:pPr>
      <w:rPr>
        <w:rFonts w:hint="default"/>
        <w:lang w:val="en-US" w:eastAsia="en-US" w:bidi="en-US"/>
      </w:rPr>
    </w:lvl>
    <w:lvl w:ilvl="5" w:tplc="AEE2A0C0">
      <w:numFmt w:val="bullet"/>
      <w:lvlText w:val="•"/>
      <w:lvlJc w:val="left"/>
      <w:pPr>
        <w:ind w:left="2660" w:hanging="227"/>
      </w:pPr>
      <w:rPr>
        <w:rFonts w:hint="default"/>
        <w:lang w:val="en-US" w:eastAsia="en-US" w:bidi="en-US"/>
      </w:rPr>
    </w:lvl>
    <w:lvl w:ilvl="6" w:tplc="51221884">
      <w:numFmt w:val="bullet"/>
      <w:lvlText w:val="•"/>
      <w:lvlJc w:val="left"/>
      <w:pPr>
        <w:ind w:left="3120" w:hanging="227"/>
      </w:pPr>
      <w:rPr>
        <w:rFonts w:hint="default"/>
        <w:lang w:val="en-US" w:eastAsia="en-US" w:bidi="en-US"/>
      </w:rPr>
    </w:lvl>
    <w:lvl w:ilvl="7" w:tplc="EE26CAD0">
      <w:numFmt w:val="bullet"/>
      <w:lvlText w:val="•"/>
      <w:lvlJc w:val="left"/>
      <w:pPr>
        <w:ind w:left="3580" w:hanging="227"/>
      </w:pPr>
      <w:rPr>
        <w:rFonts w:hint="default"/>
        <w:lang w:val="en-US" w:eastAsia="en-US" w:bidi="en-US"/>
      </w:rPr>
    </w:lvl>
    <w:lvl w:ilvl="8" w:tplc="4B2EAB7A">
      <w:numFmt w:val="bullet"/>
      <w:lvlText w:val="•"/>
      <w:lvlJc w:val="left"/>
      <w:pPr>
        <w:ind w:left="4040" w:hanging="227"/>
      </w:pPr>
      <w:rPr>
        <w:rFonts w:hint="default"/>
        <w:lang w:val="en-US" w:eastAsia="en-US" w:bidi="en-US"/>
      </w:rPr>
    </w:lvl>
  </w:abstractNum>
  <w:abstractNum w:abstractNumId="29" w15:restartNumberingAfterBreak="0">
    <w:nsid w:val="6C567810"/>
    <w:multiLevelType w:val="hybridMultilevel"/>
    <w:tmpl w:val="902E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1867060"/>
    <w:multiLevelType w:val="hybridMultilevel"/>
    <w:tmpl w:val="C8585DBC"/>
    <w:lvl w:ilvl="0" w:tplc="5F1C22EA">
      <w:start w:val="13"/>
      <w:numFmt w:val="decimal"/>
      <w:lvlText w:val="%1."/>
      <w:lvlJc w:val="left"/>
      <w:pPr>
        <w:ind w:left="461" w:hanging="341"/>
      </w:pPr>
      <w:rPr>
        <w:rFonts w:ascii="Trebuchet MS" w:eastAsia="Trebuchet MS" w:hAnsi="Trebuchet MS" w:cs="Trebuchet MS" w:hint="default"/>
        <w:color w:val="231F20"/>
        <w:spacing w:val="-2"/>
        <w:w w:val="55"/>
        <w:sz w:val="18"/>
        <w:szCs w:val="18"/>
      </w:rPr>
    </w:lvl>
    <w:lvl w:ilvl="1" w:tplc="E416CE56">
      <w:numFmt w:val="bullet"/>
      <w:lvlText w:val="•"/>
      <w:lvlJc w:val="left"/>
      <w:pPr>
        <w:ind w:left="1173" w:hanging="341"/>
      </w:pPr>
    </w:lvl>
    <w:lvl w:ilvl="2" w:tplc="682CD760">
      <w:numFmt w:val="bullet"/>
      <w:lvlText w:val="•"/>
      <w:lvlJc w:val="left"/>
      <w:pPr>
        <w:ind w:left="1887" w:hanging="341"/>
      </w:pPr>
    </w:lvl>
    <w:lvl w:ilvl="3" w:tplc="0C3EF830">
      <w:numFmt w:val="bullet"/>
      <w:lvlText w:val="•"/>
      <w:lvlJc w:val="left"/>
      <w:pPr>
        <w:ind w:left="2600" w:hanging="341"/>
      </w:pPr>
    </w:lvl>
    <w:lvl w:ilvl="4" w:tplc="01CC680A">
      <w:numFmt w:val="bullet"/>
      <w:lvlText w:val="•"/>
      <w:lvlJc w:val="left"/>
      <w:pPr>
        <w:ind w:left="3314" w:hanging="341"/>
      </w:pPr>
    </w:lvl>
    <w:lvl w:ilvl="5" w:tplc="B498BE82">
      <w:numFmt w:val="bullet"/>
      <w:lvlText w:val="•"/>
      <w:lvlJc w:val="left"/>
      <w:pPr>
        <w:ind w:left="4027" w:hanging="341"/>
      </w:pPr>
    </w:lvl>
    <w:lvl w:ilvl="6" w:tplc="17046BD2">
      <w:numFmt w:val="bullet"/>
      <w:lvlText w:val="•"/>
      <w:lvlJc w:val="left"/>
      <w:pPr>
        <w:ind w:left="4741" w:hanging="341"/>
      </w:pPr>
    </w:lvl>
    <w:lvl w:ilvl="7" w:tplc="DC54FB86">
      <w:numFmt w:val="bullet"/>
      <w:lvlText w:val="•"/>
      <w:lvlJc w:val="left"/>
      <w:pPr>
        <w:ind w:left="5454" w:hanging="341"/>
      </w:pPr>
    </w:lvl>
    <w:lvl w:ilvl="8" w:tplc="DBAAC422">
      <w:numFmt w:val="bullet"/>
      <w:lvlText w:val="•"/>
      <w:lvlJc w:val="left"/>
      <w:pPr>
        <w:ind w:left="6168" w:hanging="341"/>
      </w:pPr>
    </w:lvl>
  </w:abstractNum>
  <w:abstractNum w:abstractNumId="31" w15:restartNumberingAfterBreak="0">
    <w:nsid w:val="733F074A"/>
    <w:multiLevelType w:val="hybridMultilevel"/>
    <w:tmpl w:val="C5B67FB6"/>
    <w:lvl w:ilvl="0" w:tplc="CB4E07FE">
      <w:start w:val="1"/>
      <w:numFmt w:val="decimal"/>
      <w:lvlText w:val="%1."/>
      <w:lvlJc w:val="left"/>
      <w:pPr>
        <w:ind w:left="461" w:hanging="341"/>
      </w:pPr>
      <w:rPr>
        <w:rFonts w:ascii="Trebuchet MS" w:eastAsia="Trebuchet MS" w:hAnsi="Trebuchet MS" w:cs="Trebuchet MS" w:hint="default"/>
        <w:color w:val="231F20"/>
        <w:spacing w:val="-1"/>
        <w:w w:val="62"/>
        <w:sz w:val="18"/>
        <w:szCs w:val="18"/>
      </w:rPr>
    </w:lvl>
    <w:lvl w:ilvl="1" w:tplc="12E8B116">
      <w:numFmt w:val="bullet"/>
      <w:lvlText w:val="•"/>
      <w:lvlJc w:val="left"/>
      <w:pPr>
        <w:ind w:left="1173" w:hanging="341"/>
      </w:pPr>
    </w:lvl>
    <w:lvl w:ilvl="2" w:tplc="18A009DE">
      <w:numFmt w:val="bullet"/>
      <w:lvlText w:val="•"/>
      <w:lvlJc w:val="left"/>
      <w:pPr>
        <w:ind w:left="1887" w:hanging="341"/>
      </w:pPr>
    </w:lvl>
    <w:lvl w:ilvl="3" w:tplc="E90854D8">
      <w:numFmt w:val="bullet"/>
      <w:lvlText w:val="•"/>
      <w:lvlJc w:val="left"/>
      <w:pPr>
        <w:ind w:left="2600" w:hanging="341"/>
      </w:pPr>
    </w:lvl>
    <w:lvl w:ilvl="4" w:tplc="3432BFF4">
      <w:numFmt w:val="bullet"/>
      <w:lvlText w:val="•"/>
      <w:lvlJc w:val="left"/>
      <w:pPr>
        <w:ind w:left="3314" w:hanging="341"/>
      </w:pPr>
    </w:lvl>
    <w:lvl w:ilvl="5" w:tplc="A4864BAE">
      <w:numFmt w:val="bullet"/>
      <w:lvlText w:val="•"/>
      <w:lvlJc w:val="left"/>
      <w:pPr>
        <w:ind w:left="4027" w:hanging="341"/>
      </w:pPr>
    </w:lvl>
    <w:lvl w:ilvl="6" w:tplc="E21E342E">
      <w:numFmt w:val="bullet"/>
      <w:lvlText w:val="•"/>
      <w:lvlJc w:val="left"/>
      <w:pPr>
        <w:ind w:left="4741" w:hanging="341"/>
      </w:pPr>
    </w:lvl>
    <w:lvl w:ilvl="7" w:tplc="26C0EE42">
      <w:numFmt w:val="bullet"/>
      <w:lvlText w:val="•"/>
      <w:lvlJc w:val="left"/>
      <w:pPr>
        <w:ind w:left="5454" w:hanging="341"/>
      </w:pPr>
    </w:lvl>
    <w:lvl w:ilvl="8" w:tplc="03983AC2">
      <w:numFmt w:val="bullet"/>
      <w:lvlText w:val="•"/>
      <w:lvlJc w:val="left"/>
      <w:pPr>
        <w:ind w:left="6168" w:hanging="341"/>
      </w:pPr>
    </w:lvl>
  </w:abstractNum>
  <w:abstractNum w:abstractNumId="32" w15:restartNumberingAfterBreak="0">
    <w:nsid w:val="764D2AEC"/>
    <w:multiLevelType w:val="hybridMultilevel"/>
    <w:tmpl w:val="CEE47CF6"/>
    <w:lvl w:ilvl="0" w:tplc="7E0E51A4">
      <w:numFmt w:val="bullet"/>
      <w:lvlText w:val=""/>
      <w:lvlJc w:val="left"/>
      <w:pPr>
        <w:ind w:left="508" w:hanging="240"/>
      </w:pPr>
      <w:rPr>
        <w:w w:val="100"/>
      </w:rPr>
    </w:lvl>
    <w:lvl w:ilvl="1" w:tplc="7A00E5D0">
      <w:numFmt w:val="bullet"/>
      <w:lvlText w:val="•"/>
      <w:lvlJc w:val="left"/>
      <w:pPr>
        <w:ind w:left="713" w:hanging="240"/>
      </w:pPr>
    </w:lvl>
    <w:lvl w:ilvl="2" w:tplc="0DA6DB7A">
      <w:numFmt w:val="bullet"/>
      <w:lvlText w:val="•"/>
      <w:lvlJc w:val="left"/>
      <w:pPr>
        <w:ind w:left="927" w:hanging="240"/>
      </w:pPr>
    </w:lvl>
    <w:lvl w:ilvl="3" w:tplc="7E7243F6">
      <w:numFmt w:val="bullet"/>
      <w:lvlText w:val="•"/>
      <w:lvlJc w:val="left"/>
      <w:pPr>
        <w:ind w:left="1141" w:hanging="240"/>
      </w:pPr>
    </w:lvl>
    <w:lvl w:ilvl="4" w:tplc="8786B268">
      <w:numFmt w:val="bullet"/>
      <w:lvlText w:val="•"/>
      <w:lvlJc w:val="left"/>
      <w:pPr>
        <w:ind w:left="1355" w:hanging="240"/>
      </w:pPr>
    </w:lvl>
    <w:lvl w:ilvl="5" w:tplc="D03871CE">
      <w:numFmt w:val="bullet"/>
      <w:lvlText w:val="•"/>
      <w:lvlJc w:val="left"/>
      <w:pPr>
        <w:ind w:left="1569" w:hanging="240"/>
      </w:pPr>
    </w:lvl>
    <w:lvl w:ilvl="6" w:tplc="578AB24E">
      <w:numFmt w:val="bullet"/>
      <w:lvlText w:val="•"/>
      <w:lvlJc w:val="left"/>
      <w:pPr>
        <w:ind w:left="1783" w:hanging="240"/>
      </w:pPr>
    </w:lvl>
    <w:lvl w:ilvl="7" w:tplc="06344C50">
      <w:numFmt w:val="bullet"/>
      <w:lvlText w:val="•"/>
      <w:lvlJc w:val="left"/>
      <w:pPr>
        <w:ind w:left="1997" w:hanging="240"/>
      </w:pPr>
    </w:lvl>
    <w:lvl w:ilvl="8" w:tplc="294A78F2">
      <w:numFmt w:val="bullet"/>
      <w:lvlText w:val="•"/>
      <w:lvlJc w:val="left"/>
      <w:pPr>
        <w:ind w:left="2211" w:hanging="240"/>
      </w:pPr>
    </w:lvl>
  </w:abstractNum>
  <w:abstractNum w:abstractNumId="33" w15:restartNumberingAfterBreak="0">
    <w:nsid w:val="792549BB"/>
    <w:multiLevelType w:val="hybridMultilevel"/>
    <w:tmpl w:val="B7D4D298"/>
    <w:lvl w:ilvl="0" w:tplc="8F8464AC">
      <w:numFmt w:val="bullet"/>
      <w:lvlText w:val="•"/>
      <w:lvlJc w:val="left"/>
      <w:pPr>
        <w:ind w:left="906" w:hanging="227"/>
      </w:pPr>
      <w:rPr>
        <w:rFonts w:ascii="Lucida Sans" w:eastAsia="Lucida Sans" w:hAnsi="Lucida Sans" w:cs="Lucida Sans" w:hint="default"/>
        <w:color w:val="231F20"/>
        <w:w w:val="62"/>
        <w:sz w:val="19"/>
        <w:szCs w:val="19"/>
        <w:lang w:val="en-US" w:eastAsia="en-US" w:bidi="en-US"/>
      </w:rPr>
    </w:lvl>
    <w:lvl w:ilvl="1" w:tplc="B75254CE">
      <w:numFmt w:val="bullet"/>
      <w:lvlText w:val="•"/>
      <w:lvlJc w:val="left"/>
      <w:pPr>
        <w:ind w:left="1459" w:hanging="227"/>
      </w:pPr>
      <w:rPr>
        <w:rFonts w:hint="default"/>
        <w:lang w:val="en-US" w:eastAsia="en-US" w:bidi="en-US"/>
      </w:rPr>
    </w:lvl>
    <w:lvl w:ilvl="2" w:tplc="D29A0418">
      <w:numFmt w:val="bullet"/>
      <w:lvlText w:val="•"/>
      <w:lvlJc w:val="left"/>
      <w:pPr>
        <w:ind w:left="2018" w:hanging="227"/>
      </w:pPr>
      <w:rPr>
        <w:rFonts w:hint="default"/>
        <w:lang w:val="en-US" w:eastAsia="en-US" w:bidi="en-US"/>
      </w:rPr>
    </w:lvl>
    <w:lvl w:ilvl="3" w:tplc="5798FBB6">
      <w:numFmt w:val="bullet"/>
      <w:lvlText w:val="•"/>
      <w:lvlJc w:val="left"/>
      <w:pPr>
        <w:ind w:left="2577" w:hanging="227"/>
      </w:pPr>
      <w:rPr>
        <w:rFonts w:hint="default"/>
        <w:lang w:val="en-US" w:eastAsia="en-US" w:bidi="en-US"/>
      </w:rPr>
    </w:lvl>
    <w:lvl w:ilvl="4" w:tplc="1AE04916">
      <w:numFmt w:val="bullet"/>
      <w:lvlText w:val="•"/>
      <w:lvlJc w:val="left"/>
      <w:pPr>
        <w:ind w:left="3136" w:hanging="227"/>
      </w:pPr>
      <w:rPr>
        <w:rFonts w:hint="default"/>
        <w:lang w:val="en-US" w:eastAsia="en-US" w:bidi="en-US"/>
      </w:rPr>
    </w:lvl>
    <w:lvl w:ilvl="5" w:tplc="640A552C">
      <w:numFmt w:val="bullet"/>
      <w:lvlText w:val="•"/>
      <w:lvlJc w:val="left"/>
      <w:pPr>
        <w:ind w:left="3695" w:hanging="227"/>
      </w:pPr>
      <w:rPr>
        <w:rFonts w:hint="default"/>
        <w:lang w:val="en-US" w:eastAsia="en-US" w:bidi="en-US"/>
      </w:rPr>
    </w:lvl>
    <w:lvl w:ilvl="6" w:tplc="CBD0942E">
      <w:numFmt w:val="bullet"/>
      <w:lvlText w:val="•"/>
      <w:lvlJc w:val="left"/>
      <w:pPr>
        <w:ind w:left="4254" w:hanging="227"/>
      </w:pPr>
      <w:rPr>
        <w:rFonts w:hint="default"/>
        <w:lang w:val="en-US" w:eastAsia="en-US" w:bidi="en-US"/>
      </w:rPr>
    </w:lvl>
    <w:lvl w:ilvl="7" w:tplc="243213DA">
      <w:numFmt w:val="bullet"/>
      <w:lvlText w:val="•"/>
      <w:lvlJc w:val="left"/>
      <w:pPr>
        <w:ind w:left="4813" w:hanging="227"/>
      </w:pPr>
      <w:rPr>
        <w:rFonts w:hint="default"/>
        <w:lang w:val="en-US" w:eastAsia="en-US" w:bidi="en-US"/>
      </w:rPr>
    </w:lvl>
    <w:lvl w:ilvl="8" w:tplc="EC96BC82">
      <w:numFmt w:val="bullet"/>
      <w:lvlText w:val="•"/>
      <w:lvlJc w:val="left"/>
      <w:pPr>
        <w:ind w:left="5372" w:hanging="227"/>
      </w:pPr>
      <w:rPr>
        <w:rFonts w:hint="default"/>
        <w:lang w:val="en-US" w:eastAsia="en-US" w:bidi="en-US"/>
      </w:rPr>
    </w:lvl>
  </w:abstractNum>
  <w:abstractNum w:abstractNumId="3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24CE3"/>
    <w:multiLevelType w:val="hybridMultilevel"/>
    <w:tmpl w:val="B44413F2"/>
    <w:lvl w:ilvl="0" w:tplc="9048BC24">
      <w:numFmt w:val="bullet"/>
      <w:lvlText w:val="•"/>
      <w:lvlJc w:val="left"/>
      <w:pPr>
        <w:ind w:left="123" w:hanging="124"/>
      </w:pPr>
      <w:rPr>
        <w:rFonts w:ascii="Lucida Sans" w:eastAsia="Lucida Sans" w:hAnsi="Lucida Sans" w:cs="Lucida Sans" w:hint="default"/>
        <w:color w:val="231F20"/>
        <w:w w:val="62"/>
        <w:sz w:val="19"/>
        <w:szCs w:val="19"/>
        <w:lang w:val="en-US" w:eastAsia="en-US" w:bidi="en-US"/>
      </w:rPr>
    </w:lvl>
    <w:lvl w:ilvl="1" w:tplc="66DA303C">
      <w:numFmt w:val="bullet"/>
      <w:lvlText w:val="•"/>
      <w:lvlJc w:val="left"/>
      <w:pPr>
        <w:ind w:left="536" w:hanging="124"/>
      </w:pPr>
      <w:rPr>
        <w:rFonts w:hint="default"/>
        <w:lang w:val="en-US" w:eastAsia="en-US" w:bidi="en-US"/>
      </w:rPr>
    </w:lvl>
    <w:lvl w:ilvl="2" w:tplc="C562EAA6">
      <w:numFmt w:val="bullet"/>
      <w:lvlText w:val="•"/>
      <w:lvlJc w:val="left"/>
      <w:pPr>
        <w:ind w:left="952" w:hanging="124"/>
      </w:pPr>
      <w:rPr>
        <w:rFonts w:hint="default"/>
        <w:lang w:val="en-US" w:eastAsia="en-US" w:bidi="en-US"/>
      </w:rPr>
    </w:lvl>
    <w:lvl w:ilvl="3" w:tplc="961C3F8A">
      <w:numFmt w:val="bullet"/>
      <w:lvlText w:val="•"/>
      <w:lvlJc w:val="left"/>
      <w:pPr>
        <w:ind w:left="1368" w:hanging="124"/>
      </w:pPr>
      <w:rPr>
        <w:rFonts w:hint="default"/>
        <w:lang w:val="en-US" w:eastAsia="en-US" w:bidi="en-US"/>
      </w:rPr>
    </w:lvl>
    <w:lvl w:ilvl="4" w:tplc="E1588706">
      <w:numFmt w:val="bullet"/>
      <w:lvlText w:val="•"/>
      <w:lvlJc w:val="left"/>
      <w:pPr>
        <w:ind w:left="1785" w:hanging="124"/>
      </w:pPr>
      <w:rPr>
        <w:rFonts w:hint="default"/>
        <w:lang w:val="en-US" w:eastAsia="en-US" w:bidi="en-US"/>
      </w:rPr>
    </w:lvl>
    <w:lvl w:ilvl="5" w:tplc="84542AF0">
      <w:numFmt w:val="bullet"/>
      <w:lvlText w:val="•"/>
      <w:lvlJc w:val="left"/>
      <w:pPr>
        <w:ind w:left="2201" w:hanging="124"/>
      </w:pPr>
      <w:rPr>
        <w:rFonts w:hint="default"/>
        <w:lang w:val="en-US" w:eastAsia="en-US" w:bidi="en-US"/>
      </w:rPr>
    </w:lvl>
    <w:lvl w:ilvl="6" w:tplc="8B6E939A">
      <w:numFmt w:val="bullet"/>
      <w:lvlText w:val="•"/>
      <w:lvlJc w:val="left"/>
      <w:pPr>
        <w:ind w:left="2617" w:hanging="124"/>
      </w:pPr>
      <w:rPr>
        <w:rFonts w:hint="default"/>
        <w:lang w:val="en-US" w:eastAsia="en-US" w:bidi="en-US"/>
      </w:rPr>
    </w:lvl>
    <w:lvl w:ilvl="7" w:tplc="F318777C">
      <w:numFmt w:val="bullet"/>
      <w:lvlText w:val="•"/>
      <w:lvlJc w:val="left"/>
      <w:pPr>
        <w:ind w:left="3034" w:hanging="124"/>
      </w:pPr>
      <w:rPr>
        <w:rFonts w:hint="default"/>
        <w:lang w:val="en-US" w:eastAsia="en-US" w:bidi="en-US"/>
      </w:rPr>
    </w:lvl>
    <w:lvl w:ilvl="8" w:tplc="5AA4C23A">
      <w:numFmt w:val="bullet"/>
      <w:lvlText w:val="•"/>
      <w:lvlJc w:val="left"/>
      <w:pPr>
        <w:ind w:left="3450" w:hanging="124"/>
      </w:pPr>
      <w:rPr>
        <w:rFonts w:hint="default"/>
        <w:lang w:val="en-US" w:eastAsia="en-US" w:bidi="en-US"/>
      </w:rPr>
    </w:lvl>
  </w:abstractNum>
  <w:abstractNum w:abstractNumId="36" w15:restartNumberingAfterBreak="0">
    <w:nsid w:val="7CE079B9"/>
    <w:multiLevelType w:val="hybridMultilevel"/>
    <w:tmpl w:val="EDF461A2"/>
    <w:lvl w:ilvl="0" w:tplc="EB328E90">
      <w:numFmt w:val="bullet"/>
      <w:lvlText w:val="•"/>
      <w:lvlJc w:val="left"/>
      <w:pPr>
        <w:ind w:left="772" w:hanging="227"/>
      </w:pPr>
      <w:rPr>
        <w:rFonts w:ascii="Lucida Sans" w:eastAsia="Lucida Sans" w:hAnsi="Lucida Sans" w:cs="Lucida Sans" w:hint="default"/>
        <w:color w:val="231F20"/>
        <w:w w:val="62"/>
        <w:sz w:val="19"/>
        <w:szCs w:val="19"/>
        <w:lang w:val="en-US" w:eastAsia="en-US" w:bidi="en-US"/>
      </w:rPr>
    </w:lvl>
    <w:lvl w:ilvl="1" w:tplc="A4BE9328">
      <w:numFmt w:val="bullet"/>
      <w:lvlText w:val="•"/>
      <w:lvlJc w:val="left"/>
      <w:pPr>
        <w:ind w:left="1361" w:hanging="227"/>
      </w:pPr>
      <w:rPr>
        <w:rFonts w:ascii="Lucida Sans" w:eastAsia="Lucida Sans" w:hAnsi="Lucida Sans" w:cs="Lucida Sans" w:hint="default"/>
        <w:color w:val="231F20"/>
        <w:w w:val="62"/>
        <w:sz w:val="19"/>
        <w:szCs w:val="19"/>
        <w:lang w:val="en-US" w:eastAsia="en-US" w:bidi="en-US"/>
      </w:rPr>
    </w:lvl>
    <w:lvl w:ilvl="2" w:tplc="D5BC29CC">
      <w:numFmt w:val="bullet"/>
      <w:lvlText w:val="•"/>
      <w:lvlJc w:val="left"/>
      <w:pPr>
        <w:ind w:left="1360" w:hanging="227"/>
      </w:pPr>
      <w:rPr>
        <w:rFonts w:hint="default"/>
        <w:lang w:val="en-US" w:eastAsia="en-US" w:bidi="en-US"/>
      </w:rPr>
    </w:lvl>
    <w:lvl w:ilvl="3" w:tplc="C6B0E750">
      <w:numFmt w:val="bullet"/>
      <w:lvlText w:val="•"/>
      <w:lvlJc w:val="left"/>
      <w:pPr>
        <w:ind w:left="1159" w:hanging="227"/>
      </w:pPr>
      <w:rPr>
        <w:rFonts w:hint="default"/>
        <w:lang w:val="en-US" w:eastAsia="en-US" w:bidi="en-US"/>
      </w:rPr>
    </w:lvl>
    <w:lvl w:ilvl="4" w:tplc="63E47A34">
      <w:numFmt w:val="bullet"/>
      <w:lvlText w:val="•"/>
      <w:lvlJc w:val="left"/>
      <w:pPr>
        <w:ind w:left="959" w:hanging="227"/>
      </w:pPr>
      <w:rPr>
        <w:rFonts w:hint="default"/>
        <w:lang w:val="en-US" w:eastAsia="en-US" w:bidi="en-US"/>
      </w:rPr>
    </w:lvl>
    <w:lvl w:ilvl="5" w:tplc="A62439CC">
      <w:numFmt w:val="bullet"/>
      <w:lvlText w:val="•"/>
      <w:lvlJc w:val="left"/>
      <w:pPr>
        <w:ind w:left="759" w:hanging="227"/>
      </w:pPr>
      <w:rPr>
        <w:rFonts w:hint="default"/>
        <w:lang w:val="en-US" w:eastAsia="en-US" w:bidi="en-US"/>
      </w:rPr>
    </w:lvl>
    <w:lvl w:ilvl="6" w:tplc="C2B8B648">
      <w:numFmt w:val="bullet"/>
      <w:lvlText w:val="•"/>
      <w:lvlJc w:val="left"/>
      <w:pPr>
        <w:ind w:left="558" w:hanging="227"/>
      </w:pPr>
      <w:rPr>
        <w:rFonts w:hint="default"/>
        <w:lang w:val="en-US" w:eastAsia="en-US" w:bidi="en-US"/>
      </w:rPr>
    </w:lvl>
    <w:lvl w:ilvl="7" w:tplc="8E7CAB82">
      <w:numFmt w:val="bullet"/>
      <w:lvlText w:val="•"/>
      <w:lvlJc w:val="left"/>
      <w:pPr>
        <w:ind w:left="358" w:hanging="227"/>
      </w:pPr>
      <w:rPr>
        <w:rFonts w:hint="default"/>
        <w:lang w:val="en-US" w:eastAsia="en-US" w:bidi="en-US"/>
      </w:rPr>
    </w:lvl>
    <w:lvl w:ilvl="8" w:tplc="3B243EDA">
      <w:numFmt w:val="bullet"/>
      <w:lvlText w:val="•"/>
      <w:lvlJc w:val="left"/>
      <w:pPr>
        <w:ind w:left="158" w:hanging="227"/>
      </w:pPr>
      <w:rPr>
        <w:rFonts w:hint="default"/>
        <w:lang w:val="en-US" w:eastAsia="en-US" w:bidi="en-US"/>
      </w:rPr>
    </w:lvl>
  </w:abstractNum>
  <w:abstractNum w:abstractNumId="37" w15:restartNumberingAfterBreak="0">
    <w:nsid w:val="7D684E69"/>
    <w:multiLevelType w:val="hybridMultilevel"/>
    <w:tmpl w:val="C36A3AB4"/>
    <w:lvl w:ilvl="0" w:tplc="841EF390">
      <w:numFmt w:val="bullet"/>
      <w:lvlText w:val="•"/>
      <w:lvlJc w:val="left"/>
      <w:pPr>
        <w:ind w:left="396" w:hanging="227"/>
      </w:pPr>
      <w:rPr>
        <w:rFonts w:ascii="Lucida Sans" w:eastAsia="Lucida Sans" w:hAnsi="Lucida Sans" w:cs="Lucida Sans" w:hint="default"/>
        <w:color w:val="231F20"/>
        <w:w w:val="62"/>
        <w:sz w:val="19"/>
        <w:szCs w:val="19"/>
        <w:lang w:val="en-US" w:eastAsia="en-US" w:bidi="en-US"/>
      </w:rPr>
    </w:lvl>
    <w:lvl w:ilvl="1" w:tplc="A2F89F02">
      <w:numFmt w:val="bullet"/>
      <w:lvlText w:val="•"/>
      <w:lvlJc w:val="left"/>
      <w:pPr>
        <w:ind w:left="827" w:hanging="227"/>
      </w:pPr>
      <w:rPr>
        <w:rFonts w:hint="default"/>
        <w:lang w:val="en-US" w:eastAsia="en-US" w:bidi="en-US"/>
      </w:rPr>
    </w:lvl>
    <w:lvl w:ilvl="2" w:tplc="AB9648D0">
      <w:numFmt w:val="bullet"/>
      <w:lvlText w:val="•"/>
      <w:lvlJc w:val="left"/>
      <w:pPr>
        <w:ind w:left="1255" w:hanging="227"/>
      </w:pPr>
      <w:rPr>
        <w:rFonts w:hint="default"/>
        <w:lang w:val="en-US" w:eastAsia="en-US" w:bidi="en-US"/>
      </w:rPr>
    </w:lvl>
    <w:lvl w:ilvl="3" w:tplc="D062FA4E">
      <w:numFmt w:val="bullet"/>
      <w:lvlText w:val="•"/>
      <w:lvlJc w:val="left"/>
      <w:pPr>
        <w:ind w:left="1683" w:hanging="227"/>
      </w:pPr>
      <w:rPr>
        <w:rFonts w:hint="default"/>
        <w:lang w:val="en-US" w:eastAsia="en-US" w:bidi="en-US"/>
      </w:rPr>
    </w:lvl>
    <w:lvl w:ilvl="4" w:tplc="42288A66">
      <w:numFmt w:val="bullet"/>
      <w:lvlText w:val="•"/>
      <w:lvlJc w:val="left"/>
      <w:pPr>
        <w:ind w:left="2110" w:hanging="227"/>
      </w:pPr>
      <w:rPr>
        <w:rFonts w:hint="default"/>
        <w:lang w:val="en-US" w:eastAsia="en-US" w:bidi="en-US"/>
      </w:rPr>
    </w:lvl>
    <w:lvl w:ilvl="5" w:tplc="0716227E">
      <w:numFmt w:val="bullet"/>
      <w:lvlText w:val="•"/>
      <w:lvlJc w:val="left"/>
      <w:pPr>
        <w:ind w:left="2538" w:hanging="227"/>
      </w:pPr>
      <w:rPr>
        <w:rFonts w:hint="default"/>
        <w:lang w:val="en-US" w:eastAsia="en-US" w:bidi="en-US"/>
      </w:rPr>
    </w:lvl>
    <w:lvl w:ilvl="6" w:tplc="80E0960C">
      <w:numFmt w:val="bullet"/>
      <w:lvlText w:val="•"/>
      <w:lvlJc w:val="left"/>
      <w:pPr>
        <w:ind w:left="2966" w:hanging="227"/>
      </w:pPr>
      <w:rPr>
        <w:rFonts w:hint="default"/>
        <w:lang w:val="en-US" w:eastAsia="en-US" w:bidi="en-US"/>
      </w:rPr>
    </w:lvl>
    <w:lvl w:ilvl="7" w:tplc="BE8C7A90">
      <w:numFmt w:val="bullet"/>
      <w:lvlText w:val="•"/>
      <w:lvlJc w:val="left"/>
      <w:pPr>
        <w:ind w:left="3394" w:hanging="227"/>
      </w:pPr>
      <w:rPr>
        <w:rFonts w:hint="default"/>
        <w:lang w:val="en-US" w:eastAsia="en-US" w:bidi="en-US"/>
      </w:rPr>
    </w:lvl>
    <w:lvl w:ilvl="8" w:tplc="7AF227FC">
      <w:numFmt w:val="bullet"/>
      <w:lvlText w:val="•"/>
      <w:lvlJc w:val="left"/>
      <w:pPr>
        <w:ind w:left="3821" w:hanging="227"/>
      </w:pPr>
      <w:rPr>
        <w:rFonts w:hint="default"/>
        <w:lang w:val="en-US" w:eastAsia="en-US" w:bidi="en-US"/>
      </w:rPr>
    </w:lvl>
  </w:abstractNum>
  <w:abstractNum w:abstractNumId="38" w15:restartNumberingAfterBreak="0">
    <w:nsid w:val="7D904577"/>
    <w:multiLevelType w:val="hybridMultilevel"/>
    <w:tmpl w:val="546AD0C4"/>
    <w:lvl w:ilvl="0" w:tplc="6D28FDB6">
      <w:start w:val="1"/>
      <w:numFmt w:val="decimal"/>
      <w:lvlText w:val="%1."/>
      <w:lvlJc w:val="left"/>
      <w:pPr>
        <w:ind w:left="852" w:hanging="377"/>
      </w:pPr>
      <w:rPr>
        <w:rFonts w:ascii="Lucida Sans" w:eastAsia="Lucida Sans" w:hAnsi="Lucida Sans" w:cs="Lucida Sans" w:hint="default"/>
        <w:color w:val="F26322"/>
        <w:w w:val="57"/>
        <w:sz w:val="44"/>
        <w:szCs w:val="44"/>
        <w:lang w:val="en-US" w:eastAsia="en-US" w:bidi="en-US"/>
      </w:rPr>
    </w:lvl>
    <w:lvl w:ilvl="1" w:tplc="B5F292FA">
      <w:numFmt w:val="bullet"/>
      <w:lvlText w:val="•"/>
      <w:lvlJc w:val="left"/>
      <w:pPr>
        <w:ind w:left="1598" w:hanging="124"/>
      </w:pPr>
      <w:rPr>
        <w:rFonts w:ascii="Lucida Sans" w:eastAsia="Lucida Sans" w:hAnsi="Lucida Sans" w:cs="Lucida Sans" w:hint="default"/>
        <w:color w:val="231F20"/>
        <w:w w:val="62"/>
        <w:sz w:val="19"/>
        <w:szCs w:val="19"/>
        <w:lang w:val="en-US" w:eastAsia="en-US" w:bidi="en-US"/>
      </w:rPr>
    </w:lvl>
    <w:lvl w:ilvl="2" w:tplc="110C4AA2">
      <w:numFmt w:val="bullet"/>
      <w:lvlText w:val="•"/>
      <w:lvlJc w:val="left"/>
      <w:pPr>
        <w:ind w:left="2080" w:hanging="124"/>
      </w:pPr>
      <w:rPr>
        <w:rFonts w:hint="default"/>
        <w:lang w:val="en-US" w:eastAsia="en-US" w:bidi="en-US"/>
      </w:rPr>
    </w:lvl>
    <w:lvl w:ilvl="3" w:tplc="758E2C28">
      <w:numFmt w:val="bullet"/>
      <w:lvlText w:val="•"/>
      <w:lvlJc w:val="left"/>
      <w:pPr>
        <w:ind w:left="1652" w:hanging="124"/>
      </w:pPr>
      <w:rPr>
        <w:rFonts w:hint="default"/>
        <w:lang w:val="en-US" w:eastAsia="en-US" w:bidi="en-US"/>
      </w:rPr>
    </w:lvl>
    <w:lvl w:ilvl="4" w:tplc="502053D4">
      <w:numFmt w:val="bullet"/>
      <w:lvlText w:val="•"/>
      <w:lvlJc w:val="left"/>
      <w:pPr>
        <w:ind w:left="1225" w:hanging="124"/>
      </w:pPr>
      <w:rPr>
        <w:rFonts w:hint="default"/>
        <w:lang w:val="en-US" w:eastAsia="en-US" w:bidi="en-US"/>
      </w:rPr>
    </w:lvl>
    <w:lvl w:ilvl="5" w:tplc="498622A2">
      <w:numFmt w:val="bullet"/>
      <w:lvlText w:val="•"/>
      <w:lvlJc w:val="left"/>
      <w:pPr>
        <w:ind w:left="797" w:hanging="124"/>
      </w:pPr>
      <w:rPr>
        <w:rFonts w:hint="default"/>
        <w:lang w:val="en-US" w:eastAsia="en-US" w:bidi="en-US"/>
      </w:rPr>
    </w:lvl>
    <w:lvl w:ilvl="6" w:tplc="F9C0DC3A">
      <w:numFmt w:val="bullet"/>
      <w:lvlText w:val="•"/>
      <w:lvlJc w:val="left"/>
      <w:pPr>
        <w:ind w:left="370" w:hanging="124"/>
      </w:pPr>
      <w:rPr>
        <w:rFonts w:hint="default"/>
        <w:lang w:val="en-US" w:eastAsia="en-US" w:bidi="en-US"/>
      </w:rPr>
    </w:lvl>
    <w:lvl w:ilvl="7" w:tplc="1F10F7F0">
      <w:numFmt w:val="bullet"/>
      <w:lvlText w:val="•"/>
      <w:lvlJc w:val="left"/>
      <w:pPr>
        <w:ind w:left="-58" w:hanging="124"/>
      </w:pPr>
      <w:rPr>
        <w:rFonts w:hint="default"/>
        <w:lang w:val="en-US" w:eastAsia="en-US" w:bidi="en-US"/>
      </w:rPr>
    </w:lvl>
    <w:lvl w:ilvl="8" w:tplc="6D2221DE">
      <w:numFmt w:val="bullet"/>
      <w:lvlText w:val="•"/>
      <w:lvlJc w:val="left"/>
      <w:pPr>
        <w:ind w:left="-485" w:hanging="124"/>
      </w:pPr>
      <w:rPr>
        <w:rFonts w:hint="default"/>
        <w:lang w:val="en-US" w:eastAsia="en-US" w:bidi="en-US"/>
      </w:rPr>
    </w:lvl>
  </w:abstractNum>
  <w:num w:numId="1">
    <w:abstractNumId w:val="34"/>
  </w:num>
  <w:num w:numId="2">
    <w:abstractNumId w:val="20"/>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0"/>
  </w:num>
  <w:num w:numId="18">
    <w:abstractNumId w:val="11"/>
  </w:num>
  <w:num w:numId="19">
    <w:abstractNumId w:val="17"/>
  </w:num>
  <w:num w:numId="20">
    <w:abstractNumId w:val="28"/>
  </w:num>
  <w:num w:numId="21">
    <w:abstractNumId w:val="1"/>
  </w:num>
  <w:num w:numId="22">
    <w:abstractNumId w:val="4"/>
  </w:num>
  <w:num w:numId="23">
    <w:abstractNumId w:val="33"/>
  </w:num>
  <w:num w:numId="24">
    <w:abstractNumId w:val="12"/>
  </w:num>
  <w:num w:numId="25">
    <w:abstractNumId w:val="13"/>
  </w:num>
  <w:num w:numId="26">
    <w:abstractNumId w:val="3"/>
  </w:num>
  <w:num w:numId="27">
    <w:abstractNumId w:val="36"/>
  </w:num>
  <w:num w:numId="28">
    <w:abstractNumId w:val="18"/>
  </w:num>
  <w:num w:numId="29">
    <w:abstractNumId w:val="6"/>
  </w:num>
  <w:num w:numId="30">
    <w:abstractNumId w:val="5"/>
  </w:num>
  <w:num w:numId="31">
    <w:abstractNumId w:val="8"/>
  </w:num>
  <w:num w:numId="32">
    <w:abstractNumId w:val="35"/>
  </w:num>
  <w:num w:numId="33">
    <w:abstractNumId w:val="25"/>
  </w:num>
  <w:num w:numId="34">
    <w:abstractNumId w:val="37"/>
  </w:num>
  <w:num w:numId="35">
    <w:abstractNumId w:val="7"/>
  </w:num>
  <w:num w:numId="36">
    <w:abstractNumId w:val="2"/>
  </w:num>
  <w:num w:numId="37">
    <w:abstractNumId w:val="26"/>
  </w:num>
  <w:num w:numId="38">
    <w:abstractNumId w:val="24"/>
  </w:num>
  <w:num w:numId="39">
    <w:abstractNumId w:val="27"/>
  </w:num>
  <w:num w:numId="40">
    <w:abstractNumId w:val="38"/>
  </w:num>
  <w:num w:numId="41">
    <w:abstractNumId w:val="19"/>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0"/>
    <w:lvlOverride w:ilvl="0">
      <w:startOverride w:val="5"/>
    </w:lvlOverride>
    <w:lvlOverride w:ilvl="1"/>
    <w:lvlOverride w:ilvl="2"/>
    <w:lvlOverride w:ilvl="3"/>
    <w:lvlOverride w:ilvl="4"/>
    <w:lvlOverride w:ilvl="5"/>
    <w:lvlOverride w:ilvl="6"/>
    <w:lvlOverride w:ilvl="7"/>
    <w:lvlOverride w:ilvl="8"/>
  </w:num>
  <w:num w:numId="44">
    <w:abstractNumId w:val="23"/>
    <w:lvlOverride w:ilvl="0">
      <w:startOverride w:val="7"/>
    </w:lvlOverride>
    <w:lvlOverride w:ilvl="1"/>
    <w:lvlOverride w:ilvl="2"/>
    <w:lvlOverride w:ilvl="3"/>
    <w:lvlOverride w:ilvl="4"/>
    <w:lvlOverride w:ilvl="5"/>
    <w:lvlOverride w:ilvl="6"/>
    <w:lvlOverride w:ilvl="7"/>
    <w:lvlOverride w:ilvl="8"/>
  </w:num>
  <w:num w:numId="45">
    <w:abstractNumId w:val="30"/>
    <w:lvlOverride w:ilvl="0">
      <w:startOverride w:val="13"/>
    </w:lvlOverride>
    <w:lvlOverride w:ilvl="1"/>
    <w:lvlOverride w:ilvl="2"/>
    <w:lvlOverride w:ilvl="3"/>
    <w:lvlOverride w:ilvl="4"/>
    <w:lvlOverride w:ilvl="5"/>
    <w:lvlOverride w:ilvl="6"/>
    <w:lvlOverride w:ilvl="7"/>
    <w:lvlOverride w:ilvl="8"/>
  </w:num>
  <w:num w:numId="46">
    <w:abstractNumId w:val="29"/>
  </w:num>
  <w:num w:numId="47">
    <w:abstractNumId w:val="21"/>
  </w:num>
  <w:num w:numId="48">
    <w:abstractNumId w:val="32"/>
  </w:num>
  <w:num w:numId="49">
    <w:abstractNumId w:val="15"/>
  </w:num>
  <w:num w:numId="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34"/>
    <w:rsid w:val="00002990"/>
    <w:rsid w:val="000048AC"/>
    <w:rsid w:val="00014FC4"/>
    <w:rsid w:val="00020AAB"/>
    <w:rsid w:val="00020B5E"/>
    <w:rsid w:val="000223A4"/>
    <w:rsid w:val="00022E60"/>
    <w:rsid w:val="00026C19"/>
    <w:rsid w:val="00031263"/>
    <w:rsid w:val="0004036A"/>
    <w:rsid w:val="00046AEC"/>
    <w:rsid w:val="0005099A"/>
    <w:rsid w:val="00053FBF"/>
    <w:rsid w:val="00060E93"/>
    <w:rsid w:val="00061C5D"/>
    <w:rsid w:val="00064936"/>
    <w:rsid w:val="000734F8"/>
    <w:rsid w:val="000736B8"/>
    <w:rsid w:val="000817CB"/>
    <w:rsid w:val="000873EF"/>
    <w:rsid w:val="000B3792"/>
    <w:rsid w:val="000C085E"/>
    <w:rsid w:val="000C6242"/>
    <w:rsid w:val="000C68DB"/>
    <w:rsid w:val="000D2C32"/>
    <w:rsid w:val="000E6F72"/>
    <w:rsid w:val="000F0478"/>
    <w:rsid w:val="000F0A50"/>
    <w:rsid w:val="00103D5E"/>
    <w:rsid w:val="00104EA7"/>
    <w:rsid w:val="00105FAD"/>
    <w:rsid w:val="0011155B"/>
    <w:rsid w:val="00111A6A"/>
    <w:rsid w:val="001132C4"/>
    <w:rsid w:val="00121BF1"/>
    <w:rsid w:val="00127A8B"/>
    <w:rsid w:val="00134BE5"/>
    <w:rsid w:val="001371FD"/>
    <w:rsid w:val="001412D1"/>
    <w:rsid w:val="00141681"/>
    <w:rsid w:val="001423E3"/>
    <w:rsid w:val="00143E87"/>
    <w:rsid w:val="001475EA"/>
    <w:rsid w:val="001504F5"/>
    <w:rsid w:val="001517BD"/>
    <w:rsid w:val="0017248D"/>
    <w:rsid w:val="00173626"/>
    <w:rsid w:val="00173ACF"/>
    <w:rsid w:val="00174368"/>
    <w:rsid w:val="0017614A"/>
    <w:rsid w:val="001817CD"/>
    <w:rsid w:val="0018235E"/>
    <w:rsid w:val="0018768C"/>
    <w:rsid w:val="00192BA0"/>
    <w:rsid w:val="00193052"/>
    <w:rsid w:val="00197303"/>
    <w:rsid w:val="001A17EA"/>
    <w:rsid w:val="001A22AA"/>
    <w:rsid w:val="001A7A18"/>
    <w:rsid w:val="001B1565"/>
    <w:rsid w:val="001B166D"/>
    <w:rsid w:val="001B28B5"/>
    <w:rsid w:val="001B2975"/>
    <w:rsid w:val="001B4C29"/>
    <w:rsid w:val="001B6A91"/>
    <w:rsid w:val="001B6FDB"/>
    <w:rsid w:val="001B7FC4"/>
    <w:rsid w:val="001C122D"/>
    <w:rsid w:val="001D2A82"/>
    <w:rsid w:val="001D569B"/>
    <w:rsid w:val="001E0EA3"/>
    <w:rsid w:val="001E22F5"/>
    <w:rsid w:val="001E4995"/>
    <w:rsid w:val="001F09DC"/>
    <w:rsid w:val="001F43E6"/>
    <w:rsid w:val="001F77A2"/>
    <w:rsid w:val="002021C0"/>
    <w:rsid w:val="00213772"/>
    <w:rsid w:val="00220749"/>
    <w:rsid w:val="0022422C"/>
    <w:rsid w:val="0022724E"/>
    <w:rsid w:val="00230666"/>
    <w:rsid w:val="00231153"/>
    <w:rsid w:val="0023215A"/>
    <w:rsid w:val="0023252E"/>
    <w:rsid w:val="00241C31"/>
    <w:rsid w:val="00242534"/>
    <w:rsid w:val="00256B40"/>
    <w:rsid w:val="00257E6A"/>
    <w:rsid w:val="002679D5"/>
    <w:rsid w:val="002714FD"/>
    <w:rsid w:val="002734C1"/>
    <w:rsid w:val="00275F94"/>
    <w:rsid w:val="00276E7A"/>
    <w:rsid w:val="00281B9C"/>
    <w:rsid w:val="0028342A"/>
    <w:rsid w:val="00284C9B"/>
    <w:rsid w:val="00294AD1"/>
    <w:rsid w:val="002A141B"/>
    <w:rsid w:val="002A1C29"/>
    <w:rsid w:val="002A26B6"/>
    <w:rsid w:val="002A6A4E"/>
    <w:rsid w:val="002B5A85"/>
    <w:rsid w:val="002B63A7"/>
    <w:rsid w:val="002C5543"/>
    <w:rsid w:val="002D03A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1DBE"/>
    <w:rsid w:val="00322CC2"/>
    <w:rsid w:val="00334B54"/>
    <w:rsid w:val="0033739E"/>
    <w:rsid w:val="00343733"/>
    <w:rsid w:val="00355886"/>
    <w:rsid w:val="00356814"/>
    <w:rsid w:val="0038019F"/>
    <w:rsid w:val="00382071"/>
    <w:rsid w:val="00384DED"/>
    <w:rsid w:val="00395962"/>
    <w:rsid w:val="003A2798"/>
    <w:rsid w:val="003A2D8C"/>
    <w:rsid w:val="003A2F25"/>
    <w:rsid w:val="003B2807"/>
    <w:rsid w:val="003C68F2"/>
    <w:rsid w:val="003D5CFB"/>
    <w:rsid w:val="003E2636"/>
    <w:rsid w:val="003E2E12"/>
    <w:rsid w:val="003F39CE"/>
    <w:rsid w:val="003F7650"/>
    <w:rsid w:val="00401108"/>
    <w:rsid w:val="0040276F"/>
    <w:rsid w:val="00402927"/>
    <w:rsid w:val="00407993"/>
    <w:rsid w:val="00411833"/>
    <w:rsid w:val="00412F64"/>
    <w:rsid w:val="004158B5"/>
    <w:rsid w:val="00416D8E"/>
    <w:rsid w:val="00417BEB"/>
    <w:rsid w:val="00425F9A"/>
    <w:rsid w:val="004324FF"/>
    <w:rsid w:val="00432A55"/>
    <w:rsid w:val="0044260A"/>
    <w:rsid w:val="00444D82"/>
    <w:rsid w:val="004564C6"/>
    <w:rsid w:val="004610CC"/>
    <w:rsid w:val="00463252"/>
    <w:rsid w:val="00465464"/>
    <w:rsid w:val="00465E87"/>
    <w:rsid w:val="00473F72"/>
    <w:rsid w:val="0047786A"/>
    <w:rsid w:val="00477A65"/>
    <w:rsid w:val="0048156D"/>
    <w:rsid w:val="00482DB3"/>
    <w:rsid w:val="00482F7B"/>
    <w:rsid w:val="00494DB1"/>
    <w:rsid w:val="004A0236"/>
    <w:rsid w:val="004A369A"/>
    <w:rsid w:val="004A3B3E"/>
    <w:rsid w:val="004C4EA0"/>
    <w:rsid w:val="004C5777"/>
    <w:rsid w:val="004D0173"/>
    <w:rsid w:val="004D1056"/>
    <w:rsid w:val="004E21E2"/>
    <w:rsid w:val="004E24F2"/>
    <w:rsid w:val="004E293F"/>
    <w:rsid w:val="004E380D"/>
    <w:rsid w:val="004E7922"/>
    <w:rsid w:val="004E7DAA"/>
    <w:rsid w:val="004F0084"/>
    <w:rsid w:val="004F0DFC"/>
    <w:rsid w:val="004F0FBA"/>
    <w:rsid w:val="004F3441"/>
    <w:rsid w:val="004F41B2"/>
    <w:rsid w:val="004F4AFC"/>
    <w:rsid w:val="004F52A5"/>
    <w:rsid w:val="00500C8C"/>
    <w:rsid w:val="00501375"/>
    <w:rsid w:val="00501D3B"/>
    <w:rsid w:val="005022C9"/>
    <w:rsid w:val="0050779D"/>
    <w:rsid w:val="00520BBB"/>
    <w:rsid w:val="00520DA7"/>
    <w:rsid w:val="00525456"/>
    <w:rsid w:val="00532236"/>
    <w:rsid w:val="00541DFE"/>
    <w:rsid w:val="00543E6C"/>
    <w:rsid w:val="00544184"/>
    <w:rsid w:val="00550064"/>
    <w:rsid w:val="00551554"/>
    <w:rsid w:val="00552999"/>
    <w:rsid w:val="005552FD"/>
    <w:rsid w:val="005600E5"/>
    <w:rsid w:val="0056354D"/>
    <w:rsid w:val="00564E8F"/>
    <w:rsid w:val="005728A4"/>
    <w:rsid w:val="005763FC"/>
    <w:rsid w:val="00576EB4"/>
    <w:rsid w:val="0058032F"/>
    <w:rsid w:val="00580E30"/>
    <w:rsid w:val="00582768"/>
    <w:rsid w:val="00583461"/>
    <w:rsid w:val="005856A4"/>
    <w:rsid w:val="00590730"/>
    <w:rsid w:val="005A3051"/>
    <w:rsid w:val="005A53FE"/>
    <w:rsid w:val="005A79E5"/>
    <w:rsid w:val="005B7D22"/>
    <w:rsid w:val="005C029E"/>
    <w:rsid w:val="005C1A44"/>
    <w:rsid w:val="005C36C2"/>
    <w:rsid w:val="005D3760"/>
    <w:rsid w:val="005E085D"/>
    <w:rsid w:val="005E3FA7"/>
    <w:rsid w:val="005E6663"/>
    <w:rsid w:val="005E7963"/>
    <w:rsid w:val="005F218C"/>
    <w:rsid w:val="00601D4D"/>
    <w:rsid w:val="006021B4"/>
    <w:rsid w:val="00605B5B"/>
    <w:rsid w:val="006062D8"/>
    <w:rsid w:val="00606827"/>
    <w:rsid w:val="00613C7D"/>
    <w:rsid w:val="00617141"/>
    <w:rsid w:val="00617924"/>
    <w:rsid w:val="00620262"/>
    <w:rsid w:val="00621B4C"/>
    <w:rsid w:val="00627C52"/>
    <w:rsid w:val="00630937"/>
    <w:rsid w:val="00653B84"/>
    <w:rsid w:val="00653E0D"/>
    <w:rsid w:val="00684456"/>
    <w:rsid w:val="006865C8"/>
    <w:rsid w:val="00686B48"/>
    <w:rsid w:val="00686C5E"/>
    <w:rsid w:val="00687038"/>
    <w:rsid w:val="0068714E"/>
    <w:rsid w:val="006929F7"/>
    <w:rsid w:val="0069374A"/>
    <w:rsid w:val="00694AB8"/>
    <w:rsid w:val="00695EF7"/>
    <w:rsid w:val="0069699D"/>
    <w:rsid w:val="006B2C51"/>
    <w:rsid w:val="006B6361"/>
    <w:rsid w:val="006D20CF"/>
    <w:rsid w:val="006D360C"/>
    <w:rsid w:val="006D459B"/>
    <w:rsid w:val="006D5AC9"/>
    <w:rsid w:val="006D66ED"/>
    <w:rsid w:val="006E786B"/>
    <w:rsid w:val="007002B1"/>
    <w:rsid w:val="0070191D"/>
    <w:rsid w:val="00704EB7"/>
    <w:rsid w:val="00705742"/>
    <w:rsid w:val="007104FE"/>
    <w:rsid w:val="007121A2"/>
    <w:rsid w:val="00713981"/>
    <w:rsid w:val="007176D6"/>
    <w:rsid w:val="00727D54"/>
    <w:rsid w:val="007317EC"/>
    <w:rsid w:val="007344C5"/>
    <w:rsid w:val="00734959"/>
    <w:rsid w:val="0073520D"/>
    <w:rsid w:val="00747FC9"/>
    <w:rsid w:val="00760F26"/>
    <w:rsid w:val="00780226"/>
    <w:rsid w:val="00781AB4"/>
    <w:rsid w:val="007923B7"/>
    <w:rsid w:val="00792616"/>
    <w:rsid w:val="007926BB"/>
    <w:rsid w:val="0079344C"/>
    <w:rsid w:val="00796A0B"/>
    <w:rsid w:val="007A0283"/>
    <w:rsid w:val="007B1263"/>
    <w:rsid w:val="007C02C7"/>
    <w:rsid w:val="007C21EE"/>
    <w:rsid w:val="007D3A2E"/>
    <w:rsid w:val="007D6652"/>
    <w:rsid w:val="007E343D"/>
    <w:rsid w:val="007E4F43"/>
    <w:rsid w:val="007F136D"/>
    <w:rsid w:val="007F2AAD"/>
    <w:rsid w:val="007F4383"/>
    <w:rsid w:val="00801601"/>
    <w:rsid w:val="008057D9"/>
    <w:rsid w:val="00810991"/>
    <w:rsid w:val="00814A9B"/>
    <w:rsid w:val="00814F66"/>
    <w:rsid w:val="00817C9E"/>
    <w:rsid w:val="008205AF"/>
    <w:rsid w:val="008225E5"/>
    <w:rsid w:val="00826434"/>
    <w:rsid w:val="00831053"/>
    <w:rsid w:val="008314D2"/>
    <w:rsid w:val="0083254D"/>
    <w:rsid w:val="00836249"/>
    <w:rsid w:val="00836F00"/>
    <w:rsid w:val="00845048"/>
    <w:rsid w:val="00846192"/>
    <w:rsid w:val="00850806"/>
    <w:rsid w:val="00856A1B"/>
    <w:rsid w:val="008621C3"/>
    <w:rsid w:val="00865486"/>
    <w:rsid w:val="00876275"/>
    <w:rsid w:val="00881FB4"/>
    <w:rsid w:val="00882B99"/>
    <w:rsid w:val="008866F9"/>
    <w:rsid w:val="00891681"/>
    <w:rsid w:val="00892E66"/>
    <w:rsid w:val="00893462"/>
    <w:rsid w:val="008A08FD"/>
    <w:rsid w:val="008A295B"/>
    <w:rsid w:val="008A6604"/>
    <w:rsid w:val="008B5482"/>
    <w:rsid w:val="008C11F4"/>
    <w:rsid w:val="008C2BEC"/>
    <w:rsid w:val="008C6D0E"/>
    <w:rsid w:val="008D09D2"/>
    <w:rsid w:val="008D39C5"/>
    <w:rsid w:val="008E0CFE"/>
    <w:rsid w:val="008E1D89"/>
    <w:rsid w:val="008E3E3E"/>
    <w:rsid w:val="008E7A51"/>
    <w:rsid w:val="008F2D2C"/>
    <w:rsid w:val="008F3FB6"/>
    <w:rsid w:val="008F5F87"/>
    <w:rsid w:val="00900A34"/>
    <w:rsid w:val="00907073"/>
    <w:rsid w:val="009208F5"/>
    <w:rsid w:val="00924EDE"/>
    <w:rsid w:val="00927D51"/>
    <w:rsid w:val="00932272"/>
    <w:rsid w:val="00932862"/>
    <w:rsid w:val="00933B8C"/>
    <w:rsid w:val="00935D60"/>
    <w:rsid w:val="00940722"/>
    <w:rsid w:val="009447BB"/>
    <w:rsid w:val="00944C48"/>
    <w:rsid w:val="00946335"/>
    <w:rsid w:val="009513C4"/>
    <w:rsid w:val="009539B5"/>
    <w:rsid w:val="00955E55"/>
    <w:rsid w:val="00962200"/>
    <w:rsid w:val="00966F54"/>
    <w:rsid w:val="00970414"/>
    <w:rsid w:val="00972AB0"/>
    <w:rsid w:val="00975E61"/>
    <w:rsid w:val="00976E31"/>
    <w:rsid w:val="00977C63"/>
    <w:rsid w:val="00980087"/>
    <w:rsid w:val="00980C0B"/>
    <w:rsid w:val="00985332"/>
    <w:rsid w:val="00987ABE"/>
    <w:rsid w:val="009906C7"/>
    <w:rsid w:val="009963CD"/>
    <w:rsid w:val="009B266D"/>
    <w:rsid w:val="009B5CBF"/>
    <w:rsid w:val="009C184A"/>
    <w:rsid w:val="009C2CA5"/>
    <w:rsid w:val="009C2EFA"/>
    <w:rsid w:val="009C54BC"/>
    <w:rsid w:val="009E3240"/>
    <w:rsid w:val="009E3A7A"/>
    <w:rsid w:val="009F0C73"/>
    <w:rsid w:val="009F351F"/>
    <w:rsid w:val="009F3F89"/>
    <w:rsid w:val="009F480E"/>
    <w:rsid w:val="00A01E11"/>
    <w:rsid w:val="00A022A2"/>
    <w:rsid w:val="00A02D15"/>
    <w:rsid w:val="00A1044C"/>
    <w:rsid w:val="00A11403"/>
    <w:rsid w:val="00A145B8"/>
    <w:rsid w:val="00A267D7"/>
    <w:rsid w:val="00A26B0D"/>
    <w:rsid w:val="00A3735A"/>
    <w:rsid w:val="00A42F1B"/>
    <w:rsid w:val="00A546BC"/>
    <w:rsid w:val="00A55989"/>
    <w:rsid w:val="00A5694A"/>
    <w:rsid w:val="00A6027F"/>
    <w:rsid w:val="00A6269A"/>
    <w:rsid w:val="00A63DA4"/>
    <w:rsid w:val="00A70A34"/>
    <w:rsid w:val="00A75CD5"/>
    <w:rsid w:val="00A83DF3"/>
    <w:rsid w:val="00A85915"/>
    <w:rsid w:val="00A952AB"/>
    <w:rsid w:val="00A9783D"/>
    <w:rsid w:val="00AA45E6"/>
    <w:rsid w:val="00AA58E7"/>
    <w:rsid w:val="00AB489C"/>
    <w:rsid w:val="00AB50C1"/>
    <w:rsid w:val="00AB6936"/>
    <w:rsid w:val="00AC0C3B"/>
    <w:rsid w:val="00AC2D63"/>
    <w:rsid w:val="00AD03D8"/>
    <w:rsid w:val="00AD0711"/>
    <w:rsid w:val="00AD704E"/>
    <w:rsid w:val="00AE0126"/>
    <w:rsid w:val="00AE5FE0"/>
    <w:rsid w:val="00AE60B7"/>
    <w:rsid w:val="00AF2AB7"/>
    <w:rsid w:val="00AF2B1C"/>
    <w:rsid w:val="00AF4D3F"/>
    <w:rsid w:val="00B0300B"/>
    <w:rsid w:val="00B05457"/>
    <w:rsid w:val="00B06675"/>
    <w:rsid w:val="00B128A0"/>
    <w:rsid w:val="00B20240"/>
    <w:rsid w:val="00B23281"/>
    <w:rsid w:val="00B26737"/>
    <w:rsid w:val="00B27571"/>
    <w:rsid w:val="00B4164B"/>
    <w:rsid w:val="00B5409A"/>
    <w:rsid w:val="00B54D0B"/>
    <w:rsid w:val="00B55574"/>
    <w:rsid w:val="00B6271F"/>
    <w:rsid w:val="00B6525D"/>
    <w:rsid w:val="00B65ABA"/>
    <w:rsid w:val="00B6790F"/>
    <w:rsid w:val="00B71B3B"/>
    <w:rsid w:val="00B748E8"/>
    <w:rsid w:val="00B87D61"/>
    <w:rsid w:val="00B93948"/>
    <w:rsid w:val="00BA4BC7"/>
    <w:rsid w:val="00BA55B7"/>
    <w:rsid w:val="00BA5E47"/>
    <w:rsid w:val="00BA6D7E"/>
    <w:rsid w:val="00BA7D57"/>
    <w:rsid w:val="00BB156E"/>
    <w:rsid w:val="00BB3330"/>
    <w:rsid w:val="00BB47D7"/>
    <w:rsid w:val="00BB4A62"/>
    <w:rsid w:val="00BC01C1"/>
    <w:rsid w:val="00BC5A34"/>
    <w:rsid w:val="00BD17F5"/>
    <w:rsid w:val="00BD6E05"/>
    <w:rsid w:val="00BE54D0"/>
    <w:rsid w:val="00BF6B6C"/>
    <w:rsid w:val="00BF7251"/>
    <w:rsid w:val="00BF7F28"/>
    <w:rsid w:val="00C0021F"/>
    <w:rsid w:val="00C01909"/>
    <w:rsid w:val="00C02350"/>
    <w:rsid w:val="00C05787"/>
    <w:rsid w:val="00C13059"/>
    <w:rsid w:val="00C156D4"/>
    <w:rsid w:val="00C167A3"/>
    <w:rsid w:val="00C2181C"/>
    <w:rsid w:val="00C2657D"/>
    <w:rsid w:val="00C32FC7"/>
    <w:rsid w:val="00C416E1"/>
    <w:rsid w:val="00C47A3F"/>
    <w:rsid w:val="00C47BF8"/>
    <w:rsid w:val="00C51B1C"/>
    <w:rsid w:val="00C51B9A"/>
    <w:rsid w:val="00C53DCE"/>
    <w:rsid w:val="00C57FA0"/>
    <w:rsid w:val="00C655F2"/>
    <w:rsid w:val="00C65B61"/>
    <w:rsid w:val="00C70E53"/>
    <w:rsid w:val="00C722EF"/>
    <w:rsid w:val="00C72979"/>
    <w:rsid w:val="00C81529"/>
    <w:rsid w:val="00C81763"/>
    <w:rsid w:val="00C81BA6"/>
    <w:rsid w:val="00C8377C"/>
    <w:rsid w:val="00C87758"/>
    <w:rsid w:val="00C877CD"/>
    <w:rsid w:val="00C902E9"/>
    <w:rsid w:val="00C908B7"/>
    <w:rsid w:val="00C91D81"/>
    <w:rsid w:val="00C92510"/>
    <w:rsid w:val="00C92A42"/>
    <w:rsid w:val="00CA18F2"/>
    <w:rsid w:val="00CA1E21"/>
    <w:rsid w:val="00CA2AB9"/>
    <w:rsid w:val="00CA4871"/>
    <w:rsid w:val="00CA4D17"/>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0232C"/>
    <w:rsid w:val="00D04672"/>
    <w:rsid w:val="00D311AB"/>
    <w:rsid w:val="00D325A8"/>
    <w:rsid w:val="00D354E2"/>
    <w:rsid w:val="00D442AD"/>
    <w:rsid w:val="00D47D19"/>
    <w:rsid w:val="00D55F40"/>
    <w:rsid w:val="00D5618A"/>
    <w:rsid w:val="00D5784B"/>
    <w:rsid w:val="00D61D9A"/>
    <w:rsid w:val="00D63EFB"/>
    <w:rsid w:val="00D658AF"/>
    <w:rsid w:val="00D8111D"/>
    <w:rsid w:val="00D83DE9"/>
    <w:rsid w:val="00D8450D"/>
    <w:rsid w:val="00D95AF9"/>
    <w:rsid w:val="00D9699A"/>
    <w:rsid w:val="00DA09C9"/>
    <w:rsid w:val="00DA1822"/>
    <w:rsid w:val="00DB2B4B"/>
    <w:rsid w:val="00DB5E1F"/>
    <w:rsid w:val="00DC19D8"/>
    <w:rsid w:val="00DC2613"/>
    <w:rsid w:val="00DC4512"/>
    <w:rsid w:val="00DD3691"/>
    <w:rsid w:val="00DD4B55"/>
    <w:rsid w:val="00DD577A"/>
    <w:rsid w:val="00DE1E90"/>
    <w:rsid w:val="00DE24E6"/>
    <w:rsid w:val="00DF07AD"/>
    <w:rsid w:val="00DF32B2"/>
    <w:rsid w:val="00DF3364"/>
    <w:rsid w:val="00DF7F88"/>
    <w:rsid w:val="00E055BB"/>
    <w:rsid w:val="00E11988"/>
    <w:rsid w:val="00E15DA9"/>
    <w:rsid w:val="00E2095D"/>
    <w:rsid w:val="00E30414"/>
    <w:rsid w:val="00E377F9"/>
    <w:rsid w:val="00E40769"/>
    <w:rsid w:val="00E4240A"/>
    <w:rsid w:val="00E60F12"/>
    <w:rsid w:val="00E652FB"/>
    <w:rsid w:val="00E66C20"/>
    <w:rsid w:val="00E71C46"/>
    <w:rsid w:val="00E73FF0"/>
    <w:rsid w:val="00E75ED2"/>
    <w:rsid w:val="00E8280C"/>
    <w:rsid w:val="00E83E4C"/>
    <w:rsid w:val="00E91933"/>
    <w:rsid w:val="00E92A81"/>
    <w:rsid w:val="00E938F8"/>
    <w:rsid w:val="00E969B1"/>
    <w:rsid w:val="00EA4331"/>
    <w:rsid w:val="00EB6552"/>
    <w:rsid w:val="00EC18E6"/>
    <w:rsid w:val="00EC1984"/>
    <w:rsid w:val="00EC234C"/>
    <w:rsid w:val="00EC2A02"/>
    <w:rsid w:val="00ED3529"/>
    <w:rsid w:val="00ED4D17"/>
    <w:rsid w:val="00ED795D"/>
    <w:rsid w:val="00EE31F2"/>
    <w:rsid w:val="00EE5719"/>
    <w:rsid w:val="00EE6CD3"/>
    <w:rsid w:val="00EF2052"/>
    <w:rsid w:val="00EF20D7"/>
    <w:rsid w:val="00EF3419"/>
    <w:rsid w:val="00F0119C"/>
    <w:rsid w:val="00F02BDB"/>
    <w:rsid w:val="00F0441B"/>
    <w:rsid w:val="00F06999"/>
    <w:rsid w:val="00F07623"/>
    <w:rsid w:val="00F178FC"/>
    <w:rsid w:val="00F3136B"/>
    <w:rsid w:val="00F314F1"/>
    <w:rsid w:val="00F327EA"/>
    <w:rsid w:val="00F42842"/>
    <w:rsid w:val="00F468CD"/>
    <w:rsid w:val="00F46E40"/>
    <w:rsid w:val="00F4760A"/>
    <w:rsid w:val="00F51CB3"/>
    <w:rsid w:val="00F52B8E"/>
    <w:rsid w:val="00F53CFD"/>
    <w:rsid w:val="00F54AF5"/>
    <w:rsid w:val="00F557E3"/>
    <w:rsid w:val="00F61E78"/>
    <w:rsid w:val="00F635C5"/>
    <w:rsid w:val="00F736E3"/>
    <w:rsid w:val="00F767E8"/>
    <w:rsid w:val="00F76EE4"/>
    <w:rsid w:val="00F80E21"/>
    <w:rsid w:val="00F86A3F"/>
    <w:rsid w:val="00F91297"/>
    <w:rsid w:val="00F9133B"/>
    <w:rsid w:val="00F97730"/>
    <w:rsid w:val="00FA1FEE"/>
    <w:rsid w:val="00FA3ABC"/>
    <w:rsid w:val="00FB32A4"/>
    <w:rsid w:val="00FB594D"/>
    <w:rsid w:val="00FB6D50"/>
    <w:rsid w:val="00FC49BB"/>
    <w:rsid w:val="00FD4A11"/>
    <w:rsid w:val="00FD5803"/>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1AEDB9"/>
  <w15:chartTrackingRefBased/>
  <w15:docId w15:val="{EDF50903-5C6A-4AB2-8603-A4AC51D4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1" w:qFormat="1"/>
    <w:lsdException w:name="heading 3" w:uiPriority="9" w:qFormat="1"/>
    <w:lsdException w:name="heading 4" w:uiPriority="9"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1"/>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1"/>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link w:val="Heading6Char"/>
    <w:uiPriority w:val="1"/>
    <w:qFormat/>
    <w:rsid w:val="002021C0"/>
    <w:pPr>
      <w:widowControl w:val="0"/>
      <w:autoSpaceDE w:val="0"/>
      <w:autoSpaceDN w:val="0"/>
      <w:spacing w:before="23"/>
      <w:ind w:left="2529"/>
      <w:outlineLvl w:val="5"/>
    </w:pPr>
    <w:rPr>
      <w:rFonts w:ascii="Trebuchet MS" w:eastAsia="Trebuchet MS" w:hAnsi="Trebuchet MS" w:cs="Trebuchet MS"/>
      <w:b/>
      <w:bCs/>
      <w:sz w:val="25"/>
      <w:szCs w:val="25"/>
      <w:lang w:val="en-US" w:bidi="en-US"/>
    </w:rPr>
  </w:style>
  <w:style w:type="paragraph" w:styleId="Heading7">
    <w:name w:val="heading 7"/>
    <w:basedOn w:val="Normal"/>
    <w:link w:val="Heading7Char"/>
    <w:uiPriority w:val="1"/>
    <w:qFormat/>
    <w:rsid w:val="002021C0"/>
    <w:pPr>
      <w:widowControl w:val="0"/>
      <w:autoSpaceDE w:val="0"/>
      <w:autoSpaceDN w:val="0"/>
      <w:spacing w:before="93"/>
      <w:ind w:left="1133" w:right="2818"/>
      <w:outlineLvl w:val="6"/>
    </w:pPr>
    <w:rPr>
      <w:rFonts w:ascii="Lucida Sans" w:eastAsia="Lucida Sans" w:hAnsi="Lucida Sans" w:cs="Lucida Sans"/>
      <w:sz w:val="24"/>
      <w:szCs w:val="24"/>
      <w:lang w:val="en-US" w:bidi="en-US"/>
    </w:rPr>
  </w:style>
  <w:style w:type="paragraph" w:styleId="Heading8">
    <w:name w:val="heading 8"/>
    <w:basedOn w:val="Normal"/>
    <w:next w:val="Normal"/>
    <w:link w:val="Heading8Char"/>
    <w:uiPriority w:val="1"/>
    <w:unhideWhenUsed/>
    <w:qFormat/>
    <w:rsid w:val="0058032F"/>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link w:val="Heading9Char"/>
    <w:uiPriority w:val="1"/>
    <w:qFormat/>
    <w:rsid w:val="002021C0"/>
    <w:pPr>
      <w:widowControl w:val="0"/>
      <w:autoSpaceDE w:val="0"/>
      <w:autoSpaceDN w:val="0"/>
      <w:spacing w:line="220" w:lineRule="exact"/>
      <w:outlineLvl w:val="8"/>
    </w:pPr>
    <w:rPr>
      <w:rFonts w:ascii="Lucida Sans" w:eastAsia="Lucida Sans" w:hAnsi="Lucida Sans" w:cs="Lucida Sans"/>
      <w: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99A"/>
    <w:rPr>
      <w:rFonts w:ascii="Arial" w:hAnsi="Arial"/>
      <w:bCs/>
      <w:color w:val="53565A"/>
      <w:sz w:val="44"/>
      <w:szCs w:val="44"/>
      <w:lang w:eastAsia="en-US"/>
    </w:rPr>
  </w:style>
  <w:style w:type="character" w:customStyle="1" w:styleId="Heading2Char">
    <w:name w:val="Heading 2 Char"/>
    <w:link w:val="Heading2"/>
    <w:uiPriority w:val="1"/>
    <w:rsid w:val="0005099A"/>
    <w:rPr>
      <w:rFonts w:ascii="Arial" w:hAnsi="Arial"/>
      <w:b/>
      <w:color w:val="53565A"/>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257E6A"/>
    <w:pPr>
      <w:ind w:left="397"/>
    </w:pPr>
    <w:rPr>
      <w:b/>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1"/>
    <w:qFormat/>
    <w:rsid w:val="00E377F9"/>
    <w:pPr>
      <w:widowControl w:val="0"/>
      <w:autoSpaceDE w:val="0"/>
      <w:autoSpaceDN w:val="0"/>
    </w:pPr>
    <w:rPr>
      <w:rFonts w:ascii="Lucida Sans" w:eastAsia="Lucida Sans" w:hAnsi="Lucida Sans" w:cs="Lucida Sans"/>
      <w:sz w:val="19"/>
      <w:szCs w:val="19"/>
      <w:lang w:val="en-US" w:bidi="en-US"/>
    </w:rPr>
  </w:style>
  <w:style w:type="character" w:customStyle="1" w:styleId="BodyTextChar">
    <w:name w:val="Body Text Char"/>
    <w:basedOn w:val="DefaultParagraphFont"/>
    <w:link w:val="BodyText"/>
    <w:uiPriority w:val="1"/>
    <w:rsid w:val="00E377F9"/>
    <w:rPr>
      <w:rFonts w:ascii="Lucida Sans" w:eastAsia="Lucida Sans" w:hAnsi="Lucida Sans" w:cs="Lucida Sans"/>
      <w:sz w:val="19"/>
      <w:szCs w:val="19"/>
      <w:lang w:val="en-US" w:eastAsia="en-US" w:bidi="en-US"/>
    </w:rPr>
  </w:style>
  <w:style w:type="character" w:styleId="UnresolvedMention">
    <w:name w:val="Unresolved Mention"/>
    <w:basedOn w:val="DefaultParagraphFont"/>
    <w:uiPriority w:val="99"/>
    <w:semiHidden/>
    <w:unhideWhenUsed/>
    <w:rsid w:val="00F51CB3"/>
    <w:rPr>
      <w:color w:val="605E5C"/>
      <w:shd w:val="clear" w:color="auto" w:fill="E1DFDD"/>
    </w:rPr>
  </w:style>
  <w:style w:type="character" w:customStyle="1" w:styleId="Heading8Char">
    <w:name w:val="Heading 8 Char"/>
    <w:basedOn w:val="DefaultParagraphFont"/>
    <w:link w:val="Heading8"/>
    <w:uiPriority w:val="9"/>
    <w:semiHidden/>
    <w:rsid w:val="0058032F"/>
    <w:rPr>
      <w:rFonts w:asciiTheme="minorHAnsi" w:eastAsiaTheme="minorEastAsia" w:hAnsiTheme="minorHAnsi" w:cstheme="minorBidi"/>
      <w:i/>
      <w:iCs/>
      <w:sz w:val="24"/>
      <w:szCs w:val="24"/>
      <w:lang w:eastAsia="en-US"/>
    </w:rPr>
  </w:style>
  <w:style w:type="character" w:customStyle="1" w:styleId="Heading6Char">
    <w:name w:val="Heading 6 Char"/>
    <w:basedOn w:val="DefaultParagraphFont"/>
    <w:link w:val="Heading6"/>
    <w:uiPriority w:val="1"/>
    <w:rsid w:val="002021C0"/>
    <w:rPr>
      <w:rFonts w:ascii="Trebuchet MS" w:eastAsia="Trebuchet MS" w:hAnsi="Trebuchet MS" w:cs="Trebuchet MS"/>
      <w:b/>
      <w:bCs/>
      <w:sz w:val="25"/>
      <w:szCs w:val="25"/>
      <w:lang w:val="en-US" w:eastAsia="en-US" w:bidi="en-US"/>
    </w:rPr>
  </w:style>
  <w:style w:type="character" w:customStyle="1" w:styleId="Heading7Char">
    <w:name w:val="Heading 7 Char"/>
    <w:basedOn w:val="DefaultParagraphFont"/>
    <w:link w:val="Heading7"/>
    <w:uiPriority w:val="1"/>
    <w:rsid w:val="002021C0"/>
    <w:rPr>
      <w:rFonts w:ascii="Lucida Sans" w:eastAsia="Lucida Sans" w:hAnsi="Lucida Sans" w:cs="Lucida Sans"/>
      <w:sz w:val="24"/>
      <w:szCs w:val="24"/>
      <w:lang w:val="en-US" w:eastAsia="en-US" w:bidi="en-US"/>
    </w:rPr>
  </w:style>
  <w:style w:type="character" w:customStyle="1" w:styleId="Heading9Char">
    <w:name w:val="Heading 9 Char"/>
    <w:basedOn w:val="DefaultParagraphFont"/>
    <w:link w:val="Heading9"/>
    <w:uiPriority w:val="1"/>
    <w:rsid w:val="002021C0"/>
    <w:rPr>
      <w:rFonts w:ascii="Lucida Sans" w:eastAsia="Lucida Sans" w:hAnsi="Lucida Sans" w:cs="Lucida Sans"/>
      <w:i/>
      <w:sz w:val="22"/>
      <w:szCs w:val="22"/>
      <w:lang w:val="en-US" w:eastAsia="en-US" w:bidi="en-US"/>
    </w:rPr>
  </w:style>
  <w:style w:type="paragraph" w:styleId="ListParagraph">
    <w:name w:val="List Paragraph"/>
    <w:basedOn w:val="Normal"/>
    <w:uiPriority w:val="1"/>
    <w:qFormat/>
    <w:rsid w:val="002021C0"/>
    <w:pPr>
      <w:widowControl w:val="0"/>
      <w:autoSpaceDE w:val="0"/>
      <w:autoSpaceDN w:val="0"/>
      <w:spacing w:before="27"/>
      <w:ind w:left="1077" w:hanging="227"/>
    </w:pPr>
    <w:rPr>
      <w:rFonts w:ascii="Lucida Sans" w:eastAsia="Lucida Sans" w:hAnsi="Lucida Sans" w:cs="Lucida Sans"/>
      <w:sz w:val="22"/>
      <w:szCs w:val="22"/>
      <w:lang w:val="en-US" w:bidi="en-US"/>
    </w:rPr>
  </w:style>
  <w:style w:type="paragraph" w:customStyle="1" w:styleId="TableParagraph">
    <w:name w:val="Table Paragraph"/>
    <w:basedOn w:val="Normal"/>
    <w:uiPriority w:val="1"/>
    <w:qFormat/>
    <w:rsid w:val="002021C0"/>
    <w:pPr>
      <w:widowControl w:val="0"/>
      <w:autoSpaceDE w:val="0"/>
      <w:autoSpaceDN w:val="0"/>
      <w:spacing w:before="39"/>
      <w:ind w:left="108"/>
    </w:pPr>
    <w:rPr>
      <w:rFonts w:ascii="Lucida Sans" w:eastAsia="Lucida Sans" w:hAnsi="Lucida Sans" w:cs="Lucida Sans"/>
      <w:sz w:val="22"/>
      <w:szCs w:val="22"/>
      <w:lang w:val="en-US" w:bidi="en-US"/>
    </w:rPr>
  </w:style>
  <w:style w:type="paragraph" w:customStyle="1" w:styleId="Pa22">
    <w:name w:val="Pa22"/>
    <w:basedOn w:val="Normal"/>
    <w:next w:val="Normal"/>
    <w:uiPriority w:val="99"/>
    <w:rsid w:val="00FD4A11"/>
    <w:pPr>
      <w:autoSpaceDE w:val="0"/>
      <w:autoSpaceDN w:val="0"/>
      <w:adjustRightInd w:val="0"/>
      <w:spacing w:line="221" w:lineRule="atLeast"/>
    </w:pPr>
    <w:rPr>
      <w:rFonts w:ascii="VIC SemiBold" w:hAnsi="VIC SemiBold"/>
      <w:sz w:val="24"/>
      <w:szCs w:val="24"/>
      <w:lang w:eastAsia="en-AU"/>
    </w:rPr>
  </w:style>
  <w:style w:type="character" w:customStyle="1" w:styleId="A1">
    <w:name w:val="A1"/>
    <w:uiPriority w:val="99"/>
    <w:rsid w:val="00FD4A11"/>
    <w:rPr>
      <w:rFonts w:ascii="VIC" w:hAnsi="VIC" w:cs="VIC"/>
      <w:color w:val="000000"/>
      <w:sz w:val="19"/>
      <w:szCs w:val="19"/>
    </w:rPr>
  </w:style>
  <w:style w:type="character" w:customStyle="1" w:styleId="A29">
    <w:name w:val="A29"/>
    <w:uiPriority w:val="99"/>
    <w:rsid w:val="00FD4A11"/>
    <w:rPr>
      <w:rFonts w:cs="VIC"/>
      <w:color w:val="000000"/>
    </w:rPr>
  </w:style>
  <w:style w:type="paragraph" w:customStyle="1" w:styleId="Pa24">
    <w:name w:val="Pa24"/>
    <w:basedOn w:val="Normal"/>
    <w:next w:val="Normal"/>
    <w:uiPriority w:val="99"/>
    <w:rsid w:val="005E6663"/>
    <w:pPr>
      <w:autoSpaceDE w:val="0"/>
      <w:autoSpaceDN w:val="0"/>
      <w:adjustRightInd w:val="0"/>
      <w:spacing w:line="161" w:lineRule="atLeast"/>
    </w:pPr>
    <w:rPr>
      <w:rFonts w:ascii="VIC SemiBold" w:hAnsi="VIC SemiBold"/>
      <w:sz w:val="24"/>
      <w:szCs w:val="24"/>
      <w:lang w:eastAsia="en-AU"/>
    </w:rPr>
  </w:style>
  <w:style w:type="paragraph" w:customStyle="1" w:styleId="Pa48">
    <w:name w:val="Pa48"/>
    <w:basedOn w:val="Normal"/>
    <w:next w:val="Normal"/>
    <w:uiPriority w:val="99"/>
    <w:rsid w:val="005E6663"/>
    <w:pPr>
      <w:autoSpaceDE w:val="0"/>
      <w:autoSpaceDN w:val="0"/>
      <w:adjustRightInd w:val="0"/>
      <w:spacing w:line="161" w:lineRule="atLeast"/>
    </w:pPr>
    <w:rPr>
      <w:rFonts w:ascii="VIC SemiBold" w:hAnsi="VIC SemiBold"/>
      <w:sz w:val="24"/>
      <w:szCs w:val="24"/>
      <w:lang w:eastAsia="en-AU"/>
    </w:rPr>
  </w:style>
  <w:style w:type="paragraph" w:customStyle="1" w:styleId="Default">
    <w:name w:val="Default"/>
    <w:rsid w:val="007317EC"/>
    <w:pPr>
      <w:autoSpaceDE w:val="0"/>
      <w:autoSpaceDN w:val="0"/>
      <w:adjustRightInd w:val="0"/>
    </w:pPr>
    <w:rPr>
      <w:rFonts w:ascii="VIC" w:hAnsi="VIC" w:cs="VIC"/>
      <w:color w:val="000000"/>
      <w:sz w:val="24"/>
      <w:szCs w:val="24"/>
    </w:rPr>
  </w:style>
  <w:style w:type="character" w:customStyle="1" w:styleId="A23">
    <w:name w:val="A23"/>
    <w:uiPriority w:val="99"/>
    <w:rsid w:val="007317EC"/>
    <w:rPr>
      <w:rFonts w:cs="VIC"/>
      <w:color w:val="000000"/>
      <w:sz w:val="19"/>
      <w:szCs w:val="19"/>
    </w:rPr>
  </w:style>
  <w:style w:type="paragraph" w:customStyle="1" w:styleId="Pa19">
    <w:name w:val="Pa19"/>
    <w:basedOn w:val="Default"/>
    <w:next w:val="Default"/>
    <w:uiPriority w:val="99"/>
    <w:rsid w:val="005C1A44"/>
    <w:pPr>
      <w:spacing w:line="321" w:lineRule="atLeast"/>
    </w:pPr>
    <w:rPr>
      <w:rFonts w:cs="Times New Roman"/>
      <w:color w:val="auto"/>
    </w:rPr>
  </w:style>
  <w:style w:type="paragraph" w:customStyle="1" w:styleId="Pa3">
    <w:name w:val="Pa3"/>
    <w:basedOn w:val="Default"/>
    <w:next w:val="Default"/>
    <w:uiPriority w:val="99"/>
    <w:rsid w:val="00881FB4"/>
    <w:pPr>
      <w:spacing w:line="191" w:lineRule="atLeast"/>
    </w:pPr>
    <w:rPr>
      <w:rFonts w:ascii="VIC SemiBold" w:hAnsi="VIC SemiBold" w:cs="Times New Roman"/>
      <w:color w:val="auto"/>
    </w:rPr>
  </w:style>
  <w:style w:type="paragraph" w:customStyle="1" w:styleId="DHHSboxheading">
    <w:name w:val="DHHS box heading"/>
    <w:basedOn w:val="DHHSbody"/>
    <w:rsid w:val="00143E87"/>
    <w:pPr>
      <w:spacing w:before="120"/>
    </w:pPr>
    <w:rPr>
      <w:b/>
      <w:bCs/>
      <w:sz w:val="22"/>
      <w:szCs w:val="22"/>
    </w:rPr>
  </w:style>
  <w:style w:type="paragraph" w:customStyle="1" w:styleId="msonormal0">
    <w:name w:val="msonormal"/>
    <w:basedOn w:val="Normal"/>
    <w:rsid w:val="004E24F2"/>
    <w:pPr>
      <w:spacing w:before="100" w:beforeAutospacing="1" w:after="100" w:afterAutospacing="1"/>
    </w:pPr>
    <w:rPr>
      <w:rFonts w:ascii="Times New Roman" w:hAnsi="Times New Roman"/>
      <w:sz w:val="24"/>
      <w:szCs w:val="24"/>
      <w:lang w:eastAsia="en-AU"/>
    </w:rPr>
  </w:style>
  <w:style w:type="character" w:customStyle="1" w:styleId="HeaderChar">
    <w:name w:val="Header Char"/>
    <w:basedOn w:val="DefaultParagraphFont"/>
    <w:link w:val="Header"/>
    <w:uiPriority w:val="99"/>
    <w:rsid w:val="004E24F2"/>
    <w:rPr>
      <w:rFonts w:ascii="Arial" w:hAnsi="Arial" w:cs="Arial"/>
      <w:sz w:val="18"/>
      <w:szCs w:val="18"/>
      <w:lang w:eastAsia="en-US"/>
    </w:rPr>
  </w:style>
  <w:style w:type="character" w:customStyle="1" w:styleId="FooterChar">
    <w:name w:val="Footer Char"/>
    <w:basedOn w:val="DefaultParagraphFont"/>
    <w:link w:val="Footer"/>
    <w:uiPriority w:val="99"/>
    <w:rsid w:val="004E24F2"/>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254">
      <w:bodyDiv w:val="1"/>
      <w:marLeft w:val="0"/>
      <w:marRight w:val="0"/>
      <w:marTop w:val="0"/>
      <w:marBottom w:val="0"/>
      <w:divBdr>
        <w:top w:val="none" w:sz="0" w:space="0" w:color="auto"/>
        <w:left w:val="none" w:sz="0" w:space="0" w:color="auto"/>
        <w:bottom w:val="none" w:sz="0" w:space="0" w:color="auto"/>
        <w:right w:val="none" w:sz="0" w:space="0" w:color="auto"/>
      </w:divBdr>
    </w:div>
    <w:div w:id="425658943">
      <w:bodyDiv w:val="1"/>
      <w:marLeft w:val="0"/>
      <w:marRight w:val="0"/>
      <w:marTop w:val="0"/>
      <w:marBottom w:val="0"/>
      <w:divBdr>
        <w:top w:val="none" w:sz="0" w:space="0" w:color="auto"/>
        <w:left w:val="none" w:sz="0" w:space="0" w:color="auto"/>
        <w:bottom w:val="none" w:sz="0" w:space="0" w:color="auto"/>
        <w:right w:val="none" w:sz="0" w:space="0" w:color="auto"/>
      </w:divBdr>
    </w:div>
    <w:div w:id="541987617">
      <w:bodyDiv w:val="1"/>
      <w:marLeft w:val="0"/>
      <w:marRight w:val="0"/>
      <w:marTop w:val="0"/>
      <w:marBottom w:val="0"/>
      <w:divBdr>
        <w:top w:val="none" w:sz="0" w:space="0" w:color="auto"/>
        <w:left w:val="none" w:sz="0" w:space="0" w:color="auto"/>
        <w:bottom w:val="none" w:sz="0" w:space="0" w:color="auto"/>
        <w:right w:val="none" w:sz="0" w:space="0" w:color="auto"/>
      </w:divBdr>
    </w:div>
    <w:div w:id="614169407">
      <w:bodyDiv w:val="1"/>
      <w:marLeft w:val="0"/>
      <w:marRight w:val="0"/>
      <w:marTop w:val="0"/>
      <w:marBottom w:val="0"/>
      <w:divBdr>
        <w:top w:val="none" w:sz="0" w:space="0" w:color="auto"/>
        <w:left w:val="none" w:sz="0" w:space="0" w:color="auto"/>
        <w:bottom w:val="none" w:sz="0" w:space="0" w:color="auto"/>
        <w:right w:val="none" w:sz="0" w:space="0" w:color="auto"/>
      </w:divBdr>
    </w:div>
    <w:div w:id="619846142">
      <w:bodyDiv w:val="1"/>
      <w:marLeft w:val="0"/>
      <w:marRight w:val="0"/>
      <w:marTop w:val="0"/>
      <w:marBottom w:val="0"/>
      <w:divBdr>
        <w:top w:val="none" w:sz="0" w:space="0" w:color="auto"/>
        <w:left w:val="none" w:sz="0" w:space="0" w:color="auto"/>
        <w:bottom w:val="none" w:sz="0" w:space="0" w:color="auto"/>
        <w:right w:val="none" w:sz="0" w:space="0" w:color="auto"/>
      </w:divBdr>
    </w:div>
    <w:div w:id="727147007">
      <w:bodyDiv w:val="1"/>
      <w:marLeft w:val="0"/>
      <w:marRight w:val="0"/>
      <w:marTop w:val="0"/>
      <w:marBottom w:val="0"/>
      <w:divBdr>
        <w:top w:val="none" w:sz="0" w:space="0" w:color="auto"/>
        <w:left w:val="none" w:sz="0" w:space="0" w:color="auto"/>
        <w:bottom w:val="none" w:sz="0" w:space="0" w:color="auto"/>
        <w:right w:val="none" w:sz="0" w:space="0" w:color="auto"/>
      </w:divBdr>
    </w:div>
    <w:div w:id="747774598">
      <w:bodyDiv w:val="1"/>
      <w:marLeft w:val="0"/>
      <w:marRight w:val="0"/>
      <w:marTop w:val="0"/>
      <w:marBottom w:val="0"/>
      <w:divBdr>
        <w:top w:val="none" w:sz="0" w:space="0" w:color="auto"/>
        <w:left w:val="none" w:sz="0" w:space="0" w:color="auto"/>
        <w:bottom w:val="none" w:sz="0" w:space="0" w:color="auto"/>
        <w:right w:val="none" w:sz="0" w:space="0" w:color="auto"/>
      </w:divBdr>
    </w:div>
    <w:div w:id="1118376181">
      <w:bodyDiv w:val="1"/>
      <w:marLeft w:val="0"/>
      <w:marRight w:val="0"/>
      <w:marTop w:val="0"/>
      <w:marBottom w:val="0"/>
      <w:divBdr>
        <w:top w:val="none" w:sz="0" w:space="0" w:color="auto"/>
        <w:left w:val="none" w:sz="0" w:space="0" w:color="auto"/>
        <w:bottom w:val="none" w:sz="0" w:space="0" w:color="auto"/>
        <w:right w:val="none" w:sz="0" w:space="0" w:color="auto"/>
      </w:divBdr>
    </w:div>
    <w:div w:id="1146436649">
      <w:bodyDiv w:val="1"/>
      <w:marLeft w:val="0"/>
      <w:marRight w:val="0"/>
      <w:marTop w:val="0"/>
      <w:marBottom w:val="0"/>
      <w:divBdr>
        <w:top w:val="none" w:sz="0" w:space="0" w:color="auto"/>
        <w:left w:val="none" w:sz="0" w:space="0" w:color="auto"/>
        <w:bottom w:val="none" w:sz="0" w:space="0" w:color="auto"/>
        <w:right w:val="none" w:sz="0" w:space="0" w:color="auto"/>
      </w:divBdr>
    </w:div>
    <w:div w:id="1632830526">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88109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ntalhealthplan.vic.gov.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hs.annualreport@dhhs.vic.gov.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dhhs.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s.annualreport@dhhs.vic.gov.a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ntalhealthpla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5321-3C06-4D9E-A8F5-A9D702BF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833</TotalTime>
  <Pages>56</Pages>
  <Words>16701</Words>
  <Characters>94704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Victoria’s mental health services annual report 2016–17</vt:lpstr>
    </vt:vector>
  </TitlesOfParts>
  <Company>Department of Health and Human Services</Company>
  <LinksUpToDate>false</LinksUpToDate>
  <CharactersWithSpaces>111183</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services annual report 2016–17</dc:title>
  <dc:subject>Victoria’s mental health services annual report 2016–17</dc:subject>
  <dc:creator>Health and Wellbeing Division</dc:creator>
  <cp:keywords/>
  <cp:lastModifiedBy>Jason Leung (DHHS)</cp:lastModifiedBy>
  <cp:revision>48</cp:revision>
  <cp:lastPrinted>2015-08-24T03:33:00Z</cp:lastPrinted>
  <dcterms:created xsi:type="dcterms:W3CDTF">2019-12-07T02:13:00Z</dcterms:created>
  <dcterms:modified xsi:type="dcterms:W3CDTF">2019-12-27T00:56:00Z</dcterms:modified>
  <cp:category>Victoria, mental health services, annual report, 2016–17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