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4E36FC" w:rsidP="00C67A04">
      <w:pPr>
        <w:pStyle w:val="DHHSquote"/>
      </w:pPr>
      <w:r>
        <w:rPr>
          <w:noProof/>
          <w:lang w:eastAsia="en-AU"/>
        </w:rPr>
        <w:drawing>
          <wp:anchor distT="0" distB="0" distL="114300" distR="114300" simplePos="0" relativeHeight="251657728" behindDoc="1" locked="1" layoutInCell="0" allowOverlap="1" wp14:anchorId="7D01988C" wp14:editId="41463FF3">
            <wp:simplePos x="0" y="0"/>
            <wp:positionH relativeFrom="page">
              <wp:posOffset>0</wp:posOffset>
            </wp:positionH>
            <wp:positionV relativeFrom="page">
              <wp:posOffset>0</wp:posOffset>
            </wp:positionV>
            <wp:extent cx="10691495" cy="1714500"/>
            <wp:effectExtent l="0" t="0" r="0" b="0"/>
            <wp:wrapNone/>
            <wp:docPr id="34" name="Picture 3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149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10"/>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823C43" w:rsidP="002C0A8C">
            <w:pPr>
              <w:pStyle w:val="DHHSmainheading"/>
            </w:pPr>
            <w:bookmarkStart w:id="0" w:name="_Toc410762195"/>
            <w:r w:rsidRPr="00823C43">
              <w:lastRenderedPageBreak/>
              <w:t xml:space="preserve">Key </w:t>
            </w:r>
            <w:r w:rsidR="002C0A8C">
              <w:t>Elements</w:t>
            </w:r>
          </w:p>
        </w:tc>
      </w:tr>
      <w:tr w:rsidR="003A3438" w:rsidTr="00CA6B58">
        <w:trPr>
          <w:trHeight w:hRule="exact" w:val="709"/>
        </w:trPr>
        <w:tc>
          <w:tcPr>
            <w:tcW w:w="13291" w:type="dxa"/>
            <w:shd w:val="clear" w:color="auto" w:fill="auto"/>
            <w:tcMar>
              <w:top w:w="340" w:type="dxa"/>
              <w:bottom w:w="680" w:type="dxa"/>
            </w:tcMar>
          </w:tcPr>
          <w:p w:rsidR="003A3438" w:rsidRDefault="00823C43" w:rsidP="00840DF3">
            <w:pPr>
              <w:pStyle w:val="DHHSmainsubheading"/>
            </w:pPr>
            <w:r>
              <w:rPr>
                <w:sz w:val="30"/>
                <w:szCs w:val="30"/>
              </w:rPr>
              <w:t>Designing for Diversity</w:t>
            </w:r>
          </w:p>
        </w:tc>
      </w:tr>
    </w:tbl>
    <w:p w:rsidR="00E43426" w:rsidRDefault="00E43426" w:rsidP="00E43426">
      <w:pPr>
        <w:rPr>
          <w:rFonts w:ascii="Arial" w:eastAsia="Times" w:hAnsi="Arial"/>
        </w:rPr>
        <w:sectPr w:rsidR="00E43426" w:rsidSect="004367B3">
          <w:type w:val="continuous"/>
          <w:pgSz w:w="16838" w:h="11906" w:orient="landscape"/>
          <w:pgMar w:top="851" w:right="851" w:bottom="851" w:left="851" w:header="567" w:footer="510" w:gutter="0"/>
          <w:cols w:space="720"/>
          <w:docGrid w:linePitch="272"/>
        </w:sectPr>
      </w:pPr>
    </w:p>
    <w:p w:rsidR="002C0A8C" w:rsidRPr="00804B9C" w:rsidRDefault="002C0A8C" w:rsidP="002C0A8C">
      <w:pPr>
        <w:pStyle w:val="Heading1"/>
        <w:spacing w:before="0"/>
      </w:pPr>
      <w:bookmarkStart w:id="1" w:name="_Toc440620741"/>
      <w:r>
        <w:lastRenderedPageBreak/>
        <w:t>Introduction and purpose</w:t>
      </w:r>
    </w:p>
    <w:p w:rsidR="002C0A8C" w:rsidRPr="002C0A8C" w:rsidRDefault="002C0A8C" w:rsidP="002C0A8C">
      <w:pPr>
        <w:spacing w:after="240" w:line="270" w:lineRule="atLeast"/>
        <w:rPr>
          <w:rFonts w:ascii="Arial" w:eastAsia="Times" w:hAnsi="Arial"/>
          <w:b/>
        </w:rPr>
      </w:pPr>
      <w:r w:rsidRPr="002C0A8C">
        <w:rPr>
          <w:rFonts w:ascii="Arial" w:eastAsia="Times" w:hAnsi="Arial"/>
        </w:rPr>
        <w:t>The purpose of Designing for Diversity is to assist in embedding diversity responsiveness in service design and reform initiatives from the outset. Designing for Diversity requires that services are both universally accommodating and tailored for specific communities in alignment with the four principles of access and equity, inclusiveness, responsiveness, and empowerment and self-determination.</w:t>
      </w:r>
    </w:p>
    <w:p w:rsidR="002C0A8C" w:rsidRPr="002C0A8C" w:rsidRDefault="002C0A8C" w:rsidP="002C0A8C">
      <w:pPr>
        <w:spacing w:after="240" w:line="270" w:lineRule="atLeast"/>
        <w:rPr>
          <w:rFonts w:ascii="Arial" w:eastAsia="Times" w:hAnsi="Arial"/>
        </w:rPr>
      </w:pPr>
      <w:r w:rsidRPr="002C0A8C">
        <w:rPr>
          <w:rFonts w:ascii="Arial" w:eastAsia="Times" w:hAnsi="Arial"/>
        </w:rPr>
        <w:t>The purpose of this document is to detail the specific</w:t>
      </w:r>
      <w:r w:rsidR="0063443E">
        <w:rPr>
          <w:rFonts w:ascii="Arial" w:eastAsia="Times" w:hAnsi="Arial"/>
        </w:rPr>
        <w:t xml:space="preserve"> elements of service reform/</w:t>
      </w:r>
      <w:r w:rsidRPr="002C0A8C">
        <w:rPr>
          <w:rFonts w:ascii="Arial" w:eastAsia="Times" w:hAnsi="Arial"/>
        </w:rPr>
        <w:t xml:space="preserve">design </w:t>
      </w:r>
      <w:r w:rsidR="0063443E">
        <w:rPr>
          <w:rFonts w:ascii="Arial" w:eastAsia="Times" w:hAnsi="Arial"/>
        </w:rPr>
        <w:t xml:space="preserve">and service planning </w:t>
      </w:r>
      <w:r w:rsidRPr="002C0A8C">
        <w:rPr>
          <w:rFonts w:ascii="Arial" w:eastAsia="Times" w:hAnsi="Arial"/>
        </w:rPr>
        <w:t>in which diversity considerations should be applied. It also provides specific ideas on and examples of how these principles can be embedded in design solutions.</w:t>
      </w:r>
    </w:p>
    <w:p w:rsidR="002C0A8C" w:rsidRPr="002C0A8C" w:rsidRDefault="002C0A8C" w:rsidP="002C0A8C">
      <w:pPr>
        <w:spacing w:after="240" w:line="270" w:lineRule="atLeast"/>
        <w:rPr>
          <w:rFonts w:ascii="Arial" w:eastAsia="Times" w:hAnsi="Arial"/>
        </w:rPr>
      </w:pPr>
      <w:r w:rsidRPr="002C0A8C">
        <w:rPr>
          <w:rFonts w:ascii="Arial" w:eastAsia="Times" w:hAnsi="Arial"/>
        </w:rPr>
        <w:t>The document consists of two parts:</w:t>
      </w:r>
    </w:p>
    <w:p w:rsidR="002C0A8C" w:rsidRPr="002C0A8C" w:rsidRDefault="002C0A8C" w:rsidP="002C0A8C">
      <w:pPr>
        <w:pStyle w:val="ListParagraph"/>
        <w:numPr>
          <w:ilvl w:val="0"/>
          <w:numId w:val="15"/>
        </w:numPr>
        <w:spacing w:after="240" w:line="270" w:lineRule="atLeast"/>
        <w:rPr>
          <w:rFonts w:ascii="Arial" w:eastAsia="Times" w:hAnsi="Arial"/>
        </w:rPr>
      </w:pPr>
      <w:r w:rsidRPr="002C0A8C">
        <w:rPr>
          <w:rFonts w:ascii="Arial" w:eastAsia="Times" w:hAnsi="Arial"/>
        </w:rPr>
        <w:t xml:space="preserve">Reform </w:t>
      </w:r>
      <w:r w:rsidR="0063443E">
        <w:rPr>
          <w:rFonts w:ascii="Arial" w:eastAsia="Times" w:hAnsi="Arial"/>
        </w:rPr>
        <w:t xml:space="preserve">and design </w:t>
      </w:r>
      <w:r w:rsidRPr="002C0A8C">
        <w:rPr>
          <w:rFonts w:ascii="Arial" w:eastAsia="Times" w:hAnsi="Arial"/>
        </w:rPr>
        <w:t>processes</w:t>
      </w:r>
    </w:p>
    <w:p w:rsidR="002C0A8C" w:rsidRPr="002C0A8C" w:rsidRDefault="002C0A8C" w:rsidP="002C0A8C">
      <w:pPr>
        <w:pStyle w:val="ListParagraph"/>
        <w:numPr>
          <w:ilvl w:val="0"/>
          <w:numId w:val="15"/>
        </w:numPr>
        <w:spacing w:after="240" w:line="270" w:lineRule="atLeast"/>
        <w:rPr>
          <w:rFonts w:ascii="Arial" w:eastAsia="Times" w:hAnsi="Arial"/>
        </w:rPr>
      </w:pPr>
      <w:r w:rsidRPr="002C0A8C">
        <w:rPr>
          <w:rFonts w:ascii="Arial" w:eastAsia="Times" w:hAnsi="Arial"/>
        </w:rPr>
        <w:t xml:space="preserve">Aspects of service </w:t>
      </w:r>
      <w:r w:rsidR="0063443E">
        <w:rPr>
          <w:rFonts w:ascii="Arial" w:eastAsia="Times" w:hAnsi="Arial"/>
        </w:rPr>
        <w:t>planning</w:t>
      </w:r>
    </w:p>
    <w:p w:rsidR="002C0A8C" w:rsidRPr="002C0A8C" w:rsidRDefault="002C0A8C" w:rsidP="002C0A8C">
      <w:pPr>
        <w:spacing w:after="240" w:line="270" w:lineRule="atLeast"/>
        <w:rPr>
          <w:rFonts w:ascii="Arial" w:eastAsia="Times" w:hAnsi="Arial"/>
        </w:rPr>
      </w:pPr>
      <w:r w:rsidRPr="002C0A8C">
        <w:rPr>
          <w:rFonts w:ascii="Arial" w:eastAsia="Times" w:hAnsi="Arial"/>
        </w:rPr>
        <w:t>It is equally important th</w:t>
      </w:r>
      <w:r w:rsidR="0063443E">
        <w:rPr>
          <w:rFonts w:ascii="Arial" w:eastAsia="Times" w:hAnsi="Arial"/>
        </w:rPr>
        <w:t>at the proposed service reform or design</w:t>
      </w:r>
      <w:r w:rsidRPr="002C0A8C">
        <w:rPr>
          <w:rFonts w:ascii="Arial" w:eastAsia="Times" w:hAnsi="Arial"/>
        </w:rPr>
        <w:t xml:space="preserve"> output itself </w:t>
      </w:r>
      <w:r w:rsidRPr="002C0A8C">
        <w:rPr>
          <w:rFonts w:ascii="Arial" w:eastAsia="Times" w:hAnsi="Arial"/>
          <w:i/>
        </w:rPr>
        <w:t xml:space="preserve">and </w:t>
      </w:r>
      <w:r w:rsidRPr="002C0A8C">
        <w:rPr>
          <w:rFonts w:ascii="Arial" w:eastAsia="Times" w:hAnsi="Arial"/>
        </w:rPr>
        <w:t>the processes contributing to it are responsive to diversity issues and embody the four diversity principles. For example, it is essential that services are accessible to people with a disability, but equally that governance meetings for the relevant reform initiative are also accessible.</w:t>
      </w:r>
    </w:p>
    <w:p w:rsidR="002C0A8C" w:rsidRPr="002C0A8C" w:rsidRDefault="002C0A8C" w:rsidP="002C0A8C">
      <w:pPr>
        <w:spacing w:after="240" w:line="270" w:lineRule="atLeast"/>
        <w:rPr>
          <w:rFonts w:ascii="Arial" w:eastAsia="Times" w:hAnsi="Arial"/>
        </w:rPr>
      </w:pPr>
      <w:r w:rsidRPr="002C0A8C">
        <w:rPr>
          <w:rFonts w:ascii="Arial" w:eastAsia="Times" w:hAnsi="Arial"/>
        </w:rPr>
        <w:t>Part 1 and 2 of the document are broken down into three sections:</w:t>
      </w:r>
    </w:p>
    <w:p w:rsidR="002C0A8C" w:rsidRPr="002C0A8C" w:rsidRDefault="002C0A8C" w:rsidP="002C0A8C">
      <w:pPr>
        <w:spacing w:after="240" w:line="270" w:lineRule="atLeast"/>
        <w:rPr>
          <w:rFonts w:ascii="Arial" w:eastAsia="Times" w:hAnsi="Arial"/>
        </w:rPr>
      </w:pPr>
      <w:r w:rsidRPr="002C0A8C">
        <w:rPr>
          <w:rFonts w:ascii="Arial" w:eastAsia="Times" w:hAnsi="Arial"/>
          <w:b/>
        </w:rPr>
        <w:t xml:space="preserve">Reform </w:t>
      </w:r>
      <w:r w:rsidR="0063443E">
        <w:rPr>
          <w:rFonts w:ascii="Arial" w:eastAsia="Times" w:hAnsi="Arial"/>
          <w:b/>
        </w:rPr>
        <w:t xml:space="preserve">and design </w:t>
      </w:r>
      <w:r w:rsidRPr="002C0A8C">
        <w:rPr>
          <w:rFonts w:ascii="Arial" w:eastAsia="Times" w:hAnsi="Arial"/>
          <w:b/>
        </w:rPr>
        <w:t>process</w:t>
      </w:r>
      <w:r w:rsidR="0063443E">
        <w:rPr>
          <w:rFonts w:ascii="Arial" w:eastAsia="Times" w:hAnsi="Arial"/>
          <w:b/>
        </w:rPr>
        <w:t>es</w:t>
      </w:r>
      <w:r w:rsidRPr="002C0A8C">
        <w:rPr>
          <w:rFonts w:ascii="Arial" w:eastAsia="Times" w:hAnsi="Arial"/>
          <w:b/>
        </w:rPr>
        <w:t xml:space="preserve">/Aspect of service </w:t>
      </w:r>
      <w:r w:rsidR="0063443E">
        <w:rPr>
          <w:rFonts w:ascii="Arial" w:eastAsia="Times" w:hAnsi="Arial"/>
          <w:b/>
        </w:rPr>
        <w:t>planning</w:t>
      </w:r>
      <w:r w:rsidRPr="002C0A8C">
        <w:rPr>
          <w:rFonts w:ascii="Arial" w:eastAsia="Times" w:hAnsi="Arial"/>
          <w:b/>
        </w:rPr>
        <w:t>:</w:t>
      </w:r>
      <w:r w:rsidRPr="002C0A8C">
        <w:rPr>
          <w:rFonts w:ascii="Arial" w:eastAsia="Times" w:hAnsi="Arial"/>
        </w:rPr>
        <w:t xml:space="preserve"> refers to components of reform processes (part 1) or </w:t>
      </w:r>
      <w:r w:rsidR="0063443E">
        <w:rPr>
          <w:rFonts w:ascii="Arial" w:eastAsia="Times" w:hAnsi="Arial"/>
        </w:rPr>
        <w:t>service planning</w:t>
      </w:r>
      <w:r w:rsidRPr="002C0A8C">
        <w:rPr>
          <w:rFonts w:ascii="Arial" w:eastAsia="Times" w:hAnsi="Arial"/>
        </w:rPr>
        <w:t xml:space="preserve"> (part 2) </w:t>
      </w:r>
      <w:r w:rsidR="00EB2760">
        <w:rPr>
          <w:rFonts w:ascii="Arial" w:eastAsia="Times" w:hAnsi="Arial"/>
        </w:rPr>
        <w:t>where</w:t>
      </w:r>
      <w:r w:rsidRPr="002C0A8C">
        <w:rPr>
          <w:rFonts w:ascii="Arial" w:eastAsia="Times" w:hAnsi="Arial"/>
        </w:rPr>
        <w:t xml:space="preserve"> diversity should be considered</w:t>
      </w:r>
      <w:r w:rsidR="000B2710">
        <w:rPr>
          <w:rFonts w:ascii="Arial" w:eastAsia="Times" w:hAnsi="Arial"/>
        </w:rPr>
        <w:t>.</w:t>
      </w:r>
    </w:p>
    <w:p w:rsidR="002C0A8C" w:rsidRPr="002C0A8C" w:rsidRDefault="002C0A8C" w:rsidP="002C0A8C">
      <w:pPr>
        <w:spacing w:after="240" w:line="270" w:lineRule="atLeast"/>
        <w:rPr>
          <w:rFonts w:ascii="Arial" w:eastAsia="Times" w:hAnsi="Arial"/>
          <w:b/>
        </w:rPr>
      </w:pPr>
      <w:r w:rsidRPr="002C0A8C">
        <w:rPr>
          <w:rFonts w:ascii="Arial" w:eastAsia="Times" w:hAnsi="Arial"/>
          <w:b/>
        </w:rPr>
        <w:t>Key elements</w:t>
      </w:r>
      <w:r w:rsidRPr="002C0A8C">
        <w:rPr>
          <w:rFonts w:ascii="Arial" w:eastAsia="Times" w:hAnsi="Arial"/>
        </w:rPr>
        <w:t>:</w:t>
      </w:r>
      <w:r w:rsidRPr="002C0A8C">
        <w:rPr>
          <w:rFonts w:ascii="Arial" w:eastAsia="Times" w:hAnsi="Arial"/>
          <w:i/>
        </w:rPr>
        <w:t xml:space="preserve"> </w:t>
      </w:r>
      <w:r w:rsidRPr="002C0A8C">
        <w:rPr>
          <w:rFonts w:ascii="Arial" w:eastAsia="Times" w:hAnsi="Arial"/>
        </w:rPr>
        <w:t xml:space="preserve">describes specific actions that should be taken and/or processes that should exist to ensure the reform meets the needs of all. This </w:t>
      </w:r>
      <w:r w:rsidR="00EB2760">
        <w:rPr>
          <w:rFonts w:ascii="Arial" w:eastAsia="Times" w:hAnsi="Arial"/>
        </w:rPr>
        <w:t>section</w:t>
      </w:r>
      <w:r w:rsidRPr="002C0A8C">
        <w:rPr>
          <w:rFonts w:ascii="Arial" w:eastAsia="Times" w:hAnsi="Arial"/>
        </w:rPr>
        <w:t xml:space="preserve"> is intended to </w:t>
      </w:r>
      <w:r w:rsidR="00EB2760">
        <w:rPr>
          <w:rFonts w:ascii="Arial" w:eastAsia="Times" w:hAnsi="Arial"/>
        </w:rPr>
        <w:t>highlight the</w:t>
      </w:r>
      <w:r w:rsidRPr="002C0A8C">
        <w:rPr>
          <w:rFonts w:ascii="Arial" w:eastAsia="Times" w:hAnsi="Arial"/>
        </w:rPr>
        <w:t xml:space="preserve"> specific, actionable ways in whic</w:t>
      </w:r>
      <w:r w:rsidR="000B2710">
        <w:rPr>
          <w:rFonts w:ascii="Arial" w:eastAsia="Times" w:hAnsi="Arial"/>
        </w:rPr>
        <w:t>h diversity should be considered.</w:t>
      </w:r>
    </w:p>
    <w:p w:rsidR="00EB2760" w:rsidRPr="002C0A8C" w:rsidRDefault="002C0A8C" w:rsidP="002C0A8C">
      <w:pPr>
        <w:spacing w:after="240" w:line="270" w:lineRule="atLeast"/>
        <w:rPr>
          <w:rFonts w:ascii="Arial" w:eastAsia="Times" w:hAnsi="Arial"/>
        </w:rPr>
      </w:pPr>
      <w:r w:rsidRPr="002C0A8C">
        <w:rPr>
          <w:rFonts w:ascii="Arial" w:eastAsia="Times" w:hAnsi="Arial"/>
          <w:b/>
        </w:rPr>
        <w:t>Examples:</w:t>
      </w:r>
      <w:r w:rsidRPr="002C0A8C">
        <w:rPr>
          <w:rFonts w:ascii="Arial" w:eastAsia="Times" w:hAnsi="Arial"/>
        </w:rPr>
        <w:t xml:space="preserve"> </w:t>
      </w:r>
      <w:r w:rsidR="00EB2760">
        <w:rPr>
          <w:rFonts w:ascii="Arial" w:eastAsia="Times" w:hAnsi="Arial"/>
        </w:rPr>
        <w:t>describes</w:t>
      </w:r>
      <w:r w:rsidRPr="002C0A8C">
        <w:rPr>
          <w:rFonts w:ascii="Arial" w:eastAsia="Times" w:hAnsi="Arial"/>
        </w:rPr>
        <w:t xml:space="preserve"> what the key elements can look like in practice</w:t>
      </w:r>
      <w:r w:rsidR="00EB2760">
        <w:rPr>
          <w:rFonts w:ascii="Arial" w:eastAsia="Times" w:hAnsi="Arial"/>
        </w:rPr>
        <w:t>,</w:t>
      </w:r>
      <w:r w:rsidRPr="002C0A8C">
        <w:rPr>
          <w:rFonts w:ascii="Arial" w:eastAsia="Times" w:hAnsi="Arial"/>
        </w:rPr>
        <w:t xml:space="preserve"> with reference to </w:t>
      </w:r>
      <w:r w:rsidR="00EB2760">
        <w:rPr>
          <w:rFonts w:ascii="Arial" w:eastAsia="Times" w:hAnsi="Arial"/>
        </w:rPr>
        <w:t>particular communities</w:t>
      </w:r>
      <w:r w:rsidRPr="002C0A8C">
        <w:rPr>
          <w:rFonts w:ascii="Arial" w:eastAsia="Times" w:hAnsi="Arial"/>
        </w:rPr>
        <w:t xml:space="preserve">. It is </w:t>
      </w:r>
      <w:r w:rsidR="00EB2760">
        <w:rPr>
          <w:rFonts w:ascii="Arial" w:eastAsia="Times" w:hAnsi="Arial"/>
        </w:rPr>
        <w:t>not</w:t>
      </w:r>
      <w:r w:rsidRPr="002C0A8C">
        <w:rPr>
          <w:rFonts w:ascii="Arial" w:eastAsia="Times" w:hAnsi="Arial"/>
        </w:rPr>
        <w:t xml:space="preserve"> prescriptive</w:t>
      </w:r>
      <w:r w:rsidR="00EB2760">
        <w:rPr>
          <w:rFonts w:ascii="Arial" w:eastAsia="Times" w:hAnsi="Arial"/>
        </w:rPr>
        <w:t xml:space="preserve"> as each reform area will differ.</w:t>
      </w:r>
    </w:p>
    <w:p w:rsidR="002C0A8C" w:rsidRDefault="002C0A8C" w:rsidP="002C0A8C">
      <w:pPr>
        <w:spacing w:after="240" w:line="270" w:lineRule="atLeast"/>
        <w:rPr>
          <w:rFonts w:ascii="Arial" w:hAnsi="Arial"/>
          <w:b/>
          <w:color w:val="D50032"/>
          <w:sz w:val="28"/>
          <w:szCs w:val="28"/>
        </w:rPr>
      </w:pPr>
      <w:r>
        <w:rPr>
          <w:rFonts w:ascii="Arial" w:hAnsi="Arial"/>
          <w:b/>
          <w:color w:val="D50032"/>
          <w:sz w:val="28"/>
          <w:szCs w:val="28"/>
        </w:rPr>
        <w:lastRenderedPageBreak/>
        <w:t>Part 1</w:t>
      </w:r>
      <w:r w:rsidRPr="002C0A8C">
        <w:rPr>
          <w:rFonts w:ascii="Arial" w:hAnsi="Arial"/>
          <w:b/>
          <w:color w:val="D50032"/>
          <w:sz w:val="28"/>
          <w:szCs w:val="28"/>
        </w:rPr>
        <w:t xml:space="preserve"> – </w:t>
      </w:r>
      <w:r>
        <w:rPr>
          <w:rFonts w:ascii="Arial" w:hAnsi="Arial"/>
          <w:b/>
          <w:color w:val="D50032"/>
          <w:sz w:val="28"/>
          <w:szCs w:val="28"/>
        </w:rPr>
        <w:t>Reform</w:t>
      </w:r>
      <w:r w:rsidR="0063443E">
        <w:rPr>
          <w:rFonts w:ascii="Arial" w:hAnsi="Arial"/>
          <w:b/>
          <w:color w:val="D50032"/>
          <w:sz w:val="28"/>
          <w:szCs w:val="28"/>
        </w:rPr>
        <w:t xml:space="preserve"> and design</w:t>
      </w:r>
      <w:r>
        <w:rPr>
          <w:rFonts w:ascii="Arial" w:hAnsi="Arial"/>
          <w:b/>
          <w:color w:val="D50032"/>
          <w:sz w:val="28"/>
          <w:szCs w:val="28"/>
        </w:rPr>
        <w:t xml:space="preserve"> processes</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567"/>
        <w:gridCol w:w="2268"/>
        <w:gridCol w:w="4395"/>
        <w:gridCol w:w="8014"/>
      </w:tblGrid>
      <w:tr w:rsidR="002C0A8C" w:rsidRPr="002C0A8C" w:rsidTr="00F9001F">
        <w:trPr>
          <w:tblHeader/>
        </w:trPr>
        <w:tc>
          <w:tcPr>
            <w:tcW w:w="567" w:type="dxa"/>
            <w:tcBorders>
              <w:top w:val="nil"/>
              <w:left w:val="nil"/>
              <w:bottom w:val="single" w:sz="4" w:space="0" w:color="004EA8"/>
            </w:tcBorders>
          </w:tcPr>
          <w:p w:rsidR="002C0A8C" w:rsidRPr="002C0A8C" w:rsidRDefault="002C0A8C" w:rsidP="00F9001F">
            <w:pPr>
              <w:pStyle w:val="DHHStablecolhead"/>
            </w:pPr>
            <w:r w:rsidRPr="002C0A8C">
              <w:t>No.</w:t>
            </w:r>
          </w:p>
        </w:tc>
        <w:tc>
          <w:tcPr>
            <w:tcW w:w="2268" w:type="dxa"/>
            <w:tcBorders>
              <w:top w:val="nil"/>
              <w:left w:val="nil"/>
              <w:bottom w:val="single" w:sz="4" w:space="0" w:color="004EA8"/>
            </w:tcBorders>
          </w:tcPr>
          <w:p w:rsidR="002C0A8C" w:rsidRPr="002C0A8C" w:rsidRDefault="002C0A8C" w:rsidP="00F9001F">
            <w:pPr>
              <w:pStyle w:val="DHHStablecolhead"/>
            </w:pPr>
            <w:r w:rsidRPr="002C0A8C">
              <w:t>Reform process</w:t>
            </w:r>
          </w:p>
        </w:tc>
        <w:tc>
          <w:tcPr>
            <w:tcW w:w="4395" w:type="dxa"/>
            <w:tcBorders>
              <w:top w:val="nil"/>
            </w:tcBorders>
          </w:tcPr>
          <w:p w:rsidR="002C0A8C" w:rsidRPr="002C0A8C" w:rsidRDefault="002C0A8C" w:rsidP="00F9001F">
            <w:pPr>
              <w:pStyle w:val="DHHStablecolhead"/>
            </w:pPr>
            <w:r w:rsidRPr="002C0A8C">
              <w:t>Key elements</w:t>
            </w:r>
          </w:p>
        </w:tc>
        <w:tc>
          <w:tcPr>
            <w:tcW w:w="8014" w:type="dxa"/>
            <w:tcBorders>
              <w:top w:val="nil"/>
              <w:right w:val="nil"/>
            </w:tcBorders>
          </w:tcPr>
          <w:p w:rsidR="002C0A8C" w:rsidRPr="002C0A8C" w:rsidRDefault="002C0A8C" w:rsidP="00F9001F">
            <w:pPr>
              <w:pStyle w:val="DHHStablecolhead"/>
            </w:pPr>
            <w:r w:rsidRPr="002C0A8C">
              <w:t>Examples of good practice</w:t>
            </w:r>
          </w:p>
        </w:tc>
      </w:tr>
      <w:tr w:rsidR="002C0A8C" w:rsidRPr="002C0A8C" w:rsidTr="00F9001F">
        <w:tc>
          <w:tcPr>
            <w:tcW w:w="567" w:type="dxa"/>
            <w:tcBorders>
              <w:left w:val="nil"/>
            </w:tcBorders>
            <w:shd w:val="clear" w:color="auto" w:fill="99B8DC"/>
          </w:tcPr>
          <w:p w:rsidR="002C0A8C" w:rsidRPr="002C0A8C" w:rsidRDefault="002C0A8C" w:rsidP="00F9001F">
            <w:pPr>
              <w:pStyle w:val="DHHStablecolhead"/>
            </w:pPr>
            <w:r w:rsidRPr="002C0A8C">
              <w:t>1.1</w:t>
            </w:r>
          </w:p>
        </w:tc>
        <w:tc>
          <w:tcPr>
            <w:tcW w:w="2268" w:type="dxa"/>
            <w:tcBorders>
              <w:left w:val="nil"/>
            </w:tcBorders>
            <w:shd w:val="clear" w:color="auto" w:fill="99B8DC"/>
          </w:tcPr>
          <w:p w:rsidR="002C0A8C" w:rsidRPr="002C0A8C" w:rsidRDefault="002C0A8C" w:rsidP="00F9001F">
            <w:pPr>
              <w:pStyle w:val="DHHStablecolhead"/>
            </w:pPr>
            <w:r w:rsidRPr="002C0A8C">
              <w:t>Governance of reform</w:t>
            </w:r>
          </w:p>
        </w:tc>
        <w:tc>
          <w:tcPr>
            <w:tcW w:w="4395" w:type="dxa"/>
          </w:tcPr>
          <w:p w:rsidR="002C0A8C" w:rsidRPr="002337AC" w:rsidRDefault="002C0A8C" w:rsidP="00F9001F">
            <w:pPr>
              <w:spacing w:after="240" w:line="270" w:lineRule="atLeast"/>
              <w:rPr>
                <w:rFonts w:ascii="Arial" w:eastAsia="Times" w:hAnsi="Arial"/>
                <w:color w:val="000000" w:themeColor="text1"/>
              </w:rPr>
            </w:pPr>
            <w:r w:rsidRPr="002337AC">
              <w:rPr>
                <w:rFonts w:ascii="Arial" w:eastAsia="Times" w:hAnsi="Arial"/>
                <w:color w:val="000000" w:themeColor="text1"/>
              </w:rPr>
              <w:t xml:space="preserve">Membership of governing bodies (e.g. </w:t>
            </w:r>
            <w:r w:rsidR="00863820" w:rsidRPr="002337AC">
              <w:rPr>
                <w:rFonts w:ascii="Arial" w:eastAsia="Times" w:hAnsi="Arial"/>
                <w:color w:val="000000" w:themeColor="text1"/>
              </w:rPr>
              <w:t>reference groups</w:t>
            </w:r>
            <w:r w:rsidRPr="002337AC">
              <w:rPr>
                <w:rFonts w:ascii="Arial" w:eastAsia="Times" w:hAnsi="Arial"/>
                <w:color w:val="000000" w:themeColor="text1"/>
              </w:rPr>
              <w:t>/taskforces) is reflective of the diversity of the community</w:t>
            </w:r>
          </w:p>
          <w:p w:rsidR="002C0A8C" w:rsidRPr="002C0A8C" w:rsidRDefault="002C0A8C" w:rsidP="00F9001F">
            <w:pPr>
              <w:spacing w:after="240" w:line="270" w:lineRule="atLeast"/>
              <w:rPr>
                <w:rFonts w:ascii="Arial" w:eastAsia="Times" w:hAnsi="Arial"/>
              </w:rPr>
            </w:pPr>
            <w:r w:rsidRPr="002C0A8C">
              <w:rPr>
                <w:rFonts w:ascii="Arial" w:eastAsia="Times" w:hAnsi="Arial"/>
              </w:rPr>
              <w:t>Support structures exist to counter potential barriers to participation for particular groups or individuals</w:t>
            </w:r>
          </w:p>
          <w:p w:rsidR="002C0A8C" w:rsidRPr="002C0A8C" w:rsidRDefault="002C0A8C" w:rsidP="00F9001F">
            <w:pPr>
              <w:spacing w:after="240" w:line="270" w:lineRule="atLeast"/>
              <w:rPr>
                <w:rFonts w:ascii="Arial" w:eastAsia="Times" w:hAnsi="Arial"/>
              </w:rPr>
            </w:pPr>
            <w:r w:rsidRPr="002C0A8C">
              <w:rPr>
                <w:rFonts w:ascii="Arial" w:eastAsia="Times" w:hAnsi="Arial"/>
              </w:rPr>
              <w:t>Governance structures and meetings are accessible and operate responsively to issues of cultural safety</w:t>
            </w:r>
          </w:p>
        </w:tc>
        <w:tc>
          <w:tcPr>
            <w:tcW w:w="8014" w:type="dxa"/>
            <w:tcBorders>
              <w:right w:val="nil"/>
            </w:tcBorders>
          </w:tcPr>
          <w:p w:rsidR="002C0A8C" w:rsidRPr="002337AC" w:rsidRDefault="005016E8" w:rsidP="00F9001F">
            <w:pPr>
              <w:spacing w:after="240" w:line="270" w:lineRule="atLeast"/>
              <w:rPr>
                <w:rFonts w:ascii="Arial" w:eastAsia="Times" w:hAnsi="Arial"/>
                <w:color w:val="000000" w:themeColor="text1"/>
              </w:rPr>
            </w:pPr>
            <w:r w:rsidRPr="002337AC">
              <w:rPr>
                <w:rFonts w:ascii="Arial" w:eastAsia="Times" w:hAnsi="Arial"/>
                <w:color w:val="000000" w:themeColor="text1"/>
              </w:rPr>
              <w:t>Members are sought from peak bodies representing diverse population groups,</w:t>
            </w:r>
            <w:r w:rsidR="00863820" w:rsidRPr="002337AC">
              <w:rPr>
                <w:rFonts w:ascii="Arial" w:eastAsia="Times" w:hAnsi="Arial"/>
                <w:color w:val="000000" w:themeColor="text1"/>
              </w:rPr>
              <w:t xml:space="preserve"> </w:t>
            </w:r>
            <w:r w:rsidR="00580157" w:rsidRPr="002337AC">
              <w:rPr>
                <w:rFonts w:ascii="Arial" w:eastAsia="Times" w:hAnsi="Arial"/>
                <w:color w:val="000000" w:themeColor="text1"/>
              </w:rPr>
              <w:t xml:space="preserve">along with </w:t>
            </w:r>
            <w:r w:rsidR="00863820" w:rsidRPr="002337AC">
              <w:rPr>
                <w:rFonts w:ascii="Arial" w:eastAsia="Times" w:hAnsi="Arial"/>
                <w:color w:val="000000" w:themeColor="text1"/>
              </w:rPr>
              <w:t xml:space="preserve">regional </w:t>
            </w:r>
            <w:r w:rsidRPr="002337AC">
              <w:rPr>
                <w:rFonts w:ascii="Arial" w:eastAsia="Times" w:hAnsi="Arial"/>
                <w:color w:val="000000" w:themeColor="text1"/>
              </w:rPr>
              <w:t>representatives,</w:t>
            </w:r>
            <w:r w:rsidR="00863820" w:rsidRPr="002337AC">
              <w:rPr>
                <w:rFonts w:ascii="Arial" w:eastAsia="Times" w:hAnsi="Arial"/>
                <w:color w:val="000000" w:themeColor="text1"/>
              </w:rPr>
              <w:t xml:space="preserve"> </w:t>
            </w:r>
            <w:r w:rsidR="002C0A8C" w:rsidRPr="002337AC">
              <w:rPr>
                <w:rFonts w:ascii="Arial" w:eastAsia="Times" w:hAnsi="Arial"/>
                <w:color w:val="000000" w:themeColor="text1"/>
              </w:rPr>
              <w:t xml:space="preserve">for </w:t>
            </w:r>
            <w:r w:rsidRPr="002337AC">
              <w:rPr>
                <w:rFonts w:ascii="Arial" w:eastAsia="Times" w:hAnsi="Arial"/>
                <w:color w:val="000000" w:themeColor="text1"/>
              </w:rPr>
              <w:t xml:space="preserve">the </w:t>
            </w:r>
            <w:r w:rsidR="002C0A8C" w:rsidRPr="002337AC">
              <w:rPr>
                <w:rFonts w:ascii="Arial" w:eastAsia="Times" w:hAnsi="Arial"/>
                <w:color w:val="000000" w:themeColor="text1"/>
              </w:rPr>
              <w:t>governing board</w:t>
            </w:r>
            <w:r w:rsidRPr="002337AC">
              <w:rPr>
                <w:rFonts w:ascii="Arial" w:eastAsia="Times" w:hAnsi="Arial"/>
                <w:b/>
                <w:color w:val="000000" w:themeColor="text1"/>
              </w:rPr>
              <w:t xml:space="preserve"> </w:t>
            </w:r>
            <w:r w:rsidR="002E1B56" w:rsidRPr="002337AC">
              <w:rPr>
                <w:rFonts w:ascii="Arial" w:eastAsia="Times" w:hAnsi="Arial"/>
                <w:color w:val="000000" w:themeColor="text1"/>
              </w:rPr>
              <w:t>of a reform initiative</w:t>
            </w:r>
          </w:p>
          <w:p w:rsidR="002C0A8C" w:rsidRPr="002C0A8C" w:rsidRDefault="002C0A8C" w:rsidP="00F9001F">
            <w:pPr>
              <w:spacing w:after="240" w:line="270" w:lineRule="atLeast"/>
              <w:rPr>
                <w:rFonts w:ascii="Arial" w:eastAsia="Times" w:hAnsi="Arial"/>
              </w:rPr>
            </w:pPr>
            <w:r w:rsidRPr="002C0A8C">
              <w:rPr>
                <w:rFonts w:ascii="Arial" w:eastAsia="Times" w:hAnsi="Arial"/>
              </w:rPr>
              <w:t xml:space="preserve">Reform body membership meets goal of at least 50% female membership </w:t>
            </w:r>
          </w:p>
          <w:p w:rsidR="002C0A8C" w:rsidRPr="002337AC" w:rsidRDefault="002C0A8C" w:rsidP="00F9001F">
            <w:pPr>
              <w:spacing w:after="240" w:line="270" w:lineRule="atLeast"/>
              <w:rPr>
                <w:rFonts w:ascii="Arial" w:eastAsia="Times" w:hAnsi="Arial"/>
                <w:color w:val="000000" w:themeColor="text1"/>
              </w:rPr>
            </w:pPr>
            <w:r w:rsidRPr="002337AC">
              <w:rPr>
                <w:rFonts w:ascii="Arial" w:eastAsia="Times" w:hAnsi="Arial"/>
                <w:color w:val="000000" w:themeColor="text1"/>
              </w:rPr>
              <w:t>Clear guidelines exist for discussions in governance meetings</w:t>
            </w:r>
            <w:r w:rsidR="00BC1DAE" w:rsidRPr="002337AC">
              <w:rPr>
                <w:rFonts w:ascii="Arial" w:eastAsia="Times" w:hAnsi="Arial"/>
                <w:color w:val="000000" w:themeColor="text1"/>
              </w:rPr>
              <w:t>,</w:t>
            </w:r>
            <w:r w:rsidRPr="002337AC">
              <w:rPr>
                <w:rFonts w:ascii="Arial" w:eastAsia="Times" w:hAnsi="Arial"/>
                <w:color w:val="000000" w:themeColor="text1"/>
              </w:rPr>
              <w:t xml:space="preserve"> including an Acknowledgement of Country at the outset of each meeting</w:t>
            </w:r>
            <w:r w:rsidR="00BC1DAE" w:rsidRPr="002337AC">
              <w:rPr>
                <w:rFonts w:ascii="Arial" w:eastAsia="Times" w:hAnsi="Arial"/>
                <w:color w:val="000000" w:themeColor="text1"/>
              </w:rPr>
              <w:t xml:space="preserve">; </w:t>
            </w:r>
            <w:r w:rsidRPr="002337AC">
              <w:rPr>
                <w:rFonts w:ascii="Arial" w:eastAsia="Times" w:hAnsi="Arial"/>
                <w:color w:val="000000" w:themeColor="text1"/>
              </w:rPr>
              <w:t xml:space="preserve">referring to people using their preferred descriptors and pronouns </w:t>
            </w:r>
          </w:p>
          <w:p w:rsidR="002C0A8C" w:rsidRPr="002C0A8C" w:rsidRDefault="002C0A8C" w:rsidP="002E1B56">
            <w:pPr>
              <w:spacing w:after="240" w:line="270" w:lineRule="atLeast"/>
              <w:rPr>
                <w:rFonts w:ascii="Arial" w:eastAsia="Times" w:hAnsi="Arial"/>
              </w:rPr>
            </w:pPr>
            <w:r w:rsidRPr="002337AC">
              <w:rPr>
                <w:rFonts w:ascii="Arial" w:eastAsia="Times" w:hAnsi="Arial"/>
                <w:color w:val="000000" w:themeColor="text1"/>
              </w:rPr>
              <w:t xml:space="preserve">Governance meetings </w:t>
            </w:r>
            <w:r w:rsidR="00580157" w:rsidRPr="002337AC">
              <w:rPr>
                <w:rFonts w:ascii="Arial" w:eastAsia="Times" w:hAnsi="Arial"/>
                <w:color w:val="000000" w:themeColor="text1"/>
              </w:rPr>
              <w:t>are held in an accessible venue;</w:t>
            </w:r>
            <w:r w:rsidRPr="002337AC">
              <w:rPr>
                <w:rFonts w:ascii="Arial" w:eastAsia="Times" w:hAnsi="Arial"/>
                <w:color w:val="000000" w:themeColor="text1"/>
              </w:rPr>
              <w:t xml:space="preserve"> information is included in different formats</w:t>
            </w:r>
            <w:r w:rsidR="002E1B56" w:rsidRPr="002337AC">
              <w:rPr>
                <w:rFonts w:ascii="Arial" w:eastAsia="Times" w:hAnsi="Arial"/>
                <w:color w:val="000000" w:themeColor="text1"/>
              </w:rPr>
              <w:t>,</w:t>
            </w:r>
            <w:r w:rsidRPr="002337AC">
              <w:rPr>
                <w:rFonts w:ascii="Arial" w:eastAsia="Times" w:hAnsi="Arial"/>
                <w:color w:val="000000" w:themeColor="text1"/>
              </w:rPr>
              <w:t xml:space="preserve"> including Easy English</w:t>
            </w:r>
            <w:r w:rsidR="00580157" w:rsidRPr="002337AC">
              <w:rPr>
                <w:rFonts w:ascii="Arial" w:eastAsia="Times" w:hAnsi="Arial"/>
                <w:color w:val="000000" w:themeColor="text1"/>
              </w:rPr>
              <w:t xml:space="preserve">; </w:t>
            </w:r>
            <w:r w:rsidR="005016E8" w:rsidRPr="002337AC">
              <w:rPr>
                <w:rFonts w:ascii="Arial" w:eastAsia="Times" w:hAnsi="Arial"/>
                <w:color w:val="000000" w:themeColor="text1"/>
              </w:rPr>
              <w:t xml:space="preserve">an AUSLAN interpreter is available for </w:t>
            </w:r>
            <w:r w:rsidR="002E1B56" w:rsidRPr="002337AC">
              <w:rPr>
                <w:rFonts w:ascii="Arial" w:eastAsia="Times" w:hAnsi="Arial"/>
                <w:color w:val="000000" w:themeColor="text1"/>
              </w:rPr>
              <w:t>Deaf</w:t>
            </w:r>
            <w:r w:rsidR="005016E8" w:rsidRPr="002337AC">
              <w:rPr>
                <w:rFonts w:ascii="Arial" w:eastAsia="Times" w:hAnsi="Arial"/>
                <w:color w:val="000000" w:themeColor="text1"/>
              </w:rPr>
              <w:t xml:space="preserve"> people to participate</w:t>
            </w:r>
          </w:p>
        </w:tc>
      </w:tr>
      <w:tr w:rsidR="002C0A8C" w:rsidRPr="002C0A8C" w:rsidTr="00F9001F">
        <w:tc>
          <w:tcPr>
            <w:tcW w:w="567" w:type="dxa"/>
            <w:tcBorders>
              <w:left w:val="nil"/>
            </w:tcBorders>
            <w:shd w:val="clear" w:color="auto" w:fill="99B8DC"/>
          </w:tcPr>
          <w:p w:rsidR="002C0A8C" w:rsidRPr="002C0A8C" w:rsidRDefault="002C0A8C" w:rsidP="00F9001F">
            <w:pPr>
              <w:pStyle w:val="DHHStablecolhead"/>
            </w:pPr>
            <w:r w:rsidRPr="002C0A8C">
              <w:t>1.2</w:t>
            </w:r>
          </w:p>
        </w:tc>
        <w:tc>
          <w:tcPr>
            <w:tcW w:w="2268" w:type="dxa"/>
            <w:tcBorders>
              <w:left w:val="nil"/>
            </w:tcBorders>
            <w:shd w:val="clear" w:color="auto" w:fill="99B8DC"/>
          </w:tcPr>
          <w:p w:rsidR="002C0A8C" w:rsidRPr="002C0A8C" w:rsidRDefault="002C0A8C" w:rsidP="00F9001F">
            <w:pPr>
              <w:pStyle w:val="DHHStablecolhead"/>
            </w:pPr>
            <w:r w:rsidRPr="002C0A8C">
              <w:t>Population/</w:t>
            </w:r>
          </w:p>
          <w:p w:rsidR="002C0A8C" w:rsidRPr="002C0A8C" w:rsidRDefault="002C0A8C" w:rsidP="00F9001F">
            <w:pPr>
              <w:pStyle w:val="DHHStablecolhead"/>
            </w:pPr>
            <w:r w:rsidRPr="002C0A8C">
              <w:t>client needs analysis</w:t>
            </w:r>
          </w:p>
        </w:tc>
        <w:tc>
          <w:tcPr>
            <w:tcW w:w="4395" w:type="dxa"/>
          </w:tcPr>
          <w:p w:rsidR="002C0A8C" w:rsidRPr="002C0A8C" w:rsidRDefault="002C0A8C" w:rsidP="00F9001F">
            <w:pPr>
              <w:spacing w:after="240" w:line="270" w:lineRule="atLeast"/>
              <w:rPr>
                <w:rFonts w:ascii="Arial" w:eastAsia="Times" w:hAnsi="Arial"/>
              </w:rPr>
            </w:pPr>
            <w:r w:rsidRPr="002C0A8C">
              <w:rPr>
                <w:rFonts w:ascii="Arial" w:eastAsia="Times" w:hAnsi="Arial"/>
              </w:rPr>
              <w:t>Demographic data on diverse communities is used to support reform design</w:t>
            </w:r>
          </w:p>
          <w:p w:rsidR="002C0A8C" w:rsidRPr="002C0A8C" w:rsidRDefault="002C0A8C" w:rsidP="00F9001F">
            <w:pPr>
              <w:spacing w:after="240" w:line="270" w:lineRule="atLeast"/>
              <w:rPr>
                <w:rFonts w:ascii="Arial" w:eastAsia="Times" w:hAnsi="Arial"/>
              </w:rPr>
            </w:pPr>
            <w:r w:rsidRPr="002C0A8C">
              <w:rPr>
                <w:rFonts w:ascii="Arial" w:eastAsia="Times" w:hAnsi="Arial"/>
              </w:rPr>
              <w:t>Analysis of population needs is conducted in consultation with members of relevant communities in a culturally competent and accessible way</w:t>
            </w:r>
          </w:p>
          <w:p w:rsidR="002C0A8C" w:rsidRPr="002C0A8C" w:rsidRDefault="002C0A8C" w:rsidP="00F9001F">
            <w:pPr>
              <w:spacing w:after="240" w:line="270" w:lineRule="atLeast"/>
              <w:rPr>
                <w:rFonts w:ascii="Arial" w:eastAsia="Times" w:hAnsi="Arial"/>
              </w:rPr>
            </w:pPr>
            <w:r w:rsidRPr="002C0A8C">
              <w:rPr>
                <w:rFonts w:ascii="Arial" w:eastAsia="Times" w:hAnsi="Arial"/>
              </w:rPr>
              <w:t>Existing evidence and analysis of issue impact for different groups is sought and utilised in establishing client needs</w:t>
            </w:r>
          </w:p>
          <w:p w:rsidR="002C0A8C" w:rsidRPr="002C0A8C" w:rsidRDefault="002C0A8C" w:rsidP="00F9001F">
            <w:pPr>
              <w:spacing w:after="240" w:line="270" w:lineRule="atLeast"/>
              <w:rPr>
                <w:rFonts w:ascii="Arial" w:eastAsia="Times" w:hAnsi="Arial"/>
              </w:rPr>
            </w:pPr>
            <w:r w:rsidRPr="002C0A8C">
              <w:rPr>
                <w:rFonts w:ascii="Arial" w:eastAsia="Times" w:hAnsi="Arial"/>
              </w:rPr>
              <w:t>Data of greater granularity is sought from local area programs and community specific data sets</w:t>
            </w:r>
          </w:p>
        </w:tc>
        <w:tc>
          <w:tcPr>
            <w:tcW w:w="8014" w:type="dxa"/>
            <w:tcBorders>
              <w:right w:val="nil"/>
            </w:tcBorders>
          </w:tcPr>
          <w:p w:rsidR="002C0A8C" w:rsidRPr="002C0A8C" w:rsidRDefault="002C0A8C" w:rsidP="00F9001F">
            <w:pPr>
              <w:spacing w:after="240" w:line="270" w:lineRule="atLeast"/>
              <w:rPr>
                <w:rFonts w:ascii="Arial" w:eastAsia="Times" w:hAnsi="Arial"/>
              </w:rPr>
            </w:pPr>
            <w:r w:rsidRPr="002C0A8C">
              <w:rPr>
                <w:rFonts w:ascii="Arial" w:eastAsia="Times" w:hAnsi="Arial"/>
              </w:rPr>
              <w:t>Analysis for family violence services uses a defined minimum data set</w:t>
            </w:r>
            <w:r w:rsidR="008263C0">
              <w:rPr>
                <w:rFonts w:ascii="Arial" w:eastAsia="Times" w:hAnsi="Arial"/>
              </w:rPr>
              <w:t>,</w:t>
            </w:r>
            <w:r w:rsidRPr="002C0A8C">
              <w:rPr>
                <w:rFonts w:ascii="Arial" w:eastAsia="Times" w:hAnsi="Arial"/>
              </w:rPr>
              <w:t xml:space="preserve"> including country of birth, language spoken, year of arrival, ATSI status, disability, </w:t>
            </w:r>
            <w:r w:rsidRPr="002337AC">
              <w:rPr>
                <w:rFonts w:ascii="Arial" w:eastAsia="Times" w:hAnsi="Arial"/>
                <w:color w:val="000000" w:themeColor="text1"/>
              </w:rPr>
              <w:t>gender</w:t>
            </w:r>
            <w:r w:rsidR="00580157" w:rsidRPr="002337AC">
              <w:rPr>
                <w:rFonts w:ascii="Arial" w:eastAsia="Times" w:hAnsi="Arial"/>
                <w:color w:val="000000" w:themeColor="text1"/>
              </w:rPr>
              <w:t xml:space="preserve"> and sexual identity</w:t>
            </w:r>
            <w:r w:rsidR="00BC1DAE" w:rsidRPr="002337AC">
              <w:rPr>
                <w:rFonts w:ascii="Arial" w:eastAsia="Times" w:hAnsi="Arial"/>
                <w:color w:val="000000" w:themeColor="text1"/>
              </w:rPr>
              <w:t xml:space="preserve"> (where </w:t>
            </w:r>
            <w:r w:rsidR="006E27CC" w:rsidRPr="002337AC">
              <w:rPr>
                <w:rFonts w:ascii="Arial" w:eastAsia="Times" w:hAnsi="Arial"/>
                <w:color w:val="000000" w:themeColor="text1"/>
              </w:rPr>
              <w:t>relevant</w:t>
            </w:r>
            <w:r w:rsidR="00BC1DAE" w:rsidRPr="002337AC">
              <w:rPr>
                <w:rFonts w:ascii="Arial" w:eastAsia="Times" w:hAnsi="Arial"/>
                <w:color w:val="000000" w:themeColor="text1"/>
              </w:rPr>
              <w:t xml:space="preserve"> to obtain)</w:t>
            </w:r>
          </w:p>
          <w:p w:rsidR="002C0A8C" w:rsidRPr="002C0A8C" w:rsidRDefault="002C0A8C" w:rsidP="00BC1DAE">
            <w:pPr>
              <w:spacing w:after="240" w:line="270" w:lineRule="atLeast"/>
              <w:rPr>
                <w:rFonts w:ascii="Arial" w:eastAsia="Times" w:hAnsi="Arial"/>
              </w:rPr>
            </w:pPr>
            <w:r w:rsidRPr="002C0A8C">
              <w:rPr>
                <w:rFonts w:ascii="Arial" w:eastAsia="Times" w:hAnsi="Arial"/>
              </w:rPr>
              <w:t xml:space="preserve">A survey uses best practice on questions about </w:t>
            </w:r>
            <w:r w:rsidR="002E1B56" w:rsidRPr="002337AC">
              <w:rPr>
                <w:rFonts w:ascii="Arial" w:eastAsia="Times" w:hAnsi="Arial"/>
                <w:color w:val="000000" w:themeColor="text1"/>
              </w:rPr>
              <w:t>gender</w:t>
            </w:r>
            <w:r w:rsidR="00351EBC" w:rsidRPr="002337AC">
              <w:rPr>
                <w:rFonts w:ascii="Arial" w:eastAsia="Times" w:hAnsi="Arial"/>
                <w:color w:val="000000" w:themeColor="text1"/>
              </w:rPr>
              <w:t xml:space="preserve"> and sexual</w:t>
            </w:r>
            <w:r w:rsidR="002E1B56" w:rsidRPr="002337AC">
              <w:rPr>
                <w:rFonts w:ascii="Arial" w:eastAsia="Times" w:hAnsi="Arial"/>
                <w:color w:val="000000" w:themeColor="text1"/>
              </w:rPr>
              <w:t xml:space="preserve"> identity</w:t>
            </w:r>
            <w:r w:rsidRPr="002337AC">
              <w:rPr>
                <w:rFonts w:ascii="Arial" w:eastAsia="Times" w:hAnsi="Arial"/>
                <w:color w:val="000000" w:themeColor="text1"/>
              </w:rPr>
              <w:t xml:space="preserve"> </w:t>
            </w:r>
            <w:r w:rsidR="006E27CC" w:rsidRPr="002337AC">
              <w:rPr>
                <w:rFonts w:ascii="Arial" w:eastAsia="Times" w:hAnsi="Arial"/>
                <w:color w:val="000000" w:themeColor="text1"/>
              </w:rPr>
              <w:t xml:space="preserve">(when </w:t>
            </w:r>
            <w:r w:rsidRPr="002337AC">
              <w:rPr>
                <w:rFonts w:ascii="Arial" w:eastAsia="Times" w:hAnsi="Arial"/>
                <w:color w:val="000000" w:themeColor="text1"/>
              </w:rPr>
              <w:t>relevant</w:t>
            </w:r>
            <w:r w:rsidR="00BC1DAE" w:rsidRPr="002337AC">
              <w:rPr>
                <w:rFonts w:ascii="Arial" w:eastAsia="Times" w:hAnsi="Arial"/>
                <w:color w:val="000000" w:themeColor="text1"/>
              </w:rPr>
              <w:t xml:space="preserve"> to obtain</w:t>
            </w:r>
            <w:r w:rsidRPr="002337AC">
              <w:rPr>
                <w:rFonts w:ascii="Arial" w:eastAsia="Times" w:hAnsi="Arial"/>
                <w:color w:val="000000" w:themeColor="text1"/>
              </w:rPr>
              <w:t xml:space="preserve">) </w:t>
            </w:r>
            <w:r w:rsidRPr="002C0A8C">
              <w:rPr>
                <w:rFonts w:ascii="Arial" w:eastAsia="Times" w:hAnsi="Arial"/>
              </w:rPr>
              <w:t>to ensure accurate information about demographics</w:t>
            </w:r>
          </w:p>
        </w:tc>
      </w:tr>
      <w:tr w:rsidR="002C0A8C" w:rsidRPr="002C0A8C" w:rsidTr="00F9001F">
        <w:tc>
          <w:tcPr>
            <w:tcW w:w="567" w:type="dxa"/>
            <w:tcBorders>
              <w:left w:val="nil"/>
            </w:tcBorders>
            <w:shd w:val="clear" w:color="auto" w:fill="99B8DC"/>
          </w:tcPr>
          <w:p w:rsidR="002C0A8C" w:rsidRPr="002C0A8C" w:rsidRDefault="002C0A8C" w:rsidP="00F9001F">
            <w:pPr>
              <w:pStyle w:val="DHHStablecolhead"/>
            </w:pPr>
            <w:r w:rsidRPr="002C0A8C">
              <w:t>1.3</w:t>
            </w:r>
          </w:p>
        </w:tc>
        <w:tc>
          <w:tcPr>
            <w:tcW w:w="2268" w:type="dxa"/>
            <w:tcBorders>
              <w:left w:val="nil"/>
            </w:tcBorders>
            <w:shd w:val="clear" w:color="auto" w:fill="99B8DC"/>
          </w:tcPr>
          <w:p w:rsidR="002C0A8C" w:rsidRPr="002C0A8C" w:rsidRDefault="002C0A8C" w:rsidP="00F9001F">
            <w:pPr>
              <w:pStyle w:val="DHHStablecolhead"/>
            </w:pPr>
            <w:r w:rsidRPr="002C0A8C">
              <w:t>Stakeholder engagement &amp; co-design</w:t>
            </w:r>
          </w:p>
        </w:tc>
        <w:tc>
          <w:tcPr>
            <w:tcW w:w="4395" w:type="dxa"/>
          </w:tcPr>
          <w:p w:rsidR="002C0A8C" w:rsidRPr="002C0A8C" w:rsidRDefault="002C0A8C" w:rsidP="00F9001F">
            <w:pPr>
              <w:spacing w:after="240" w:line="270" w:lineRule="atLeast"/>
              <w:rPr>
                <w:rFonts w:ascii="Arial" w:eastAsia="Times" w:hAnsi="Arial"/>
              </w:rPr>
            </w:pPr>
            <w:r w:rsidRPr="002C0A8C">
              <w:rPr>
                <w:rFonts w:ascii="Arial" w:eastAsia="Times" w:hAnsi="Arial"/>
              </w:rPr>
              <w:t>Consultation processes are inclusive and accessible</w:t>
            </w:r>
          </w:p>
          <w:p w:rsidR="002C0A8C" w:rsidRPr="002C0A8C" w:rsidRDefault="002C0A8C" w:rsidP="00F9001F">
            <w:pPr>
              <w:spacing w:after="240" w:line="270" w:lineRule="atLeast"/>
              <w:rPr>
                <w:rFonts w:ascii="Arial" w:eastAsia="Times" w:hAnsi="Arial"/>
              </w:rPr>
            </w:pPr>
            <w:r w:rsidRPr="002C0A8C">
              <w:rPr>
                <w:rFonts w:ascii="Arial" w:eastAsia="Times" w:hAnsi="Arial"/>
              </w:rPr>
              <w:t xml:space="preserve">Stakeholders are actively involved in reform </w:t>
            </w:r>
            <w:r w:rsidRPr="002C0A8C">
              <w:rPr>
                <w:rFonts w:ascii="Arial" w:eastAsia="Times" w:hAnsi="Arial"/>
              </w:rPr>
              <w:lastRenderedPageBreak/>
              <w:t>design and decision-making processes</w:t>
            </w:r>
          </w:p>
          <w:p w:rsidR="002C0A8C" w:rsidRPr="002C0A8C" w:rsidRDefault="002C0A8C" w:rsidP="00F9001F">
            <w:pPr>
              <w:spacing w:after="240" w:line="270" w:lineRule="atLeast"/>
              <w:rPr>
                <w:rFonts w:ascii="Arial" w:eastAsia="Times" w:hAnsi="Arial"/>
              </w:rPr>
            </w:pPr>
            <w:r w:rsidRPr="002C0A8C">
              <w:rPr>
                <w:rFonts w:ascii="Arial" w:eastAsia="Times" w:hAnsi="Arial"/>
              </w:rPr>
              <w:t>Updates are provided to stakeholders on a regular basis with a formal pathway for feedback and contributions using a ‘two-way’ approach to knowledge sharing</w:t>
            </w:r>
          </w:p>
        </w:tc>
        <w:tc>
          <w:tcPr>
            <w:tcW w:w="8014" w:type="dxa"/>
            <w:tcBorders>
              <w:right w:val="nil"/>
            </w:tcBorders>
          </w:tcPr>
          <w:p w:rsidR="002C0A8C" w:rsidRPr="002C0A8C" w:rsidRDefault="002C0A8C" w:rsidP="00F9001F">
            <w:pPr>
              <w:spacing w:after="240" w:line="270" w:lineRule="atLeast"/>
              <w:rPr>
                <w:rFonts w:ascii="Arial" w:eastAsia="Times" w:hAnsi="Arial"/>
              </w:rPr>
            </w:pPr>
            <w:r w:rsidRPr="002C0A8C">
              <w:rPr>
                <w:rFonts w:ascii="Arial" w:eastAsia="Times" w:hAnsi="Arial"/>
              </w:rPr>
              <w:lastRenderedPageBreak/>
              <w:t>Communications seeking consultation and feedback are available in multiple languages/dialects and accessible format</w:t>
            </w:r>
            <w:r w:rsidR="002E1B56" w:rsidRPr="008263C0">
              <w:rPr>
                <w:rFonts w:ascii="Arial" w:eastAsia="Times" w:hAnsi="Arial"/>
                <w:color w:val="000000" w:themeColor="text1"/>
              </w:rPr>
              <w:t>s</w:t>
            </w:r>
            <w:r w:rsidRPr="002C0A8C">
              <w:rPr>
                <w:rFonts w:ascii="Arial" w:eastAsia="Times" w:hAnsi="Arial"/>
              </w:rPr>
              <w:t xml:space="preserve">, and </w:t>
            </w:r>
            <w:r w:rsidR="008263C0">
              <w:rPr>
                <w:rFonts w:ascii="Arial" w:eastAsia="Times" w:hAnsi="Arial"/>
              </w:rPr>
              <w:t>reviewed</w:t>
            </w:r>
            <w:r w:rsidRPr="002C0A8C">
              <w:rPr>
                <w:rFonts w:ascii="Arial" w:eastAsia="Times" w:hAnsi="Arial"/>
              </w:rPr>
              <w:t xml:space="preserve"> for cultural appropriateness as part of the translation process</w:t>
            </w:r>
          </w:p>
          <w:p w:rsidR="003C46E0" w:rsidRDefault="00580157" w:rsidP="00F9001F">
            <w:pPr>
              <w:spacing w:after="240" w:line="270" w:lineRule="atLeast"/>
              <w:rPr>
                <w:rFonts w:ascii="Arial" w:eastAsia="Times" w:hAnsi="Arial"/>
                <w:color w:val="000000" w:themeColor="text1"/>
              </w:rPr>
            </w:pPr>
            <w:r w:rsidRPr="002337AC">
              <w:rPr>
                <w:rFonts w:ascii="Arial" w:eastAsia="Times" w:hAnsi="Arial"/>
                <w:color w:val="000000" w:themeColor="text1"/>
              </w:rPr>
              <w:lastRenderedPageBreak/>
              <w:t>Non-written methods</w:t>
            </w:r>
            <w:r w:rsidR="002C0A8C" w:rsidRPr="002337AC">
              <w:rPr>
                <w:rFonts w:ascii="Arial" w:eastAsia="Times" w:hAnsi="Arial"/>
                <w:color w:val="000000" w:themeColor="text1"/>
              </w:rPr>
              <w:t xml:space="preserve"> of engagement</w:t>
            </w:r>
            <w:r w:rsidR="003C46E0">
              <w:rPr>
                <w:rFonts w:ascii="Arial" w:eastAsia="Times" w:hAnsi="Arial"/>
                <w:color w:val="000000" w:themeColor="text1"/>
              </w:rPr>
              <w:t xml:space="preserve"> </w:t>
            </w:r>
            <w:r w:rsidR="002C0A8C" w:rsidRPr="002337AC">
              <w:rPr>
                <w:rFonts w:ascii="Arial" w:eastAsia="Times" w:hAnsi="Arial"/>
                <w:color w:val="000000" w:themeColor="text1"/>
              </w:rPr>
              <w:t xml:space="preserve">are </w:t>
            </w:r>
            <w:r w:rsidRPr="002337AC">
              <w:rPr>
                <w:rFonts w:ascii="Arial" w:eastAsia="Times" w:hAnsi="Arial"/>
                <w:color w:val="000000" w:themeColor="text1"/>
              </w:rPr>
              <w:t>held</w:t>
            </w:r>
            <w:r w:rsidR="002C0A8C" w:rsidRPr="002337AC">
              <w:rPr>
                <w:rFonts w:ascii="Arial" w:eastAsia="Times" w:hAnsi="Arial"/>
                <w:color w:val="000000" w:themeColor="text1"/>
              </w:rPr>
              <w:t xml:space="preserve"> to avoid excluding </w:t>
            </w:r>
            <w:r w:rsidRPr="002337AC">
              <w:rPr>
                <w:rFonts w:ascii="Arial" w:eastAsia="Times" w:hAnsi="Arial"/>
                <w:color w:val="000000" w:themeColor="text1"/>
              </w:rPr>
              <w:t xml:space="preserve">people with </w:t>
            </w:r>
            <w:r w:rsidR="008263C0">
              <w:rPr>
                <w:rFonts w:ascii="Arial" w:eastAsia="Times" w:hAnsi="Arial"/>
                <w:color w:val="000000" w:themeColor="text1"/>
              </w:rPr>
              <w:t>low literacy</w:t>
            </w:r>
          </w:p>
          <w:p w:rsidR="002C0A8C" w:rsidRPr="002337AC" w:rsidRDefault="003C46E0" w:rsidP="00F9001F">
            <w:pPr>
              <w:spacing w:after="240" w:line="270" w:lineRule="atLeast"/>
              <w:rPr>
                <w:rFonts w:ascii="Arial" w:eastAsia="Times" w:hAnsi="Arial"/>
                <w:color w:val="000000" w:themeColor="text1"/>
              </w:rPr>
            </w:pPr>
            <w:r>
              <w:rPr>
                <w:rFonts w:ascii="Arial" w:eastAsia="Times" w:hAnsi="Arial"/>
                <w:color w:val="000000" w:themeColor="text1"/>
              </w:rPr>
              <w:t>C</w:t>
            </w:r>
            <w:r w:rsidR="008263C0">
              <w:rPr>
                <w:rFonts w:ascii="Arial" w:eastAsia="Times" w:hAnsi="Arial"/>
                <w:color w:val="000000" w:themeColor="text1"/>
              </w:rPr>
              <w:t>ommunity forums are</w:t>
            </w:r>
            <w:r w:rsidR="002337AC">
              <w:rPr>
                <w:rFonts w:ascii="Arial" w:eastAsia="Times" w:hAnsi="Arial"/>
                <w:color w:val="000000" w:themeColor="text1"/>
              </w:rPr>
              <w:t xml:space="preserve"> </w:t>
            </w:r>
            <w:r w:rsidR="00BC1DAE" w:rsidRPr="002337AC">
              <w:rPr>
                <w:rFonts w:ascii="Arial" w:eastAsia="Times" w:hAnsi="Arial"/>
                <w:color w:val="000000" w:themeColor="text1"/>
              </w:rPr>
              <w:t>conducted in regional areas and areas of disadvantage</w:t>
            </w:r>
          </w:p>
          <w:p w:rsidR="002C0A8C" w:rsidRPr="002C0A8C" w:rsidRDefault="002C0A8C" w:rsidP="00F9001F">
            <w:pPr>
              <w:spacing w:after="240" w:line="270" w:lineRule="atLeast"/>
              <w:rPr>
                <w:rFonts w:ascii="Arial" w:eastAsia="Times" w:hAnsi="Arial"/>
              </w:rPr>
            </w:pPr>
            <w:r w:rsidRPr="002C0A8C">
              <w:rPr>
                <w:rFonts w:ascii="Arial" w:eastAsia="Times" w:hAnsi="Arial"/>
              </w:rPr>
              <w:t>Aboriginal stakeholders have control and ownership over decisions made regarding their community relating to child protection reform</w:t>
            </w:r>
          </w:p>
          <w:p w:rsidR="002C0A8C" w:rsidRPr="002C0A8C" w:rsidRDefault="002C0A8C" w:rsidP="00F9001F">
            <w:pPr>
              <w:spacing w:after="240" w:line="270" w:lineRule="atLeast"/>
              <w:rPr>
                <w:rFonts w:ascii="Arial" w:eastAsia="Times" w:hAnsi="Arial"/>
              </w:rPr>
            </w:pPr>
            <w:r w:rsidRPr="002C0A8C">
              <w:rPr>
                <w:rFonts w:ascii="Arial" w:eastAsia="Times" w:hAnsi="Arial"/>
              </w:rPr>
              <w:t>A regular update is emailed to LGBTI community organisations who were consulted in the reform process for youth support services informing them of progress and seeking feedback</w:t>
            </w:r>
          </w:p>
          <w:p w:rsidR="002C0A8C" w:rsidRPr="002C0A8C" w:rsidRDefault="002C0A8C" w:rsidP="00F9001F">
            <w:pPr>
              <w:spacing w:after="240" w:line="270" w:lineRule="atLeast"/>
              <w:rPr>
                <w:rFonts w:ascii="Arial" w:eastAsia="Times" w:hAnsi="Arial"/>
              </w:rPr>
            </w:pPr>
            <w:r w:rsidRPr="002C0A8C">
              <w:rPr>
                <w:rFonts w:ascii="Arial" w:eastAsia="Times" w:hAnsi="Arial"/>
              </w:rPr>
              <w:t>Consultations for youth support services are held with the Maori community in a meeting format appropriate to that community</w:t>
            </w:r>
          </w:p>
        </w:tc>
      </w:tr>
      <w:tr w:rsidR="002C0A8C" w:rsidRPr="002C0A8C" w:rsidTr="00F9001F">
        <w:tc>
          <w:tcPr>
            <w:tcW w:w="567" w:type="dxa"/>
            <w:tcBorders>
              <w:left w:val="nil"/>
            </w:tcBorders>
            <w:shd w:val="clear" w:color="auto" w:fill="99B8DC"/>
          </w:tcPr>
          <w:p w:rsidR="002C0A8C" w:rsidRPr="002C0A8C" w:rsidRDefault="002C0A8C" w:rsidP="00F9001F">
            <w:pPr>
              <w:pStyle w:val="DHHStablecolhead"/>
            </w:pPr>
            <w:r w:rsidRPr="002C0A8C">
              <w:lastRenderedPageBreak/>
              <w:t>1.4</w:t>
            </w:r>
          </w:p>
        </w:tc>
        <w:tc>
          <w:tcPr>
            <w:tcW w:w="2268" w:type="dxa"/>
            <w:tcBorders>
              <w:left w:val="nil"/>
            </w:tcBorders>
            <w:shd w:val="clear" w:color="auto" w:fill="99B8DC"/>
          </w:tcPr>
          <w:p w:rsidR="002C0A8C" w:rsidRPr="002C0A8C" w:rsidRDefault="002C0A8C" w:rsidP="00F9001F">
            <w:pPr>
              <w:pStyle w:val="DHHStablecolhead"/>
            </w:pPr>
            <w:r w:rsidRPr="002C0A8C">
              <w:t>Defining goals and outcomes</w:t>
            </w:r>
          </w:p>
        </w:tc>
        <w:tc>
          <w:tcPr>
            <w:tcW w:w="4395" w:type="dxa"/>
          </w:tcPr>
          <w:p w:rsidR="002C0A8C" w:rsidRPr="002C0A8C" w:rsidRDefault="002C0A8C" w:rsidP="00F9001F">
            <w:pPr>
              <w:spacing w:after="240" w:line="270" w:lineRule="atLeast"/>
              <w:rPr>
                <w:rFonts w:ascii="Arial" w:eastAsia="Times" w:hAnsi="Arial"/>
              </w:rPr>
            </w:pPr>
            <w:r w:rsidRPr="002C0A8C">
              <w:rPr>
                <w:rFonts w:ascii="Arial" w:eastAsia="Times" w:hAnsi="Arial"/>
              </w:rPr>
              <w:t>Specific outcomes for diverse communities are identified in relation to their particular needs at the outset of the reform design process</w:t>
            </w:r>
          </w:p>
          <w:p w:rsidR="002C0A8C" w:rsidRPr="002C0A8C" w:rsidRDefault="002C0A8C" w:rsidP="00F9001F">
            <w:pPr>
              <w:spacing w:after="240" w:line="270" w:lineRule="atLeast"/>
              <w:rPr>
                <w:rFonts w:ascii="Arial" w:eastAsia="Times" w:hAnsi="Arial"/>
              </w:rPr>
            </w:pPr>
            <w:r w:rsidRPr="002C0A8C">
              <w:rPr>
                <w:rFonts w:ascii="Arial" w:eastAsia="Times" w:hAnsi="Arial"/>
              </w:rPr>
              <w:t>Recommendations from community groups about relevant measures of success for their populations are prioritised in setting goals</w:t>
            </w:r>
          </w:p>
        </w:tc>
        <w:tc>
          <w:tcPr>
            <w:tcW w:w="8014" w:type="dxa"/>
            <w:tcBorders>
              <w:right w:val="nil"/>
            </w:tcBorders>
          </w:tcPr>
          <w:p w:rsidR="002C0A8C" w:rsidRPr="002C0A8C" w:rsidRDefault="002C0A8C" w:rsidP="00F9001F">
            <w:pPr>
              <w:spacing w:after="240" w:line="270" w:lineRule="atLeast"/>
              <w:rPr>
                <w:rFonts w:ascii="Arial" w:eastAsia="Times" w:hAnsi="Arial"/>
              </w:rPr>
            </w:pPr>
            <w:r w:rsidRPr="002C0A8C">
              <w:rPr>
                <w:rFonts w:ascii="Arial" w:eastAsia="Times" w:hAnsi="Arial"/>
              </w:rPr>
              <w:t>Feeling connected to culture, country and community is included as a specific measure of success for Aboriginal Victorians based on input from community organisations</w:t>
            </w:r>
          </w:p>
          <w:p w:rsidR="002C0A8C" w:rsidRPr="002C0A8C" w:rsidRDefault="002C0A8C" w:rsidP="00F9001F">
            <w:pPr>
              <w:spacing w:after="240" w:line="270" w:lineRule="atLeast"/>
              <w:rPr>
                <w:rFonts w:ascii="Arial" w:eastAsia="Times" w:hAnsi="Arial"/>
              </w:rPr>
            </w:pPr>
            <w:r w:rsidRPr="002C0A8C">
              <w:rPr>
                <w:rFonts w:ascii="Arial" w:eastAsia="Times" w:hAnsi="Arial"/>
              </w:rPr>
              <w:t>Self-determination is a priority for Aboriginal organisations within the reform area and drives any changes</w:t>
            </w:r>
          </w:p>
          <w:p w:rsidR="002C0A8C" w:rsidRPr="002C0A8C" w:rsidRDefault="002C0A8C" w:rsidP="00F9001F">
            <w:pPr>
              <w:spacing w:after="240" w:line="270" w:lineRule="atLeast"/>
              <w:rPr>
                <w:rFonts w:ascii="Arial" w:eastAsia="Times" w:hAnsi="Arial"/>
              </w:rPr>
            </w:pPr>
            <w:r w:rsidRPr="002C0A8C">
              <w:rPr>
                <w:rFonts w:ascii="Arial" w:eastAsia="Times" w:hAnsi="Arial"/>
              </w:rPr>
              <w:t>Resilience for LGBTI clients is a stated goal due to the effects on LGBTI people of the ongoing debate on marriage equality</w:t>
            </w:r>
          </w:p>
          <w:p w:rsidR="002C0A8C" w:rsidRPr="002C0A8C" w:rsidRDefault="002C0A8C" w:rsidP="00F9001F">
            <w:pPr>
              <w:spacing w:after="240" w:line="270" w:lineRule="atLeast"/>
              <w:rPr>
                <w:rFonts w:ascii="Arial" w:eastAsia="Times" w:hAnsi="Arial"/>
              </w:rPr>
            </w:pPr>
            <w:r w:rsidRPr="002C0A8C">
              <w:rPr>
                <w:rFonts w:ascii="Arial" w:eastAsia="Times" w:hAnsi="Arial"/>
              </w:rPr>
              <w:t>Following consultation, improving inclusion for people with a disability is a key priority in out of home care reform</w:t>
            </w:r>
          </w:p>
        </w:tc>
      </w:tr>
    </w:tbl>
    <w:p w:rsidR="002C0A8C" w:rsidRPr="002C0A8C" w:rsidRDefault="002C0A8C" w:rsidP="002C0A8C">
      <w:pPr>
        <w:spacing w:after="240" w:line="270" w:lineRule="atLeast"/>
        <w:rPr>
          <w:rFonts w:ascii="Arial" w:hAnsi="Arial"/>
          <w:b/>
          <w:color w:val="D50032"/>
          <w:sz w:val="28"/>
          <w:szCs w:val="28"/>
        </w:rPr>
      </w:pPr>
    </w:p>
    <w:p w:rsidR="002C0A8C" w:rsidRPr="002C0A8C" w:rsidRDefault="002C0A8C" w:rsidP="002C0A8C">
      <w:pPr>
        <w:spacing w:after="240" w:line="270" w:lineRule="atLeast"/>
        <w:rPr>
          <w:rFonts w:ascii="Arial" w:eastAsia="Times" w:hAnsi="Arial"/>
        </w:rPr>
      </w:pPr>
      <w:r w:rsidRPr="002C0A8C">
        <w:rPr>
          <w:rFonts w:ascii="Arial" w:eastAsia="Times" w:hAnsi="Arial"/>
        </w:rPr>
        <w:br w:type="page"/>
      </w:r>
    </w:p>
    <w:p w:rsidR="002C0A8C" w:rsidRPr="002C0A8C" w:rsidRDefault="002C0A8C" w:rsidP="002C0A8C">
      <w:pPr>
        <w:spacing w:after="240" w:line="270" w:lineRule="atLeast"/>
        <w:rPr>
          <w:rFonts w:ascii="Arial" w:eastAsia="Times" w:hAnsi="Arial"/>
          <w:bCs/>
        </w:rPr>
      </w:pPr>
      <w:r>
        <w:rPr>
          <w:rFonts w:ascii="Arial" w:hAnsi="Arial"/>
          <w:b/>
          <w:color w:val="D50032"/>
          <w:sz w:val="28"/>
          <w:szCs w:val="28"/>
        </w:rPr>
        <w:lastRenderedPageBreak/>
        <w:br/>
      </w:r>
      <w:r w:rsidRPr="002C0A8C">
        <w:rPr>
          <w:rFonts w:ascii="Arial" w:hAnsi="Arial"/>
          <w:b/>
          <w:color w:val="D50032"/>
          <w:sz w:val="28"/>
          <w:szCs w:val="28"/>
        </w:rPr>
        <w:t xml:space="preserve">Part 2 – </w:t>
      </w:r>
      <w:r w:rsidR="0063443E">
        <w:rPr>
          <w:rFonts w:ascii="Arial" w:hAnsi="Arial"/>
          <w:b/>
          <w:color w:val="D50032"/>
          <w:sz w:val="28"/>
          <w:szCs w:val="28"/>
        </w:rPr>
        <w:t>Service planning</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567"/>
        <w:gridCol w:w="2268"/>
        <w:gridCol w:w="4536"/>
        <w:gridCol w:w="7873"/>
      </w:tblGrid>
      <w:tr w:rsidR="002C0A8C" w:rsidRPr="002C0A8C" w:rsidTr="00F9001F">
        <w:trPr>
          <w:tblHeader/>
        </w:trPr>
        <w:tc>
          <w:tcPr>
            <w:tcW w:w="567" w:type="dxa"/>
            <w:tcBorders>
              <w:top w:val="nil"/>
              <w:left w:val="nil"/>
              <w:bottom w:val="single" w:sz="4" w:space="0" w:color="004EA8"/>
            </w:tcBorders>
          </w:tcPr>
          <w:p w:rsidR="002C0A8C" w:rsidRPr="002C0A8C" w:rsidRDefault="002C0A8C" w:rsidP="002C0A8C">
            <w:pPr>
              <w:pStyle w:val="DHHStablecolhead"/>
            </w:pPr>
            <w:r w:rsidRPr="002C0A8C">
              <w:t>No.</w:t>
            </w:r>
          </w:p>
        </w:tc>
        <w:tc>
          <w:tcPr>
            <w:tcW w:w="2268" w:type="dxa"/>
            <w:tcBorders>
              <w:top w:val="nil"/>
              <w:left w:val="nil"/>
              <w:bottom w:val="single" w:sz="4" w:space="0" w:color="004EA8"/>
            </w:tcBorders>
          </w:tcPr>
          <w:p w:rsidR="002C0A8C" w:rsidRPr="002C0A8C" w:rsidRDefault="002C0A8C" w:rsidP="002C0A8C">
            <w:pPr>
              <w:pStyle w:val="DHHStablecolhead"/>
            </w:pPr>
            <w:r w:rsidRPr="002C0A8C">
              <w:t>Aspect of service design</w:t>
            </w:r>
          </w:p>
        </w:tc>
        <w:tc>
          <w:tcPr>
            <w:tcW w:w="4536" w:type="dxa"/>
            <w:tcBorders>
              <w:top w:val="nil"/>
            </w:tcBorders>
          </w:tcPr>
          <w:p w:rsidR="002C0A8C" w:rsidRPr="002C0A8C" w:rsidRDefault="002C0A8C" w:rsidP="002C0A8C">
            <w:pPr>
              <w:pStyle w:val="DHHStablecolhead"/>
            </w:pPr>
            <w:r w:rsidRPr="002C0A8C">
              <w:t>Key elements</w:t>
            </w:r>
          </w:p>
        </w:tc>
        <w:tc>
          <w:tcPr>
            <w:tcW w:w="7873" w:type="dxa"/>
            <w:tcBorders>
              <w:top w:val="nil"/>
              <w:right w:val="nil"/>
            </w:tcBorders>
          </w:tcPr>
          <w:p w:rsidR="002C0A8C" w:rsidRPr="002C0A8C" w:rsidRDefault="002C0A8C" w:rsidP="002C0A8C">
            <w:pPr>
              <w:pStyle w:val="DHHStablecolhead"/>
            </w:pPr>
            <w:r w:rsidRPr="002C0A8C">
              <w:t>Examples of good practice</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t>2.1</w:t>
            </w:r>
          </w:p>
        </w:tc>
        <w:tc>
          <w:tcPr>
            <w:tcW w:w="2268" w:type="dxa"/>
            <w:tcBorders>
              <w:left w:val="nil"/>
            </w:tcBorders>
            <w:shd w:val="clear" w:color="auto" w:fill="99B8DC"/>
          </w:tcPr>
          <w:p w:rsidR="002C0A8C" w:rsidRPr="002C0A8C" w:rsidRDefault="002C0A8C" w:rsidP="002C0A8C">
            <w:pPr>
              <w:pStyle w:val="DHHStablecolhead"/>
            </w:pPr>
            <w:r w:rsidRPr="002C0A8C">
              <w:t>Funding models</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t>From the outset funding models and allocations are responsive to the specific needs of different population groups and communities</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t>Funding allocation to Aboriginal Community Controlled Organisations support self-determined responses to Aboriginal health, wellbeing and safety</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Funding is allocated for staff training on diversity competence, including Aboriginal cultural </w:t>
            </w:r>
            <w:r w:rsidR="00BC1DAE">
              <w:rPr>
                <w:rFonts w:ascii="Arial" w:eastAsia="Times" w:hAnsi="Arial"/>
              </w:rPr>
              <w:t>safety</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Consideration </w:t>
            </w:r>
            <w:r w:rsidR="008263C0">
              <w:rPr>
                <w:rFonts w:ascii="Arial" w:eastAsia="Times" w:hAnsi="Arial"/>
              </w:rPr>
              <w:t xml:space="preserve">is given to the </w:t>
            </w:r>
            <w:r w:rsidRPr="002C0A8C">
              <w:rPr>
                <w:rFonts w:ascii="Arial" w:eastAsia="Times" w:hAnsi="Arial"/>
              </w:rPr>
              <w:t xml:space="preserve">weighting of prices to recognise </w:t>
            </w:r>
            <w:r w:rsidR="00A9431F">
              <w:rPr>
                <w:rFonts w:ascii="Arial" w:eastAsia="Times" w:hAnsi="Arial"/>
              </w:rPr>
              <w:t xml:space="preserve">the </w:t>
            </w:r>
            <w:r w:rsidRPr="002C0A8C">
              <w:rPr>
                <w:rFonts w:ascii="Arial" w:eastAsia="Times" w:hAnsi="Arial"/>
              </w:rPr>
              <w:t>additional time</w:t>
            </w:r>
            <w:r w:rsidR="008263C0">
              <w:rPr>
                <w:rFonts w:ascii="Arial" w:eastAsia="Times" w:hAnsi="Arial"/>
              </w:rPr>
              <w:t xml:space="preserve"> that may be</w:t>
            </w:r>
            <w:r w:rsidRPr="002C0A8C">
              <w:rPr>
                <w:rFonts w:ascii="Arial" w:eastAsia="Times" w:hAnsi="Arial"/>
              </w:rPr>
              <w:t xml:space="preserve"> </w:t>
            </w:r>
            <w:r w:rsidR="008263C0">
              <w:rPr>
                <w:rFonts w:ascii="Arial" w:eastAsia="Times" w:hAnsi="Arial"/>
              </w:rPr>
              <w:t>required</w:t>
            </w:r>
            <w:r w:rsidRPr="002C0A8C">
              <w:rPr>
                <w:rFonts w:ascii="Arial" w:eastAsia="Times" w:hAnsi="Arial"/>
              </w:rPr>
              <w:t xml:space="preserve"> to provide </w:t>
            </w:r>
            <w:r w:rsidR="008263C0">
              <w:rPr>
                <w:rFonts w:ascii="Arial" w:eastAsia="Times" w:hAnsi="Arial"/>
              </w:rPr>
              <w:t>responsive services</w:t>
            </w:r>
            <w:r w:rsidRPr="002C0A8C">
              <w:rPr>
                <w:rFonts w:ascii="Arial" w:eastAsia="Times" w:hAnsi="Arial"/>
              </w:rPr>
              <w:t xml:space="preserve"> </w:t>
            </w:r>
          </w:p>
          <w:p w:rsidR="002C0A8C" w:rsidRPr="002C0A8C" w:rsidRDefault="002C0A8C" w:rsidP="002C0A8C">
            <w:pPr>
              <w:spacing w:after="240" w:line="270" w:lineRule="atLeast"/>
              <w:rPr>
                <w:rFonts w:ascii="Arial" w:eastAsia="Times" w:hAnsi="Arial"/>
              </w:rPr>
            </w:pPr>
            <w:r w:rsidRPr="002C0A8C">
              <w:rPr>
                <w:rFonts w:ascii="Arial" w:eastAsia="Times" w:hAnsi="Arial"/>
              </w:rPr>
              <w:t>Funding considers culture an integral part of service delivery</w:t>
            </w:r>
          </w:p>
          <w:p w:rsidR="002C0A8C" w:rsidRPr="002C0A8C" w:rsidRDefault="002C0A8C" w:rsidP="002C0A8C">
            <w:pPr>
              <w:spacing w:after="240" w:line="270" w:lineRule="atLeast"/>
              <w:rPr>
                <w:rFonts w:ascii="Arial" w:eastAsia="Times" w:hAnsi="Arial"/>
              </w:rPr>
            </w:pPr>
            <w:r w:rsidRPr="002C0A8C">
              <w:rPr>
                <w:rFonts w:ascii="Arial" w:eastAsia="Times" w:hAnsi="Arial"/>
              </w:rPr>
              <w:t>Funding is allocated to enable access to all parts of service for people with a disability, such as adjusting unit prices to allow for embedding of language services</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t>2.2</w:t>
            </w:r>
          </w:p>
        </w:tc>
        <w:tc>
          <w:tcPr>
            <w:tcW w:w="2268" w:type="dxa"/>
            <w:tcBorders>
              <w:left w:val="nil"/>
            </w:tcBorders>
            <w:shd w:val="clear" w:color="auto" w:fill="99B8DC"/>
          </w:tcPr>
          <w:p w:rsidR="002C0A8C" w:rsidRPr="002C0A8C" w:rsidRDefault="002C0A8C" w:rsidP="002C0A8C">
            <w:pPr>
              <w:pStyle w:val="DHHStablecolhead"/>
            </w:pPr>
            <w:r w:rsidRPr="002C0A8C">
              <w:t>Monitoring, review and evaluation systems (including data)</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t>Data collection processes have the capacity to identify demographic factors relating to diversity</w:t>
            </w:r>
          </w:p>
          <w:p w:rsidR="002C0A8C" w:rsidRPr="002C0A8C" w:rsidRDefault="002C0A8C" w:rsidP="002C0A8C">
            <w:pPr>
              <w:spacing w:after="240" w:line="270" w:lineRule="atLeast"/>
              <w:rPr>
                <w:rFonts w:ascii="Arial" w:eastAsia="Times" w:hAnsi="Arial"/>
              </w:rPr>
            </w:pPr>
            <w:r w:rsidRPr="002C0A8C">
              <w:rPr>
                <w:rFonts w:ascii="Arial" w:eastAsia="Times" w:hAnsi="Arial"/>
              </w:rPr>
              <w:t>Monitoring systems include accessible pathways for feedback about services</w:t>
            </w:r>
          </w:p>
          <w:p w:rsidR="002C0A8C" w:rsidRPr="002C0A8C" w:rsidRDefault="002C0A8C" w:rsidP="002C0A8C">
            <w:pPr>
              <w:spacing w:after="240" w:line="270" w:lineRule="atLeast"/>
              <w:rPr>
                <w:rFonts w:ascii="Arial" w:eastAsia="Times" w:hAnsi="Arial"/>
              </w:rPr>
            </w:pPr>
            <w:r w:rsidRPr="002C0A8C">
              <w:rPr>
                <w:rFonts w:ascii="Arial" w:eastAsia="Times" w:hAnsi="Arial"/>
              </w:rPr>
              <w:t>Reporting systems include specific reports about outcomes for diverse communities</w:t>
            </w:r>
          </w:p>
          <w:p w:rsidR="002C0A8C" w:rsidRPr="002C0A8C" w:rsidRDefault="002C0A8C" w:rsidP="002C0A8C">
            <w:pPr>
              <w:spacing w:after="240" w:line="270" w:lineRule="atLeast"/>
              <w:rPr>
                <w:rFonts w:ascii="Arial" w:eastAsia="Times" w:hAnsi="Arial"/>
              </w:rPr>
            </w:pPr>
            <w:r w:rsidRPr="002C0A8C">
              <w:rPr>
                <w:rFonts w:ascii="Arial" w:eastAsia="Times" w:hAnsi="Arial"/>
              </w:rPr>
              <w:t>Communities have access to data about themselves and are actively informed of this</w:t>
            </w:r>
          </w:p>
          <w:p w:rsidR="002C0A8C" w:rsidRPr="002C0A8C" w:rsidRDefault="002C0A8C" w:rsidP="002C0A8C">
            <w:pPr>
              <w:spacing w:after="240" w:line="270" w:lineRule="atLeast"/>
              <w:rPr>
                <w:rFonts w:ascii="Arial" w:eastAsia="Times" w:hAnsi="Arial"/>
              </w:rPr>
            </w:pPr>
            <w:r w:rsidRPr="002C0A8C">
              <w:rPr>
                <w:rFonts w:ascii="Arial" w:eastAsia="Times" w:hAnsi="Arial"/>
              </w:rPr>
              <w:t>Data is available in accessible formats</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Questions feeding into client databases use minimum data set including country of birth, language spoken, year of arrival, ATSI status, disability, </w:t>
            </w:r>
            <w:r w:rsidR="00BC1DAE" w:rsidRPr="002337AC">
              <w:rPr>
                <w:rFonts w:ascii="Arial" w:eastAsia="Times" w:hAnsi="Arial"/>
                <w:color w:val="000000" w:themeColor="text1"/>
              </w:rPr>
              <w:t xml:space="preserve">gender and sexual </w:t>
            </w:r>
            <w:r w:rsidR="006E27CC" w:rsidRPr="002337AC">
              <w:rPr>
                <w:rFonts w:ascii="Arial" w:eastAsia="Times" w:hAnsi="Arial"/>
                <w:color w:val="000000" w:themeColor="text1"/>
              </w:rPr>
              <w:t>identity</w:t>
            </w:r>
          </w:p>
          <w:p w:rsidR="002C0A8C" w:rsidRPr="002337AC" w:rsidRDefault="002C0A8C" w:rsidP="002C0A8C">
            <w:pPr>
              <w:spacing w:after="240" w:line="270" w:lineRule="atLeast"/>
              <w:rPr>
                <w:rFonts w:ascii="Arial" w:eastAsia="Times" w:hAnsi="Arial"/>
                <w:color w:val="000000" w:themeColor="text1"/>
              </w:rPr>
            </w:pPr>
            <w:r w:rsidRPr="002337AC">
              <w:rPr>
                <w:rFonts w:ascii="Arial" w:eastAsia="Times" w:hAnsi="Arial"/>
                <w:color w:val="000000" w:themeColor="text1"/>
              </w:rPr>
              <w:t xml:space="preserve">Reports include </w:t>
            </w:r>
            <w:r w:rsidR="00BC1DAE" w:rsidRPr="002337AC">
              <w:rPr>
                <w:rFonts w:ascii="Arial" w:eastAsia="Times" w:hAnsi="Arial"/>
                <w:color w:val="000000" w:themeColor="text1"/>
              </w:rPr>
              <w:t>gender-</w:t>
            </w:r>
            <w:r w:rsidRPr="002337AC">
              <w:rPr>
                <w:rFonts w:ascii="Arial" w:eastAsia="Times" w:hAnsi="Arial"/>
                <w:color w:val="000000" w:themeColor="text1"/>
              </w:rPr>
              <w:t>specific information on outcomes and evaluate reasons for any differences</w:t>
            </w:r>
          </w:p>
          <w:p w:rsidR="002C0A8C" w:rsidRPr="002C0A8C" w:rsidRDefault="002C0A8C" w:rsidP="002C0A8C">
            <w:pPr>
              <w:spacing w:after="240" w:line="270" w:lineRule="atLeast"/>
              <w:rPr>
                <w:rFonts w:ascii="Arial" w:eastAsia="Times" w:hAnsi="Arial"/>
              </w:rPr>
            </w:pPr>
            <w:r w:rsidRPr="002C0A8C">
              <w:rPr>
                <w:rFonts w:ascii="Arial" w:eastAsia="Times" w:hAnsi="Arial"/>
              </w:rPr>
              <w:t>A questionnaire is produced in multiple languages and accessible format</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Data and reports regarding child protection outcomes are regularly circulated to culturally and linguistically diverse community organisations </w:t>
            </w:r>
          </w:p>
          <w:p w:rsidR="002C0A8C" w:rsidRPr="002C0A8C" w:rsidRDefault="002C0A8C" w:rsidP="002C0A8C">
            <w:pPr>
              <w:spacing w:after="240" w:line="270" w:lineRule="atLeast"/>
              <w:rPr>
                <w:rFonts w:ascii="Arial" w:eastAsia="Times" w:hAnsi="Arial"/>
              </w:rPr>
            </w:pPr>
            <w:r w:rsidRPr="002C0A8C">
              <w:rPr>
                <w:rFonts w:ascii="Arial" w:eastAsia="Times" w:hAnsi="Arial"/>
              </w:rPr>
              <w:t>Aboriginal communities lead the design of evaluation questions and outcomes relevant to Aborigina</w:t>
            </w:r>
            <w:r w:rsidR="002337AC">
              <w:rPr>
                <w:rFonts w:ascii="Arial" w:eastAsia="Times" w:hAnsi="Arial"/>
              </w:rPr>
              <w:t>l health, wellbeing and safety</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t>2.3</w:t>
            </w:r>
          </w:p>
        </w:tc>
        <w:tc>
          <w:tcPr>
            <w:tcW w:w="2268" w:type="dxa"/>
            <w:tcBorders>
              <w:left w:val="nil"/>
            </w:tcBorders>
            <w:shd w:val="clear" w:color="auto" w:fill="99B8DC"/>
          </w:tcPr>
          <w:p w:rsidR="002C0A8C" w:rsidRPr="002C0A8C" w:rsidRDefault="002C0A8C" w:rsidP="002C0A8C">
            <w:pPr>
              <w:pStyle w:val="DHHStablecolhead"/>
            </w:pPr>
            <w:r w:rsidRPr="002C0A8C">
              <w:t xml:space="preserve">Safety, risk </w:t>
            </w:r>
            <w:r w:rsidRPr="002C0A8C">
              <w:lastRenderedPageBreak/>
              <w:t>management</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lastRenderedPageBreak/>
              <w:t xml:space="preserve">Policies and procedures account for different </w:t>
            </w:r>
            <w:r w:rsidRPr="002C0A8C">
              <w:rPr>
                <w:rFonts w:ascii="Arial" w:eastAsia="Times" w:hAnsi="Arial"/>
              </w:rPr>
              <w:lastRenderedPageBreak/>
              <w:t>risk factors for particular groups and individuals</w:t>
            </w:r>
          </w:p>
          <w:p w:rsidR="002C0A8C" w:rsidRPr="002C0A8C" w:rsidRDefault="002C0A8C" w:rsidP="002C0A8C">
            <w:pPr>
              <w:spacing w:after="240" w:line="270" w:lineRule="atLeast"/>
              <w:rPr>
                <w:rFonts w:ascii="Arial" w:eastAsia="Times" w:hAnsi="Arial"/>
              </w:rPr>
            </w:pPr>
            <w:r w:rsidRPr="002C0A8C">
              <w:rPr>
                <w:rFonts w:ascii="Arial" w:eastAsia="Times" w:hAnsi="Arial"/>
              </w:rPr>
              <w:t>Physical facilities mitigate risk factors experience by different population groups</w:t>
            </w:r>
          </w:p>
          <w:p w:rsidR="002C0A8C" w:rsidRPr="002C0A8C" w:rsidRDefault="002C0A8C" w:rsidP="002C0A8C">
            <w:pPr>
              <w:spacing w:after="240" w:line="270" w:lineRule="atLeast"/>
              <w:rPr>
                <w:rFonts w:ascii="Arial" w:eastAsia="Times" w:hAnsi="Arial"/>
              </w:rPr>
            </w:pPr>
            <w:r w:rsidRPr="002C0A8C">
              <w:rPr>
                <w:rFonts w:ascii="Arial" w:eastAsia="Times" w:hAnsi="Arial"/>
              </w:rPr>
              <w:t>All aspects of service design and delivery incorporate the notion of cultural safety</w:t>
            </w:r>
          </w:p>
          <w:p w:rsidR="002C0A8C" w:rsidRPr="002C0A8C" w:rsidRDefault="002C0A8C" w:rsidP="002C0A8C">
            <w:pPr>
              <w:spacing w:after="240" w:line="270" w:lineRule="atLeast"/>
              <w:rPr>
                <w:rFonts w:ascii="Arial" w:eastAsia="Times" w:hAnsi="Arial"/>
              </w:rPr>
            </w:pPr>
            <w:r w:rsidRPr="002C0A8C">
              <w:rPr>
                <w:rFonts w:ascii="Arial" w:eastAsia="Times" w:hAnsi="Arial"/>
              </w:rPr>
              <w:t>Training is implemented to improve workforce capacity to implement the above</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lastRenderedPageBreak/>
              <w:t xml:space="preserve">Communication with families of LGBTI clients avoids disclosing their identity without </w:t>
            </w:r>
            <w:r w:rsidRPr="002C0A8C">
              <w:rPr>
                <w:rFonts w:ascii="Arial" w:eastAsia="Times" w:hAnsi="Arial"/>
              </w:rPr>
              <w:lastRenderedPageBreak/>
              <w:t>their consent</w:t>
            </w:r>
          </w:p>
          <w:p w:rsidR="002C0A8C" w:rsidRPr="002C0A8C" w:rsidRDefault="002C0A8C" w:rsidP="002C0A8C">
            <w:pPr>
              <w:spacing w:after="240" w:line="270" w:lineRule="atLeast"/>
              <w:rPr>
                <w:rFonts w:ascii="Arial" w:eastAsia="Times" w:hAnsi="Arial"/>
              </w:rPr>
            </w:pPr>
            <w:r w:rsidRPr="002C0A8C">
              <w:rPr>
                <w:rFonts w:ascii="Arial" w:eastAsia="Times" w:hAnsi="Arial"/>
              </w:rPr>
              <w:t>Evacuation procedures for people with a disability are clearly planned and communicated to all staff and affected clients</w:t>
            </w:r>
          </w:p>
          <w:p w:rsidR="002C0A8C" w:rsidRPr="002C0A8C" w:rsidRDefault="002C0A8C" w:rsidP="002C0A8C">
            <w:pPr>
              <w:spacing w:after="240" w:line="270" w:lineRule="atLeast"/>
              <w:rPr>
                <w:rFonts w:ascii="Arial" w:eastAsia="Times" w:hAnsi="Arial"/>
              </w:rPr>
            </w:pPr>
            <w:r w:rsidRPr="002C0A8C">
              <w:rPr>
                <w:rFonts w:ascii="Arial" w:eastAsia="Times" w:hAnsi="Arial"/>
              </w:rPr>
              <w:t>All discussions and documents refer to a person by their preferred identity and any related descriptors – for example, calling someone Aboriginal rather than indigenous according to their preference</w:t>
            </w:r>
          </w:p>
          <w:p w:rsidR="002C0A8C" w:rsidRPr="002C0A8C" w:rsidRDefault="002C0A8C" w:rsidP="002C0A8C">
            <w:pPr>
              <w:spacing w:after="240" w:line="270" w:lineRule="atLeast"/>
              <w:rPr>
                <w:rFonts w:ascii="Arial" w:eastAsia="Times" w:hAnsi="Arial"/>
              </w:rPr>
            </w:pPr>
            <w:r w:rsidRPr="002C0A8C">
              <w:rPr>
                <w:rFonts w:ascii="Arial" w:eastAsia="Times" w:hAnsi="Arial"/>
              </w:rPr>
              <w:t>Research about Aboriginal health adheres to National Medical Research Council ethics guidelines for Aboriginal and Torres Strait Islander peoples</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lastRenderedPageBreak/>
              <w:t>2.4</w:t>
            </w:r>
          </w:p>
        </w:tc>
        <w:tc>
          <w:tcPr>
            <w:tcW w:w="2268" w:type="dxa"/>
            <w:tcBorders>
              <w:left w:val="nil"/>
            </w:tcBorders>
            <w:shd w:val="clear" w:color="auto" w:fill="99B8DC"/>
          </w:tcPr>
          <w:p w:rsidR="002C0A8C" w:rsidRPr="002C0A8C" w:rsidRDefault="002C0A8C" w:rsidP="002C0A8C">
            <w:pPr>
              <w:pStyle w:val="DHHStablecolhead"/>
            </w:pPr>
            <w:r w:rsidRPr="002C0A8C">
              <w:t xml:space="preserve">Consumer participation </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t>People have input into decisions about their care or services</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A formal system exists for identifying client preferences </w:t>
            </w:r>
          </w:p>
          <w:p w:rsidR="002C0A8C" w:rsidRPr="002C0A8C" w:rsidRDefault="002C0A8C" w:rsidP="002C0A8C">
            <w:pPr>
              <w:spacing w:after="240" w:line="270" w:lineRule="atLeast"/>
              <w:rPr>
                <w:rFonts w:ascii="Arial" w:eastAsia="Times" w:hAnsi="Arial"/>
              </w:rPr>
            </w:pPr>
            <w:r w:rsidRPr="002C0A8C">
              <w:rPr>
                <w:rFonts w:ascii="Arial" w:eastAsia="Times" w:hAnsi="Arial"/>
              </w:rPr>
              <w:t>People are given options for treatment or services in line with their preferences</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t>A client with limited English is provided interpreting services to fully understand their options</w:t>
            </w:r>
          </w:p>
          <w:p w:rsidR="002C0A8C" w:rsidRPr="002C0A8C" w:rsidRDefault="002C0A8C" w:rsidP="002C0A8C">
            <w:pPr>
              <w:spacing w:after="240" w:line="270" w:lineRule="atLeast"/>
              <w:rPr>
                <w:rFonts w:ascii="Arial" w:eastAsia="Times" w:hAnsi="Arial"/>
              </w:rPr>
            </w:pPr>
            <w:r w:rsidRPr="002C0A8C">
              <w:rPr>
                <w:rFonts w:ascii="Arial" w:eastAsia="Times" w:hAnsi="Arial"/>
              </w:rPr>
              <w:t>A transgender person is referred to a case manager; a clear record exists of their preferences, e.g. pronouns, and desired outcomes as a client</w:t>
            </w:r>
          </w:p>
          <w:p w:rsidR="002C0A8C" w:rsidRPr="002C0A8C" w:rsidRDefault="002C0A8C" w:rsidP="002C0A8C">
            <w:pPr>
              <w:spacing w:after="240" w:line="270" w:lineRule="atLeast"/>
              <w:rPr>
                <w:rFonts w:ascii="Arial" w:eastAsia="Times" w:hAnsi="Arial"/>
              </w:rPr>
            </w:pPr>
            <w:r w:rsidRPr="002C0A8C">
              <w:rPr>
                <w:rFonts w:ascii="Arial" w:eastAsia="Times" w:hAnsi="Arial"/>
              </w:rPr>
              <w:t>A Maori person is given service options incorporating their cultural beliefs and practices; the organisation has a pathway to contact or provide referrals to Aboriginal community organisations if this is desired</w:t>
            </w:r>
          </w:p>
          <w:p w:rsidR="002C0A8C" w:rsidRPr="002C0A8C" w:rsidRDefault="002C0A8C" w:rsidP="002C0A8C">
            <w:pPr>
              <w:spacing w:after="240" w:line="270" w:lineRule="atLeast"/>
              <w:rPr>
                <w:rFonts w:ascii="Arial" w:eastAsia="Times" w:hAnsi="Arial"/>
              </w:rPr>
            </w:pPr>
            <w:r w:rsidRPr="002C0A8C">
              <w:rPr>
                <w:rFonts w:ascii="Arial" w:eastAsia="Times" w:hAnsi="Arial"/>
              </w:rPr>
              <w:t>Clients are asked if they have a preference for the gender of their case manager</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t>2.5</w:t>
            </w:r>
          </w:p>
        </w:tc>
        <w:tc>
          <w:tcPr>
            <w:tcW w:w="2268" w:type="dxa"/>
            <w:tcBorders>
              <w:left w:val="nil"/>
            </w:tcBorders>
            <w:shd w:val="clear" w:color="auto" w:fill="99B8DC"/>
          </w:tcPr>
          <w:p w:rsidR="002C0A8C" w:rsidRPr="002C0A8C" w:rsidRDefault="002C0A8C" w:rsidP="002C0A8C">
            <w:pPr>
              <w:pStyle w:val="DHHStablecolhead"/>
            </w:pPr>
            <w:r w:rsidRPr="002C0A8C">
              <w:t>Governance structures</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t>Membership of ongoing governing and advisory bodies is reflective of community members and community needs</w:t>
            </w:r>
          </w:p>
          <w:p w:rsidR="002C0A8C" w:rsidRPr="002C0A8C" w:rsidRDefault="002C0A8C" w:rsidP="002C0A8C">
            <w:pPr>
              <w:spacing w:after="240" w:line="270" w:lineRule="atLeast"/>
              <w:rPr>
                <w:rFonts w:ascii="Arial" w:eastAsia="Times" w:hAnsi="Arial"/>
              </w:rPr>
            </w:pPr>
            <w:r w:rsidRPr="002C0A8C">
              <w:rPr>
                <w:rFonts w:ascii="Arial" w:eastAsia="Times" w:hAnsi="Arial"/>
              </w:rPr>
              <w:t>Support structures exist to counter potential barriers to participation for particular groups or individuals</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Governance structures and meetings are </w:t>
            </w:r>
            <w:r w:rsidRPr="002C0A8C">
              <w:rPr>
                <w:rFonts w:ascii="Arial" w:eastAsia="Times" w:hAnsi="Arial"/>
              </w:rPr>
              <w:lastRenderedPageBreak/>
              <w:t>responsive to issues of cultural safety</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lastRenderedPageBreak/>
              <w:t>Community organisations for diverse cultural groups are contacted to seek representatives for governing board</w:t>
            </w:r>
            <w:r w:rsidRPr="002C0A8C">
              <w:rPr>
                <w:rFonts w:ascii="Arial" w:eastAsia="Times" w:hAnsi="Arial"/>
                <w:b/>
              </w:rPr>
              <w:t xml:space="preserve"> </w:t>
            </w:r>
            <w:r w:rsidRPr="002C0A8C">
              <w:rPr>
                <w:rFonts w:ascii="Arial" w:eastAsia="Times" w:hAnsi="Arial"/>
              </w:rPr>
              <w:t>of the reform of an aged care service</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Interpreter is available to allow a hearing-impaired person to participate in governance meetings </w:t>
            </w:r>
          </w:p>
          <w:p w:rsidR="002C0A8C" w:rsidRPr="002C0A8C" w:rsidRDefault="002C0A8C" w:rsidP="002C0A8C">
            <w:pPr>
              <w:spacing w:after="240" w:line="270" w:lineRule="atLeast"/>
              <w:rPr>
                <w:rFonts w:ascii="Arial" w:eastAsia="Times" w:hAnsi="Arial"/>
              </w:rPr>
            </w:pPr>
            <w:r w:rsidRPr="002C0A8C">
              <w:rPr>
                <w:rFonts w:ascii="Arial" w:eastAsia="Times" w:hAnsi="Arial"/>
              </w:rPr>
              <w:t>Governance body has at least 50% female membership</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Clear guidelines exist for discussions in governance meetings including referring to </w:t>
            </w:r>
            <w:r w:rsidRPr="002C0A8C">
              <w:rPr>
                <w:rFonts w:ascii="Arial" w:eastAsia="Times" w:hAnsi="Arial"/>
              </w:rPr>
              <w:lastRenderedPageBreak/>
              <w:t>people using their preferred descriptors and pronouns.</w:t>
            </w:r>
          </w:p>
          <w:p w:rsidR="002C0A8C" w:rsidRPr="002C0A8C" w:rsidRDefault="002C0A8C" w:rsidP="002C0A8C">
            <w:pPr>
              <w:spacing w:after="240" w:line="270" w:lineRule="atLeast"/>
              <w:rPr>
                <w:rFonts w:ascii="Arial" w:eastAsia="Times" w:hAnsi="Arial"/>
              </w:rPr>
            </w:pPr>
            <w:r w:rsidRPr="002C0A8C">
              <w:rPr>
                <w:rFonts w:ascii="Arial" w:eastAsia="Times" w:hAnsi="Arial"/>
              </w:rPr>
              <w:t>All governance meetings include an Acknowledgement of Country at the outset</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lastRenderedPageBreak/>
              <w:t>2.6</w:t>
            </w:r>
          </w:p>
        </w:tc>
        <w:tc>
          <w:tcPr>
            <w:tcW w:w="2268" w:type="dxa"/>
            <w:tcBorders>
              <w:left w:val="nil"/>
            </w:tcBorders>
            <w:shd w:val="clear" w:color="auto" w:fill="99B8DC"/>
          </w:tcPr>
          <w:p w:rsidR="002C0A8C" w:rsidRPr="002C0A8C" w:rsidRDefault="002C0A8C" w:rsidP="002C0A8C">
            <w:pPr>
              <w:pStyle w:val="DHHStablecolhead"/>
            </w:pPr>
            <w:r w:rsidRPr="002C0A8C">
              <w:t>Service elements:</w:t>
            </w:r>
          </w:p>
          <w:p w:rsidR="002C0A8C" w:rsidRPr="002C0A8C" w:rsidRDefault="002C0A8C" w:rsidP="002C0A8C">
            <w:pPr>
              <w:pStyle w:val="DHHStablecolhead"/>
            </w:pPr>
            <w:r w:rsidRPr="002C0A8C">
              <w:t>Intake and assessment</w:t>
            </w:r>
          </w:p>
          <w:p w:rsidR="002C0A8C" w:rsidRPr="002C0A8C" w:rsidRDefault="002C0A8C" w:rsidP="002C0A8C">
            <w:pPr>
              <w:pStyle w:val="DHHStablecolhead"/>
            </w:pPr>
            <w:r w:rsidRPr="002C0A8C">
              <w:t>Case management</w:t>
            </w:r>
          </w:p>
          <w:p w:rsidR="002C0A8C" w:rsidRPr="002C0A8C" w:rsidRDefault="002C0A8C" w:rsidP="002C0A8C">
            <w:pPr>
              <w:pStyle w:val="DHHStablecolhead"/>
            </w:pPr>
            <w:r w:rsidRPr="002C0A8C">
              <w:t>Referrals</w:t>
            </w:r>
          </w:p>
          <w:p w:rsidR="002C0A8C" w:rsidRPr="002C0A8C" w:rsidRDefault="002C0A8C" w:rsidP="002C0A8C">
            <w:pPr>
              <w:pStyle w:val="DHHStablecolhead"/>
            </w:pPr>
            <w:r w:rsidRPr="002C0A8C">
              <w:t>Peer support</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t>All aspects of case management consider clients as individuals rather than being ‘typical’ of a particular population group</w:t>
            </w:r>
          </w:p>
          <w:p w:rsidR="002C0A8C" w:rsidRPr="002C0A8C" w:rsidRDefault="002C0A8C" w:rsidP="002C0A8C">
            <w:pPr>
              <w:spacing w:after="240" w:line="270" w:lineRule="atLeast"/>
              <w:rPr>
                <w:rFonts w:ascii="Arial" w:eastAsia="Times" w:hAnsi="Arial"/>
              </w:rPr>
            </w:pPr>
            <w:r w:rsidRPr="002C0A8C">
              <w:rPr>
                <w:rFonts w:ascii="Arial" w:eastAsia="Times" w:hAnsi="Arial"/>
              </w:rPr>
              <w:t>Client preferences are considered at all points of service delivery</w:t>
            </w:r>
          </w:p>
          <w:p w:rsidR="002C0A8C" w:rsidRPr="002C0A8C" w:rsidRDefault="002C0A8C" w:rsidP="002C0A8C">
            <w:pPr>
              <w:spacing w:after="240" w:line="270" w:lineRule="atLeast"/>
              <w:rPr>
                <w:rFonts w:ascii="Arial" w:eastAsia="Times" w:hAnsi="Arial"/>
              </w:rPr>
            </w:pPr>
            <w:r w:rsidRPr="002C0A8C">
              <w:rPr>
                <w:rFonts w:ascii="Arial" w:eastAsia="Times" w:hAnsi="Arial"/>
              </w:rPr>
              <w:t>Clear guidelines exist for practices regarding differences between various communities</w:t>
            </w:r>
          </w:p>
        </w:tc>
        <w:tc>
          <w:tcPr>
            <w:tcW w:w="7873" w:type="dxa"/>
            <w:tcBorders>
              <w:right w:val="nil"/>
            </w:tcBorders>
          </w:tcPr>
          <w:p w:rsidR="002C0A8C" w:rsidRPr="002337AC" w:rsidRDefault="001E27D3" w:rsidP="002C0A8C">
            <w:pPr>
              <w:spacing w:after="240" w:line="270" w:lineRule="atLeast"/>
              <w:rPr>
                <w:rFonts w:ascii="Arial" w:eastAsia="Times" w:hAnsi="Arial"/>
                <w:color w:val="000000" w:themeColor="text1"/>
              </w:rPr>
            </w:pPr>
            <w:r w:rsidRPr="002337AC">
              <w:rPr>
                <w:rFonts w:ascii="Arial" w:eastAsia="Times" w:hAnsi="Arial"/>
                <w:color w:val="000000" w:themeColor="text1"/>
              </w:rPr>
              <w:t xml:space="preserve">A </w:t>
            </w:r>
            <w:r w:rsidR="002C0A8C" w:rsidRPr="002337AC">
              <w:rPr>
                <w:rFonts w:ascii="Arial" w:eastAsia="Times" w:hAnsi="Arial"/>
                <w:color w:val="000000" w:themeColor="text1"/>
              </w:rPr>
              <w:t xml:space="preserve">Muslim </w:t>
            </w:r>
            <w:r w:rsidRPr="002337AC">
              <w:rPr>
                <w:rFonts w:ascii="Arial" w:eastAsia="Times" w:hAnsi="Arial"/>
                <w:color w:val="000000" w:themeColor="text1"/>
              </w:rPr>
              <w:t>person who identifies as being from an LGBTI community</w:t>
            </w:r>
            <w:r w:rsidR="002C0A8C" w:rsidRPr="002337AC">
              <w:rPr>
                <w:rFonts w:ascii="Arial" w:eastAsia="Times" w:hAnsi="Arial"/>
                <w:color w:val="000000" w:themeColor="text1"/>
              </w:rPr>
              <w:t xml:space="preserve"> is given the option of referral to a different support network</w:t>
            </w:r>
            <w:r w:rsidR="006E27CC" w:rsidRPr="002337AC">
              <w:rPr>
                <w:rFonts w:ascii="Arial" w:eastAsia="Times" w:hAnsi="Arial"/>
                <w:color w:val="000000" w:themeColor="text1"/>
              </w:rPr>
              <w:t>,</w:t>
            </w:r>
            <w:r w:rsidR="002C0A8C" w:rsidRPr="002337AC">
              <w:rPr>
                <w:rFonts w:ascii="Arial" w:eastAsia="Times" w:hAnsi="Arial"/>
                <w:color w:val="000000" w:themeColor="text1"/>
              </w:rPr>
              <w:t xml:space="preserve"> rather than a community faith leader who may not be supportive of their identity</w:t>
            </w:r>
          </w:p>
          <w:p w:rsidR="002C0A8C" w:rsidRPr="002C0A8C" w:rsidRDefault="002C0A8C" w:rsidP="002C0A8C">
            <w:pPr>
              <w:spacing w:after="240" w:line="270" w:lineRule="atLeast"/>
              <w:rPr>
                <w:rFonts w:ascii="Arial" w:eastAsia="Times" w:hAnsi="Arial"/>
              </w:rPr>
            </w:pPr>
            <w:r w:rsidRPr="002C0A8C">
              <w:rPr>
                <w:rFonts w:ascii="Arial" w:eastAsia="Times" w:hAnsi="Arial"/>
              </w:rPr>
              <w:t>An Aboriginal client is given the option of being referred to an ACCHO</w:t>
            </w:r>
          </w:p>
          <w:p w:rsidR="002C0A8C" w:rsidRPr="002C0A8C" w:rsidRDefault="002C0A8C" w:rsidP="002C0A8C">
            <w:pPr>
              <w:spacing w:after="240" w:line="270" w:lineRule="atLeast"/>
              <w:rPr>
                <w:rFonts w:ascii="Arial" w:eastAsia="Times" w:hAnsi="Arial"/>
              </w:rPr>
            </w:pPr>
            <w:r w:rsidRPr="002C0A8C">
              <w:rPr>
                <w:rFonts w:ascii="Arial" w:eastAsia="Times" w:hAnsi="Arial"/>
              </w:rPr>
              <w:t>All staff of a sexual health service are aware of how to respectfully discuss issues relating to sexual preference with people identifying as men who have sex with men</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t>2.7</w:t>
            </w:r>
          </w:p>
        </w:tc>
        <w:tc>
          <w:tcPr>
            <w:tcW w:w="2268" w:type="dxa"/>
            <w:tcBorders>
              <w:left w:val="nil"/>
            </w:tcBorders>
            <w:shd w:val="clear" w:color="auto" w:fill="99B8DC"/>
          </w:tcPr>
          <w:p w:rsidR="002C0A8C" w:rsidRPr="002C0A8C" w:rsidRDefault="002C0A8C" w:rsidP="002C0A8C">
            <w:pPr>
              <w:pStyle w:val="DHHStablecolhead"/>
            </w:pPr>
            <w:r w:rsidRPr="002C0A8C">
              <w:t xml:space="preserve">Workforce recruitment and development </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t>Recruitment processes aim for a workforce representing the diversity of the community</w:t>
            </w:r>
          </w:p>
          <w:p w:rsidR="002C0A8C" w:rsidRPr="002C0A8C" w:rsidRDefault="002C0A8C" w:rsidP="002C0A8C">
            <w:pPr>
              <w:spacing w:after="240" w:line="270" w:lineRule="atLeast"/>
              <w:rPr>
                <w:rFonts w:ascii="Arial" w:eastAsia="Times" w:hAnsi="Arial"/>
              </w:rPr>
            </w:pPr>
            <w:r w:rsidRPr="002C0A8C">
              <w:rPr>
                <w:rFonts w:ascii="Arial" w:eastAsia="Times" w:hAnsi="Arial"/>
              </w:rPr>
              <w:t>Training is provided for staff on competence in relevant areas</w:t>
            </w:r>
          </w:p>
          <w:p w:rsidR="002C0A8C" w:rsidRPr="002C0A8C" w:rsidRDefault="002C0A8C" w:rsidP="002C0A8C">
            <w:pPr>
              <w:spacing w:after="240" w:line="270" w:lineRule="atLeast"/>
              <w:rPr>
                <w:rFonts w:ascii="Arial" w:eastAsia="Times" w:hAnsi="Arial"/>
              </w:rPr>
            </w:pPr>
            <w:r w:rsidRPr="002C0A8C">
              <w:rPr>
                <w:rFonts w:ascii="Arial" w:eastAsia="Times" w:hAnsi="Arial"/>
              </w:rPr>
              <w:t>Diversity competence is a part of staff performance requirements</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t>Adherence to best practice and continuous improvement to practice is a system priority diversity accreditations such as the Rainbow Tick</w:t>
            </w:r>
          </w:p>
          <w:p w:rsidR="002C0A8C" w:rsidRPr="002C0A8C" w:rsidRDefault="002C0A8C" w:rsidP="002C0A8C">
            <w:pPr>
              <w:spacing w:after="240" w:line="270" w:lineRule="atLeast"/>
              <w:rPr>
                <w:rFonts w:ascii="Arial" w:eastAsia="Times" w:hAnsi="Arial"/>
              </w:rPr>
            </w:pPr>
            <w:r w:rsidRPr="002C0A8C">
              <w:rPr>
                <w:rFonts w:ascii="Arial" w:eastAsia="Times" w:hAnsi="Arial"/>
              </w:rPr>
              <w:t>Hiring processes are accessible, advertised through community organisations and culturally appropriate</w:t>
            </w:r>
          </w:p>
          <w:p w:rsidR="002C0A8C" w:rsidRPr="002C0A8C" w:rsidRDefault="002C0A8C" w:rsidP="002C0A8C">
            <w:pPr>
              <w:spacing w:after="240" w:line="270" w:lineRule="atLeast"/>
              <w:rPr>
                <w:rFonts w:ascii="Arial" w:eastAsia="Times" w:hAnsi="Arial"/>
              </w:rPr>
            </w:pPr>
            <w:r w:rsidRPr="002C0A8C">
              <w:rPr>
                <w:rFonts w:ascii="Arial" w:eastAsia="Times" w:hAnsi="Arial"/>
              </w:rPr>
              <w:t>Flexible workforce arrangements are in place to avoid discriminating against people with caring responsibilities.</w:t>
            </w:r>
          </w:p>
          <w:p w:rsidR="002C0A8C" w:rsidRPr="002C0A8C" w:rsidRDefault="002C0A8C" w:rsidP="002C0A8C">
            <w:pPr>
              <w:spacing w:after="240" w:line="270" w:lineRule="atLeast"/>
              <w:rPr>
                <w:rFonts w:ascii="Arial" w:eastAsia="Times" w:hAnsi="Arial"/>
              </w:rPr>
            </w:pPr>
            <w:r w:rsidRPr="002C0A8C">
              <w:rPr>
                <w:rFonts w:ascii="Arial" w:eastAsia="Times" w:hAnsi="Arial"/>
              </w:rPr>
              <w:t>Aboriginal cultural awareness training is available to all  staff</w:t>
            </w:r>
          </w:p>
          <w:p w:rsidR="002C0A8C" w:rsidRPr="002C0A8C" w:rsidRDefault="002C0A8C" w:rsidP="002C0A8C">
            <w:pPr>
              <w:spacing w:after="240" w:line="270" w:lineRule="atLeast"/>
              <w:rPr>
                <w:rFonts w:ascii="Arial" w:eastAsia="Times" w:hAnsi="Arial"/>
              </w:rPr>
            </w:pPr>
            <w:r w:rsidRPr="002C0A8C">
              <w:rPr>
                <w:rFonts w:ascii="Arial" w:eastAsia="Times" w:hAnsi="Arial"/>
              </w:rPr>
              <w:t>Procedures exist to eliminate bias in recruiting, e.g. removing names from job applications. Policies ensure an equal gender represent</w:t>
            </w:r>
            <w:r w:rsidR="003C46E0">
              <w:rPr>
                <w:rFonts w:ascii="Arial" w:eastAsia="Times" w:hAnsi="Arial"/>
              </w:rPr>
              <w:t>ation in the workforce</w:t>
            </w:r>
          </w:p>
          <w:p w:rsidR="002C0A8C" w:rsidRPr="002C0A8C" w:rsidRDefault="002C0A8C" w:rsidP="001E27D3">
            <w:pPr>
              <w:spacing w:after="240" w:line="270" w:lineRule="atLeast"/>
              <w:rPr>
                <w:rFonts w:ascii="Arial" w:eastAsia="Times" w:hAnsi="Arial"/>
              </w:rPr>
            </w:pPr>
            <w:r w:rsidRPr="002C0A8C">
              <w:rPr>
                <w:rFonts w:ascii="Arial" w:eastAsia="Times" w:hAnsi="Arial"/>
              </w:rPr>
              <w:t>Staff receive</w:t>
            </w:r>
            <w:r w:rsidR="001E27D3">
              <w:rPr>
                <w:rFonts w:ascii="Arial" w:eastAsia="Times" w:hAnsi="Arial"/>
              </w:rPr>
              <w:t xml:space="preserve"> training on how to communicate </w:t>
            </w:r>
            <w:r w:rsidRPr="002C0A8C">
              <w:rPr>
                <w:rFonts w:ascii="Arial" w:eastAsia="Times" w:hAnsi="Arial"/>
              </w:rPr>
              <w:t xml:space="preserve">effectively </w:t>
            </w:r>
            <w:r w:rsidR="001E27D3" w:rsidRPr="002337AC">
              <w:rPr>
                <w:rFonts w:ascii="Arial" w:eastAsia="Times" w:hAnsi="Arial"/>
                <w:color w:val="000000" w:themeColor="text1"/>
              </w:rPr>
              <w:t>with</w:t>
            </w:r>
            <w:r w:rsidRPr="001E27D3">
              <w:rPr>
                <w:rFonts w:ascii="Arial" w:eastAsia="Times" w:hAnsi="Arial"/>
                <w:color w:val="FF0000"/>
              </w:rPr>
              <w:t xml:space="preserve"> </w:t>
            </w:r>
            <w:r w:rsidRPr="002C0A8C">
              <w:rPr>
                <w:rFonts w:ascii="Arial" w:eastAsia="Times" w:hAnsi="Arial"/>
              </w:rPr>
              <w:t>all people, including those with limited English, an intellectual disability or people with complex communication needs.</w:t>
            </w:r>
          </w:p>
        </w:tc>
      </w:tr>
      <w:tr w:rsidR="002C0A8C" w:rsidRPr="002C0A8C" w:rsidTr="00F9001F">
        <w:tc>
          <w:tcPr>
            <w:tcW w:w="567" w:type="dxa"/>
            <w:tcBorders>
              <w:left w:val="nil"/>
            </w:tcBorders>
            <w:shd w:val="clear" w:color="auto" w:fill="99B8DC"/>
          </w:tcPr>
          <w:p w:rsidR="002C0A8C" w:rsidRPr="002C0A8C" w:rsidRDefault="002C0A8C" w:rsidP="002C0A8C">
            <w:pPr>
              <w:pStyle w:val="DHHStablecolhead"/>
            </w:pPr>
            <w:r w:rsidRPr="002C0A8C">
              <w:t>2.8</w:t>
            </w:r>
          </w:p>
        </w:tc>
        <w:tc>
          <w:tcPr>
            <w:tcW w:w="2268" w:type="dxa"/>
            <w:tcBorders>
              <w:left w:val="nil"/>
            </w:tcBorders>
            <w:shd w:val="clear" w:color="auto" w:fill="99B8DC"/>
          </w:tcPr>
          <w:p w:rsidR="002C0A8C" w:rsidRPr="002C0A8C" w:rsidRDefault="002C0A8C" w:rsidP="002C0A8C">
            <w:pPr>
              <w:pStyle w:val="DHHStablecolhead"/>
            </w:pPr>
            <w:r w:rsidRPr="002C0A8C">
              <w:t xml:space="preserve">Infrastructure – including physical </w:t>
            </w:r>
            <w:r w:rsidRPr="002C0A8C">
              <w:lastRenderedPageBreak/>
              <w:t>facilities &amp; IT</w:t>
            </w:r>
          </w:p>
        </w:tc>
        <w:tc>
          <w:tcPr>
            <w:tcW w:w="4536" w:type="dxa"/>
          </w:tcPr>
          <w:p w:rsidR="002C0A8C" w:rsidRPr="002C0A8C" w:rsidRDefault="002C0A8C" w:rsidP="002C0A8C">
            <w:pPr>
              <w:spacing w:after="240" w:line="270" w:lineRule="atLeast"/>
              <w:rPr>
                <w:rFonts w:ascii="Arial" w:eastAsia="Times" w:hAnsi="Arial"/>
              </w:rPr>
            </w:pPr>
            <w:r w:rsidRPr="002C0A8C">
              <w:rPr>
                <w:rFonts w:ascii="Arial" w:eastAsia="Times" w:hAnsi="Arial"/>
              </w:rPr>
              <w:lastRenderedPageBreak/>
              <w:t xml:space="preserve">Facilities are universally accessible </w:t>
            </w:r>
          </w:p>
          <w:p w:rsidR="002C0A8C" w:rsidRPr="002C0A8C" w:rsidRDefault="002C0A8C" w:rsidP="002C0A8C">
            <w:pPr>
              <w:spacing w:after="240" w:line="270" w:lineRule="atLeast"/>
              <w:rPr>
                <w:rFonts w:ascii="Arial" w:eastAsia="Times" w:hAnsi="Arial"/>
              </w:rPr>
            </w:pPr>
            <w:r w:rsidRPr="002C0A8C">
              <w:rPr>
                <w:rFonts w:ascii="Arial" w:eastAsia="Times" w:hAnsi="Arial"/>
              </w:rPr>
              <w:lastRenderedPageBreak/>
              <w:t>Facilities demonstrate awareness and acceptance of diverse client groups</w:t>
            </w:r>
          </w:p>
          <w:p w:rsidR="002C0A8C" w:rsidRPr="002C0A8C" w:rsidRDefault="002C0A8C" w:rsidP="002C0A8C">
            <w:pPr>
              <w:spacing w:after="240" w:line="270" w:lineRule="atLeast"/>
              <w:rPr>
                <w:rFonts w:ascii="Arial" w:eastAsia="Times" w:hAnsi="Arial"/>
              </w:rPr>
            </w:pPr>
            <w:r w:rsidRPr="002C0A8C">
              <w:rPr>
                <w:rFonts w:ascii="Arial" w:eastAsia="Times" w:hAnsi="Arial"/>
              </w:rPr>
              <w:t>Services operate on the principle of place-based care</w:t>
            </w:r>
          </w:p>
        </w:tc>
        <w:tc>
          <w:tcPr>
            <w:tcW w:w="7873" w:type="dxa"/>
            <w:tcBorders>
              <w:right w:val="nil"/>
            </w:tcBorders>
          </w:tcPr>
          <w:p w:rsidR="002C0A8C" w:rsidRPr="002C0A8C" w:rsidRDefault="002C0A8C" w:rsidP="002C0A8C">
            <w:pPr>
              <w:spacing w:after="240" w:line="270" w:lineRule="atLeast"/>
              <w:rPr>
                <w:rFonts w:ascii="Arial" w:eastAsia="Times" w:hAnsi="Arial"/>
              </w:rPr>
            </w:pPr>
            <w:r w:rsidRPr="002C0A8C">
              <w:rPr>
                <w:rFonts w:ascii="Arial" w:eastAsia="Times" w:hAnsi="Arial"/>
              </w:rPr>
              <w:lastRenderedPageBreak/>
              <w:t xml:space="preserve">Electronic resources are available in accessible formats for people with a vision </w:t>
            </w:r>
            <w:r w:rsidRPr="002C0A8C">
              <w:rPr>
                <w:rFonts w:ascii="Arial" w:eastAsia="Times" w:hAnsi="Arial"/>
              </w:rPr>
              <w:lastRenderedPageBreak/>
              <w:t>impairment</w:t>
            </w:r>
          </w:p>
          <w:p w:rsidR="002C0A8C" w:rsidRPr="002C0A8C" w:rsidRDefault="002C0A8C" w:rsidP="002C0A8C">
            <w:pPr>
              <w:spacing w:after="240" w:line="270" w:lineRule="atLeast"/>
              <w:rPr>
                <w:rFonts w:ascii="Arial" w:eastAsia="Times" w:hAnsi="Arial"/>
              </w:rPr>
            </w:pPr>
            <w:r w:rsidRPr="002C0A8C">
              <w:rPr>
                <w:rFonts w:ascii="Arial" w:eastAsia="Times" w:hAnsi="Arial"/>
              </w:rPr>
              <w:t>Aboriginal artwork is displayed in an organisation with servicing Aboriginal client groups</w:t>
            </w:r>
          </w:p>
          <w:p w:rsidR="002C0A8C" w:rsidRPr="002C0A8C" w:rsidRDefault="002C0A8C" w:rsidP="002C0A8C">
            <w:pPr>
              <w:spacing w:after="240" w:line="270" w:lineRule="atLeast"/>
              <w:rPr>
                <w:rFonts w:ascii="Arial" w:eastAsia="Times" w:hAnsi="Arial"/>
              </w:rPr>
            </w:pPr>
            <w:r w:rsidRPr="002C0A8C">
              <w:rPr>
                <w:rFonts w:ascii="Arial" w:eastAsia="Times" w:hAnsi="Arial"/>
              </w:rPr>
              <w:t>Rainbow stickers are visible to indicate an organisation is LGBTI-inclusive</w:t>
            </w:r>
          </w:p>
          <w:p w:rsidR="002C0A8C" w:rsidRPr="002C0A8C" w:rsidRDefault="002C0A8C" w:rsidP="002C0A8C">
            <w:pPr>
              <w:spacing w:after="240" w:line="270" w:lineRule="atLeast"/>
              <w:rPr>
                <w:rFonts w:ascii="Arial" w:eastAsia="Times" w:hAnsi="Arial"/>
              </w:rPr>
            </w:pPr>
            <w:r w:rsidRPr="002C0A8C">
              <w:rPr>
                <w:rFonts w:ascii="Arial" w:eastAsia="Times" w:hAnsi="Arial"/>
              </w:rPr>
              <w:t xml:space="preserve">A service with a high proportion of refugee clients located centrally opens an outpost in the Dandenong area, where many people from a refugee background </w:t>
            </w:r>
            <w:r w:rsidR="003C46E0">
              <w:rPr>
                <w:rFonts w:ascii="Arial" w:eastAsia="Times" w:hAnsi="Arial"/>
              </w:rPr>
              <w:t>reside</w:t>
            </w:r>
            <w:bookmarkStart w:id="2" w:name="_GoBack"/>
            <w:bookmarkEnd w:id="2"/>
          </w:p>
          <w:p w:rsidR="002C0A8C" w:rsidRPr="002337AC" w:rsidRDefault="002C0A8C" w:rsidP="002C0A8C">
            <w:pPr>
              <w:spacing w:after="240" w:line="270" w:lineRule="atLeast"/>
              <w:rPr>
                <w:rFonts w:ascii="Arial" w:eastAsia="Times" w:hAnsi="Arial"/>
                <w:color w:val="000000" w:themeColor="text1"/>
              </w:rPr>
            </w:pPr>
            <w:r w:rsidRPr="002337AC">
              <w:rPr>
                <w:rFonts w:ascii="Arial" w:eastAsia="Times" w:hAnsi="Arial"/>
                <w:color w:val="000000" w:themeColor="text1"/>
              </w:rPr>
              <w:t>An access consultant is engaged to ensure that ser</w:t>
            </w:r>
            <w:r w:rsidR="001E27D3" w:rsidRPr="002337AC">
              <w:rPr>
                <w:rFonts w:ascii="Arial" w:eastAsia="Times" w:hAnsi="Arial"/>
                <w:color w:val="000000" w:themeColor="text1"/>
              </w:rPr>
              <w:t xml:space="preserve">vices employ principles of universal age-friendly design and are accessible for older people using mobility aids and </w:t>
            </w:r>
            <w:r w:rsidRPr="002337AC">
              <w:rPr>
                <w:rFonts w:ascii="Arial" w:eastAsia="Times" w:hAnsi="Arial"/>
                <w:color w:val="000000" w:themeColor="text1"/>
              </w:rPr>
              <w:t>people with a disability</w:t>
            </w:r>
            <w:r w:rsidR="001E27D3" w:rsidRPr="002337AC">
              <w:rPr>
                <w:rFonts w:ascii="Arial" w:eastAsia="Times" w:hAnsi="Arial"/>
                <w:color w:val="000000" w:themeColor="text1"/>
              </w:rPr>
              <w:t>,</w:t>
            </w:r>
            <w:r w:rsidRPr="002337AC">
              <w:rPr>
                <w:rFonts w:ascii="Arial" w:eastAsia="Times" w:hAnsi="Arial"/>
                <w:color w:val="000000" w:themeColor="text1"/>
              </w:rPr>
              <w:t xml:space="preserve"> incl</w:t>
            </w:r>
            <w:r w:rsidR="006E27CC" w:rsidRPr="002337AC">
              <w:rPr>
                <w:rFonts w:ascii="Arial" w:eastAsia="Times" w:hAnsi="Arial"/>
                <w:color w:val="000000" w:themeColor="text1"/>
              </w:rPr>
              <w:t>uding a ramp and electric doors</w:t>
            </w:r>
          </w:p>
          <w:p w:rsidR="002C0A8C" w:rsidRPr="002C0A8C" w:rsidRDefault="002C0A8C" w:rsidP="002C0A8C">
            <w:pPr>
              <w:spacing w:after="240" w:line="270" w:lineRule="atLeast"/>
              <w:rPr>
                <w:rFonts w:ascii="Arial" w:eastAsia="Times" w:hAnsi="Arial"/>
              </w:rPr>
            </w:pPr>
            <w:r w:rsidRPr="002C0A8C">
              <w:rPr>
                <w:rFonts w:ascii="Arial" w:eastAsia="Times" w:hAnsi="Arial"/>
              </w:rPr>
              <w:t>Buildings include prayer/faith rooms with washing facilities available</w:t>
            </w:r>
          </w:p>
        </w:tc>
      </w:tr>
    </w:tbl>
    <w:p w:rsidR="002C0A8C" w:rsidRPr="002C0A8C" w:rsidRDefault="002C0A8C" w:rsidP="002C0A8C">
      <w:pPr>
        <w:spacing w:after="240" w:line="270" w:lineRule="atLeast"/>
        <w:rPr>
          <w:rFonts w:ascii="Arial" w:eastAsia="Times" w:hAnsi="Arial"/>
        </w:rPr>
      </w:pPr>
    </w:p>
    <w:tbl>
      <w:tblPr>
        <w:tblW w:w="4950" w:type="pct"/>
        <w:tblInd w:w="113" w:type="dxa"/>
        <w:tblCellMar>
          <w:top w:w="113" w:type="dxa"/>
          <w:bottom w:w="57" w:type="dxa"/>
        </w:tblCellMar>
        <w:tblLook w:val="00A0" w:firstRow="1" w:lastRow="0" w:firstColumn="1" w:lastColumn="0" w:noHBand="0" w:noVBand="0"/>
      </w:tblPr>
      <w:tblGrid>
        <w:gridCol w:w="15198"/>
      </w:tblGrid>
      <w:tr w:rsidR="002802E3" w:rsidRPr="002802E3" w:rsidTr="002C0A8C">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0"/>
          <w:bookmarkEnd w:id="1"/>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823C43" w:rsidRPr="00823C43">
              <w:rPr>
                <w:color w:val="008950"/>
              </w:rPr>
              <w:t xml:space="preserve">9096 8225 </w:t>
            </w:r>
            <w:r w:rsidRPr="00254F58">
              <w:t xml:space="preserve">using the National Relay Service 13 36 77 if required, or email </w:t>
            </w:r>
            <w:r w:rsidR="00823C43" w:rsidRPr="00823C43">
              <w:rPr>
                <w:color w:val="008950"/>
              </w:rPr>
              <w:t>Diversity unit &lt;diversity@dhhs.vic.gov.au&gt;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Pr="00BA3F8D">
              <w:rPr>
                <w:color w:val="008950"/>
              </w:rPr>
              <w:t xml:space="preserve"> </w:t>
            </w:r>
            <w:r w:rsidR="00823C43">
              <w:rPr>
                <w:color w:val="008950"/>
              </w:rPr>
              <w:t>February 2018</w:t>
            </w:r>
          </w:p>
          <w:p w:rsidR="00254F58" w:rsidRPr="00F61A9F" w:rsidRDefault="00254F58" w:rsidP="00254F58">
            <w:pPr>
              <w:pStyle w:val="DHHSbody"/>
            </w:pPr>
            <w:r w:rsidRPr="00BA3F8D">
              <w:rPr>
                <w:color w:val="008950"/>
              </w:rPr>
              <w:t>Where the term ‘Aboriginal’ is used it refers to both Aboriginal and Torres Strait Islander people. Indigenous is retained when it is part of the title of a report, program or quotation.</w:t>
            </w:r>
          </w:p>
          <w:p w:rsidR="002802E3" w:rsidRPr="00823C43" w:rsidRDefault="00254F58" w:rsidP="00254F58">
            <w:pPr>
              <w:pStyle w:val="DHHSbody"/>
              <w:rPr>
                <w:szCs w:val="19"/>
              </w:rPr>
            </w:pPr>
            <w:r w:rsidRPr="00254F58">
              <w:rPr>
                <w:szCs w:val="19"/>
              </w:rPr>
              <w:t xml:space="preserve">Available at </w:t>
            </w:r>
            <w:r w:rsidR="00823C43" w:rsidRPr="00823C43">
              <w:rPr>
                <w:color w:val="008950"/>
              </w:rPr>
              <w:t>https://www2.health.vic.gov.au/about/populations</w:t>
            </w:r>
          </w:p>
        </w:tc>
      </w:tr>
    </w:tbl>
    <w:p w:rsidR="00B2752E" w:rsidRPr="00906490" w:rsidRDefault="00B2752E" w:rsidP="00FF6D9D">
      <w:pPr>
        <w:pStyle w:val="DHHSbody"/>
      </w:pPr>
    </w:p>
    <w:sectPr w:rsidR="00B2752E" w:rsidRPr="00906490" w:rsidSect="00E45931">
      <w:headerReference w:type="default" r:id="rId11"/>
      <w:footerReference w:type="default" r:id="rId12"/>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FC" w:rsidRDefault="004E36FC">
      <w:r>
        <w:separator/>
      </w:r>
    </w:p>
  </w:endnote>
  <w:endnote w:type="continuationSeparator" w:id="0">
    <w:p w:rsidR="004E36FC" w:rsidRDefault="004E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6FC" w:rsidP="007034E7">
    <w:pPr>
      <w:pStyle w:val="DHHSfooter"/>
    </w:pPr>
    <w:r>
      <w:rPr>
        <w:noProof/>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889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7034E7">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3C46E0">
      <w:rPr>
        <w:noProof/>
      </w:rPr>
      <w:t>7</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FC" w:rsidRDefault="004E36FC" w:rsidP="002862F1">
      <w:pPr>
        <w:spacing w:before="120"/>
      </w:pPr>
      <w:r>
        <w:separator/>
      </w:r>
    </w:p>
  </w:footnote>
  <w:footnote w:type="continuationSeparator" w:id="0">
    <w:p w:rsidR="004E36FC" w:rsidRDefault="004E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2D2E6920"/>
    <w:multiLevelType w:val="hybridMultilevel"/>
    <w:tmpl w:val="849E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FC"/>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2710"/>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17D7"/>
    <w:rsid w:val="00122FEA"/>
    <w:rsid w:val="001232BD"/>
    <w:rsid w:val="00124ED5"/>
    <w:rsid w:val="001447B3"/>
    <w:rsid w:val="00152073"/>
    <w:rsid w:val="00161939"/>
    <w:rsid w:val="00161AA0"/>
    <w:rsid w:val="00162093"/>
    <w:rsid w:val="001645B1"/>
    <w:rsid w:val="001666C9"/>
    <w:rsid w:val="001771DD"/>
    <w:rsid w:val="00177995"/>
    <w:rsid w:val="00177A8C"/>
    <w:rsid w:val="00186B33"/>
    <w:rsid w:val="00187F13"/>
    <w:rsid w:val="00192F9D"/>
    <w:rsid w:val="00196EB8"/>
    <w:rsid w:val="001979FF"/>
    <w:rsid w:val="00197B17"/>
    <w:rsid w:val="001A3ACE"/>
    <w:rsid w:val="001C2A72"/>
    <w:rsid w:val="001D0B75"/>
    <w:rsid w:val="001D3C09"/>
    <w:rsid w:val="001D44E8"/>
    <w:rsid w:val="001D60EC"/>
    <w:rsid w:val="001E27D3"/>
    <w:rsid w:val="001E44DF"/>
    <w:rsid w:val="001E68A5"/>
    <w:rsid w:val="001F3826"/>
    <w:rsid w:val="001F6E46"/>
    <w:rsid w:val="001F7C91"/>
    <w:rsid w:val="00206463"/>
    <w:rsid w:val="00206F2F"/>
    <w:rsid w:val="0021053D"/>
    <w:rsid w:val="00210A92"/>
    <w:rsid w:val="002131E2"/>
    <w:rsid w:val="00216C03"/>
    <w:rsid w:val="00220C04"/>
    <w:rsid w:val="0022701F"/>
    <w:rsid w:val="002333F5"/>
    <w:rsid w:val="002337AC"/>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0A8C"/>
    <w:rsid w:val="002C2728"/>
    <w:rsid w:val="002D5006"/>
    <w:rsid w:val="002E01D0"/>
    <w:rsid w:val="002E161D"/>
    <w:rsid w:val="002E1B56"/>
    <w:rsid w:val="002E6C95"/>
    <w:rsid w:val="002E7C36"/>
    <w:rsid w:val="002F5F31"/>
    <w:rsid w:val="00302216"/>
    <w:rsid w:val="00303E53"/>
    <w:rsid w:val="003041C3"/>
    <w:rsid w:val="00305D25"/>
    <w:rsid w:val="00306E5F"/>
    <w:rsid w:val="00307E14"/>
    <w:rsid w:val="00314054"/>
    <w:rsid w:val="00316F27"/>
    <w:rsid w:val="00327870"/>
    <w:rsid w:val="0033259D"/>
    <w:rsid w:val="00336245"/>
    <w:rsid w:val="003406C6"/>
    <w:rsid w:val="003418CC"/>
    <w:rsid w:val="00344EBE"/>
    <w:rsid w:val="003459BD"/>
    <w:rsid w:val="00350D38"/>
    <w:rsid w:val="00351EBC"/>
    <w:rsid w:val="0036022F"/>
    <w:rsid w:val="003613F9"/>
    <w:rsid w:val="0037290E"/>
    <w:rsid w:val="003744CF"/>
    <w:rsid w:val="00374717"/>
    <w:rsid w:val="0037676C"/>
    <w:rsid w:val="003829E5"/>
    <w:rsid w:val="003956CC"/>
    <w:rsid w:val="00395C9A"/>
    <w:rsid w:val="003A3438"/>
    <w:rsid w:val="003A6B67"/>
    <w:rsid w:val="003B0286"/>
    <w:rsid w:val="003B15E6"/>
    <w:rsid w:val="003C2045"/>
    <w:rsid w:val="003C2440"/>
    <w:rsid w:val="003C43A1"/>
    <w:rsid w:val="003C46E0"/>
    <w:rsid w:val="003C4FC0"/>
    <w:rsid w:val="003C55F4"/>
    <w:rsid w:val="003C7A3F"/>
    <w:rsid w:val="003D3E8F"/>
    <w:rsid w:val="003D6475"/>
    <w:rsid w:val="003E2E5F"/>
    <w:rsid w:val="003F0445"/>
    <w:rsid w:val="003F0CF0"/>
    <w:rsid w:val="003F3289"/>
    <w:rsid w:val="00401FCF"/>
    <w:rsid w:val="00406285"/>
    <w:rsid w:val="004148F9"/>
    <w:rsid w:val="0042084E"/>
    <w:rsid w:val="0042175D"/>
    <w:rsid w:val="00421EEF"/>
    <w:rsid w:val="00424D65"/>
    <w:rsid w:val="004367B3"/>
    <w:rsid w:val="00442C6C"/>
    <w:rsid w:val="00443CBE"/>
    <w:rsid w:val="00443E8A"/>
    <w:rsid w:val="004441B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1FEB"/>
    <w:rsid w:val="004C6EEE"/>
    <w:rsid w:val="004C702B"/>
    <w:rsid w:val="004D016B"/>
    <w:rsid w:val="004D1B22"/>
    <w:rsid w:val="004D36F2"/>
    <w:rsid w:val="004E138F"/>
    <w:rsid w:val="004E36FC"/>
    <w:rsid w:val="004E4649"/>
    <w:rsid w:val="004E5C2B"/>
    <w:rsid w:val="004F00DD"/>
    <w:rsid w:val="004F2133"/>
    <w:rsid w:val="004F55F1"/>
    <w:rsid w:val="004F6936"/>
    <w:rsid w:val="005016E8"/>
    <w:rsid w:val="005027C0"/>
    <w:rsid w:val="00503DC6"/>
    <w:rsid w:val="00506F5D"/>
    <w:rsid w:val="005126D0"/>
    <w:rsid w:val="0051568D"/>
    <w:rsid w:val="00526C15"/>
    <w:rsid w:val="005273B4"/>
    <w:rsid w:val="00536499"/>
    <w:rsid w:val="00543903"/>
    <w:rsid w:val="00547A95"/>
    <w:rsid w:val="00557E03"/>
    <w:rsid w:val="00572031"/>
    <w:rsid w:val="00576E84"/>
    <w:rsid w:val="00580157"/>
    <w:rsid w:val="00582B8C"/>
    <w:rsid w:val="0058757E"/>
    <w:rsid w:val="00596A4B"/>
    <w:rsid w:val="00597507"/>
    <w:rsid w:val="005B21B6"/>
    <w:rsid w:val="005B3A08"/>
    <w:rsid w:val="005B7A63"/>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443E"/>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D2A3F"/>
    <w:rsid w:val="006E138B"/>
    <w:rsid w:val="006E27CC"/>
    <w:rsid w:val="006F1FDC"/>
    <w:rsid w:val="007013EF"/>
    <w:rsid w:val="007034E7"/>
    <w:rsid w:val="007216AA"/>
    <w:rsid w:val="00721AB5"/>
    <w:rsid w:val="00721DEF"/>
    <w:rsid w:val="00724A43"/>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14D9"/>
    <w:rsid w:val="007C7301"/>
    <w:rsid w:val="007C7859"/>
    <w:rsid w:val="007D2BDE"/>
    <w:rsid w:val="007D2FB6"/>
    <w:rsid w:val="007E0DE2"/>
    <w:rsid w:val="007F31B6"/>
    <w:rsid w:val="007F546C"/>
    <w:rsid w:val="007F665E"/>
    <w:rsid w:val="00800412"/>
    <w:rsid w:val="00804B9C"/>
    <w:rsid w:val="0080587B"/>
    <w:rsid w:val="00806468"/>
    <w:rsid w:val="008155F0"/>
    <w:rsid w:val="00816735"/>
    <w:rsid w:val="00820141"/>
    <w:rsid w:val="008204A8"/>
    <w:rsid w:val="00820E0C"/>
    <w:rsid w:val="00823C43"/>
    <w:rsid w:val="008263C0"/>
    <w:rsid w:val="008338A2"/>
    <w:rsid w:val="00840DF3"/>
    <w:rsid w:val="0084417C"/>
    <w:rsid w:val="00853EE4"/>
    <w:rsid w:val="00855535"/>
    <w:rsid w:val="00856385"/>
    <w:rsid w:val="008633F0"/>
    <w:rsid w:val="00863820"/>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65EB"/>
    <w:rsid w:val="008D2F4B"/>
    <w:rsid w:val="008D4236"/>
    <w:rsid w:val="008D462F"/>
    <w:rsid w:val="008E4376"/>
    <w:rsid w:val="008E7A0A"/>
    <w:rsid w:val="00900719"/>
    <w:rsid w:val="009017AC"/>
    <w:rsid w:val="00905030"/>
    <w:rsid w:val="00906490"/>
    <w:rsid w:val="009111B2"/>
    <w:rsid w:val="00924AE1"/>
    <w:rsid w:val="009269B1"/>
    <w:rsid w:val="0092724D"/>
    <w:rsid w:val="00937BD9"/>
    <w:rsid w:val="00950E2C"/>
    <w:rsid w:val="00951D50"/>
    <w:rsid w:val="009525EB"/>
    <w:rsid w:val="0095645E"/>
    <w:rsid w:val="00961400"/>
    <w:rsid w:val="00963646"/>
    <w:rsid w:val="009853E1"/>
    <w:rsid w:val="00986E6B"/>
    <w:rsid w:val="00991769"/>
    <w:rsid w:val="00994386"/>
    <w:rsid w:val="009A13D8"/>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787"/>
    <w:rsid w:val="00A62D44"/>
    <w:rsid w:val="00A67263"/>
    <w:rsid w:val="00A7161C"/>
    <w:rsid w:val="00A77AA3"/>
    <w:rsid w:val="00A872E5"/>
    <w:rsid w:val="00A9431F"/>
    <w:rsid w:val="00A96E65"/>
    <w:rsid w:val="00A97C72"/>
    <w:rsid w:val="00AA325B"/>
    <w:rsid w:val="00AA5797"/>
    <w:rsid w:val="00AA63D4"/>
    <w:rsid w:val="00AB06E8"/>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33C5"/>
    <w:rsid w:val="00B06571"/>
    <w:rsid w:val="00B068BA"/>
    <w:rsid w:val="00B13851"/>
    <w:rsid w:val="00B13B1C"/>
    <w:rsid w:val="00B22291"/>
    <w:rsid w:val="00B235DC"/>
    <w:rsid w:val="00B23F9A"/>
    <w:rsid w:val="00B2417B"/>
    <w:rsid w:val="00B24E6F"/>
    <w:rsid w:val="00B26CB5"/>
    <w:rsid w:val="00B2752E"/>
    <w:rsid w:val="00B307CC"/>
    <w:rsid w:val="00B40670"/>
    <w:rsid w:val="00B431E8"/>
    <w:rsid w:val="00B45141"/>
    <w:rsid w:val="00B5273A"/>
    <w:rsid w:val="00B62B50"/>
    <w:rsid w:val="00B635B7"/>
    <w:rsid w:val="00B63AE8"/>
    <w:rsid w:val="00B65950"/>
    <w:rsid w:val="00B672C0"/>
    <w:rsid w:val="00B75646"/>
    <w:rsid w:val="00B90729"/>
    <w:rsid w:val="00B907DA"/>
    <w:rsid w:val="00B950BC"/>
    <w:rsid w:val="00B9714C"/>
    <w:rsid w:val="00BA3F8D"/>
    <w:rsid w:val="00BA4845"/>
    <w:rsid w:val="00BB7A10"/>
    <w:rsid w:val="00BC1DAE"/>
    <w:rsid w:val="00BC7D4F"/>
    <w:rsid w:val="00BC7ED7"/>
    <w:rsid w:val="00BD2850"/>
    <w:rsid w:val="00BE28D2"/>
    <w:rsid w:val="00BF5F6F"/>
    <w:rsid w:val="00BF7F58"/>
    <w:rsid w:val="00C01381"/>
    <w:rsid w:val="00C079B8"/>
    <w:rsid w:val="00C123EA"/>
    <w:rsid w:val="00C125E4"/>
    <w:rsid w:val="00C12A49"/>
    <w:rsid w:val="00C133EE"/>
    <w:rsid w:val="00C27DE9"/>
    <w:rsid w:val="00C33388"/>
    <w:rsid w:val="00C3662A"/>
    <w:rsid w:val="00C4173A"/>
    <w:rsid w:val="00C602FF"/>
    <w:rsid w:val="00C61174"/>
    <w:rsid w:val="00C6148F"/>
    <w:rsid w:val="00C62F7A"/>
    <w:rsid w:val="00C63B9C"/>
    <w:rsid w:val="00C6682F"/>
    <w:rsid w:val="00C67A04"/>
    <w:rsid w:val="00C7275E"/>
    <w:rsid w:val="00C74C5D"/>
    <w:rsid w:val="00C863C4"/>
    <w:rsid w:val="00C93C3E"/>
    <w:rsid w:val="00CA12E3"/>
    <w:rsid w:val="00CA6611"/>
    <w:rsid w:val="00CA6B58"/>
    <w:rsid w:val="00CC0C72"/>
    <w:rsid w:val="00CC2BFD"/>
    <w:rsid w:val="00CD3476"/>
    <w:rsid w:val="00CD64DF"/>
    <w:rsid w:val="00CF2F50"/>
    <w:rsid w:val="00CF41DA"/>
    <w:rsid w:val="00D02919"/>
    <w:rsid w:val="00D04C61"/>
    <w:rsid w:val="00D0539B"/>
    <w:rsid w:val="00D05B8D"/>
    <w:rsid w:val="00D065A2"/>
    <w:rsid w:val="00D07F00"/>
    <w:rsid w:val="00D1790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14388"/>
    <w:rsid w:val="00E170DC"/>
    <w:rsid w:val="00E21842"/>
    <w:rsid w:val="00E26818"/>
    <w:rsid w:val="00E27FFC"/>
    <w:rsid w:val="00E30B15"/>
    <w:rsid w:val="00E40181"/>
    <w:rsid w:val="00E43426"/>
    <w:rsid w:val="00E45931"/>
    <w:rsid w:val="00E53A79"/>
    <w:rsid w:val="00E629A1"/>
    <w:rsid w:val="00E82C55"/>
    <w:rsid w:val="00E92AC3"/>
    <w:rsid w:val="00EB00E0"/>
    <w:rsid w:val="00EB2760"/>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D52A5"/>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04B9C"/>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804B9C"/>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04B9C"/>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804B9C"/>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804B9C"/>
    <w:pPr>
      <w:spacing w:before="0" w:after="200"/>
      <w:outlineLvl w:val="9"/>
    </w:pPr>
  </w:style>
  <w:style w:type="character" w:customStyle="1" w:styleId="DHHSTOCheadingfactsheetChar">
    <w:name w:val="DHHS TOC heading fact sheet Char"/>
    <w:link w:val="DHHSTOCheadingfactsheet"/>
    <w:uiPriority w:val="4"/>
    <w:rsid w:val="00804B9C"/>
    <w:rPr>
      <w:rFonts w:ascii="Arial" w:hAnsi="Arial"/>
      <w:b/>
      <w:color w:val="D50032"/>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3662A"/>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ListParagraph">
    <w:name w:val="List Paragraph"/>
    <w:basedOn w:val="Normal"/>
    <w:uiPriority w:val="72"/>
    <w:semiHidden/>
    <w:qFormat/>
    <w:rsid w:val="002C0A8C"/>
    <w:pPr>
      <w:ind w:left="720"/>
      <w:contextualSpacing/>
    </w:pPr>
  </w:style>
  <w:style w:type="character" w:styleId="CommentReference">
    <w:name w:val="annotation reference"/>
    <w:basedOn w:val="DefaultParagraphFont"/>
    <w:uiPriority w:val="99"/>
    <w:semiHidden/>
    <w:unhideWhenUsed/>
    <w:rsid w:val="00BC1DAE"/>
    <w:rPr>
      <w:sz w:val="16"/>
      <w:szCs w:val="16"/>
    </w:rPr>
  </w:style>
  <w:style w:type="paragraph" w:styleId="CommentText">
    <w:name w:val="annotation text"/>
    <w:basedOn w:val="Normal"/>
    <w:link w:val="CommentTextChar"/>
    <w:uiPriority w:val="99"/>
    <w:semiHidden/>
    <w:unhideWhenUsed/>
    <w:rsid w:val="00BC1DAE"/>
  </w:style>
  <w:style w:type="character" w:customStyle="1" w:styleId="CommentTextChar">
    <w:name w:val="Comment Text Char"/>
    <w:basedOn w:val="DefaultParagraphFont"/>
    <w:link w:val="CommentText"/>
    <w:uiPriority w:val="99"/>
    <w:semiHidden/>
    <w:rsid w:val="00BC1DA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C1DAE"/>
    <w:rPr>
      <w:b/>
      <w:bCs/>
    </w:rPr>
  </w:style>
  <w:style w:type="character" w:customStyle="1" w:styleId="CommentSubjectChar">
    <w:name w:val="Comment Subject Char"/>
    <w:basedOn w:val="CommentTextChar"/>
    <w:link w:val="CommentSubject"/>
    <w:uiPriority w:val="99"/>
    <w:semiHidden/>
    <w:rsid w:val="00BC1DAE"/>
    <w:rPr>
      <w:rFonts w:ascii="Cambria" w:hAnsi="Cambria"/>
      <w:b/>
      <w:bCs/>
      <w:lang w:eastAsia="en-US"/>
    </w:rPr>
  </w:style>
  <w:style w:type="paragraph" w:styleId="BalloonText">
    <w:name w:val="Balloon Text"/>
    <w:basedOn w:val="Normal"/>
    <w:link w:val="BalloonTextChar"/>
    <w:uiPriority w:val="99"/>
    <w:semiHidden/>
    <w:unhideWhenUsed/>
    <w:rsid w:val="00BC1DAE"/>
    <w:rPr>
      <w:rFonts w:ascii="Tahoma" w:hAnsi="Tahoma" w:cs="Tahoma"/>
      <w:sz w:val="16"/>
      <w:szCs w:val="16"/>
    </w:rPr>
  </w:style>
  <w:style w:type="character" w:customStyle="1" w:styleId="BalloonTextChar">
    <w:name w:val="Balloon Text Char"/>
    <w:basedOn w:val="DefaultParagraphFont"/>
    <w:link w:val="BalloonText"/>
    <w:uiPriority w:val="99"/>
    <w:semiHidden/>
    <w:rsid w:val="00BC1D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04B9C"/>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804B9C"/>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04B9C"/>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804B9C"/>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804B9C"/>
    <w:pPr>
      <w:spacing w:before="0" w:after="200"/>
      <w:outlineLvl w:val="9"/>
    </w:pPr>
  </w:style>
  <w:style w:type="character" w:customStyle="1" w:styleId="DHHSTOCheadingfactsheetChar">
    <w:name w:val="DHHS TOC heading fact sheet Char"/>
    <w:link w:val="DHHSTOCheadingfactsheet"/>
    <w:uiPriority w:val="4"/>
    <w:rsid w:val="00804B9C"/>
    <w:rPr>
      <w:rFonts w:ascii="Arial" w:hAnsi="Arial"/>
      <w:b/>
      <w:color w:val="D50032"/>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3662A"/>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ListParagraph">
    <w:name w:val="List Paragraph"/>
    <w:basedOn w:val="Normal"/>
    <w:uiPriority w:val="72"/>
    <w:semiHidden/>
    <w:qFormat/>
    <w:rsid w:val="002C0A8C"/>
    <w:pPr>
      <w:ind w:left="720"/>
      <w:contextualSpacing/>
    </w:pPr>
  </w:style>
  <w:style w:type="character" w:styleId="CommentReference">
    <w:name w:val="annotation reference"/>
    <w:basedOn w:val="DefaultParagraphFont"/>
    <w:uiPriority w:val="99"/>
    <w:semiHidden/>
    <w:unhideWhenUsed/>
    <w:rsid w:val="00BC1DAE"/>
    <w:rPr>
      <w:sz w:val="16"/>
      <w:szCs w:val="16"/>
    </w:rPr>
  </w:style>
  <w:style w:type="paragraph" w:styleId="CommentText">
    <w:name w:val="annotation text"/>
    <w:basedOn w:val="Normal"/>
    <w:link w:val="CommentTextChar"/>
    <w:uiPriority w:val="99"/>
    <w:semiHidden/>
    <w:unhideWhenUsed/>
    <w:rsid w:val="00BC1DAE"/>
  </w:style>
  <w:style w:type="character" w:customStyle="1" w:styleId="CommentTextChar">
    <w:name w:val="Comment Text Char"/>
    <w:basedOn w:val="DefaultParagraphFont"/>
    <w:link w:val="CommentText"/>
    <w:uiPriority w:val="99"/>
    <w:semiHidden/>
    <w:rsid w:val="00BC1DA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C1DAE"/>
    <w:rPr>
      <w:b/>
      <w:bCs/>
    </w:rPr>
  </w:style>
  <w:style w:type="character" w:customStyle="1" w:styleId="CommentSubjectChar">
    <w:name w:val="Comment Subject Char"/>
    <w:basedOn w:val="CommentTextChar"/>
    <w:link w:val="CommentSubject"/>
    <w:uiPriority w:val="99"/>
    <w:semiHidden/>
    <w:rsid w:val="00BC1DAE"/>
    <w:rPr>
      <w:rFonts w:ascii="Cambria" w:hAnsi="Cambria"/>
      <w:b/>
      <w:bCs/>
      <w:lang w:eastAsia="en-US"/>
    </w:rPr>
  </w:style>
  <w:style w:type="paragraph" w:styleId="BalloonText">
    <w:name w:val="Balloon Text"/>
    <w:basedOn w:val="Normal"/>
    <w:link w:val="BalloonTextChar"/>
    <w:uiPriority w:val="99"/>
    <w:semiHidden/>
    <w:unhideWhenUsed/>
    <w:rsid w:val="00BC1DAE"/>
    <w:rPr>
      <w:rFonts w:ascii="Tahoma" w:hAnsi="Tahoma" w:cs="Tahoma"/>
      <w:sz w:val="16"/>
      <w:szCs w:val="16"/>
    </w:rPr>
  </w:style>
  <w:style w:type="character" w:customStyle="1" w:styleId="BalloonTextChar">
    <w:name w:val="Balloon Text Char"/>
    <w:basedOn w:val="DefaultParagraphFont"/>
    <w:link w:val="BalloonText"/>
    <w:uiPriority w:val="99"/>
    <w:semiHidden/>
    <w:rsid w:val="00BC1D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D44D-9190-42FD-85D9-97EA6D85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13495</CharactersWithSpaces>
  <SharedDoc>false</SharedDoc>
  <HyperlinkBase/>
  <HLinks>
    <vt:vector size="252" baseType="variant">
      <vt:variant>
        <vt:i4>4390926</vt:i4>
      </vt:variant>
      <vt:variant>
        <vt:i4>123</vt:i4>
      </vt:variant>
      <vt:variant>
        <vt:i4>0</vt:i4>
      </vt:variant>
      <vt:variant>
        <vt:i4>5</vt:i4>
      </vt:variant>
      <vt:variant>
        <vt:lpwstr>http://lgbtihealth.org.au/resources/national-lgbti-mental-health-suicide-prevention-strategy/</vt:lpwstr>
      </vt:variant>
      <vt:variant>
        <vt:lpwstr/>
      </vt:variant>
      <vt:variant>
        <vt:i4>3211360</vt:i4>
      </vt:variant>
      <vt:variant>
        <vt:i4>120</vt:i4>
      </vt:variant>
      <vt:variant>
        <vt:i4>0</vt:i4>
      </vt:variant>
      <vt:variant>
        <vt:i4>5</vt:i4>
      </vt:variant>
      <vt:variant>
        <vt:lpwstr>http://www.glhv.org.au/lgbti-inclusive-practice</vt:lpwstr>
      </vt:variant>
      <vt:variant>
        <vt:lpwstr/>
      </vt:variant>
      <vt:variant>
        <vt:i4>65543</vt:i4>
      </vt:variant>
      <vt:variant>
        <vt:i4>117</vt:i4>
      </vt:variant>
      <vt:variant>
        <vt:i4>0</vt:i4>
      </vt:variant>
      <vt:variant>
        <vt:i4>5</vt:i4>
      </vt:variant>
      <vt:variant>
        <vt:lpwstr>https://intranet.dhhs.vic.gov.au/lesbian-gay-bisexual-trans-gender-diverse-intersex-and-queer-people-work</vt:lpwstr>
      </vt:variant>
      <vt:variant>
        <vt:lpwstr>lgbti-inclusion-plan-20172018</vt:lpwstr>
      </vt:variant>
      <vt:variant>
        <vt:i4>7995437</vt:i4>
      </vt:variant>
      <vt:variant>
        <vt:i4>114</vt:i4>
      </vt:variant>
      <vt:variant>
        <vt:i4>0</vt:i4>
      </vt:variant>
      <vt:variant>
        <vt:i4>5</vt:i4>
      </vt:variant>
      <vt:variant>
        <vt:lpwstr>https://www2.health.vic.gov.au/rainbowequality</vt:lpwstr>
      </vt:variant>
      <vt:variant>
        <vt:lpwstr/>
      </vt:variant>
      <vt:variant>
        <vt:i4>524354</vt:i4>
      </vt:variant>
      <vt:variant>
        <vt:i4>111</vt:i4>
      </vt:variant>
      <vt:variant>
        <vt:i4>0</vt:i4>
      </vt:variant>
      <vt:variant>
        <vt:i4>5</vt:i4>
      </vt:variant>
      <vt:variant>
        <vt:lpwstr>http://www.vic.gov.au/equality/inclusive-language-guide.html</vt:lpwstr>
      </vt:variant>
      <vt:variant>
        <vt:lpwstr/>
      </vt:variant>
      <vt:variant>
        <vt:i4>524295</vt:i4>
      </vt:variant>
      <vt:variant>
        <vt:i4>108</vt:i4>
      </vt:variant>
      <vt:variant>
        <vt:i4>0</vt:i4>
      </vt:variant>
      <vt:variant>
        <vt:i4>5</vt:i4>
      </vt:variant>
      <vt:variant>
        <vt:lpwstr>http://www.dpc.vic.gov.au/index.php/news-publications/corporate-publications/lgbti-inclusion-plan</vt:lpwstr>
      </vt:variant>
      <vt:variant>
        <vt:lpwstr/>
      </vt:variant>
      <vt:variant>
        <vt:i4>7602213</vt:i4>
      </vt:variant>
      <vt:variant>
        <vt:i4>105</vt:i4>
      </vt:variant>
      <vt:variant>
        <vt:i4>0</vt:i4>
      </vt:variant>
      <vt:variant>
        <vt:i4>5</vt:i4>
      </vt:variant>
      <vt:variant>
        <vt:lpwstr>https://www.humanrights.gov.au/our-work/disability-rights/publications/access-all-improving-accessibility-consumers-disability-2016</vt:lpwstr>
      </vt:variant>
      <vt:variant>
        <vt:lpwstr/>
      </vt:variant>
      <vt:variant>
        <vt:i4>1048666</vt:i4>
      </vt:variant>
      <vt:variant>
        <vt:i4>102</vt:i4>
      </vt:variant>
      <vt:variant>
        <vt:i4>0</vt:i4>
      </vt:variant>
      <vt:variant>
        <vt:i4>5</vt:i4>
      </vt:variant>
      <vt:variant>
        <vt:lpwstr>http://www.dhs.vic.gov.au/for-business-and-community/community-involvement/people-with-a-disability-in-the-community/disability-action-plans</vt:lpwstr>
      </vt:variant>
      <vt:variant>
        <vt:lpwstr/>
      </vt:variant>
      <vt:variant>
        <vt:i4>6619249</vt:i4>
      </vt:variant>
      <vt:variant>
        <vt:i4>99</vt:i4>
      </vt:variant>
      <vt:variant>
        <vt:i4>0</vt:i4>
      </vt:variant>
      <vt:variant>
        <vt:i4>5</vt:i4>
      </vt:variant>
      <vt:variant>
        <vt:lpwstr>http://www.statedisabilityplan.vic.gov.au/</vt:lpwstr>
      </vt:variant>
      <vt:variant>
        <vt:lpwstr/>
      </vt:variant>
      <vt:variant>
        <vt:i4>3735591</vt:i4>
      </vt:variant>
      <vt:variant>
        <vt:i4>96</vt:i4>
      </vt:variant>
      <vt:variant>
        <vt:i4>0</vt:i4>
      </vt:variant>
      <vt:variant>
        <vt:i4>5</vt:i4>
      </vt:variant>
      <vt:variant>
        <vt:lpwstr>https://www.dss.gov.au/our-responsibilities/disability-and-carers/publications-articles/policy-research/national-disability-strategy-2010-2020</vt:lpwstr>
      </vt:variant>
      <vt:variant>
        <vt:lpwstr/>
      </vt:variant>
      <vt:variant>
        <vt:i4>458781</vt:i4>
      </vt:variant>
      <vt:variant>
        <vt:i4>93</vt:i4>
      </vt:variant>
      <vt:variant>
        <vt:i4>0</vt:i4>
      </vt:variant>
      <vt:variant>
        <vt:i4>5</vt:i4>
      </vt:variant>
      <vt:variant>
        <vt:lpwstr>https://www.legislation.gov.au/Series/C2004A04426</vt:lpwstr>
      </vt:variant>
      <vt:variant>
        <vt:lpwstr/>
      </vt:variant>
      <vt:variant>
        <vt:i4>1179716</vt:i4>
      </vt:variant>
      <vt:variant>
        <vt:i4>90</vt:i4>
      </vt:variant>
      <vt:variant>
        <vt:i4>0</vt:i4>
      </vt:variant>
      <vt:variant>
        <vt:i4>5</vt:i4>
      </vt:variant>
      <vt:variant>
        <vt:lpwstr>http://www.healthinfonet.ecu.edu.au/key-resources/programs-projects?pid=2384</vt:lpwstr>
      </vt:variant>
      <vt:variant>
        <vt:lpwstr/>
      </vt:variant>
      <vt:variant>
        <vt:i4>3538977</vt:i4>
      </vt:variant>
      <vt:variant>
        <vt:i4>87</vt:i4>
      </vt:variant>
      <vt:variant>
        <vt:i4>0</vt:i4>
      </vt:variant>
      <vt:variant>
        <vt:i4>5</vt:i4>
      </vt:variant>
      <vt:variant>
        <vt:lpwstr>https://www.humanrights.gov.au/our-work/aboriginal-and-torres-strait-islander-social-justice/publications/targeted-recruitment</vt:lpwstr>
      </vt:variant>
      <vt:variant>
        <vt:lpwstr/>
      </vt:variant>
      <vt:variant>
        <vt:i4>65624</vt:i4>
      </vt:variant>
      <vt:variant>
        <vt:i4>84</vt:i4>
      </vt:variant>
      <vt:variant>
        <vt:i4>0</vt:i4>
      </vt:variant>
      <vt:variant>
        <vt:i4>5</vt:i4>
      </vt:variant>
      <vt:variant>
        <vt:lpwstr>http://www.dhs.vic.gov.au/about-the-department/our-organisation/careers/aboriginal-employment</vt:lpwstr>
      </vt:variant>
      <vt:variant>
        <vt:lpwstr/>
      </vt:variant>
      <vt:variant>
        <vt:i4>6946934</vt:i4>
      </vt:variant>
      <vt:variant>
        <vt:i4>81</vt:i4>
      </vt:variant>
      <vt:variant>
        <vt:i4>0</vt:i4>
      </vt:variant>
      <vt:variant>
        <vt:i4>5</vt:i4>
      </vt:variant>
      <vt:variant>
        <vt:lpwstr>http://intranet.health.vic.gov.au/our-organisation/plans-and-strategies/moondani-aboriginal-inclusion-action-plan-2015-2018</vt:lpwstr>
      </vt:variant>
      <vt:variant>
        <vt:lpwstr/>
      </vt:variant>
      <vt:variant>
        <vt:i4>1048656</vt:i4>
      </vt:variant>
      <vt:variant>
        <vt:i4>78</vt:i4>
      </vt:variant>
      <vt:variant>
        <vt:i4>0</vt:i4>
      </vt:variant>
      <vt:variant>
        <vt:i4>5</vt:i4>
      </vt:variant>
      <vt:variant>
        <vt:lpwstr>http://economicdevelopment.vic.gov.au/about-us/overview/policy-framework/aboriginal-inclusion-action-plan</vt:lpwstr>
      </vt:variant>
      <vt:variant>
        <vt:lpwstr/>
      </vt:variant>
      <vt:variant>
        <vt:i4>131152</vt:i4>
      </vt:variant>
      <vt:variant>
        <vt:i4>75</vt:i4>
      </vt:variant>
      <vt:variant>
        <vt:i4>0</vt:i4>
      </vt:variant>
      <vt:variant>
        <vt:i4>5</vt:i4>
      </vt:variant>
      <vt:variant>
        <vt:lpwstr>http://www.dpc.vic.gov.au/index.php/news-publications/corporate-publications/aboriginal-inclusion-action-plan</vt:lpwstr>
      </vt:variant>
      <vt:variant>
        <vt:lpwstr/>
      </vt:variant>
      <vt:variant>
        <vt:i4>2424950</vt:i4>
      </vt:variant>
      <vt:variant>
        <vt:i4>72</vt:i4>
      </vt:variant>
      <vt:variant>
        <vt:i4>0</vt:i4>
      </vt:variant>
      <vt:variant>
        <vt:i4>5</vt:i4>
      </vt:variant>
      <vt:variant>
        <vt:lpwstr>http://www.education.vic.gov.au/about/programs/aboriginal/Pages/aboriginalplan.aspx</vt:lpwstr>
      </vt:variant>
      <vt:variant>
        <vt:lpwstr/>
      </vt:variant>
      <vt:variant>
        <vt:i4>4587527</vt:i4>
      </vt:variant>
      <vt:variant>
        <vt:i4>69</vt:i4>
      </vt:variant>
      <vt:variant>
        <vt:i4>0</vt:i4>
      </vt:variant>
      <vt:variant>
        <vt:i4>5</vt:i4>
      </vt:variant>
      <vt:variant>
        <vt:lpwstr>http://healthbulletin.org.au/articles/cultural-respect-framework-2016-2026-for-aboriginal-and-torres-strait-islander-health/</vt:lpwstr>
      </vt:variant>
      <vt:variant>
        <vt:lpwstr/>
      </vt:variant>
      <vt:variant>
        <vt:i4>7471208</vt:i4>
      </vt:variant>
      <vt:variant>
        <vt:i4>66</vt:i4>
      </vt:variant>
      <vt:variant>
        <vt:i4>0</vt:i4>
      </vt:variant>
      <vt:variant>
        <vt:i4>5</vt:i4>
      </vt:variant>
      <vt:variant>
        <vt:lpwstr>https://www.dpmc.gov.au/indigenous-affairs/closing-gap</vt:lpwstr>
      </vt:variant>
      <vt:variant>
        <vt:lpwstr/>
      </vt:variant>
      <vt:variant>
        <vt:i4>5963867</vt:i4>
      </vt:variant>
      <vt:variant>
        <vt:i4>63</vt:i4>
      </vt:variant>
      <vt:variant>
        <vt:i4>0</vt:i4>
      </vt:variant>
      <vt:variant>
        <vt:i4>5</vt:i4>
      </vt:variant>
      <vt:variant>
        <vt:lpwstr>https://www2.health.vic.gov.au/about/publications/policiesandguidelines/Improving mens health and wellbeing strategic directions</vt:lpwstr>
      </vt:variant>
      <vt:variant>
        <vt:lpwstr/>
      </vt:variant>
      <vt:variant>
        <vt:i4>4456451</vt:i4>
      </vt:variant>
      <vt:variant>
        <vt:i4>60</vt:i4>
      </vt:variant>
      <vt:variant>
        <vt:i4>0</vt:i4>
      </vt:variant>
      <vt:variant>
        <vt:i4>5</vt:i4>
      </vt:variant>
      <vt:variant>
        <vt:lpwstr>http://www.vic.gov.au/women/gender-equality/a-victorian-gender-equality-strategy.html</vt:lpwstr>
      </vt:variant>
      <vt:variant>
        <vt:lpwstr/>
      </vt:variant>
      <vt:variant>
        <vt:i4>5373972</vt:i4>
      </vt:variant>
      <vt:variant>
        <vt:i4>57</vt:i4>
      </vt:variant>
      <vt:variant>
        <vt:i4>0</vt:i4>
      </vt:variant>
      <vt:variant>
        <vt:i4>5</vt:i4>
      </vt:variant>
      <vt:variant>
        <vt:lpwstr>https://www.dss.gov.au/our-responsibilities/women/programs-services/economic-security/the-workplace-gender-equality-act-2012</vt:lpwstr>
      </vt:variant>
      <vt:variant>
        <vt:lpwstr/>
      </vt:variant>
      <vt:variant>
        <vt:i4>4784214</vt:i4>
      </vt:variant>
      <vt:variant>
        <vt:i4>54</vt:i4>
      </vt:variant>
      <vt:variant>
        <vt:i4>0</vt:i4>
      </vt:variant>
      <vt:variant>
        <vt:i4>5</vt:i4>
      </vt:variant>
      <vt:variant>
        <vt:lpwstr>https://www2.health.vic.gov.au/about/populations/cald-health</vt:lpwstr>
      </vt:variant>
      <vt:variant>
        <vt:lpwstr/>
      </vt:variant>
      <vt:variant>
        <vt:i4>6094931</vt:i4>
      </vt:variant>
      <vt:variant>
        <vt:i4>51</vt:i4>
      </vt:variant>
      <vt:variant>
        <vt:i4>0</vt:i4>
      </vt:variant>
      <vt:variant>
        <vt:i4>5</vt:i4>
      </vt:variant>
      <vt:variant>
        <vt:lpwstr>https://www2.health.vic.gov.au/about/populations/refugee-asylum-seeker-health</vt:lpwstr>
      </vt:variant>
      <vt:variant>
        <vt:lpwstr/>
      </vt:variant>
      <vt:variant>
        <vt:i4>6094931</vt:i4>
      </vt:variant>
      <vt:variant>
        <vt:i4>48</vt:i4>
      </vt:variant>
      <vt:variant>
        <vt:i4>0</vt:i4>
      </vt:variant>
      <vt:variant>
        <vt:i4>5</vt:i4>
      </vt:variant>
      <vt:variant>
        <vt:lpwstr>https://www2.health.vic.gov.au/about/populations/refugee-asylum-seeker-health</vt:lpwstr>
      </vt:variant>
      <vt:variant>
        <vt:lpwstr/>
      </vt:variant>
      <vt:variant>
        <vt:i4>4849671</vt:i4>
      </vt:variant>
      <vt:variant>
        <vt:i4>45</vt:i4>
      </vt:variant>
      <vt:variant>
        <vt:i4>0</vt:i4>
      </vt:variant>
      <vt:variant>
        <vt:i4>5</vt:i4>
      </vt:variant>
      <vt:variant>
        <vt:lpwstr>https://www.dhhs.vic.gov.au/publications/language-services-policy</vt:lpwstr>
      </vt:variant>
      <vt:variant>
        <vt:lpwstr/>
      </vt:variant>
      <vt:variant>
        <vt:i4>5373966</vt:i4>
      </vt:variant>
      <vt:variant>
        <vt:i4>42</vt:i4>
      </vt:variant>
      <vt:variant>
        <vt:i4>0</vt:i4>
      </vt:variant>
      <vt:variant>
        <vt:i4>5</vt:i4>
      </vt:variant>
      <vt:variant>
        <vt:lpwstr>https://www2.health.vic.gov.au/about/publications/policiesandguidelines/dhhs-delivering-for-diversity-cultural-diversity-plan-2016-19</vt:lpwstr>
      </vt:variant>
      <vt:variant>
        <vt:lpwstr/>
      </vt:variant>
      <vt:variant>
        <vt:i4>1769521</vt:i4>
      </vt:variant>
      <vt:variant>
        <vt:i4>39</vt:i4>
      </vt:variant>
      <vt:variant>
        <vt:i4>0</vt:i4>
      </vt:variant>
      <vt:variant>
        <vt:i4>5</vt:i4>
      </vt:variant>
      <vt:variant>
        <vt:lpwstr>http://www.austlii.edu.au/au/legis/vic/consol_act/rarta2001265/</vt:lpwstr>
      </vt:variant>
      <vt:variant>
        <vt:lpwstr/>
      </vt:variant>
      <vt:variant>
        <vt:i4>4325471</vt:i4>
      </vt:variant>
      <vt:variant>
        <vt:i4>36</vt:i4>
      </vt:variant>
      <vt:variant>
        <vt:i4>0</vt:i4>
      </vt:variant>
      <vt:variant>
        <vt:i4>5</vt:i4>
      </vt:variant>
      <vt:variant>
        <vt:lpwstr>https://proud.vic.gov.au/multicultural-policy-statement/</vt:lpwstr>
      </vt:variant>
      <vt:variant>
        <vt:lpwstr/>
      </vt:variant>
      <vt:variant>
        <vt:i4>4653132</vt:i4>
      </vt:variant>
      <vt:variant>
        <vt:i4>33</vt:i4>
      </vt:variant>
      <vt:variant>
        <vt:i4>0</vt:i4>
      </vt:variant>
      <vt:variant>
        <vt:i4>5</vt:i4>
      </vt:variant>
      <vt:variant>
        <vt:lpwstr>http://www.multicultural.vic.gov.au/about-us/legislation/multicultural-victoria-act-2011</vt:lpwstr>
      </vt:variant>
      <vt:variant>
        <vt:lpwstr/>
      </vt:variant>
      <vt:variant>
        <vt:i4>131143</vt:i4>
      </vt:variant>
      <vt:variant>
        <vt:i4>30</vt:i4>
      </vt:variant>
      <vt:variant>
        <vt:i4>0</vt:i4>
      </vt:variant>
      <vt:variant>
        <vt:i4>5</vt:i4>
      </vt:variant>
      <vt:variant>
        <vt:lpwstr>https://www.dss.gov.au/settlement-and-multicultural-affairs/programs-policy/multicultural-access-and-equity/multicultural-access-and-equity-resources</vt:lpwstr>
      </vt:variant>
      <vt:variant>
        <vt:lpwstr/>
      </vt:variant>
      <vt:variant>
        <vt:i4>524308</vt:i4>
      </vt:variant>
      <vt:variant>
        <vt:i4>27</vt:i4>
      </vt:variant>
      <vt:variant>
        <vt:i4>0</vt:i4>
      </vt:variant>
      <vt:variant>
        <vt:i4>5</vt:i4>
      </vt:variant>
      <vt:variant>
        <vt:lpwstr>https://www.dss.gov.au/our-responsibilities/settlement-and-multicultural-affairs/publications/the-people-of-australia-australias-multicultural-policy</vt:lpwstr>
      </vt:variant>
      <vt:variant>
        <vt:lpwstr/>
      </vt:variant>
      <vt:variant>
        <vt:i4>7471121</vt:i4>
      </vt:variant>
      <vt:variant>
        <vt:i4>24</vt:i4>
      </vt:variant>
      <vt:variant>
        <vt:i4>0</vt:i4>
      </vt:variant>
      <vt:variant>
        <vt:i4>5</vt:i4>
      </vt:variant>
      <vt:variant>
        <vt:lpwstr>http://www.austlii.edu.au/au/legis/cth/num_act/rha1995109/</vt:lpwstr>
      </vt:variant>
      <vt:variant>
        <vt:lpwstr/>
      </vt:variant>
      <vt:variant>
        <vt:i4>7798869</vt:i4>
      </vt:variant>
      <vt:variant>
        <vt:i4>21</vt:i4>
      </vt:variant>
      <vt:variant>
        <vt:i4>0</vt:i4>
      </vt:variant>
      <vt:variant>
        <vt:i4>5</vt:i4>
      </vt:variant>
      <vt:variant>
        <vt:lpwstr>http://www.austlii.edu.au/au/legis/cth/consol_act/rda1975202/</vt:lpwstr>
      </vt:variant>
      <vt:variant>
        <vt:lpwstr/>
      </vt:variant>
      <vt:variant>
        <vt:i4>5767181</vt:i4>
      </vt:variant>
      <vt:variant>
        <vt:i4>18</vt:i4>
      </vt:variant>
      <vt:variant>
        <vt:i4>0</vt:i4>
      </vt:variant>
      <vt:variant>
        <vt:i4>5</vt:i4>
      </vt:variant>
      <vt:variant>
        <vt:lpwstr>http://www.dhs.vic.gov.au/about-the-department/documents-and-resources/policies,-guidelines-and-legislation/human-services-standards</vt:lpwstr>
      </vt:variant>
      <vt:variant>
        <vt:lpwstr/>
      </vt:variant>
      <vt:variant>
        <vt:i4>5308444</vt:i4>
      </vt:variant>
      <vt:variant>
        <vt:i4>15</vt:i4>
      </vt:variant>
      <vt:variant>
        <vt:i4>0</vt:i4>
      </vt:variant>
      <vt:variant>
        <vt:i4>5</vt:i4>
      </vt:variant>
      <vt:variant>
        <vt:lpwstr>http://www.dhs.vic.gov.au/about-the-department/plans,-programs-and-projects/plans-and-strategies/key-plans-and-strategies/delivering-for-all</vt:lpwstr>
      </vt:variant>
      <vt:variant>
        <vt:lpwstr/>
      </vt:variant>
      <vt:variant>
        <vt:i4>1507413</vt:i4>
      </vt:variant>
      <vt:variant>
        <vt:i4>12</vt:i4>
      </vt:variant>
      <vt:variant>
        <vt:i4>0</vt:i4>
      </vt:variant>
      <vt:variant>
        <vt:i4>5</vt:i4>
      </vt:variant>
      <vt:variant>
        <vt:lpwstr>http://www.vic.gov.au/familyviolence/designing-for-diversity-and-intersectionality/diversity-and-intersectionality-framework.html</vt:lpwstr>
      </vt:variant>
      <vt:variant>
        <vt:lpwstr/>
      </vt:variant>
      <vt:variant>
        <vt:i4>6619222</vt:i4>
      </vt:variant>
      <vt:variant>
        <vt:i4>9</vt:i4>
      </vt:variant>
      <vt:variant>
        <vt:i4>0</vt:i4>
      </vt:variant>
      <vt:variant>
        <vt:i4>5</vt:i4>
      </vt:variant>
      <vt:variant>
        <vt:lpwstr>http://www.austlii.edu.au/au/legis/vic/consol_act/eoa2010250/</vt:lpwstr>
      </vt:variant>
      <vt:variant>
        <vt:lpwstr/>
      </vt:variant>
      <vt:variant>
        <vt:i4>1114151</vt:i4>
      </vt:variant>
      <vt:variant>
        <vt:i4>6</vt:i4>
      </vt:variant>
      <vt:variant>
        <vt:i4>0</vt:i4>
      </vt:variant>
      <vt:variant>
        <vt:i4>5</vt:i4>
      </vt:variant>
      <vt:variant>
        <vt:lpwstr>http://www.austlii.edu.au/au/legis/vic/consol_act/cohrara2006433/index.html</vt:lpwstr>
      </vt:variant>
      <vt:variant>
        <vt:lpwstr/>
      </vt:variant>
      <vt:variant>
        <vt:i4>2228344</vt:i4>
      </vt:variant>
      <vt:variant>
        <vt:i4>3</vt:i4>
      </vt:variant>
      <vt:variant>
        <vt:i4>0</vt:i4>
      </vt:variant>
      <vt:variant>
        <vt:i4>5</vt:i4>
      </vt:variant>
      <vt:variant>
        <vt:lpwstr>https://www2.health.vic.gov.au/about/participation-and-communication/australian-charter-healthcare-rights/about-the-charter</vt:lpwstr>
      </vt:variant>
      <vt:variant>
        <vt:lpwstr/>
      </vt:variant>
      <vt:variant>
        <vt:i4>6553603</vt:i4>
      </vt:variant>
      <vt:variant>
        <vt:i4>0</vt:i4>
      </vt:variant>
      <vt:variant>
        <vt:i4>0</vt:i4>
      </vt:variant>
      <vt:variant>
        <vt:i4>5</vt:i4>
      </vt:variant>
      <vt:variant>
        <vt:lpwstr>http://www.austlii.edu.au/au/legis/cth/num_act/hraeoca1986512/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Black</dc:creator>
  <cp:lastModifiedBy>Emma Black</cp:lastModifiedBy>
  <cp:revision>4</cp:revision>
  <cp:lastPrinted>2015-01-28T03:08:00Z</cp:lastPrinted>
  <dcterms:created xsi:type="dcterms:W3CDTF">2018-02-08T00:42:00Z</dcterms:created>
  <dcterms:modified xsi:type="dcterms:W3CDTF">2018-02-08T01:27:00Z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