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34D6" w14:textId="77777777" w:rsidR="0074696E" w:rsidRPr="006B2E3D" w:rsidRDefault="000E0970" w:rsidP="00AD784C">
      <w:pPr>
        <w:pStyle w:val="Spacerparatopoffirstpage"/>
      </w:pPr>
      <w:r w:rsidRPr="006B2E3D"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1D586406" wp14:editId="630206C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7295" cy="2072005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6D74C" w14:textId="77777777" w:rsidR="00A62D44" w:rsidRPr="006B2E3D" w:rsidRDefault="00A62D44" w:rsidP="004C6EEE">
      <w:pPr>
        <w:pStyle w:val="Sectionbreakfirstpage"/>
        <w:sectPr w:rsidR="00A62D44" w:rsidRPr="006B2E3D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6B2E3D" w14:paraId="7A0E24AC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01E6B7C" w14:textId="766CB50F" w:rsidR="00AD784C" w:rsidRPr="006B2E3D" w:rsidRDefault="006C5E85" w:rsidP="00A91406">
            <w:pPr>
              <w:pStyle w:val="DHHSmainheading"/>
            </w:pPr>
            <w:r w:rsidRPr="006B2E3D">
              <w:t>CMI/ODS Bulletin</w:t>
            </w:r>
            <w:r w:rsidR="001604C7">
              <w:t xml:space="preserve"> #44</w:t>
            </w:r>
          </w:p>
        </w:tc>
      </w:tr>
      <w:tr w:rsidR="00AD784C" w:rsidRPr="006B2E3D" w14:paraId="5AA5CB3D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BA1D645" w14:textId="123FF12C" w:rsidR="00357B4E" w:rsidRPr="006B2E3D" w:rsidRDefault="006C5E85" w:rsidP="00357B4E">
            <w:pPr>
              <w:pStyle w:val="DHHSmainsubheading"/>
              <w:rPr>
                <w:szCs w:val="28"/>
              </w:rPr>
            </w:pPr>
            <w:bookmarkStart w:id="0" w:name="_GoBack"/>
            <w:r w:rsidRPr="006B2E3D">
              <w:rPr>
                <w:szCs w:val="28"/>
              </w:rPr>
              <w:t xml:space="preserve">Release 9.2 – </w:t>
            </w:r>
            <w:r w:rsidR="00B56F5E">
              <w:rPr>
                <w:szCs w:val="28"/>
              </w:rPr>
              <w:t xml:space="preserve">New </w:t>
            </w:r>
            <w:r w:rsidRPr="006B2E3D">
              <w:rPr>
                <w:szCs w:val="28"/>
              </w:rPr>
              <w:t>Electroconvulsive Therapy</w:t>
            </w:r>
            <w:r w:rsidR="00096FB7">
              <w:rPr>
                <w:szCs w:val="28"/>
              </w:rPr>
              <w:t xml:space="preserve"> (ECT)</w:t>
            </w:r>
            <w:r w:rsidRPr="006B2E3D">
              <w:rPr>
                <w:szCs w:val="28"/>
              </w:rPr>
              <w:t xml:space="preserve"> </w:t>
            </w:r>
            <w:r w:rsidR="00B56F5E">
              <w:rPr>
                <w:szCs w:val="28"/>
              </w:rPr>
              <w:t>module</w:t>
            </w:r>
            <w:bookmarkEnd w:id="0"/>
          </w:p>
        </w:tc>
      </w:tr>
    </w:tbl>
    <w:p w14:paraId="5A6CAB9A" w14:textId="68A89072" w:rsidR="00F70B9A" w:rsidRPr="006B2E3D" w:rsidRDefault="00F70B9A" w:rsidP="00F70B9A">
      <w:pPr>
        <w:pStyle w:val="Heading1"/>
        <w:spacing w:before="0"/>
      </w:pPr>
      <w:r w:rsidRPr="006B2E3D">
        <w:t>Purpose</w:t>
      </w:r>
    </w:p>
    <w:p w14:paraId="4175ACA2" w14:textId="3A13D47D" w:rsidR="00F70B9A" w:rsidRDefault="00F70B9A" w:rsidP="007A4F52">
      <w:pPr>
        <w:pStyle w:val="DHHSbody"/>
        <w:numPr>
          <w:ilvl w:val="0"/>
          <w:numId w:val="24"/>
        </w:numPr>
        <w:rPr>
          <w:rFonts w:ascii="Helvetica" w:hAnsi="Helvetica" w:cs="Helvetica"/>
          <w:color w:val="365F91" w:themeColor="accent1" w:themeShade="BF"/>
          <w:sz w:val="24"/>
          <w:szCs w:val="24"/>
        </w:rPr>
      </w:pPr>
      <w:r w:rsidRPr="006B2E3D">
        <w:rPr>
          <w:rFonts w:ascii="Helvetica" w:hAnsi="Helvetica" w:cs="Helvetica"/>
          <w:color w:val="365F91" w:themeColor="accent1" w:themeShade="BF"/>
          <w:sz w:val="24"/>
          <w:szCs w:val="24"/>
        </w:rPr>
        <w:t xml:space="preserve">To outline </w:t>
      </w:r>
      <w:r w:rsidR="00EA07C0" w:rsidRPr="006B2E3D">
        <w:rPr>
          <w:rFonts w:ascii="Helvetica" w:hAnsi="Helvetica" w:cs="Helvetica"/>
          <w:color w:val="365F91" w:themeColor="accent1" w:themeShade="BF"/>
          <w:sz w:val="24"/>
          <w:szCs w:val="24"/>
        </w:rPr>
        <w:t>new ECT data reporting requirements in CMI/ODS as part of CMI/ODS Release 9.2</w:t>
      </w:r>
    </w:p>
    <w:p w14:paraId="76C84FC2" w14:textId="06B391B9" w:rsidR="007A4F52" w:rsidRPr="006B2E3D" w:rsidRDefault="007A4F52" w:rsidP="007A4F52">
      <w:pPr>
        <w:pStyle w:val="DHHSbody"/>
        <w:numPr>
          <w:ilvl w:val="0"/>
          <w:numId w:val="24"/>
        </w:numPr>
        <w:rPr>
          <w:rFonts w:ascii="Helvetica" w:hAnsi="Helvetica" w:cs="Helvetica"/>
          <w:color w:val="365F91" w:themeColor="accent1" w:themeShade="BF"/>
          <w:sz w:val="24"/>
          <w:szCs w:val="24"/>
        </w:rPr>
      </w:pPr>
      <w:r>
        <w:rPr>
          <w:rFonts w:ascii="Helvetica" w:hAnsi="Helvetica" w:cs="Helvetica"/>
          <w:color w:val="365F91" w:themeColor="accent1" w:themeShade="BF"/>
          <w:sz w:val="24"/>
          <w:szCs w:val="24"/>
        </w:rPr>
        <w:t>S</w:t>
      </w:r>
      <w:r w:rsidRPr="007A4F52">
        <w:rPr>
          <w:rFonts w:ascii="Helvetica" w:hAnsi="Helvetica" w:cs="Helvetica"/>
          <w:color w:val="365F91" w:themeColor="accent1" w:themeShade="BF"/>
          <w:sz w:val="24"/>
          <w:szCs w:val="24"/>
        </w:rPr>
        <w:t>upersede</w:t>
      </w:r>
      <w:r w:rsidR="008B2E2C">
        <w:rPr>
          <w:rFonts w:ascii="Helvetica" w:hAnsi="Helvetica" w:cs="Helvetica"/>
          <w:color w:val="365F91" w:themeColor="accent1" w:themeShade="BF"/>
          <w:sz w:val="24"/>
          <w:szCs w:val="24"/>
        </w:rPr>
        <w:t>s</w:t>
      </w:r>
      <w:r>
        <w:rPr>
          <w:rFonts w:ascii="Helvetica" w:hAnsi="Helvetica" w:cs="Helvetica"/>
          <w:color w:val="365F91" w:themeColor="accent1" w:themeShade="BF"/>
          <w:sz w:val="24"/>
          <w:szCs w:val="24"/>
        </w:rPr>
        <w:t xml:space="preserve"> data reporting guidance in CMI/ODS Bulletin 27, 27/02/2018</w:t>
      </w:r>
    </w:p>
    <w:p w14:paraId="644589A9" w14:textId="0574035D" w:rsidR="00893AF6" w:rsidRPr="006B2E3D" w:rsidRDefault="006B2E3D" w:rsidP="00FB4769">
      <w:pPr>
        <w:pStyle w:val="Heading1"/>
        <w:spacing w:before="0"/>
      </w:pPr>
      <w:r>
        <w:t>O</w:t>
      </w:r>
      <w:r w:rsidR="006C5E85" w:rsidRPr="006B2E3D">
        <w:t>verview</w:t>
      </w:r>
    </w:p>
    <w:p w14:paraId="03EFCFA3" w14:textId="6CC51E83" w:rsidR="0033635F" w:rsidRDefault="0085761B" w:rsidP="0033635F">
      <w:pPr>
        <w:pStyle w:val="DHHSbody"/>
        <w:rPr>
          <w:rFonts w:ascii="Helvetica" w:hAnsi="Helvetica" w:cs="Helvetica"/>
          <w:sz w:val="22"/>
          <w:szCs w:val="22"/>
        </w:rPr>
      </w:pPr>
      <w:r w:rsidRPr="006B2E3D">
        <w:rPr>
          <w:rFonts w:ascii="Helvetica" w:hAnsi="Helvetica" w:cs="Helvetica"/>
          <w:sz w:val="22"/>
          <w:szCs w:val="22"/>
        </w:rPr>
        <w:t>Changes to the ECT module within CMI</w:t>
      </w:r>
      <w:r w:rsidR="00EA07C0" w:rsidRPr="006B2E3D">
        <w:rPr>
          <w:rFonts w:ascii="Helvetica" w:hAnsi="Helvetica" w:cs="Helvetica"/>
          <w:sz w:val="22"/>
          <w:szCs w:val="22"/>
        </w:rPr>
        <w:t>/ODS</w:t>
      </w:r>
      <w:r w:rsidRPr="006B2E3D">
        <w:rPr>
          <w:rFonts w:ascii="Helvetica" w:hAnsi="Helvetica" w:cs="Helvetica"/>
          <w:sz w:val="22"/>
          <w:szCs w:val="22"/>
        </w:rPr>
        <w:t xml:space="preserve"> have been developed in accordance with the Office of the Chief Psychiatrist (OCP</w:t>
      </w:r>
      <w:r w:rsidR="00F70B9A" w:rsidRPr="006B2E3D">
        <w:rPr>
          <w:rFonts w:ascii="Helvetica" w:hAnsi="Helvetica" w:cs="Helvetica"/>
          <w:sz w:val="22"/>
          <w:szCs w:val="22"/>
        </w:rPr>
        <w:t>)</w:t>
      </w:r>
      <w:r w:rsidRPr="006B2E3D">
        <w:rPr>
          <w:rFonts w:ascii="Helvetica" w:hAnsi="Helvetica" w:cs="Helvetica"/>
          <w:sz w:val="22"/>
          <w:szCs w:val="22"/>
        </w:rPr>
        <w:t xml:space="preserve"> new ECT</w:t>
      </w:r>
      <w:r w:rsidR="00EA07C0" w:rsidRPr="006B2E3D">
        <w:rPr>
          <w:rFonts w:ascii="Helvetica" w:hAnsi="Helvetica" w:cs="Helvetica"/>
          <w:sz w:val="22"/>
          <w:szCs w:val="22"/>
        </w:rPr>
        <w:t xml:space="preserve"> data reporting</w:t>
      </w:r>
      <w:r w:rsidRPr="006B2E3D">
        <w:rPr>
          <w:rFonts w:ascii="Helvetica" w:hAnsi="Helvetica" w:cs="Helvetica"/>
          <w:sz w:val="22"/>
          <w:szCs w:val="22"/>
        </w:rPr>
        <w:t xml:space="preserve"> </w:t>
      </w:r>
      <w:r w:rsidR="00FD2FA8" w:rsidRPr="006B2E3D">
        <w:rPr>
          <w:rFonts w:ascii="Helvetica" w:hAnsi="Helvetica" w:cs="Helvetica"/>
          <w:sz w:val="22"/>
          <w:szCs w:val="22"/>
        </w:rPr>
        <w:t>requirements</w:t>
      </w:r>
      <w:r w:rsidR="00FD2FA8">
        <w:rPr>
          <w:rFonts w:ascii="Helvetica" w:hAnsi="Helvetica" w:cs="Helvetica"/>
          <w:sz w:val="22"/>
          <w:szCs w:val="22"/>
        </w:rPr>
        <w:t xml:space="preserve"> to promote quality and safety. The new ECT module</w:t>
      </w:r>
      <w:r w:rsidRPr="006B2E3D">
        <w:rPr>
          <w:rFonts w:ascii="Helvetica" w:hAnsi="Helvetica" w:cs="Helvetica"/>
          <w:sz w:val="22"/>
          <w:szCs w:val="22"/>
        </w:rPr>
        <w:t xml:space="preserve"> </w:t>
      </w:r>
      <w:r w:rsidR="004463C7">
        <w:rPr>
          <w:rFonts w:ascii="Helvetica" w:hAnsi="Helvetica" w:cs="Helvetica"/>
          <w:sz w:val="22"/>
          <w:szCs w:val="22"/>
        </w:rPr>
        <w:t xml:space="preserve">also </w:t>
      </w:r>
      <w:r w:rsidRPr="006B2E3D">
        <w:rPr>
          <w:rFonts w:ascii="Helvetica" w:hAnsi="Helvetica" w:cs="Helvetica"/>
          <w:sz w:val="22"/>
          <w:szCs w:val="22"/>
        </w:rPr>
        <w:t>inclu</w:t>
      </w:r>
      <w:r w:rsidR="004463C7">
        <w:rPr>
          <w:rFonts w:ascii="Helvetica" w:hAnsi="Helvetica" w:cs="Helvetica"/>
          <w:sz w:val="22"/>
          <w:szCs w:val="22"/>
        </w:rPr>
        <w:t xml:space="preserve">des </w:t>
      </w:r>
      <w:r w:rsidR="00FD2FA8">
        <w:rPr>
          <w:rFonts w:ascii="Helvetica" w:hAnsi="Helvetica" w:cs="Helvetica"/>
          <w:sz w:val="22"/>
          <w:szCs w:val="22"/>
        </w:rPr>
        <w:t>function</w:t>
      </w:r>
      <w:r w:rsidR="004463C7">
        <w:rPr>
          <w:rFonts w:ascii="Helvetica" w:hAnsi="Helvetica" w:cs="Helvetica"/>
          <w:sz w:val="22"/>
          <w:szCs w:val="22"/>
        </w:rPr>
        <w:t>al</w:t>
      </w:r>
      <w:r w:rsidR="00FD2FA8">
        <w:rPr>
          <w:rFonts w:ascii="Helvetica" w:hAnsi="Helvetica" w:cs="Helvetica"/>
          <w:sz w:val="22"/>
          <w:szCs w:val="22"/>
        </w:rPr>
        <w:t xml:space="preserve"> </w:t>
      </w:r>
      <w:r w:rsidRPr="006B2E3D">
        <w:rPr>
          <w:rFonts w:ascii="Helvetica" w:hAnsi="Helvetica" w:cs="Helvetica"/>
          <w:sz w:val="22"/>
          <w:szCs w:val="22"/>
        </w:rPr>
        <w:t xml:space="preserve">changes </w:t>
      </w:r>
      <w:r w:rsidR="007710A8">
        <w:rPr>
          <w:rFonts w:ascii="Helvetica" w:hAnsi="Helvetica" w:cs="Helvetica"/>
          <w:sz w:val="22"/>
          <w:szCs w:val="22"/>
        </w:rPr>
        <w:t>requested by</w:t>
      </w:r>
      <w:r w:rsidRPr="006B2E3D">
        <w:rPr>
          <w:rFonts w:ascii="Helvetica" w:hAnsi="Helvetica" w:cs="Helvetica"/>
          <w:sz w:val="22"/>
          <w:szCs w:val="22"/>
        </w:rPr>
        <w:t xml:space="preserve"> CMI Coordinators.</w:t>
      </w:r>
      <w:r w:rsidR="004463C7">
        <w:rPr>
          <w:rFonts w:ascii="Helvetica" w:hAnsi="Helvetica" w:cs="Helvetica"/>
          <w:sz w:val="22"/>
          <w:szCs w:val="22"/>
        </w:rPr>
        <w:t xml:space="preserve"> </w:t>
      </w:r>
      <w:r w:rsidR="004463C7">
        <w:rPr>
          <w:rFonts w:ascii="Helvetica" w:hAnsi="Helvetica" w:cs="Helvetica"/>
          <w:sz w:val="22"/>
          <w:szCs w:val="22"/>
        </w:rPr>
        <w:br/>
      </w:r>
      <w:r w:rsidR="004463C7" w:rsidRPr="004463C7">
        <w:rPr>
          <w:rFonts w:ascii="Helvetica" w:hAnsi="Helvetica" w:cs="Helvetica"/>
          <w:sz w:val="22"/>
          <w:szCs w:val="22"/>
        </w:rPr>
        <w:t xml:space="preserve">Details of how to use the new ECT module will be included in the </w:t>
      </w:r>
      <w:r w:rsidR="004463C7" w:rsidRPr="004463C7">
        <w:rPr>
          <w:rFonts w:ascii="Helvetica" w:hAnsi="Helvetica" w:cs="Helvetica"/>
          <w:i/>
          <w:iCs/>
          <w:sz w:val="22"/>
          <w:szCs w:val="22"/>
        </w:rPr>
        <w:t>CMI User Guide and Release notes March 2020 Update</w:t>
      </w:r>
      <w:r w:rsidR="004463C7">
        <w:rPr>
          <w:rFonts w:ascii="Helvetica" w:hAnsi="Helvetica" w:cs="Helvetica"/>
          <w:sz w:val="22"/>
          <w:szCs w:val="22"/>
        </w:rPr>
        <w:t>.</w:t>
      </w:r>
      <w:r w:rsidR="00EA07C0" w:rsidRPr="006B2E3D">
        <w:rPr>
          <w:rFonts w:ascii="Helvetica" w:hAnsi="Helvetica" w:cs="Helvetica"/>
          <w:sz w:val="22"/>
          <w:szCs w:val="22"/>
        </w:rPr>
        <w:br/>
      </w:r>
    </w:p>
    <w:p w14:paraId="3FD0F056" w14:textId="40EBD787" w:rsidR="00A62D44" w:rsidRDefault="00EA07C0" w:rsidP="00B57329">
      <w:pPr>
        <w:pStyle w:val="Heading2"/>
      </w:pPr>
      <w:r w:rsidRPr="006B2E3D">
        <w:t>ECT Course</w:t>
      </w:r>
    </w:p>
    <w:p w14:paraId="32B83893" w14:textId="3CE66899" w:rsidR="002D1D31" w:rsidRPr="008B2E2C" w:rsidRDefault="002D1D31" w:rsidP="002D1D31">
      <w:pPr>
        <w:pStyle w:val="Heading3"/>
        <w:rPr>
          <w:rFonts w:ascii="Helvetica" w:hAnsi="Helvetica" w:cs="Helvetica"/>
        </w:rPr>
      </w:pPr>
      <w:r w:rsidRPr="008B2E2C">
        <w:rPr>
          <w:rFonts w:ascii="Helvetica" w:hAnsi="Helvetica" w:cs="Helvetica"/>
        </w:rPr>
        <w:t>Medical Treatment Planning and Decisions Act (MTPD Act) changes</w:t>
      </w:r>
    </w:p>
    <w:p w14:paraId="2A0D5F35" w14:textId="7DCC1014" w:rsidR="000E37F1" w:rsidRPr="008B2E2C" w:rsidRDefault="00AD57C1" w:rsidP="007A4F52">
      <w:pPr>
        <w:pStyle w:val="DHHSbody"/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b/>
          <w:bCs/>
          <w:sz w:val="22"/>
          <w:szCs w:val="22"/>
        </w:rPr>
        <w:t xml:space="preserve">Background - </w:t>
      </w:r>
      <w:r w:rsidR="008059E8" w:rsidRPr="008B2E2C">
        <w:rPr>
          <w:rFonts w:ascii="Helvetica" w:hAnsi="Helvetica" w:cs="Helvetica"/>
          <w:sz w:val="22"/>
          <w:szCs w:val="22"/>
        </w:rPr>
        <w:t xml:space="preserve">Since 12/03/2018 the </w:t>
      </w:r>
      <w:r w:rsidR="002D1D31" w:rsidRPr="008B2E2C">
        <w:rPr>
          <w:rFonts w:ascii="Helvetica" w:hAnsi="Helvetica" w:cs="Helvetica"/>
          <w:sz w:val="22"/>
          <w:szCs w:val="22"/>
        </w:rPr>
        <w:t>MTPD Act</w:t>
      </w:r>
      <w:r w:rsidR="008059E8" w:rsidRPr="008B2E2C">
        <w:rPr>
          <w:rFonts w:ascii="Helvetica" w:hAnsi="Helvetica" w:cs="Helvetica"/>
          <w:sz w:val="22"/>
          <w:szCs w:val="22"/>
        </w:rPr>
        <w:t xml:space="preserve"> created an alternative consent pathway for adults who lack the capacity to give informed consent to ECT and are not (compulsory) patients under the Mental Health Act</w:t>
      </w:r>
      <w:r w:rsidR="007A4F52" w:rsidRPr="008B2E2C">
        <w:rPr>
          <w:rFonts w:ascii="Helvetica" w:hAnsi="Helvetica" w:cs="Helvetica"/>
          <w:sz w:val="22"/>
          <w:szCs w:val="22"/>
        </w:rPr>
        <w:t xml:space="preserve">. </w:t>
      </w:r>
    </w:p>
    <w:p w14:paraId="36CB6AAD" w14:textId="77777777" w:rsidR="000E37F1" w:rsidRPr="008B2E2C" w:rsidRDefault="000E37F1" w:rsidP="00096FB7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28EB5A1" w14:textId="25CB9F65" w:rsidR="00AD57C1" w:rsidRPr="008B2E2C" w:rsidRDefault="00AD57C1" w:rsidP="00096FB7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b/>
          <w:bCs/>
          <w:sz w:val="22"/>
          <w:szCs w:val="22"/>
        </w:rPr>
        <w:t>New data reporting requirement:</w:t>
      </w:r>
      <w:r w:rsidRPr="008B2E2C">
        <w:rPr>
          <w:rFonts w:ascii="Helvetica" w:hAnsi="Helvetica" w:cs="Helvetica"/>
          <w:sz w:val="22"/>
          <w:szCs w:val="22"/>
        </w:rPr>
        <w:t xml:space="preserve"> </w:t>
      </w:r>
      <w:r w:rsidR="00096FB7" w:rsidRPr="008B2E2C">
        <w:rPr>
          <w:rFonts w:ascii="Helvetica" w:hAnsi="Helvetica" w:cs="Helvetica"/>
          <w:sz w:val="22"/>
          <w:szCs w:val="22"/>
        </w:rPr>
        <w:t xml:space="preserve">All new ECT courses that commence after the CMI 9.2 release date (12/03/2020) </w:t>
      </w:r>
      <w:r w:rsidR="00FC1E4E" w:rsidRPr="008B2E2C">
        <w:rPr>
          <w:rFonts w:ascii="Helvetica" w:hAnsi="Helvetica" w:cs="Helvetica"/>
          <w:sz w:val="22"/>
          <w:szCs w:val="22"/>
        </w:rPr>
        <w:t xml:space="preserve">for </w:t>
      </w:r>
      <w:r w:rsidR="008059E8" w:rsidRPr="008B2E2C">
        <w:rPr>
          <w:rFonts w:ascii="Helvetica" w:hAnsi="Helvetica" w:cs="Helvetica"/>
          <w:sz w:val="22"/>
          <w:szCs w:val="22"/>
        </w:rPr>
        <w:t>an adult voluntary consumer without capacity to consent to ECT at the time of prescription, but with legal authority under the Medical Treatment Planning and Decisions Act</w:t>
      </w:r>
      <w:r w:rsidRPr="008B2E2C">
        <w:rPr>
          <w:rFonts w:ascii="Helvetica" w:hAnsi="Helvetica" w:cs="Helvetica"/>
          <w:sz w:val="22"/>
          <w:szCs w:val="22"/>
        </w:rPr>
        <w:t>, must have one of the following consent options specified in the ECT course screen:</w:t>
      </w:r>
    </w:p>
    <w:p w14:paraId="13860E53" w14:textId="229D91B1" w:rsidR="00AD57C1" w:rsidRPr="008B2E2C" w:rsidRDefault="002D1D31" w:rsidP="00AD57C1">
      <w:pPr>
        <w:pStyle w:val="ListParagraph"/>
        <w:numPr>
          <w:ilvl w:val="0"/>
          <w:numId w:val="25"/>
        </w:numPr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“</w:t>
      </w:r>
      <w:r w:rsidR="00AD57C1" w:rsidRPr="008B2E2C">
        <w:rPr>
          <w:rFonts w:ascii="Helvetica" w:eastAsia="Times" w:hAnsi="Helvetica" w:cs="Helvetica"/>
          <w:sz w:val="22"/>
          <w:szCs w:val="22"/>
        </w:rPr>
        <w:t>Informed consent – Instructional Directive</w:t>
      </w:r>
      <w:r w:rsidRPr="008B2E2C">
        <w:rPr>
          <w:rFonts w:ascii="Helvetica" w:eastAsia="Times" w:hAnsi="Helvetica" w:cs="Helvetica"/>
          <w:sz w:val="22"/>
          <w:szCs w:val="22"/>
        </w:rPr>
        <w:t xml:space="preserve">” (Data entry from </w:t>
      </w:r>
      <w:hyperlink r:id="rId15" w:history="1">
        <w:r w:rsidRPr="008B2E2C">
          <w:rPr>
            <w:rStyle w:val="Hyperlink"/>
            <w:rFonts w:ascii="Helvetica" w:eastAsia="Times" w:hAnsi="Helvetica" w:cs="Helvetica"/>
            <w:sz w:val="22"/>
            <w:szCs w:val="22"/>
          </w:rPr>
          <w:t>MHA132A</w:t>
        </w:r>
      </w:hyperlink>
      <w:r w:rsidRPr="008B2E2C">
        <w:rPr>
          <w:rFonts w:ascii="Helvetica" w:eastAsia="Times" w:hAnsi="Helvetica" w:cs="Helvetica"/>
          <w:sz w:val="22"/>
          <w:szCs w:val="22"/>
        </w:rPr>
        <w:t xml:space="preserve"> </w:t>
      </w:r>
      <w:r w:rsidR="00154603">
        <w:rPr>
          <w:rFonts w:ascii="Helvetica" w:eastAsia="Times" w:hAnsi="Helvetica" w:cs="Helvetica"/>
          <w:sz w:val="22"/>
          <w:szCs w:val="22"/>
        </w:rPr>
        <w:t>&lt;</w:t>
      </w:r>
      <w:r w:rsidR="00154603" w:rsidRPr="00154603">
        <w:rPr>
          <w:rFonts w:ascii="Helvetica" w:eastAsia="Times" w:hAnsi="Helvetica" w:cs="Helvetica"/>
          <w:sz w:val="22"/>
          <w:szCs w:val="22"/>
        </w:rPr>
        <w:t>https://www2.health.vic.gov.au/about/publications/formsandtemplates/application-for-ect-voluntary-adult-without-capacity-to-consent-mha132a</w:t>
      </w:r>
      <w:r w:rsidR="00154603">
        <w:rPr>
          <w:rFonts w:ascii="Helvetica" w:eastAsia="Times" w:hAnsi="Helvetica" w:cs="Helvetica"/>
          <w:sz w:val="22"/>
          <w:szCs w:val="22"/>
        </w:rPr>
        <w:t>&gt;</w:t>
      </w:r>
      <w:r w:rsidRPr="008B2E2C">
        <w:rPr>
          <w:rFonts w:ascii="Helvetica" w:eastAsia="Times" w:hAnsi="Helvetica" w:cs="Helvetica"/>
          <w:sz w:val="22"/>
          <w:szCs w:val="22"/>
        </w:rPr>
        <w:t>form)</w:t>
      </w:r>
    </w:p>
    <w:p w14:paraId="18E033F0" w14:textId="64F5148D" w:rsidR="00AD57C1" w:rsidRPr="008B2E2C" w:rsidRDefault="002D1D31" w:rsidP="00AD57C1">
      <w:pPr>
        <w:pStyle w:val="ListParagraph"/>
        <w:numPr>
          <w:ilvl w:val="0"/>
          <w:numId w:val="25"/>
        </w:numPr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“</w:t>
      </w:r>
      <w:r w:rsidR="00AD57C1" w:rsidRPr="008B2E2C">
        <w:rPr>
          <w:rFonts w:ascii="Helvetica" w:eastAsia="Times" w:hAnsi="Helvetica" w:cs="Helvetica"/>
          <w:sz w:val="22"/>
          <w:szCs w:val="22"/>
        </w:rPr>
        <w:t>Informed Consent – Medical Treatment Decision Maker</w:t>
      </w:r>
      <w:r w:rsidRPr="008B2E2C">
        <w:rPr>
          <w:rFonts w:ascii="Helvetica" w:eastAsia="Times" w:hAnsi="Helvetica" w:cs="Helvetica"/>
          <w:sz w:val="22"/>
          <w:szCs w:val="22"/>
        </w:rPr>
        <w:t>”</w:t>
      </w:r>
      <w:r w:rsidR="00AD57C1" w:rsidRPr="008B2E2C">
        <w:rPr>
          <w:rFonts w:ascii="Helvetica" w:eastAsia="Times" w:hAnsi="Helvetica" w:cs="Helvetica"/>
          <w:sz w:val="22"/>
          <w:szCs w:val="22"/>
        </w:rPr>
        <w:t>.</w:t>
      </w:r>
      <w:r w:rsidRPr="008B2E2C">
        <w:rPr>
          <w:rFonts w:ascii="Helvetica" w:eastAsia="Times" w:hAnsi="Helvetica" w:cs="Helvetica"/>
          <w:sz w:val="22"/>
          <w:szCs w:val="22"/>
        </w:rPr>
        <w:t xml:space="preserve"> (Data entry from </w:t>
      </w:r>
      <w:hyperlink r:id="rId16" w:history="1">
        <w:r w:rsidRPr="008B2E2C">
          <w:rPr>
            <w:rStyle w:val="Hyperlink"/>
            <w:rFonts w:ascii="Helvetica" w:eastAsia="Times" w:hAnsi="Helvetica" w:cs="Helvetica"/>
            <w:sz w:val="22"/>
            <w:szCs w:val="22"/>
          </w:rPr>
          <w:t>MHA131A</w:t>
        </w:r>
      </w:hyperlink>
      <w:r w:rsidR="00154603">
        <w:rPr>
          <w:rStyle w:val="Hyperlink"/>
          <w:rFonts w:ascii="Helvetica" w:eastAsia="Times" w:hAnsi="Helvetica" w:cs="Helvetica"/>
          <w:sz w:val="22"/>
          <w:szCs w:val="22"/>
        </w:rPr>
        <w:t xml:space="preserve"> </w:t>
      </w:r>
      <w:r w:rsidR="00154603" w:rsidRPr="00154603">
        <w:rPr>
          <w:rFonts w:eastAsia="Times"/>
        </w:rPr>
        <w:t>&lt;</w:t>
      </w:r>
      <w:r w:rsidR="00154603" w:rsidRPr="00154603">
        <w:rPr>
          <w:rFonts w:ascii="Helvetica" w:hAnsi="Helvetica" w:cs="Helvetica"/>
          <w:sz w:val="22"/>
          <w:szCs w:val="22"/>
        </w:rPr>
        <w:t>https://www2.health.vic.gov.au/about/publications/formsandtemplates/informed-consent-to-ECT-medical-treatment-decision-maker-mha131A</w:t>
      </w:r>
      <w:r w:rsidR="00154603" w:rsidRPr="00154603">
        <w:rPr>
          <w:rFonts w:ascii="Helvetica" w:hAnsi="Helvetica" w:cs="Helvetica"/>
          <w:sz w:val="22"/>
          <w:szCs w:val="22"/>
        </w:rPr>
        <w:t>&gt;</w:t>
      </w:r>
      <w:r w:rsidRPr="00154603">
        <w:rPr>
          <w:rFonts w:ascii="Helvetica" w:hAnsi="Helvetica" w:cs="Helvetica"/>
          <w:sz w:val="22"/>
          <w:szCs w:val="22"/>
        </w:rPr>
        <w:t>)</w:t>
      </w:r>
    </w:p>
    <w:p w14:paraId="738FF75E" w14:textId="52C071D2" w:rsidR="002D1D31" w:rsidRPr="008B2E2C" w:rsidRDefault="001604C7" w:rsidP="00A62D44">
      <w:pPr>
        <w:pStyle w:val="DHHSbody"/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br/>
      </w:r>
      <w:r w:rsidR="002D1D31" w:rsidRPr="008B2E2C">
        <w:rPr>
          <w:rFonts w:ascii="Helvetica" w:hAnsi="Helvetica" w:cs="Helvetica"/>
          <w:sz w:val="22"/>
          <w:szCs w:val="22"/>
        </w:rPr>
        <w:t>Please note:</w:t>
      </w:r>
    </w:p>
    <w:p w14:paraId="0DC69D3A" w14:textId="1159A492" w:rsidR="00777E69" w:rsidRPr="008B2E2C" w:rsidRDefault="001604C7" w:rsidP="00777E69">
      <w:pPr>
        <w:pStyle w:val="ListParagraph"/>
        <w:numPr>
          <w:ilvl w:val="0"/>
          <w:numId w:val="26"/>
        </w:numPr>
        <w:autoSpaceDE w:val="0"/>
        <w:autoSpaceDN w:val="0"/>
        <w:spacing w:before="40" w:after="4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Services are still required to manually send all voluntary ECT application documents to the Mental Health Tribunal, until further notice is provided by the Mental Health Tribunal</w:t>
      </w:r>
      <w:r w:rsidR="00777E69" w:rsidRPr="008B2E2C">
        <w:rPr>
          <w:rFonts w:ascii="Helvetica" w:eastAsia="Times" w:hAnsi="Helvetica" w:cs="Helvetica"/>
          <w:sz w:val="22"/>
          <w:szCs w:val="22"/>
        </w:rPr>
        <w:t>.</w:t>
      </w:r>
    </w:p>
    <w:p w14:paraId="2B2A0DBE" w14:textId="2F049DE2" w:rsidR="002D1D31" w:rsidRPr="008B2E2C" w:rsidRDefault="002D1D31" w:rsidP="002D1D31">
      <w:pPr>
        <w:pStyle w:val="DHHSbody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t>The above data reporting guidance supersedes guidance in Bulletin 27, released on 27/02/2018.</w:t>
      </w:r>
    </w:p>
    <w:p w14:paraId="079326AE" w14:textId="77777777" w:rsidR="00777E69" w:rsidRPr="008B2E2C" w:rsidRDefault="00777E69" w:rsidP="00A62D44">
      <w:pPr>
        <w:pStyle w:val="DHHSbody"/>
        <w:rPr>
          <w:rFonts w:ascii="Helvetica" w:hAnsi="Helvetica" w:cs="Helvetica"/>
          <w:sz w:val="22"/>
          <w:szCs w:val="22"/>
        </w:rPr>
      </w:pPr>
    </w:p>
    <w:p w14:paraId="1A457124" w14:textId="6D8AF984" w:rsidR="0033635F" w:rsidRPr="008B2E2C" w:rsidRDefault="00EE01FF" w:rsidP="00A62D44">
      <w:pPr>
        <w:pStyle w:val="DHHSbody"/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t xml:space="preserve">Functionality to calculate </w:t>
      </w:r>
      <w:r w:rsidRPr="008B2E2C">
        <w:rPr>
          <w:rFonts w:ascii="Helvetica" w:hAnsi="Helvetica" w:cs="Helvetica"/>
          <w:b/>
          <w:bCs/>
          <w:sz w:val="22"/>
          <w:szCs w:val="22"/>
        </w:rPr>
        <w:t>ECT Course end date</w:t>
      </w:r>
      <w:r w:rsidR="00096FB7" w:rsidRPr="008B2E2C">
        <w:rPr>
          <w:rFonts w:ascii="Helvetica" w:hAnsi="Helvetica" w:cs="Helvetica"/>
          <w:sz w:val="22"/>
          <w:szCs w:val="22"/>
        </w:rPr>
        <w:t xml:space="preserve"> data</w:t>
      </w:r>
      <w:r w:rsidRPr="008B2E2C">
        <w:rPr>
          <w:rFonts w:ascii="Helvetica" w:hAnsi="Helvetica" w:cs="Helvetica"/>
          <w:sz w:val="22"/>
          <w:szCs w:val="22"/>
        </w:rPr>
        <w:t xml:space="preserve">: </w:t>
      </w:r>
    </w:p>
    <w:p w14:paraId="072A3E13" w14:textId="733F96F9" w:rsidR="00EE01FF" w:rsidRPr="008B2E2C" w:rsidRDefault="00EE01FF" w:rsidP="00096FB7">
      <w:pPr>
        <w:pStyle w:val="DHHSbody"/>
        <w:numPr>
          <w:ilvl w:val="0"/>
          <w:numId w:val="23"/>
        </w:numPr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lastRenderedPageBreak/>
        <w:t xml:space="preserve">The ECT Course end date will be </w:t>
      </w:r>
      <w:r w:rsidR="00096FB7" w:rsidRPr="008B2E2C">
        <w:rPr>
          <w:rFonts w:ascii="Helvetica" w:hAnsi="Helvetica" w:cs="Helvetica"/>
          <w:sz w:val="22"/>
          <w:szCs w:val="22"/>
        </w:rPr>
        <w:t>automatically populated once</w:t>
      </w:r>
      <w:r w:rsidRPr="008B2E2C">
        <w:rPr>
          <w:rFonts w:ascii="Helvetica" w:hAnsi="Helvetica" w:cs="Helvetica"/>
          <w:sz w:val="22"/>
          <w:szCs w:val="22"/>
        </w:rPr>
        <w:t xml:space="preserve"> the number of weeks </w:t>
      </w:r>
      <w:r w:rsidR="00096FB7" w:rsidRPr="008B2E2C">
        <w:rPr>
          <w:rFonts w:ascii="Helvetica" w:hAnsi="Helvetica" w:cs="Helvetica"/>
          <w:sz w:val="22"/>
          <w:szCs w:val="22"/>
        </w:rPr>
        <w:t>entered</w:t>
      </w:r>
      <w:r w:rsidRPr="008B2E2C">
        <w:rPr>
          <w:rFonts w:ascii="Helvetica" w:hAnsi="Helvetica" w:cs="Helvetica"/>
          <w:sz w:val="22"/>
          <w:szCs w:val="22"/>
        </w:rPr>
        <w:t xml:space="preserve"> the duration </w:t>
      </w:r>
      <w:r w:rsidR="00096FB7" w:rsidRPr="008B2E2C">
        <w:rPr>
          <w:rFonts w:ascii="Helvetica" w:hAnsi="Helvetica" w:cs="Helvetica"/>
          <w:sz w:val="22"/>
          <w:szCs w:val="22"/>
        </w:rPr>
        <w:t xml:space="preserve">field has been entered. This end date </w:t>
      </w:r>
      <w:r w:rsidRPr="008B2E2C">
        <w:rPr>
          <w:rFonts w:ascii="Helvetica" w:hAnsi="Helvetica" w:cs="Helvetica"/>
          <w:sz w:val="22"/>
          <w:szCs w:val="22"/>
        </w:rPr>
        <w:t>calculat</w:t>
      </w:r>
      <w:r w:rsidR="00096FB7" w:rsidRPr="008B2E2C">
        <w:rPr>
          <w:rFonts w:ascii="Helvetica" w:hAnsi="Helvetica" w:cs="Helvetica"/>
          <w:sz w:val="22"/>
          <w:szCs w:val="22"/>
        </w:rPr>
        <w:t>ion is</w:t>
      </w:r>
      <w:r w:rsidRPr="008B2E2C">
        <w:rPr>
          <w:rFonts w:ascii="Helvetica" w:hAnsi="Helvetica" w:cs="Helvetica"/>
          <w:sz w:val="22"/>
          <w:szCs w:val="22"/>
        </w:rPr>
        <w:t xml:space="preserve"> in accordance with </w:t>
      </w:r>
      <w:r w:rsidR="00096FB7" w:rsidRPr="008B2E2C">
        <w:rPr>
          <w:rFonts w:ascii="Helvetica" w:hAnsi="Helvetica" w:cs="Helvetica"/>
          <w:sz w:val="22"/>
          <w:szCs w:val="22"/>
        </w:rPr>
        <w:t xml:space="preserve">Mental Health Tribunal ECT order duration guidelines. </w:t>
      </w:r>
    </w:p>
    <w:p w14:paraId="4034CD56" w14:textId="11EB0101" w:rsidR="00B56F5E" w:rsidRPr="008B2E2C" w:rsidRDefault="00B56F5E">
      <w:pPr>
        <w:rPr>
          <w:rFonts w:ascii="Helvetica" w:hAnsi="Helvetica" w:cs="Helvetica"/>
          <w:b/>
          <w:color w:val="004C97"/>
          <w:sz w:val="28"/>
          <w:szCs w:val="28"/>
        </w:rPr>
      </w:pPr>
    </w:p>
    <w:p w14:paraId="164DDD76" w14:textId="2AF97CC8" w:rsidR="0033635F" w:rsidRPr="008B2E2C" w:rsidRDefault="0033635F" w:rsidP="0033635F">
      <w:pPr>
        <w:pStyle w:val="Heading2"/>
        <w:rPr>
          <w:rFonts w:ascii="Helvetica" w:hAnsi="Helvetica" w:cs="Helvetica"/>
        </w:rPr>
      </w:pPr>
      <w:r w:rsidRPr="008B2E2C">
        <w:rPr>
          <w:rFonts w:ascii="Helvetica" w:hAnsi="Helvetica" w:cs="Helvetica"/>
        </w:rPr>
        <w:t>ECT Treatment</w:t>
      </w:r>
    </w:p>
    <w:p w14:paraId="4DA0DEFF" w14:textId="5761D860" w:rsidR="00A62D44" w:rsidRPr="008B2E2C" w:rsidRDefault="00B56F5E" w:rsidP="002E4E5E">
      <w:pPr>
        <w:pStyle w:val="DHHSbody"/>
        <w:rPr>
          <w:rFonts w:ascii="Helvetica" w:hAnsi="Helvetica" w:cs="Helvetica"/>
          <w:i/>
          <w:iCs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t xml:space="preserve">ECT Treatment data element </w:t>
      </w:r>
      <w:r w:rsidR="00CE5E05" w:rsidRPr="008B2E2C">
        <w:rPr>
          <w:rFonts w:ascii="Helvetica" w:hAnsi="Helvetica" w:cs="Helvetica"/>
          <w:sz w:val="22"/>
          <w:szCs w:val="22"/>
        </w:rPr>
        <w:t>changes have been made in accordance with</w:t>
      </w:r>
      <w:r w:rsidR="002E4E5E" w:rsidRPr="008B2E2C">
        <w:rPr>
          <w:rFonts w:ascii="Helvetica" w:hAnsi="Helvetica" w:cs="Helvetica"/>
          <w:sz w:val="22"/>
          <w:szCs w:val="22"/>
        </w:rPr>
        <w:t xml:space="preserve"> </w:t>
      </w:r>
      <w:hyperlink r:id="rId17" w:history="1">
        <w:r w:rsidR="00CE5E05" w:rsidRPr="008B2E2C">
          <w:rPr>
            <w:rStyle w:val="Hyperlink"/>
            <w:rFonts w:ascii="Helvetica" w:hAnsi="Helvetica" w:cs="Helvetica"/>
            <w:i/>
            <w:iCs/>
            <w:sz w:val="22"/>
            <w:szCs w:val="22"/>
          </w:rPr>
          <w:t>Electroconvulsive treatment Chief Psychiatrist’s guideline (April 2019 revision)</w:t>
        </w:r>
      </w:hyperlink>
      <w:r w:rsidR="0033635F" w:rsidRPr="008B2E2C">
        <w:rPr>
          <w:rFonts w:ascii="Helvetica" w:hAnsi="Helvetica" w:cs="Helvetica"/>
          <w:sz w:val="22"/>
          <w:szCs w:val="22"/>
        </w:rPr>
        <w:t>.</w:t>
      </w:r>
      <w:r w:rsidR="00154603">
        <w:rPr>
          <w:rFonts w:ascii="Helvetica" w:hAnsi="Helvetica" w:cs="Helvetica"/>
          <w:sz w:val="22"/>
          <w:szCs w:val="22"/>
        </w:rPr>
        <w:t>&lt;</w:t>
      </w:r>
      <w:r w:rsidR="00154603" w:rsidRPr="00154603">
        <w:rPr>
          <w:rFonts w:ascii="Helvetica" w:hAnsi="Helvetica" w:cs="Helvetica"/>
          <w:sz w:val="22"/>
          <w:szCs w:val="22"/>
        </w:rPr>
        <w:t>https://www2.health.vic.gov.au/about/publications/policiesandguidelines/chief-psychiatrist-guideline-on-electroconvulsive-treatment</w:t>
      </w:r>
      <w:r w:rsidR="00154603">
        <w:rPr>
          <w:rFonts w:ascii="Helvetica" w:hAnsi="Helvetica" w:cs="Helvetica"/>
          <w:sz w:val="22"/>
          <w:szCs w:val="22"/>
        </w:rPr>
        <w:t>&gt;</w:t>
      </w:r>
      <w:r w:rsidR="00CE5E05" w:rsidRPr="008B2E2C">
        <w:rPr>
          <w:rFonts w:ascii="Helvetica" w:hAnsi="Helvetica" w:cs="Helvetica"/>
          <w:sz w:val="22"/>
          <w:szCs w:val="22"/>
        </w:rPr>
        <w:br/>
        <w:t xml:space="preserve">Clinical </w:t>
      </w:r>
      <w:r w:rsidR="0033635F" w:rsidRPr="008B2E2C">
        <w:rPr>
          <w:rFonts w:ascii="Helvetica" w:hAnsi="Helvetica" w:cs="Helvetica"/>
          <w:sz w:val="22"/>
          <w:szCs w:val="22"/>
        </w:rPr>
        <w:t xml:space="preserve">Definitions for each of the </w:t>
      </w:r>
      <w:r w:rsidR="00CE5E05" w:rsidRPr="008B2E2C">
        <w:rPr>
          <w:rFonts w:ascii="Helvetica" w:hAnsi="Helvetica" w:cs="Helvetica"/>
          <w:sz w:val="22"/>
          <w:szCs w:val="22"/>
        </w:rPr>
        <w:t xml:space="preserve">treatment </w:t>
      </w:r>
      <w:r w:rsidR="0033635F" w:rsidRPr="008B2E2C">
        <w:rPr>
          <w:rFonts w:ascii="Helvetica" w:hAnsi="Helvetica" w:cs="Helvetica"/>
          <w:sz w:val="22"/>
          <w:szCs w:val="22"/>
        </w:rPr>
        <w:t xml:space="preserve">data elements </w:t>
      </w:r>
      <w:r w:rsidR="00CE5E05" w:rsidRPr="008B2E2C">
        <w:rPr>
          <w:rFonts w:ascii="Helvetica" w:hAnsi="Helvetica" w:cs="Helvetica"/>
          <w:sz w:val="22"/>
          <w:szCs w:val="22"/>
        </w:rPr>
        <w:t xml:space="preserve">below </w:t>
      </w:r>
      <w:r w:rsidR="0033635F" w:rsidRPr="008B2E2C">
        <w:rPr>
          <w:rFonts w:ascii="Helvetica" w:hAnsi="Helvetica" w:cs="Helvetica"/>
          <w:sz w:val="22"/>
          <w:szCs w:val="22"/>
        </w:rPr>
        <w:t>are available in the</w:t>
      </w:r>
      <w:r w:rsidR="00CE5E05" w:rsidRPr="008B2E2C">
        <w:rPr>
          <w:rFonts w:ascii="Helvetica" w:hAnsi="Helvetica" w:cs="Helvetica"/>
          <w:sz w:val="22"/>
          <w:szCs w:val="22"/>
        </w:rPr>
        <w:t xml:space="preserve"> “Clinical definitions” section of </w:t>
      </w:r>
      <w:r w:rsidR="00FD4F55" w:rsidRPr="008B2E2C">
        <w:rPr>
          <w:rFonts w:ascii="Helvetica" w:hAnsi="Helvetica" w:cs="Helvetica"/>
          <w:sz w:val="22"/>
          <w:szCs w:val="22"/>
        </w:rPr>
        <w:t>the Electroconvulsive</w:t>
      </w:r>
      <w:r w:rsidR="002E4E5E" w:rsidRPr="008B2E2C">
        <w:rPr>
          <w:rFonts w:ascii="Helvetica" w:hAnsi="Helvetica" w:cs="Helvetica"/>
          <w:i/>
          <w:iCs/>
          <w:sz w:val="22"/>
          <w:szCs w:val="22"/>
        </w:rPr>
        <w:t xml:space="preserve"> treatment Chief Psychiatrist’s guideline (April 2019 revision).</w:t>
      </w:r>
      <w:r w:rsidR="002E4E5E" w:rsidRPr="008B2E2C">
        <w:rPr>
          <w:rFonts w:ascii="Helvetica" w:hAnsi="Helvetica" w:cs="Helvetica"/>
          <w:sz w:val="22"/>
          <w:szCs w:val="22"/>
        </w:rPr>
        <w:t xml:space="preserve"> </w:t>
      </w:r>
    </w:p>
    <w:p w14:paraId="21864A7E" w14:textId="408F425A" w:rsidR="006B2E3D" w:rsidRPr="008B2E2C" w:rsidRDefault="006B2E3D" w:rsidP="006B2E3D">
      <w:pPr>
        <w:pStyle w:val="Heading3"/>
        <w:rPr>
          <w:rFonts w:ascii="Helvetica" w:hAnsi="Helvetica" w:cs="Helvetica"/>
        </w:rPr>
      </w:pPr>
      <w:r w:rsidRPr="008B2E2C">
        <w:rPr>
          <w:rFonts w:ascii="Helvetica" w:hAnsi="Helvetica" w:cs="Helvetica"/>
        </w:rPr>
        <w:t>ECT Treatment Type</w:t>
      </w:r>
    </w:p>
    <w:p w14:paraId="3596D9C9" w14:textId="50A50218" w:rsidR="006B2E3D" w:rsidRPr="008B2E2C" w:rsidRDefault="006B2E3D" w:rsidP="006B2E3D">
      <w:pPr>
        <w:pStyle w:val="DHHSbody"/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t xml:space="preserve">ECT treatment type options have been expanded to include electrode </w:t>
      </w:r>
      <w:r w:rsidR="00B90603" w:rsidRPr="008B2E2C">
        <w:rPr>
          <w:rFonts w:ascii="Helvetica" w:hAnsi="Helvetica" w:cs="Helvetica"/>
          <w:sz w:val="22"/>
          <w:szCs w:val="22"/>
        </w:rPr>
        <w:t>placements and captured at treatment not course level</w:t>
      </w:r>
      <w:r w:rsidRPr="008B2E2C">
        <w:rPr>
          <w:rFonts w:ascii="Helvetica" w:hAnsi="Helvetica" w:cs="Helvetica"/>
          <w:sz w:val="22"/>
          <w:szCs w:val="22"/>
        </w:rPr>
        <w:t>:</w:t>
      </w:r>
    </w:p>
    <w:p w14:paraId="2482D60A" w14:textId="79790E7F" w:rsidR="006B2E3D" w:rsidRPr="008B2E2C" w:rsidRDefault="006B2E3D" w:rsidP="00B9060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Unilateral</w:t>
      </w:r>
    </w:p>
    <w:p w14:paraId="4A5A0DCE" w14:textId="47D4A9A7" w:rsidR="006B2E3D" w:rsidRPr="008B2E2C" w:rsidRDefault="006B2E3D" w:rsidP="00B9060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Bitemporal</w:t>
      </w:r>
    </w:p>
    <w:p w14:paraId="01B95B14" w14:textId="35F254F3" w:rsidR="006B2E3D" w:rsidRPr="008B2E2C" w:rsidRDefault="006B2E3D" w:rsidP="00B90603">
      <w:pPr>
        <w:pStyle w:val="DHHSbody"/>
        <w:numPr>
          <w:ilvl w:val="0"/>
          <w:numId w:val="23"/>
        </w:numPr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t>Bifrontal</w:t>
      </w:r>
    </w:p>
    <w:p w14:paraId="4B5C879E" w14:textId="52B7689E" w:rsidR="006B2E3D" w:rsidRPr="008B2E2C" w:rsidRDefault="006B2E3D" w:rsidP="006B2E3D">
      <w:pPr>
        <w:pStyle w:val="Heading3"/>
        <w:rPr>
          <w:rFonts w:ascii="Helvetica" w:hAnsi="Helvetica" w:cs="Helvetica"/>
        </w:rPr>
      </w:pPr>
      <w:r w:rsidRPr="008B2E2C">
        <w:rPr>
          <w:rFonts w:ascii="Helvetica" w:hAnsi="Helvetica" w:cs="Helvetica"/>
        </w:rPr>
        <w:t>ECT Pulse Width</w:t>
      </w:r>
    </w:p>
    <w:p w14:paraId="74CE4F04" w14:textId="0FAEB352" w:rsidR="00E916B0" w:rsidRPr="008B2E2C" w:rsidRDefault="00E916B0" w:rsidP="00E916B0">
      <w:p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This is a new data element</w:t>
      </w:r>
      <w:r w:rsidR="00B90603" w:rsidRPr="008B2E2C">
        <w:rPr>
          <w:rFonts w:ascii="Helvetica" w:eastAsia="Times" w:hAnsi="Helvetica" w:cs="Helvetica"/>
          <w:sz w:val="22"/>
          <w:szCs w:val="22"/>
        </w:rPr>
        <w:t xml:space="preserve"> for ECT treatment</w:t>
      </w:r>
      <w:r w:rsidR="0033635F" w:rsidRPr="008B2E2C">
        <w:rPr>
          <w:rFonts w:ascii="Helvetica" w:eastAsia="Times" w:hAnsi="Helvetica" w:cs="Helvetica"/>
          <w:sz w:val="22"/>
          <w:szCs w:val="22"/>
        </w:rPr>
        <w:t xml:space="preserve">, options </w:t>
      </w:r>
      <w:r w:rsidR="00CE5E05" w:rsidRPr="008B2E2C">
        <w:rPr>
          <w:rFonts w:ascii="Helvetica" w:eastAsia="Times" w:hAnsi="Helvetica" w:cs="Helvetica"/>
          <w:sz w:val="22"/>
          <w:szCs w:val="22"/>
        </w:rPr>
        <w:t>that require selection</w:t>
      </w:r>
      <w:r w:rsidR="0033635F" w:rsidRPr="008B2E2C">
        <w:rPr>
          <w:rFonts w:ascii="Helvetica" w:eastAsia="Times" w:hAnsi="Helvetica" w:cs="Helvetica"/>
          <w:sz w:val="22"/>
          <w:szCs w:val="22"/>
        </w:rPr>
        <w:t>:</w:t>
      </w:r>
    </w:p>
    <w:p w14:paraId="2D3E4561" w14:textId="75C64A20" w:rsidR="00E916B0" w:rsidRPr="008B2E2C" w:rsidRDefault="00E916B0" w:rsidP="00B9060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Brief</w:t>
      </w:r>
    </w:p>
    <w:p w14:paraId="38146974" w14:textId="02038444" w:rsidR="006B2E3D" w:rsidRPr="008B2E2C" w:rsidRDefault="00E916B0" w:rsidP="00B9060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Ultra brief</w:t>
      </w:r>
    </w:p>
    <w:p w14:paraId="5F1DB514" w14:textId="3B625BE3" w:rsidR="00E916B0" w:rsidRPr="008B2E2C" w:rsidRDefault="00E916B0" w:rsidP="00E916B0">
      <w:pPr>
        <w:pStyle w:val="Heading3"/>
        <w:rPr>
          <w:rFonts w:ascii="Helvetica" w:hAnsi="Helvetica" w:cs="Helvetica"/>
        </w:rPr>
      </w:pPr>
      <w:r w:rsidRPr="008B2E2C">
        <w:rPr>
          <w:rFonts w:ascii="Helvetica" w:hAnsi="Helvetica" w:cs="Helvetica"/>
        </w:rPr>
        <w:t>Phase of ECT</w:t>
      </w:r>
    </w:p>
    <w:p w14:paraId="12397DFC" w14:textId="3C220B29" w:rsidR="0033635F" w:rsidRPr="008B2E2C" w:rsidRDefault="0033635F" w:rsidP="0033635F">
      <w:p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This is a new data element, options:</w:t>
      </w:r>
    </w:p>
    <w:p w14:paraId="49D98F0F" w14:textId="6351A8AB" w:rsidR="0033635F" w:rsidRPr="008B2E2C" w:rsidRDefault="0033635F" w:rsidP="00B9060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Acute</w:t>
      </w:r>
    </w:p>
    <w:p w14:paraId="3A51FBCE" w14:textId="0A116A16" w:rsidR="0033635F" w:rsidRPr="008B2E2C" w:rsidRDefault="0033635F" w:rsidP="00B9060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Maintenance</w:t>
      </w:r>
    </w:p>
    <w:p w14:paraId="7635E101" w14:textId="668D2532" w:rsidR="0033635F" w:rsidRPr="008B2E2C" w:rsidRDefault="0033635F" w:rsidP="00B90603">
      <w:pPr>
        <w:pStyle w:val="DHHSbody"/>
        <w:numPr>
          <w:ilvl w:val="0"/>
          <w:numId w:val="23"/>
        </w:numPr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t>Continuation</w:t>
      </w:r>
    </w:p>
    <w:p w14:paraId="0E7984C8" w14:textId="32B2562D" w:rsidR="00FD4F55" w:rsidRPr="008B2E2C" w:rsidRDefault="007A141D" w:rsidP="007A141D">
      <w:pPr>
        <w:pStyle w:val="Heading3"/>
        <w:rPr>
          <w:rFonts w:ascii="Helvetica" w:hAnsi="Helvetica" w:cs="Helvetica"/>
        </w:rPr>
      </w:pPr>
      <w:r w:rsidRPr="008B2E2C">
        <w:rPr>
          <w:rFonts w:ascii="Helvetica" w:hAnsi="Helvetica" w:cs="Helvetica"/>
        </w:rPr>
        <w:t>Adverse Reaction</w:t>
      </w:r>
    </w:p>
    <w:p w14:paraId="7EA0BC1C" w14:textId="0112EA7B" w:rsidR="007A141D" w:rsidRPr="008B2E2C" w:rsidRDefault="007A141D" w:rsidP="007A141D">
      <w:pPr>
        <w:pStyle w:val="DHHSbody"/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t xml:space="preserve">Data recorded here should be inline with OCP ECT guideline, adverse event criteria. Options </w:t>
      </w:r>
    </w:p>
    <w:p w14:paraId="78CB930C" w14:textId="21C09A7D" w:rsidR="007A141D" w:rsidRPr="008B2E2C" w:rsidRDefault="007A141D" w:rsidP="007A141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Death/near miss/serious injury/illness (notify OCP)</w:t>
      </w:r>
    </w:p>
    <w:p w14:paraId="1EF73844" w14:textId="3C7620FC" w:rsidR="007A141D" w:rsidRPr="008B2E2C" w:rsidRDefault="007A141D" w:rsidP="007A141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>No</w:t>
      </w:r>
    </w:p>
    <w:p w14:paraId="03A398D2" w14:textId="77777777" w:rsidR="007A141D" w:rsidRPr="008B2E2C" w:rsidRDefault="007A141D" w:rsidP="007A141D">
      <w:pPr>
        <w:pStyle w:val="DHHSbody"/>
        <w:rPr>
          <w:rFonts w:ascii="Helvetica" w:hAnsi="Helvetica" w:cs="Helvetica"/>
        </w:rPr>
      </w:pPr>
    </w:p>
    <w:p w14:paraId="5F0EAD4D" w14:textId="38D6409C" w:rsidR="006B2E3D" w:rsidRPr="008B2E2C" w:rsidRDefault="00FD4F55" w:rsidP="00FD4F55">
      <w:pPr>
        <w:pStyle w:val="Heading2"/>
        <w:rPr>
          <w:rFonts w:ascii="Helvetica" w:hAnsi="Helvetica" w:cs="Helvetica"/>
        </w:rPr>
      </w:pPr>
      <w:r w:rsidRPr="008B2E2C">
        <w:rPr>
          <w:rFonts w:ascii="Helvetica" w:hAnsi="Helvetica" w:cs="Helvetica"/>
        </w:rPr>
        <w:t>ECT Treatment Outcomes</w:t>
      </w:r>
    </w:p>
    <w:p w14:paraId="6E3D7B94" w14:textId="634A0D9F" w:rsidR="00305487" w:rsidRPr="008B2E2C" w:rsidRDefault="00305487" w:rsidP="00FD4316">
      <w:p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 xml:space="preserve">Clinical Global Impression (CGI) is to be recorded as part of the ECT treatment data, </w:t>
      </w:r>
      <w:r w:rsidR="00B56F5E" w:rsidRPr="008B2E2C">
        <w:rPr>
          <w:rFonts w:ascii="Helvetica" w:eastAsia="Times" w:hAnsi="Helvetica" w:cs="Helvetica"/>
          <w:sz w:val="22"/>
          <w:szCs w:val="22"/>
        </w:rPr>
        <w:t>with frequency of collection</w:t>
      </w:r>
      <w:r w:rsidRPr="008B2E2C">
        <w:rPr>
          <w:rFonts w:ascii="Helvetica" w:eastAsia="Times" w:hAnsi="Helvetica" w:cs="Helvetica"/>
          <w:sz w:val="22"/>
          <w:szCs w:val="22"/>
        </w:rPr>
        <w:t xml:space="preserve"> in accordance with </w:t>
      </w:r>
      <w:r w:rsidR="00B56F5E" w:rsidRPr="008B2E2C">
        <w:rPr>
          <w:rFonts w:ascii="Helvetica" w:eastAsia="Times" w:hAnsi="Helvetica" w:cs="Helvetica"/>
          <w:sz w:val="22"/>
          <w:szCs w:val="22"/>
        </w:rPr>
        <w:t xml:space="preserve">OCP Guidelines and clinical advisory notices. </w:t>
      </w:r>
    </w:p>
    <w:p w14:paraId="5BE9F12D" w14:textId="7B4F0D6A" w:rsidR="00FD4F55" w:rsidRPr="008B2E2C" w:rsidRDefault="00FD4F55" w:rsidP="00B9060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 xml:space="preserve">CGI </w:t>
      </w:r>
      <w:r w:rsidR="003221DC" w:rsidRPr="008B2E2C">
        <w:rPr>
          <w:rFonts w:ascii="Helvetica" w:eastAsia="Times" w:hAnsi="Helvetica" w:cs="Helvetica"/>
          <w:sz w:val="22"/>
          <w:szCs w:val="22"/>
        </w:rPr>
        <w:t>Severity of Illness</w:t>
      </w:r>
    </w:p>
    <w:p w14:paraId="0812010B" w14:textId="51460356" w:rsidR="00FD4F55" w:rsidRPr="008B2E2C" w:rsidRDefault="00FD4F55" w:rsidP="00B9060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Helvetica" w:eastAsia="Times" w:hAnsi="Helvetica" w:cs="Helvetica"/>
          <w:sz w:val="22"/>
          <w:szCs w:val="22"/>
        </w:rPr>
      </w:pPr>
      <w:r w:rsidRPr="008B2E2C">
        <w:rPr>
          <w:rFonts w:ascii="Helvetica" w:eastAsia="Times" w:hAnsi="Helvetica" w:cs="Helvetica"/>
          <w:sz w:val="22"/>
          <w:szCs w:val="22"/>
        </w:rPr>
        <w:t xml:space="preserve">CGI </w:t>
      </w:r>
      <w:r w:rsidR="00180FF5" w:rsidRPr="008B2E2C">
        <w:rPr>
          <w:rFonts w:ascii="Helvetica" w:eastAsia="Times" w:hAnsi="Helvetica" w:cs="Helvetica"/>
          <w:sz w:val="22"/>
          <w:szCs w:val="22"/>
        </w:rPr>
        <w:t xml:space="preserve">Improvement </w:t>
      </w:r>
    </w:p>
    <w:p w14:paraId="028519D4" w14:textId="67C6E572" w:rsidR="00B90603" w:rsidRPr="008B2E2C" w:rsidRDefault="00B90603" w:rsidP="00B90603">
      <w:pPr>
        <w:pStyle w:val="Heading1"/>
        <w:spacing w:before="0" w:line="276" w:lineRule="auto"/>
        <w:rPr>
          <w:rStyle w:val="Hyperlink"/>
          <w:rFonts w:ascii="Helvetica" w:hAnsi="Helvetica" w:cs="Helvetica"/>
          <w:sz w:val="20"/>
          <w:szCs w:val="20"/>
        </w:rPr>
      </w:pPr>
    </w:p>
    <w:p w14:paraId="2BB4AE1E" w14:textId="77777777" w:rsidR="004463C7" w:rsidRPr="008B2E2C" w:rsidRDefault="004463C7" w:rsidP="004463C7">
      <w:pPr>
        <w:pStyle w:val="Heading1"/>
        <w:rPr>
          <w:rFonts w:ascii="Helvetica" w:hAnsi="Helvetica" w:cs="Helvetica"/>
        </w:rPr>
      </w:pPr>
      <w:r w:rsidRPr="008B2E2C">
        <w:rPr>
          <w:rFonts w:ascii="Helvetica" w:hAnsi="Helvetica" w:cs="Helvetica"/>
        </w:rPr>
        <w:t>For more information</w:t>
      </w:r>
    </w:p>
    <w:p w14:paraId="4A8963A2" w14:textId="267BB466" w:rsidR="004463C7" w:rsidRPr="008B2E2C" w:rsidRDefault="004463C7" w:rsidP="004463C7">
      <w:pPr>
        <w:pStyle w:val="ListParagraph"/>
        <w:numPr>
          <w:ilvl w:val="0"/>
          <w:numId w:val="30"/>
        </w:numPr>
        <w:rPr>
          <w:rFonts w:ascii="Helvetica" w:hAnsi="Helvetica" w:cs="Helvetica"/>
          <w:color w:val="2F5496"/>
          <w:sz w:val="22"/>
          <w:szCs w:val="22"/>
          <w:lang w:eastAsia="en-AU"/>
        </w:rPr>
      </w:pPr>
      <w:r w:rsidRPr="008B2E2C">
        <w:rPr>
          <w:rFonts w:ascii="Helvetica" w:hAnsi="Helvetica" w:cs="Helvetica"/>
          <w:sz w:val="22"/>
          <w:szCs w:val="22"/>
        </w:rPr>
        <w:t xml:space="preserve">CMI release 9.2 User guide release notes questions can be directed to </w:t>
      </w:r>
      <w:hyperlink r:id="rId18" w:history="1">
        <w:r w:rsidRPr="008B2E2C">
          <w:rPr>
            <w:rStyle w:val="Hyperlink"/>
            <w:rFonts w:ascii="Helvetica" w:hAnsi="Helvetica" w:cs="Helvetica"/>
            <w:color w:val="0000FF"/>
            <w:sz w:val="22"/>
            <w:szCs w:val="22"/>
            <w:lang w:eastAsia="en-AU"/>
          </w:rPr>
          <w:t>MentalHealthApps.ReleaseSupport@htsv.org.au</w:t>
        </w:r>
      </w:hyperlink>
    </w:p>
    <w:p w14:paraId="53A81ED3" w14:textId="1E161393" w:rsidR="00B90603" w:rsidRPr="008B2E2C" w:rsidRDefault="004463C7" w:rsidP="004463C7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lastRenderedPageBreak/>
        <w:t xml:space="preserve">ECT Chief Psychiatrist guideline questions can be directed to </w:t>
      </w:r>
      <w:hyperlink r:id="rId19" w:history="1">
        <w:r w:rsidRPr="008B2E2C">
          <w:rPr>
            <w:rStyle w:val="Hyperlink"/>
            <w:rFonts w:ascii="Helvetica" w:hAnsi="Helvetica" w:cs="Helvetica"/>
            <w:color w:val="0000FF"/>
            <w:sz w:val="22"/>
            <w:szCs w:val="22"/>
            <w:lang w:eastAsia="en-AU"/>
          </w:rPr>
          <w:t>ocp@dhhs.vic.gov.au</w:t>
        </w:r>
      </w:hyperlink>
      <w:r w:rsidRPr="008B2E2C">
        <w:rPr>
          <w:rFonts w:ascii="Helvetica" w:hAnsi="Helvetica" w:cs="Helvetica"/>
          <w:sz w:val="22"/>
          <w:szCs w:val="22"/>
        </w:rPr>
        <w:t xml:space="preserve">  </w:t>
      </w:r>
    </w:p>
    <w:p w14:paraId="4FF9BAE7" w14:textId="43FCFCEB" w:rsidR="001604C7" w:rsidRPr="008B2E2C" w:rsidRDefault="001604C7" w:rsidP="001604C7">
      <w:pPr>
        <w:pStyle w:val="ListParagraph"/>
        <w:numPr>
          <w:ilvl w:val="0"/>
          <w:numId w:val="30"/>
        </w:numPr>
        <w:rPr>
          <w:rStyle w:val="Hyperlink"/>
          <w:rFonts w:ascii="Helvetica" w:hAnsi="Helvetica" w:cs="Helvetica"/>
          <w:color w:val="0000FF"/>
          <w:sz w:val="22"/>
          <w:szCs w:val="22"/>
          <w:lang w:eastAsia="en-AU"/>
        </w:rPr>
      </w:pPr>
      <w:r w:rsidRPr="008B2E2C">
        <w:rPr>
          <w:rFonts w:ascii="Helvetica" w:hAnsi="Helvetica" w:cs="Helvetica"/>
          <w:sz w:val="22"/>
          <w:szCs w:val="22"/>
        </w:rPr>
        <w:t xml:space="preserve">ECT Order hearings listing questions for the mental health tribunal can be directed to </w:t>
      </w:r>
      <w:hyperlink r:id="rId20" w:history="1">
        <w:r w:rsidRPr="008B2E2C">
          <w:rPr>
            <w:rStyle w:val="Hyperlink"/>
            <w:rFonts w:ascii="Helvetica" w:hAnsi="Helvetica" w:cs="Helvetica"/>
            <w:color w:val="0000FF"/>
            <w:sz w:val="22"/>
            <w:szCs w:val="22"/>
            <w:lang w:eastAsia="en-AU"/>
          </w:rPr>
          <w:t>registry@mht.vic.gov.au</w:t>
        </w:r>
      </w:hyperlink>
      <w:r w:rsidRPr="008B2E2C">
        <w:rPr>
          <w:rStyle w:val="Hyperlink"/>
          <w:rFonts w:ascii="Helvetica" w:hAnsi="Helvetica" w:cs="Helvetica"/>
          <w:color w:val="0000FF"/>
          <w:sz w:val="22"/>
          <w:szCs w:val="22"/>
          <w:lang w:eastAsia="en-AU"/>
        </w:rPr>
        <w:t xml:space="preserve">   </w:t>
      </w:r>
    </w:p>
    <w:p w14:paraId="0F929581" w14:textId="6ADCE523" w:rsidR="004463C7" w:rsidRPr="008B2E2C" w:rsidRDefault="004463C7" w:rsidP="004463C7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8B2E2C">
        <w:rPr>
          <w:rFonts w:ascii="Helvetica" w:hAnsi="Helvetica" w:cs="Helvetica"/>
          <w:sz w:val="22"/>
          <w:szCs w:val="22"/>
        </w:rPr>
        <w:t xml:space="preserve">ECT Data reporting requirement questions can be directed to </w:t>
      </w:r>
      <w:hyperlink r:id="rId21" w:history="1">
        <w:r w:rsidRPr="008B2E2C">
          <w:rPr>
            <w:rStyle w:val="Hyperlink"/>
            <w:rFonts w:ascii="Helvetica" w:hAnsi="Helvetica" w:cs="Helvetica"/>
            <w:sz w:val="22"/>
            <w:szCs w:val="22"/>
          </w:rPr>
          <w:t>MHDReporting@dhhs.vic.gov.au</w:t>
        </w:r>
      </w:hyperlink>
      <w:r w:rsidRPr="008B2E2C">
        <w:rPr>
          <w:rFonts w:ascii="Helvetica" w:hAnsi="Helvetica" w:cs="Helvetica"/>
          <w:sz w:val="22"/>
          <w:szCs w:val="22"/>
        </w:rPr>
        <w:t xml:space="preserve"> </w:t>
      </w:r>
    </w:p>
    <w:p w14:paraId="115FB98E" w14:textId="77777777" w:rsidR="00305487" w:rsidRPr="008B2E2C" w:rsidRDefault="00305487" w:rsidP="00FD4F55">
      <w:pPr>
        <w:pStyle w:val="DHHSbody"/>
        <w:rPr>
          <w:rFonts w:ascii="Helvetica" w:hAnsi="Helvetica" w:cs="Helvetica"/>
          <w:sz w:val="22"/>
          <w:szCs w:val="22"/>
        </w:rPr>
      </w:pPr>
    </w:p>
    <w:sectPr w:rsidR="00305487" w:rsidRPr="008B2E2C" w:rsidSect="004013C7">
      <w:headerReference w:type="default" r:id="rId22"/>
      <w:footerReference w:type="default" r:id="rId23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CD6E" w14:textId="77777777" w:rsidR="006C5E85" w:rsidRDefault="006C5E85">
      <w:r>
        <w:separator/>
      </w:r>
    </w:p>
  </w:endnote>
  <w:endnote w:type="continuationSeparator" w:id="0">
    <w:p w14:paraId="7403B2F7" w14:textId="77777777" w:rsidR="006C5E85" w:rsidRDefault="006C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5CB7" w14:textId="77777777" w:rsidR="00846536" w:rsidRDefault="00846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4DEC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06801082" wp14:editId="7A06084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3680" w14:textId="77777777" w:rsidR="00846536" w:rsidRDefault="008465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F072" w14:textId="091ACC50" w:rsidR="009D70A4" w:rsidRPr="00A11421" w:rsidRDefault="007A141D" w:rsidP="0051568D">
    <w:pPr>
      <w:pStyle w:val="DHHSfooter"/>
    </w:pPr>
    <w:r>
      <w:t xml:space="preserve">CMI/ODS Release 9.2 – ECT Module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13CF" w14:textId="77777777" w:rsidR="006C5E85" w:rsidRDefault="006C5E85" w:rsidP="002862F1">
      <w:pPr>
        <w:spacing w:before="120"/>
      </w:pPr>
      <w:r>
        <w:separator/>
      </w:r>
    </w:p>
  </w:footnote>
  <w:footnote w:type="continuationSeparator" w:id="0">
    <w:p w14:paraId="5EADE731" w14:textId="77777777" w:rsidR="006C5E85" w:rsidRDefault="006C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1A92" w14:textId="77777777" w:rsidR="00846536" w:rsidRDefault="00846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1FD9" w14:textId="77777777" w:rsidR="00846536" w:rsidRDefault="00846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FA48" w14:textId="77777777" w:rsidR="00846536" w:rsidRDefault="008465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3E8F" w14:textId="22C88632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356"/>
    <w:multiLevelType w:val="hybridMultilevel"/>
    <w:tmpl w:val="ABA8E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8B361F40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9F4B75"/>
    <w:multiLevelType w:val="hybridMultilevel"/>
    <w:tmpl w:val="1738F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379F"/>
    <w:multiLevelType w:val="hybridMultilevel"/>
    <w:tmpl w:val="FAFC5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116964"/>
    <w:multiLevelType w:val="hybridMultilevel"/>
    <w:tmpl w:val="E4BC8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17EFF"/>
    <w:multiLevelType w:val="hybridMultilevel"/>
    <w:tmpl w:val="983E1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84DE4"/>
    <w:multiLevelType w:val="hybridMultilevel"/>
    <w:tmpl w:val="F7E46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F7663F7"/>
    <w:multiLevelType w:val="hybridMultilevel"/>
    <w:tmpl w:val="80F26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74B94"/>
    <w:multiLevelType w:val="hybridMultilevel"/>
    <w:tmpl w:val="7C7C4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5"/>
  </w:num>
  <w:num w:numId="26">
    <w:abstractNumId w:val="10"/>
  </w:num>
  <w:num w:numId="27">
    <w:abstractNumId w:val="6"/>
  </w:num>
  <w:num w:numId="28">
    <w:abstractNumId w:val="17"/>
  </w:num>
  <w:num w:numId="29">
    <w:abstractNumId w:val="12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85"/>
    <w:rsid w:val="000032A8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96FB7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7F1"/>
    <w:rsid w:val="000E3CC7"/>
    <w:rsid w:val="000E6BD4"/>
    <w:rsid w:val="000F1F1E"/>
    <w:rsid w:val="000F2259"/>
    <w:rsid w:val="00100E6D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4603"/>
    <w:rsid w:val="00156598"/>
    <w:rsid w:val="001604C7"/>
    <w:rsid w:val="00161939"/>
    <w:rsid w:val="00161AA0"/>
    <w:rsid w:val="00162093"/>
    <w:rsid w:val="00172BAF"/>
    <w:rsid w:val="001771DD"/>
    <w:rsid w:val="00177995"/>
    <w:rsid w:val="00177A8C"/>
    <w:rsid w:val="00180FF5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1D31"/>
    <w:rsid w:val="002D5006"/>
    <w:rsid w:val="002E01D0"/>
    <w:rsid w:val="002E161D"/>
    <w:rsid w:val="002E3100"/>
    <w:rsid w:val="002E4E5E"/>
    <w:rsid w:val="002E6C95"/>
    <w:rsid w:val="002E7C36"/>
    <w:rsid w:val="002F5F31"/>
    <w:rsid w:val="002F5F46"/>
    <w:rsid w:val="00300403"/>
    <w:rsid w:val="00302216"/>
    <w:rsid w:val="00303E53"/>
    <w:rsid w:val="00305487"/>
    <w:rsid w:val="00306E5F"/>
    <w:rsid w:val="00307E14"/>
    <w:rsid w:val="00314054"/>
    <w:rsid w:val="00316F27"/>
    <w:rsid w:val="003221DC"/>
    <w:rsid w:val="00322E4B"/>
    <w:rsid w:val="00327870"/>
    <w:rsid w:val="0033259D"/>
    <w:rsid w:val="003333D2"/>
    <w:rsid w:val="0033635F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3C7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2E3D"/>
    <w:rsid w:val="006B6803"/>
    <w:rsid w:val="006C5E85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0A8"/>
    <w:rsid w:val="007711A0"/>
    <w:rsid w:val="00772D5E"/>
    <w:rsid w:val="00776928"/>
    <w:rsid w:val="00777E69"/>
    <w:rsid w:val="00785677"/>
    <w:rsid w:val="00786F16"/>
    <w:rsid w:val="007905D9"/>
    <w:rsid w:val="00791BD7"/>
    <w:rsid w:val="007933F7"/>
    <w:rsid w:val="00796E20"/>
    <w:rsid w:val="00797C32"/>
    <w:rsid w:val="007A11E8"/>
    <w:rsid w:val="007A141D"/>
    <w:rsid w:val="007A4F5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59E8"/>
    <w:rsid w:val="00806468"/>
    <w:rsid w:val="008155F0"/>
    <w:rsid w:val="00816735"/>
    <w:rsid w:val="00820141"/>
    <w:rsid w:val="00820E0C"/>
    <w:rsid w:val="0082366F"/>
    <w:rsid w:val="008338A2"/>
    <w:rsid w:val="00841AA9"/>
    <w:rsid w:val="00846536"/>
    <w:rsid w:val="00853EE4"/>
    <w:rsid w:val="00855535"/>
    <w:rsid w:val="0085761B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2C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235C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14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7C1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6F5E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603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E5E05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16B0"/>
    <w:rsid w:val="00E92AC3"/>
    <w:rsid w:val="00EA07C0"/>
    <w:rsid w:val="00EB00E0"/>
    <w:rsid w:val="00EC059F"/>
    <w:rsid w:val="00EC1F24"/>
    <w:rsid w:val="00EC22F6"/>
    <w:rsid w:val="00ED5B9B"/>
    <w:rsid w:val="00ED6BAD"/>
    <w:rsid w:val="00ED7447"/>
    <w:rsid w:val="00EE01FF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55A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0B9A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1E4E"/>
    <w:rsid w:val="00FC395C"/>
    <w:rsid w:val="00FD2FA8"/>
    <w:rsid w:val="00FD3766"/>
    <w:rsid w:val="00FD4316"/>
    <w:rsid w:val="00FD47C4"/>
    <w:rsid w:val="00FD4F55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A60149"/>
  <w15:docId w15:val="{37358CDE-749B-49E0-8754-DDEDE8B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56F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semiHidden/>
    <w:qFormat/>
    <w:rsid w:val="00AD57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4E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4E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0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32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MentalHealthApps.ReleaseSupport@htsv.org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MHDReporting@dhhs.vic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2.health.vic.gov.au/about/publications/policiesandguidelines/chief-psychiatrist-guideline-on-electroconvulsive-treatme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about/publications/formsandtemplates/informed-consent-to-ECT-medical-treatment-decision-maker-mha131A" TargetMode="External"/><Relationship Id="rId20" Type="http://schemas.openxmlformats.org/officeDocument/2006/relationships/hyperlink" Target="mailto:registry@mht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about/publications/formsandtemplates/application-for-ect-voluntary-adult-without-capacity-to-consent-mha132a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ocp@dhhs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03%20Blue%20294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2D76-CB58-41B3-9324-A2DE7A77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2945.dotx</Template>
  <TotalTime>1</TotalTime>
  <Pages>3</Pages>
  <Words>525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Bulleting 44 CMI 9.2 ECT Module</vt:lpstr>
    </vt:vector>
  </TitlesOfParts>
  <Company>Department of Health and Human Services</Company>
  <LinksUpToDate>false</LinksUpToDate>
  <CharactersWithSpaces>4673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Bulleting 44 CMI 9.2 ECT Module</dc:title>
  <dc:subject>Release 9.2 – New Electroconvulsive Therapy (ECT) module</dc:subject>
  <dc:creator>Mental Health &amp; Drugs Data</dc:creator>
  <cp:lastModifiedBy>Sarah Luscombe (DHHS)</cp:lastModifiedBy>
  <cp:revision>3</cp:revision>
  <cp:lastPrinted>2017-07-07T00:32:00Z</cp:lastPrinted>
  <dcterms:created xsi:type="dcterms:W3CDTF">2020-03-04T01:51:00Z</dcterms:created>
  <dcterms:modified xsi:type="dcterms:W3CDTF">2020-03-04T01:52:00Z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